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287" w:rsidRPr="00BB44E6" w:rsidRDefault="00D53329" w:rsidP="00243287">
      <w:pPr>
        <w:rPr>
          <w:b/>
          <w:sz w:val="28"/>
        </w:rPr>
      </w:pPr>
      <w:r>
        <w:rPr>
          <w:b/>
          <w:sz w:val="28"/>
        </w:rPr>
        <w:t>Additional file 3</w:t>
      </w:r>
    </w:p>
    <w:p w:rsidR="00243287" w:rsidRDefault="00D53329" w:rsidP="00243287">
      <w:pPr>
        <w:rPr>
          <w:b/>
        </w:rPr>
      </w:pPr>
      <w:r w:rsidRPr="00D53329">
        <w:rPr>
          <w:b/>
        </w:rPr>
        <w:t>Comparing BCG immunization cover</w:t>
      </w:r>
      <w:r>
        <w:rPr>
          <w:b/>
        </w:rPr>
        <w:t>age across age groups by region</w:t>
      </w:r>
    </w:p>
    <w:p w:rsidR="009A4EB9" w:rsidRDefault="00312E3A">
      <w:r>
        <w:t>Our analysis of BCG immunizat</w:t>
      </w:r>
      <w:r w:rsidR="009A4EB9">
        <w:t>ion included all children aged 0 to 59 months</w:t>
      </w:r>
      <w:r>
        <w:t xml:space="preserve">. </w:t>
      </w:r>
      <w:r w:rsidR="009A4EB9">
        <w:t xml:space="preserve">This age group includes the largest sample size for estimating under-5 vaccination coverage. However, BCG vaccination is generally recommended at birth or within </w:t>
      </w:r>
      <w:r w:rsidR="006F4B01">
        <w:t xml:space="preserve">a child’s </w:t>
      </w:r>
      <w:r w:rsidR="009A4EB9">
        <w:t>first six weeks of life</w:t>
      </w:r>
      <w:r w:rsidR="006F4B01">
        <w:t xml:space="preserve">. </w:t>
      </w:r>
      <w:r w:rsidR="009A4EB9">
        <w:t xml:space="preserve">Subsequently, many indicators </w:t>
      </w:r>
      <w:r w:rsidR="006F4B01">
        <w:t xml:space="preserve">focus on the </w:t>
      </w:r>
      <w:r w:rsidR="009A4EB9">
        <w:t xml:space="preserve">age group </w:t>
      </w:r>
      <w:r w:rsidR="006F4B01">
        <w:t>of</w:t>
      </w:r>
      <w:r w:rsidR="009A4EB9">
        <w:t xml:space="preserve"> 0 to 12 months, which is a stronger indicator for vaccination timeliness. To compare the effects of using different age groups, we estimated levels and trends of BCG coverage using age groups of 0 to 59 months and 0 to 12 months.</w:t>
      </w:r>
    </w:p>
    <w:p w:rsidR="006F4B01" w:rsidRDefault="009A4EB9" w:rsidP="006F4B01">
      <w:pPr>
        <w:spacing w:after="0"/>
      </w:pPr>
      <w:r>
        <w:t>W</w:t>
      </w:r>
      <w:r w:rsidR="00D53329">
        <w:t>e found that BCG immunization coverage for children aged 0 to 12 months was consistently lower than for children aged 0 to 59 months (</w:t>
      </w:r>
      <w:r w:rsidR="006C78FD">
        <w:t>Figure S3)</w:t>
      </w:r>
      <w:r w:rsidR="00D53329">
        <w:t>, though</w:t>
      </w:r>
      <w:r w:rsidR="006C78FD">
        <w:t xml:space="preserve"> the confidence intervals overlap for all regions. There are two plausible reasons for this difference. First, some children may be receiving BCG late, possibly through supplemental immunization campaigns. Previous studies in Uganda estimate that only about 9 in 10 children are vaccinated with BCG according to the country’s vaccination schedule </w:t>
      </w:r>
      <w:r w:rsidR="006C78FD">
        <w:fldChar w:fldCharType="begin"/>
      </w:r>
      <w:r w:rsidR="006C78FD">
        <w:instrText xml:space="preserve"> ADDIN ZOTERO_ITEM CSL_CITATION {"citationID":"2q3dm73abi","properties":{"formattedCitation":"[1, 2]","plainCitation":"[1, 2]"},"citationItems":[{"id":281,"uris":["http://zotero.org/users/local/AMZmyHF5/items/PI2E8EDC"],"uri":["http://zotero.org/users/local/AMZmyHF5/items/PI2E8EDC"],"itemData":{"id":281,"type":"article-journal","title":"Is vaccination coverage a good indicator of age-appropriate vaccination? A prospective study from Uganda","container-title":"Vaccine","page":"3564-3570","volume":"29","issue":"19","source":"ScienceDirect","abstract":"Background\nTimely vaccination is important to protect children from common infectious diseases. We assessed vaccination timeliness and vaccination coverage as well as coverage of vitamin A supplementation in a Ugandan setting.\nMethods and findings\nThis study used vaccination information gathered during a cluster-randomized trial promoting exclusive breastfeeding in Eastern Uganda between 2006 and 2008 (ClinicalTrials.gov no. NCT00397150). Five visits were carried out from birth up to 2 years of age (median follow-up time 1.5 years), and 765 children were included in the analysis. We used Kaplan–Meier time-to-event analysis to describe vaccination coverage and timeliness. Vaccination coverage at the end of follow-up was above 90% for all vaccines assessed individually that were part of the Expanded Program on Immunization (EPI), except for the measles vaccine which had 80% coverage (95%CI 76–83). In total, 75% (95%CI 71–79) had received all the recommended vaccines at the end of follow-up. Timely vaccination according to the recommendations of the Ugandan EPI was less common, ranging from 56% for the measles vaccine (95%CI 54–57) to 89% for the Bacillus Calmette–Guérin (BCG) vaccine (95%CI 86–91). Only 18% of the children received all vaccines within the recommended time ranges (95%CI 15–22). The children of mothers with higher education had more timely vaccination. The coverage for vitamin A supplementation at end of follow-up was 84% (95%CI 81–87).\nConclusions\nVaccination coverage was reasonably high, but often not timely. Many children were unprotected for several months despite being vaccinated at the end of follow-up. There is a need for continued efforts to optimise vaccination timeliness.","DOI":"10.1016/j.vaccine.2011.02.093","ISSN":"0264-410X","shortTitle":"Is vaccination coverage a good indicator of age-appropriate vaccination?","journalAbbreviation":"Vaccine","author":[{"family":"Fadnes","given":"Lars T."},{"family":"Nankabirwa","given":"Victoria"},{"family":"Sommerfelt","given":"Halvor"},{"family":"Tylleskär","given":"Thorkild"},{"family":"Tumwine","given":"James K."},{"family":"Engebretsen","given":"Ingunn M. S."}],"issued":{"date-parts":[["2011",4,27]]}}},{"id":279,"uris":["http://zotero.org/users/local/AMZmyHF5/items/JUI8K9DA"],"uri":["http://zotero.org/users/local/AMZmyHF5/items/JUI8K9DA"],"itemData":{"id":279,"type":"article-journal","title":"Timeliness of Childhood Vaccinations in Kampala Uganda: A Community-Based Cross-Sectional Study","container-title":"PLoS ONE","page":"e35432","volume":"7","issue":"4","source":"PLoS Journals","abstract":"BackgroundChild survival is dependent on several factors including high vaccination coverage. Timely receipt of vaccines ensures optimal immune response to the vaccines. Yet timeliness is not usually emphasized in estimating population immunity. In addition to examining timeliness of the recommended Expanded Programme for Immunisation (EPI) vaccines, this paper identifies predictors of untimely vaccination among children aged 10 to 23 months in Kampala.MethodsIn addition to the household survey interview questions, additional data sources for variables included data collection of child's weight and length. Vaccination dates were obtained from child health cards. Timeliness of vaccinations were assessed with Kaplan–Meier time-to-event analysis for each vaccine based on the following time ranges (lowest–highest target age): BCG (birth–8 weeks), polio 0 (birth–4 weeks), three polio and three pentavalent vaccines (4 weeks–2 months; 8 weeks–4 months; 12 weeks–6 months) and measles vaccine (38 weeks–12 months). Cox regression analysis was used to identify factors associated with vaccination timeliness.ResultsAbout half of 821 children received all vaccines within the recommended time ranges (45.6%; 95% CI 39.8–51.2). Timely receipt of vaccinations was lowest for measles (67.5%; 95% CI 60.5–73.8) and highest for BCG vaccine (92.7%: 95% CI 88.1–95.6). For measles, 10.7% (95% CI 6.8–16.4) of the vaccinations were administered earlier than the recommended time. Vaccinations that were not received within the recommended age ranges were associated with increasing number of children per woman (adjusted hazard ratio (AHR); 1.84, 95% CI 1.29–2.64), non-delivery at health facilities (AHR 1.58, 95% CI 1.02–2.46), being unmarried (AHR 1.49, 95% CI 1.15–1.94) or being in the lowest wealth quintile (AHR 1.38, 95% CI 1.11–1.72).ConclusionsStrategies to improve vaccination practices among the poorest, single, multiparous women and among mothers who do not deliver at health facilities are necessary to improve timeliness of vaccinations.","DOI":"10.1371/journal.pone.0035432","shortTitle":"Timeliness of Childhood Vaccinations in Kampala Uganda","journalAbbreviation":"PLoS ONE","author":[{"family":"Babirye","given":"Juliet N."},{"family":"Engebretsen","given":"Ingunn M. S."},{"family":"Makumbi","given":"Frederick"},{"family":"Fadnes","given":"Lars T."},{"family":"Wamani","given":"Henry"},{"family":"Tylleskar","given":"Thorkild"},{"family":"Nuwaha","given":"Fred"}],"issued":{"date-parts":[["2012",4,23]]}}}],"schema":"https://github.com/citation-style-language/schema/raw/master/csl-citation.json"} </w:instrText>
      </w:r>
      <w:r w:rsidR="006C78FD">
        <w:fldChar w:fldCharType="separate"/>
      </w:r>
      <w:r w:rsidR="006C78FD" w:rsidRPr="006C78FD">
        <w:rPr>
          <w:rFonts w:ascii="Calibri" w:hAnsi="Calibri"/>
        </w:rPr>
        <w:t>[1, 2]</w:t>
      </w:r>
      <w:r w:rsidR="006C78FD">
        <w:fldChar w:fldCharType="end"/>
      </w:r>
      <w:r w:rsidR="006C78FD">
        <w:t>. Second, it is also possible that maternal recall bias varies for children at different ages.</w:t>
      </w:r>
    </w:p>
    <w:p w:rsidR="006F4B01" w:rsidRDefault="006F4B01" w:rsidP="006F4B01">
      <w:pPr>
        <w:spacing w:after="0"/>
        <w:rPr>
          <w:sz w:val="14"/>
          <w:szCs w:val="14"/>
        </w:rPr>
      </w:pPr>
    </w:p>
    <w:p w:rsidR="006F4B01" w:rsidRPr="006F4B01" w:rsidRDefault="006F4B01" w:rsidP="006F4B01">
      <w:pPr>
        <w:spacing w:after="0"/>
        <w:rPr>
          <w:sz w:val="14"/>
          <w:szCs w:val="14"/>
        </w:rPr>
      </w:pPr>
    </w:p>
    <w:p w:rsidR="006C78FD" w:rsidRDefault="006C78FD" w:rsidP="006F4B01">
      <w:pPr>
        <w:spacing w:after="0"/>
        <w:rPr>
          <w:b/>
        </w:rPr>
      </w:pPr>
      <w:r w:rsidRPr="008D42F4">
        <w:rPr>
          <w:b/>
        </w:rPr>
        <w:t xml:space="preserve">Figure </w:t>
      </w:r>
      <w:r w:rsidR="006F4B01">
        <w:rPr>
          <w:b/>
        </w:rPr>
        <w:t xml:space="preserve">S3: </w:t>
      </w:r>
      <w:r>
        <w:rPr>
          <w:b/>
        </w:rPr>
        <w:t>BCG coverage for</w:t>
      </w:r>
      <w:r w:rsidRPr="008D42F4">
        <w:rPr>
          <w:b/>
        </w:rPr>
        <w:t xml:space="preserve"> children</w:t>
      </w:r>
      <w:r>
        <w:rPr>
          <w:b/>
        </w:rPr>
        <w:t xml:space="preserve"> aged 0 to 59 months (blue) and 0 to 12 months (red).</w:t>
      </w:r>
    </w:p>
    <w:p w:rsidR="006C78FD" w:rsidRPr="006C78FD" w:rsidRDefault="006C78FD" w:rsidP="006C78FD">
      <w:pPr>
        <w:spacing w:after="0"/>
        <w:rPr>
          <w:b/>
          <w:sz w:val="8"/>
          <w:szCs w:val="8"/>
        </w:rPr>
      </w:pPr>
    </w:p>
    <w:p w:rsidR="006C78FD" w:rsidRDefault="006C78FD" w:rsidP="006C78FD">
      <w:pPr>
        <w:spacing w:after="0"/>
      </w:pPr>
      <w:r>
        <w:rPr>
          <w:noProof/>
        </w:rPr>
        <w:drawing>
          <wp:inline distT="0" distB="0" distL="0" distR="0" wp14:anchorId="5F171066" wp14:editId="12DCF452">
            <wp:extent cx="5916205" cy="437197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g_age_plots 3.tiff"/>
                    <pic:cNvPicPr/>
                  </pic:nvPicPr>
                  <pic:blipFill rotWithShape="1">
                    <a:blip r:embed="rId4" cstate="print">
                      <a:extLst>
                        <a:ext uri="{28A0092B-C50C-407E-A947-70E740481C1C}">
                          <a14:useLocalDpi xmlns:a14="http://schemas.microsoft.com/office/drawing/2010/main" val="0"/>
                        </a:ext>
                      </a:extLst>
                    </a:blip>
                    <a:srcRect l="1282" t="2137" r="4168" b="4701"/>
                    <a:stretch/>
                  </pic:blipFill>
                  <pic:spPr bwMode="auto">
                    <a:xfrm>
                      <a:off x="0" y="0"/>
                      <a:ext cx="5935839" cy="4386484"/>
                    </a:xfrm>
                    <a:prstGeom prst="rect">
                      <a:avLst/>
                    </a:prstGeom>
                    <a:ln>
                      <a:noFill/>
                    </a:ln>
                    <a:extLst>
                      <a:ext uri="{53640926-AAD7-44D8-BBD7-CCE9431645EC}">
                        <a14:shadowObscured xmlns:a14="http://schemas.microsoft.com/office/drawing/2010/main"/>
                      </a:ext>
                    </a:extLst>
                  </pic:spPr>
                </pic:pic>
              </a:graphicData>
            </a:graphic>
          </wp:inline>
        </w:drawing>
      </w:r>
    </w:p>
    <w:p w:rsidR="00DB3FF3" w:rsidRDefault="006C78FD">
      <w:r>
        <w:lastRenderedPageBreak/>
        <w:t xml:space="preserve">We found that the </w:t>
      </w:r>
      <w:r w:rsidR="00D53329">
        <w:t xml:space="preserve">correlation coefficient for these two indicators, BCG coverage for children aged 0 to 12 months and 0 to 59 months, was 0.98, indicating that the measures have similar trends over time in all regions, with coverage in the 0-12 month age group consistently lower. In this study, we </w:t>
      </w:r>
      <w:r w:rsidR="00526396">
        <w:t xml:space="preserve">chose to use the 0 to </w:t>
      </w:r>
      <w:r w:rsidR="008C364D">
        <w:t>59 months age group for BCG immunization to best reflect overall coverage in children under 5.</w:t>
      </w:r>
      <w:r>
        <w:t xml:space="preserve"> Results for both BCG indicators c</w:t>
      </w:r>
      <w:r w:rsidR="006F4B01">
        <w:t xml:space="preserve">an be </w:t>
      </w:r>
      <w:r w:rsidR="0063749C">
        <w:t xml:space="preserve">found in Additional file </w:t>
      </w:r>
      <w:bookmarkStart w:id="0" w:name="_GoBack"/>
      <w:bookmarkEnd w:id="0"/>
      <w:r w:rsidR="0063749C">
        <w:t>1</w:t>
      </w:r>
      <w:r>
        <w:t>.</w:t>
      </w:r>
    </w:p>
    <w:p w:rsidR="003B3A0A" w:rsidRDefault="003B3A0A"/>
    <w:p w:rsidR="003B3A0A" w:rsidRDefault="003B3A0A">
      <w:r>
        <w:rPr>
          <w:b/>
        </w:rPr>
        <w:t>References</w:t>
      </w:r>
    </w:p>
    <w:p w:rsidR="003B3A0A" w:rsidRPr="003B3A0A" w:rsidRDefault="003B3A0A" w:rsidP="003B3A0A">
      <w:pPr>
        <w:pStyle w:val="Bibliography"/>
        <w:rPr>
          <w:rFonts w:ascii="Calibri" w:hAnsi="Calibri"/>
        </w:rPr>
      </w:pPr>
      <w:r>
        <w:fldChar w:fldCharType="begin"/>
      </w:r>
      <w:r>
        <w:instrText xml:space="preserve"> ADDIN ZOTERO_BIBL {"custom":[]} CSL_BIBLIOGRAPHY </w:instrText>
      </w:r>
      <w:r>
        <w:fldChar w:fldCharType="separate"/>
      </w:r>
      <w:r w:rsidRPr="003B3A0A">
        <w:rPr>
          <w:rFonts w:ascii="Calibri" w:hAnsi="Calibri"/>
        </w:rPr>
        <w:t xml:space="preserve">1. Fadnes LT, Nankabirwa V, Sommerfelt H, Tylleskär T, Tumwine JK, Engebretsen IMS: </w:t>
      </w:r>
      <w:r w:rsidRPr="003B3A0A">
        <w:rPr>
          <w:rFonts w:ascii="Calibri" w:hAnsi="Calibri"/>
          <w:b/>
          <w:bCs/>
        </w:rPr>
        <w:t>Is vaccination coverage a good indicator of age-appropriate vaccination? A prospective study from Uganda</w:t>
      </w:r>
      <w:r w:rsidRPr="003B3A0A">
        <w:rPr>
          <w:rFonts w:ascii="Calibri" w:hAnsi="Calibri"/>
        </w:rPr>
        <w:t xml:space="preserve">. </w:t>
      </w:r>
      <w:r w:rsidRPr="003B3A0A">
        <w:rPr>
          <w:rFonts w:ascii="Calibri" w:hAnsi="Calibri"/>
          <w:i/>
          <w:iCs/>
        </w:rPr>
        <w:t>Vaccine</w:t>
      </w:r>
      <w:r w:rsidRPr="003B3A0A">
        <w:rPr>
          <w:rFonts w:ascii="Calibri" w:hAnsi="Calibri"/>
        </w:rPr>
        <w:t xml:space="preserve"> 2011, </w:t>
      </w:r>
      <w:r w:rsidRPr="003B3A0A">
        <w:rPr>
          <w:rFonts w:ascii="Calibri" w:hAnsi="Calibri"/>
          <w:b/>
          <w:bCs/>
        </w:rPr>
        <w:t>29</w:t>
      </w:r>
      <w:r w:rsidRPr="003B3A0A">
        <w:rPr>
          <w:rFonts w:ascii="Calibri" w:hAnsi="Calibri"/>
        </w:rPr>
        <w:t>:3564–3570.</w:t>
      </w:r>
    </w:p>
    <w:p w:rsidR="003B3A0A" w:rsidRPr="003B3A0A" w:rsidRDefault="003B3A0A" w:rsidP="003B3A0A">
      <w:pPr>
        <w:pStyle w:val="Bibliography"/>
        <w:rPr>
          <w:rFonts w:ascii="Calibri" w:hAnsi="Calibri"/>
        </w:rPr>
      </w:pPr>
      <w:r w:rsidRPr="003B3A0A">
        <w:rPr>
          <w:rFonts w:ascii="Calibri" w:hAnsi="Calibri"/>
        </w:rPr>
        <w:t xml:space="preserve">2. Babirye JN, Engebretsen IMS, Makumbi F, Fadnes LT, Wamani H, Tylleskar T, Nuwaha F: </w:t>
      </w:r>
      <w:r w:rsidRPr="003B3A0A">
        <w:rPr>
          <w:rFonts w:ascii="Calibri" w:hAnsi="Calibri"/>
          <w:b/>
          <w:bCs/>
        </w:rPr>
        <w:t>Timeliness of Childhood Vaccinations in Kampala Uganda: A Community-Based Cross-Sectional Study</w:t>
      </w:r>
      <w:r w:rsidRPr="003B3A0A">
        <w:rPr>
          <w:rFonts w:ascii="Calibri" w:hAnsi="Calibri"/>
        </w:rPr>
        <w:t xml:space="preserve">. </w:t>
      </w:r>
      <w:r w:rsidRPr="003B3A0A">
        <w:rPr>
          <w:rFonts w:ascii="Calibri" w:hAnsi="Calibri"/>
          <w:i/>
          <w:iCs/>
        </w:rPr>
        <w:t>PLoS ONE</w:t>
      </w:r>
      <w:r w:rsidRPr="003B3A0A">
        <w:rPr>
          <w:rFonts w:ascii="Calibri" w:hAnsi="Calibri"/>
        </w:rPr>
        <w:t xml:space="preserve"> 2012, </w:t>
      </w:r>
      <w:r w:rsidRPr="003B3A0A">
        <w:rPr>
          <w:rFonts w:ascii="Calibri" w:hAnsi="Calibri"/>
          <w:b/>
          <w:bCs/>
        </w:rPr>
        <w:t>7</w:t>
      </w:r>
      <w:r w:rsidRPr="003B3A0A">
        <w:rPr>
          <w:rFonts w:ascii="Calibri" w:hAnsi="Calibri"/>
        </w:rPr>
        <w:t>:e35432.</w:t>
      </w:r>
    </w:p>
    <w:p w:rsidR="003B3A0A" w:rsidRPr="003B3A0A" w:rsidRDefault="003B3A0A">
      <w:r>
        <w:fldChar w:fldCharType="end"/>
      </w:r>
    </w:p>
    <w:sectPr w:rsidR="003B3A0A" w:rsidRPr="003B3A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287"/>
    <w:rsid w:val="00243287"/>
    <w:rsid w:val="00312E3A"/>
    <w:rsid w:val="0032160E"/>
    <w:rsid w:val="003B3A0A"/>
    <w:rsid w:val="00526396"/>
    <w:rsid w:val="00626F2D"/>
    <w:rsid w:val="0063749C"/>
    <w:rsid w:val="006C78FD"/>
    <w:rsid w:val="006F4B01"/>
    <w:rsid w:val="008C364D"/>
    <w:rsid w:val="00974A15"/>
    <w:rsid w:val="009A4EB9"/>
    <w:rsid w:val="00D53329"/>
    <w:rsid w:val="00D921CE"/>
    <w:rsid w:val="00DB3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0CFE7A-B5D5-4A0B-B8E7-9765715B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28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B3A0A"/>
    <w:pPr>
      <w:spacing w:after="240" w:line="240" w:lineRule="auto"/>
    </w:pPr>
  </w:style>
  <w:style w:type="paragraph" w:styleId="BalloonText">
    <w:name w:val="Balloon Text"/>
    <w:basedOn w:val="Normal"/>
    <w:link w:val="BalloonTextChar"/>
    <w:uiPriority w:val="99"/>
    <w:semiHidden/>
    <w:unhideWhenUsed/>
    <w:rsid w:val="00312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2E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Institute for Health Metrics and Evaluation</Company>
  <LinksUpToDate>false</LinksUpToDate>
  <CharactersWithSpaces>8083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Fullman</dc:creator>
  <cp:lastModifiedBy>Nancy</cp:lastModifiedBy>
  <cp:revision>3</cp:revision>
  <dcterms:created xsi:type="dcterms:W3CDTF">2015-10-22T17:37:00Z</dcterms:created>
  <dcterms:modified xsi:type="dcterms:W3CDTF">2015-10-22T17:40:00Z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zotero-version="4.0.28.7"&gt;&lt;session id="gY5rJ7NY"/&gt;&lt;style id="http://www.zotero.org/styles/bmc-medicine" hasBibliography="1" bibliographyStyleHasBeenSet="1"/&gt;&lt;prefs&gt;&lt;pref name="fieldType" value="Field"/&gt;&lt;pref name="storeReferences" v</vt:lpwstr>
  </property>
  <property fmtid="{D5CDD505-2E9C-101B-9397-08002B2CF9AE}" pid="3" name="ZOTERO_PREF_2">
    <vt:lpwstr>alue="true"/&gt;&lt;pref name="automaticJournalAbbreviations" value=""/&gt;&lt;pref name="noteType" value=""/&gt;&lt;/prefs&gt;&lt;/data&gt;</vt:lpwstr>
  </property>
</Properties>
</file>