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79E" w:rsidRPr="00DE479E" w:rsidRDefault="00DE479E" w:rsidP="00DE479E">
      <w:pPr>
        <w:rPr>
          <w:rFonts w:ascii="Times New Roman" w:hAnsi="Times New Roman" w:cs="Times New Roman"/>
          <w:b/>
          <w:sz w:val="24"/>
          <w:szCs w:val="20"/>
        </w:rPr>
      </w:pPr>
      <w:bookmarkStart w:id="0" w:name="_Toc421883656"/>
      <w:r>
        <w:rPr>
          <w:rFonts w:ascii="Times New Roman" w:hAnsi="Times New Roman" w:cs="Times New Roman"/>
          <w:b/>
          <w:sz w:val="24"/>
          <w:szCs w:val="20"/>
        </w:rPr>
        <w:t xml:space="preserve">Additional file 5 for </w:t>
      </w:r>
      <w:r w:rsidRPr="00A6252A">
        <w:rPr>
          <w:rFonts w:ascii="Times New Roman" w:hAnsi="Times New Roman" w:cs="Times New Roman"/>
          <w:b/>
          <w:sz w:val="24"/>
          <w:szCs w:val="24"/>
        </w:rPr>
        <w:t>‘</w:t>
      </w:r>
      <w:proofErr w:type="gramStart"/>
      <w:r>
        <w:rPr>
          <w:rFonts w:ascii="Times New Roman" w:hAnsi="Times New Roman" w:cs="Times New Roman"/>
          <w:b/>
          <w:sz w:val="24"/>
          <w:szCs w:val="24"/>
          <w:shd w:val="clear" w:color="auto" w:fill="FFFFFF"/>
        </w:rPr>
        <w:t>Interpreting</w:t>
      </w:r>
      <w:proofErr w:type="gramEnd"/>
      <w:r>
        <w:rPr>
          <w:rFonts w:ascii="Times New Roman" w:hAnsi="Times New Roman" w:cs="Times New Roman"/>
          <w:b/>
          <w:sz w:val="24"/>
          <w:szCs w:val="24"/>
          <w:shd w:val="clear" w:color="auto" w:fill="FFFFFF"/>
        </w:rPr>
        <w:t xml:space="preserve"> w</w:t>
      </w:r>
      <w:r w:rsidRPr="00A6252A">
        <w:rPr>
          <w:rFonts w:ascii="Times New Roman" w:hAnsi="Times New Roman" w:cs="Times New Roman"/>
          <w:b/>
          <w:sz w:val="24"/>
          <w:szCs w:val="24"/>
          <w:shd w:val="clear" w:color="auto" w:fill="FFFFFF"/>
        </w:rPr>
        <w:t>hole-genome sequencing in investigating tuberculosis transmission: A Systematic Review</w:t>
      </w:r>
      <w:r w:rsidRPr="00A6252A">
        <w:rPr>
          <w:rStyle w:val="apple-converted-space"/>
          <w:rFonts w:ascii="Times New Roman" w:hAnsi="Times New Roman" w:cs="Times New Roman"/>
          <w:b/>
          <w:color w:val="333333"/>
          <w:sz w:val="24"/>
          <w:szCs w:val="24"/>
          <w:shd w:val="clear" w:color="auto" w:fill="FFFFFF"/>
        </w:rPr>
        <w:t>’</w:t>
      </w:r>
    </w:p>
    <w:p w:rsidR="00DE479E" w:rsidRPr="00676396" w:rsidRDefault="00DE479E" w:rsidP="00DE479E">
      <w:pPr>
        <w:rPr>
          <w:rFonts w:ascii="Times New Roman" w:hAnsi="Times New Roman" w:cs="Times New Roman"/>
          <w:b/>
          <w:sz w:val="20"/>
          <w:szCs w:val="20"/>
          <w:lang w:eastAsia="en-GB"/>
        </w:rPr>
      </w:pPr>
      <w:r w:rsidRPr="00676396">
        <w:rPr>
          <w:rFonts w:ascii="Times New Roman" w:hAnsi="Times New Roman" w:cs="Times New Roman"/>
          <w:b/>
          <w:sz w:val="20"/>
          <w:szCs w:val="20"/>
        </w:rPr>
        <w:t xml:space="preserve">Table </w:t>
      </w:r>
      <w:r>
        <w:rPr>
          <w:rFonts w:ascii="Times New Roman" w:hAnsi="Times New Roman" w:cs="Times New Roman"/>
          <w:b/>
          <w:sz w:val="20"/>
          <w:szCs w:val="20"/>
        </w:rPr>
        <w:t>1</w:t>
      </w:r>
      <w:r w:rsidRPr="00676396">
        <w:rPr>
          <w:rFonts w:ascii="Times New Roman" w:hAnsi="Times New Roman" w:cs="Times New Roman"/>
          <w:b/>
          <w:sz w:val="20"/>
          <w:szCs w:val="20"/>
        </w:rPr>
        <w:t xml:space="preserve">: </w:t>
      </w:r>
      <w:r w:rsidRPr="00676396">
        <w:rPr>
          <w:rFonts w:ascii="Times New Roman" w:hAnsi="Times New Roman" w:cs="Times New Roman"/>
          <w:b/>
          <w:noProof/>
          <w:sz w:val="20"/>
          <w:szCs w:val="20"/>
          <w:lang w:eastAsia="en-GB"/>
        </w:rPr>
        <w:t>The effect of study specific factors on the number of polymorphisms detected in sequences</w:t>
      </w:r>
      <w:bookmarkEnd w:id="0"/>
    </w:p>
    <w:tbl>
      <w:tblPr>
        <w:tblStyle w:val="TableGrid"/>
        <w:tblW w:w="14000" w:type="dxa"/>
        <w:tblBorders>
          <w:left w:val="none" w:sz="0" w:space="0" w:color="auto"/>
          <w:right w:val="none" w:sz="0" w:space="0" w:color="auto"/>
          <w:insideV w:val="none" w:sz="0" w:space="0" w:color="auto"/>
        </w:tblBorders>
        <w:tblLook w:val="04A0" w:firstRow="1" w:lastRow="0" w:firstColumn="1" w:lastColumn="0" w:noHBand="0" w:noVBand="1"/>
      </w:tblPr>
      <w:tblGrid>
        <w:gridCol w:w="1640"/>
        <w:gridCol w:w="12360"/>
      </w:tblGrid>
      <w:tr w:rsidR="00DE479E" w:rsidRPr="00DE479E" w:rsidTr="0027629C">
        <w:trPr>
          <w:trHeight w:val="300"/>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b/>
                <w:bCs/>
                <w:color w:val="000000" w:themeColor="text1"/>
                <w:sz w:val="20"/>
                <w:szCs w:val="16"/>
                <w:lang w:eastAsia="en-GB"/>
              </w:rPr>
            </w:pPr>
            <w:r w:rsidRPr="00DE479E">
              <w:rPr>
                <w:rFonts w:ascii="Times New Roman" w:eastAsia="Times New Roman" w:hAnsi="Times New Roman" w:cs="Times New Roman"/>
                <w:b/>
                <w:bCs/>
                <w:color w:val="000000" w:themeColor="text1"/>
                <w:sz w:val="20"/>
                <w:szCs w:val="16"/>
                <w:lang w:eastAsia="en-GB"/>
              </w:rPr>
              <w:t>Study factors</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b/>
                <w:bCs/>
                <w:color w:val="000000" w:themeColor="text1"/>
                <w:sz w:val="20"/>
                <w:szCs w:val="16"/>
                <w:lang w:eastAsia="en-GB"/>
              </w:rPr>
            </w:pPr>
            <w:r w:rsidRPr="00DE479E">
              <w:rPr>
                <w:rFonts w:ascii="Times New Roman" w:eastAsia="Times New Roman" w:hAnsi="Times New Roman" w:cs="Times New Roman"/>
                <w:b/>
                <w:bCs/>
                <w:color w:val="000000" w:themeColor="text1"/>
                <w:sz w:val="20"/>
                <w:szCs w:val="16"/>
                <w:lang w:eastAsia="en-GB"/>
              </w:rPr>
              <w:t>Effect on number of SNPs detected</w:t>
            </w:r>
          </w:p>
        </w:tc>
      </w:tr>
      <w:tr w:rsidR="00DE479E" w:rsidRPr="00DE479E" w:rsidTr="0027629C">
        <w:trPr>
          <w:trHeight w:val="583"/>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i/>
                <w:color w:val="000000"/>
                <w:sz w:val="20"/>
                <w:szCs w:val="16"/>
                <w:lang w:eastAsia="en-GB"/>
              </w:rPr>
            </w:pPr>
            <w:r w:rsidRPr="00DE479E">
              <w:rPr>
                <w:rFonts w:ascii="Times New Roman" w:eastAsia="Times New Roman" w:hAnsi="Times New Roman" w:cs="Times New Roman"/>
                <w:color w:val="000000"/>
                <w:sz w:val="20"/>
                <w:szCs w:val="16"/>
                <w:lang w:eastAsia="en-GB"/>
              </w:rPr>
              <w:t>Study duration</w:t>
            </w:r>
          </w:p>
        </w:tc>
        <w:tc>
          <w:tcPr>
            <w:tcW w:w="12360" w:type="dxa"/>
            <w:tcBorders>
              <w:top w:val="single" w:sz="4" w:space="0" w:color="auto"/>
              <w:left w:val="nil"/>
              <w:bottom w:val="single" w:sz="4" w:space="0" w:color="auto"/>
              <w:right w:val="nil"/>
            </w:tcBorders>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Assuming that mutations occur and become fixed as time evolves, the longer the duration of study the more polymorphisms that will have occurred and been fixed in the population (so this affects the number of SNPs found in the study overall not between related cases)</w:t>
            </w:r>
          </w:p>
        </w:tc>
      </w:tr>
      <w:tr w:rsidR="00DE479E" w:rsidRPr="00DE479E" w:rsidTr="0027629C">
        <w:trPr>
          <w:trHeight w:val="542"/>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 xml:space="preserve">Strain diversity </w:t>
            </w:r>
          </w:p>
        </w:tc>
        <w:tc>
          <w:tcPr>
            <w:tcW w:w="12360" w:type="dxa"/>
            <w:tcBorders>
              <w:top w:val="single" w:sz="4" w:space="0" w:color="auto"/>
              <w:left w:val="nil"/>
              <w:bottom w:val="single" w:sz="4" w:space="0" w:color="auto"/>
              <w:right w:val="nil"/>
            </w:tcBorders>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If there are highly diverse strains in the population then large SNP distances will be found between pairs of sequences</w:t>
            </w:r>
          </w:p>
        </w:tc>
      </w:tr>
      <w:tr w:rsidR="00DE479E" w:rsidRPr="00DE479E" w:rsidTr="0027629C">
        <w:trPr>
          <w:trHeight w:val="561"/>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Sequencing machine</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Sequencing machines (e.g. Illumina) require the sample to be cultured before it is sequenced. This can reduce the number of polymorphisms detected by causing a bottleneck</w:t>
            </w:r>
          </w:p>
        </w:tc>
      </w:tr>
      <w:tr w:rsidR="00DE479E" w:rsidRPr="00DE479E" w:rsidTr="0027629C">
        <w:trPr>
          <w:trHeight w:val="399"/>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Length of reads</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The longer the read, the more SNPs found</w:t>
            </w:r>
            <w:hyperlink w:anchor="_ENREF_1" w:tooltip="Eo, 2012 #28602" w:history="1">
              <w:r w:rsidRPr="00DE479E">
                <w:rPr>
                  <w:rFonts w:ascii="Times New Roman" w:eastAsia="Times New Roman" w:hAnsi="Times New Roman" w:cs="Times New Roman"/>
                  <w:sz w:val="20"/>
                  <w:szCs w:val="16"/>
                  <w:lang w:eastAsia="en-GB"/>
                </w:rPr>
                <w:fldChar w:fldCharType="begin"/>
              </w:r>
              <w:r w:rsidRPr="00DE479E">
                <w:rPr>
                  <w:rFonts w:ascii="Times New Roman" w:eastAsia="Times New Roman" w:hAnsi="Times New Roman" w:cs="Times New Roman"/>
                  <w:sz w:val="20"/>
                  <w:szCs w:val="16"/>
                  <w:lang w:eastAsia="en-GB"/>
                </w:rPr>
                <w:instrText xml:space="preserve"> ADDIN EN.CITE &lt;EndNote&gt;&lt;Cite&gt;&lt;Author&gt;Eo&lt;/Author&gt;&lt;Year&gt;2012&lt;/Year&gt;&lt;RecNum&gt;28602&lt;/RecNum&gt;&lt;DisplayText&gt;&lt;style face="superscript"&gt;1&lt;/style&gt;&lt;/DisplayText&gt;&lt;record&gt;&lt;rec-number&gt;28602&lt;/rec-number&gt;&lt;foreign-keys&gt;&lt;key app="EN" db-id="rxpwt9dxjv0p5ve95aips9sgervzfvev9dfr"&gt;28602&lt;/key&gt;&lt;/foreign-keys&gt;&lt;ref-type name="Journal Article"&gt;17&lt;/ref-type&gt;&lt;contributors&gt;&lt;authors&gt;&lt;author&gt;Eo, S. H.&lt;/author&gt;&lt;author&gt;Dewoody, J. A.&lt;/author&gt;&lt;/authors&gt;&lt;/contributors&gt;&lt;auth-address&gt;Department of Forestry &amp;amp; Natural Resources, Purdue University, West Lafayette, IN 47907, USA. eos@purdue.edu&lt;/auth-address&gt;&lt;titles&gt;&lt;title&gt;The effects of contig length and depth on the estimation of SNP frequencies, and the relative abundance of SNPs in protein-coding and non-coding transcripts of tiger salamanders (Ambystoma tigrinum)&lt;/title&gt;&lt;secondary-title&gt;BMC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genomics&lt;/abbr-1&gt;&lt;/alt-periodical&gt;&lt;pages&gt;259&lt;/pages&gt;&lt;volume&gt;13&lt;/volume&gt;&lt;edition&gt;2012/06/22&lt;/edition&gt;&lt;keywords&gt;&lt;keyword&gt;Ambystoma/*genetics&lt;/keyword&gt;&lt;keyword&gt;Animals&lt;/keyword&gt;&lt;keyword&gt;*Contig Mapping&lt;/keyword&gt;&lt;keyword&gt;Gene Frequency&lt;/keyword&gt;&lt;keyword&gt;Genotype&lt;/keyword&gt;&lt;keyword&gt;Models, Genetic&lt;/keyword&gt;&lt;keyword&gt;*Polymorphism, Single Nucleotide&lt;/keyword&gt;&lt;keyword&gt;Proteins/genetics/metabolism&lt;/keyword&gt;&lt;keyword&gt;Sequence Analysis, DNA&lt;/keyword&gt;&lt;keyword&gt;Transcriptome&lt;/keyword&gt;&lt;/keywords&gt;&lt;dates&gt;&lt;year&gt;2012&lt;/year&gt;&lt;/dates&gt;&lt;isbn&gt;1471-2164 (Electronic)&amp;#xD;1471-2164 (Linking)&lt;/isbn&gt;&lt;accession-num&gt;22716167&lt;/accession-num&gt;&lt;work-type&gt;Research Support, Non-U.S. Gov&amp;apos;t&amp;#xD;Research Support, U.S. Gov&amp;apos;t, Non-P.H.S.&lt;/work-type&gt;&lt;urls&gt;&lt;related-urls&gt;&lt;url&gt;http://www.ncbi.nlm.nih.gov/pubmed/22716167&lt;/url&gt;&lt;/related-urls&gt;&lt;/urls&gt;&lt;custom2&gt;3416719&lt;/custom2&gt;&lt;electronic-resource-num&gt;10.1186/1471-2164-13-259&lt;/electronic-resource-num&gt;&lt;language&gt;eng&lt;/language&gt;&lt;/record&gt;&lt;/Cite&gt;&lt;/EndNote&gt;</w:instrText>
              </w:r>
              <w:r w:rsidRPr="00DE479E">
                <w:rPr>
                  <w:rFonts w:ascii="Times New Roman" w:eastAsia="Times New Roman" w:hAnsi="Times New Roman" w:cs="Times New Roman"/>
                  <w:sz w:val="20"/>
                  <w:szCs w:val="16"/>
                  <w:lang w:eastAsia="en-GB"/>
                </w:rPr>
                <w:fldChar w:fldCharType="separate"/>
              </w:r>
              <w:r w:rsidRPr="00DE479E">
                <w:rPr>
                  <w:rFonts w:ascii="Times New Roman" w:eastAsia="Times New Roman" w:hAnsi="Times New Roman" w:cs="Times New Roman"/>
                  <w:noProof/>
                  <w:sz w:val="20"/>
                  <w:szCs w:val="16"/>
                  <w:vertAlign w:val="superscript"/>
                  <w:lang w:eastAsia="en-GB"/>
                </w:rPr>
                <w:t>1</w:t>
              </w:r>
              <w:r w:rsidRPr="00DE479E">
                <w:rPr>
                  <w:rFonts w:ascii="Times New Roman" w:eastAsia="Times New Roman" w:hAnsi="Times New Roman" w:cs="Times New Roman"/>
                  <w:sz w:val="20"/>
                  <w:szCs w:val="16"/>
                  <w:lang w:eastAsia="en-GB"/>
                </w:rPr>
                <w:fldChar w:fldCharType="end"/>
              </w:r>
            </w:hyperlink>
          </w:p>
        </w:tc>
      </w:tr>
      <w:tr w:rsidR="00DE479E" w:rsidRPr="00DE479E" w:rsidTr="0027629C">
        <w:trPr>
          <w:trHeight w:val="295"/>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Coverage</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The deeper the coverage, the more polymorphisms likely to be found</w:t>
            </w:r>
          </w:p>
        </w:tc>
      </w:tr>
      <w:tr w:rsidR="00DE479E" w:rsidRPr="00DE479E" w:rsidTr="0027629C">
        <w:trPr>
          <w:trHeight w:val="256"/>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Definition of quality read/SNP</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 xml:space="preserve">The definition of a quality read will affect the number of SNPs ‘confirmed’ as the definition relies on support from a certain number of reads. Thus more stringent rules on quality reads will mean fewer reads to support variants. Stringent definitions of SNPs requiring high confidence in variants will result in fewer SNPs found. </w:t>
            </w:r>
          </w:p>
        </w:tc>
      </w:tr>
      <w:tr w:rsidR="00DE479E" w:rsidRPr="00DE479E" w:rsidTr="0027629C">
        <w:trPr>
          <w:trHeight w:val="256"/>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Bioinformatics software</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Factors such as the internal filtering criteria may affect the number of polymorphisms found</w:t>
            </w:r>
            <w:hyperlink w:anchor="_ENREF_2" w:tooltip="Yu, 2013 #28600" w:history="1">
              <w:r w:rsidRPr="00DE479E">
                <w:rPr>
                  <w:rFonts w:ascii="Times New Roman" w:eastAsia="Times New Roman" w:hAnsi="Times New Roman" w:cs="Times New Roman"/>
                  <w:sz w:val="20"/>
                  <w:szCs w:val="16"/>
                  <w:lang w:eastAsia="en-GB"/>
                </w:rPr>
                <w:fldChar w:fldCharType="begin">
                  <w:fldData xml:space="preserve">PEVuZE5vdGU+PENpdGU+PEF1dGhvcj5ZdTwvQXV0aG9yPjxZZWFyPjIwMTM8L1llYXI+PFJlY051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</w:fldData>
                </w:fldChar>
              </w:r>
              <w:r w:rsidRPr="00DE479E">
                <w:rPr>
                  <w:rFonts w:ascii="Times New Roman" w:eastAsia="Times New Roman" w:hAnsi="Times New Roman" w:cs="Times New Roman"/>
                  <w:sz w:val="20"/>
                  <w:szCs w:val="16"/>
                  <w:lang w:eastAsia="en-GB"/>
                </w:rPr>
                <w:instrText xml:space="preserve"> ADDIN EN.CITE </w:instrText>
              </w:r>
              <w:r w:rsidRPr="00DE479E">
                <w:rPr>
                  <w:rFonts w:ascii="Times New Roman" w:eastAsia="Times New Roman" w:hAnsi="Times New Roman" w:cs="Times New Roman"/>
                  <w:sz w:val="20"/>
                  <w:szCs w:val="16"/>
                  <w:lang w:eastAsia="en-GB"/>
                </w:rPr>
                <w:fldChar w:fldCharType="begin">
                  <w:fldData xml:space="preserve">PEVuZE5vdGU+PENpdGU+PEF1dGhvcj5ZdTwvQXV0aG9yPjxZZWFyPjIwMTM8L1llYXI+PFJlY051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</w:fldData>
                </w:fldChar>
              </w:r>
              <w:r w:rsidRPr="00DE479E">
                <w:rPr>
                  <w:rFonts w:ascii="Times New Roman" w:eastAsia="Times New Roman" w:hAnsi="Times New Roman" w:cs="Times New Roman"/>
                  <w:sz w:val="20"/>
                  <w:szCs w:val="16"/>
                  <w:lang w:eastAsia="en-GB"/>
                </w:rPr>
                <w:instrText xml:space="preserve"> ADDIN EN.CITE.DATA </w:instrText>
              </w:r>
              <w:r w:rsidRPr="00DE479E">
                <w:rPr>
                  <w:rFonts w:ascii="Times New Roman" w:eastAsia="Times New Roman" w:hAnsi="Times New Roman" w:cs="Times New Roman"/>
                  <w:sz w:val="20"/>
                  <w:szCs w:val="16"/>
                  <w:lang w:eastAsia="en-GB"/>
                </w:rPr>
              </w:r>
              <w:r w:rsidRPr="00DE479E">
                <w:rPr>
                  <w:rFonts w:ascii="Times New Roman" w:eastAsia="Times New Roman" w:hAnsi="Times New Roman" w:cs="Times New Roman"/>
                  <w:sz w:val="20"/>
                  <w:szCs w:val="16"/>
                  <w:lang w:eastAsia="en-GB"/>
                </w:rPr>
                <w:fldChar w:fldCharType="end"/>
              </w:r>
              <w:r w:rsidRPr="00DE479E">
                <w:rPr>
                  <w:rFonts w:ascii="Times New Roman" w:eastAsia="Times New Roman" w:hAnsi="Times New Roman" w:cs="Times New Roman"/>
                  <w:sz w:val="20"/>
                  <w:szCs w:val="16"/>
                  <w:lang w:eastAsia="en-GB"/>
                </w:rPr>
                <w:fldChar w:fldCharType="separate"/>
              </w:r>
              <w:r w:rsidRPr="00DE479E">
                <w:rPr>
                  <w:rFonts w:ascii="Times New Roman" w:eastAsia="Times New Roman" w:hAnsi="Times New Roman" w:cs="Times New Roman"/>
                  <w:noProof/>
                  <w:sz w:val="20"/>
                  <w:szCs w:val="16"/>
                  <w:vertAlign w:val="superscript"/>
                  <w:lang w:eastAsia="en-GB"/>
                </w:rPr>
                <w:t>2</w:t>
              </w:r>
              <w:r w:rsidRPr="00DE479E">
                <w:rPr>
                  <w:rFonts w:ascii="Times New Roman" w:eastAsia="Times New Roman" w:hAnsi="Times New Roman" w:cs="Times New Roman"/>
                  <w:sz w:val="20"/>
                  <w:szCs w:val="16"/>
                  <w:lang w:eastAsia="en-GB"/>
                </w:rPr>
                <w:fldChar w:fldCharType="end"/>
              </w:r>
            </w:hyperlink>
          </w:p>
        </w:tc>
      </w:tr>
      <w:tr w:rsidR="00DE479E" w:rsidRPr="00DE479E" w:rsidTr="0027629C">
        <w:trPr>
          <w:trHeight w:val="256"/>
        </w:trPr>
        <w:tc>
          <w:tcPr>
            <w:tcW w:w="1640" w:type="dxa"/>
            <w:tcBorders>
              <w:top w:val="single" w:sz="4" w:space="0" w:color="auto"/>
              <w:left w:val="nil"/>
              <w:bottom w:val="single" w:sz="4" w:space="0" w:color="auto"/>
              <w:right w:val="nil"/>
            </w:tcBorders>
            <w:noWrap/>
            <w:hideMark/>
          </w:tcPr>
          <w:p w:rsidR="00DE479E" w:rsidRPr="00DE479E" w:rsidRDefault="00DE479E" w:rsidP="0027629C">
            <w:pPr>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Number of amplification steps</w:t>
            </w:r>
          </w:p>
        </w:tc>
        <w:tc>
          <w:tcPr>
            <w:tcW w:w="12360" w:type="dxa"/>
            <w:tcBorders>
              <w:top w:val="single" w:sz="4" w:space="0" w:color="auto"/>
              <w:left w:val="nil"/>
              <w:bottom w:val="single" w:sz="4" w:space="0" w:color="auto"/>
              <w:right w:val="nil"/>
            </w:tcBorders>
            <w:noWrap/>
            <w:hideMark/>
          </w:tcPr>
          <w:p w:rsidR="00DE479E" w:rsidRPr="00DE479E" w:rsidRDefault="00DE479E" w:rsidP="0027629C">
            <w:pPr>
              <w:keepNext/>
              <w:rPr>
                <w:rFonts w:ascii="Times New Roman" w:eastAsia="Times New Roman" w:hAnsi="Times New Roman" w:cs="Times New Roman"/>
                <w:color w:val="000000"/>
                <w:sz w:val="20"/>
                <w:szCs w:val="16"/>
                <w:lang w:eastAsia="en-GB"/>
              </w:rPr>
            </w:pPr>
            <w:r w:rsidRPr="00DE479E">
              <w:rPr>
                <w:rFonts w:ascii="Times New Roman" w:eastAsia="Times New Roman" w:hAnsi="Times New Roman" w:cs="Times New Roman"/>
                <w:color w:val="000000"/>
                <w:sz w:val="20"/>
                <w:szCs w:val="16"/>
                <w:lang w:eastAsia="en-GB"/>
              </w:rPr>
              <w:t>The more amplification steps, the more errors are likely to be introduced</w:t>
            </w:r>
            <w:hyperlink w:anchor="_ENREF_3" w:tooltip="Kao, 2014 #2148" w:history="1">
              <w:r w:rsidRPr="00DE479E">
                <w:rPr>
                  <w:rFonts w:ascii="Times New Roman" w:eastAsia="Times New Roman" w:hAnsi="Times New Roman" w:cs="Times New Roman"/>
                  <w:sz w:val="20"/>
                  <w:szCs w:val="16"/>
                  <w:lang w:eastAsia="en-GB"/>
                </w:rPr>
                <w:fldChar w:fldCharType="begin"/>
              </w:r>
              <w:r w:rsidRPr="00DE479E">
                <w:rPr>
                  <w:rFonts w:ascii="Times New Roman" w:eastAsia="Times New Roman" w:hAnsi="Times New Roman" w:cs="Times New Roman"/>
                  <w:sz w:val="20"/>
                  <w:szCs w:val="16"/>
                  <w:lang w:eastAsia="en-GB"/>
                </w:rPr>
                <w:instrText xml:space="preserve"> ADDIN EN.CITE &lt;EndNote&gt;&lt;Cite&gt;&lt;Author&gt;Kao&lt;/Author&gt;&lt;Year&gt;2014&lt;/Year&gt;&lt;RecNum&gt;2148&lt;/RecNum&gt;&lt;DisplayText&gt;&lt;style face="superscript"&gt;3&lt;/style&gt;&lt;/DisplayText&gt;&lt;record&gt;&lt;rec-number&gt;2148&lt;/rec-number&gt;&lt;foreign-keys&gt;&lt;key app="EN" db-id="rxpwt9dxjv0p5ve95aips9sgervzfvev9dfr"&gt;2148&lt;/key&gt;&lt;key app="ENWeb" db-id=""&gt;0&lt;/key&gt;&lt;/foreign-keys&gt;&lt;ref-type name="Journal Article"&gt;17&lt;/ref-type&gt;&lt;contributors&gt;&lt;authors&gt;&lt;author&gt;Kao, R. R.&lt;/author&gt;&lt;author&gt;Haydon, D. T.&lt;/author&gt;&lt;author&gt;Lycett, S. J.&lt;/author&gt;&lt;author&gt;Murcia, P. R.&lt;/author&gt;&lt;/authors&gt;&lt;/contributors&gt;&lt;titles&gt;&lt;title&gt;Supersize me: How whole-genome sequencing and big data are transforming epidemiology&lt;/title&gt;&lt;secondary-title&gt;Trends Microbiol&lt;/secondary-title&gt;&lt;/titles&gt;&lt;periodical&gt;&lt;full-title&gt;Trends Microbiol&lt;/full-title&gt;&lt;abbr-1&gt;Trends in microbiology&lt;/abbr-1&gt;&lt;/periodical&gt;&lt;pages&gt;282-291&lt;/pages&gt;&lt;volume&gt;22&lt;/volume&gt;&lt;number&gt;5&lt;/number&gt;&lt;dates&gt;&lt;year&gt;2014&lt;/year&gt;&lt;pub-dates&gt;&lt;date&gt;May&lt;/date&gt;&lt;/pub-dates&gt;&lt;/dates&gt;&lt;work-type&gt;Review&lt;/work-type&gt;&lt;urls&gt;&lt;related-urls&gt;&lt;url&gt;http://ovidsp.ovid.com/ovidweb.cgi?T=JS&amp;amp;CSC=Y&amp;amp;NEWS=N&amp;amp;PAGE=fulltext&amp;amp;D=emed11&amp;amp;AN=2014300699&lt;/url&gt;&lt;url&gt;http://sfx.ucl.ac.uk/sfx_local?sid=OVID:embase&amp;amp;id=pmid:&amp;amp;id=doi:10.1016%2Fj.tim.2014.02.011&amp;amp;issn=0966-842X&amp;amp;isbn=&amp;amp;volume=22&amp;amp;issue=5&amp;amp;spage=282&amp;amp;pages=282-291&amp;amp;date=2014&amp;amp;title=Trends+in+Microbiology&amp;amp;atitle=Supersize+me%3A+How+whole-genome+sequencing+and+big+data+are+transforming+epidemiology&amp;amp;aulast=Kao&lt;/url&gt;&lt;/related-urls&gt;&lt;/urls&gt;&lt;remote-database-name&gt;Embase&lt;/remote-database-name&gt;&lt;remote-database-provider&gt;Ovid Technologies&lt;/remote-database-provider&gt;&lt;/record&gt;&lt;/Cite&gt;&lt;/EndNote&gt;</w:instrText>
              </w:r>
              <w:r w:rsidRPr="00DE479E">
                <w:rPr>
                  <w:rFonts w:ascii="Times New Roman" w:eastAsia="Times New Roman" w:hAnsi="Times New Roman" w:cs="Times New Roman"/>
                  <w:sz w:val="20"/>
                  <w:szCs w:val="16"/>
                  <w:lang w:eastAsia="en-GB"/>
                </w:rPr>
                <w:fldChar w:fldCharType="separate"/>
              </w:r>
              <w:r w:rsidRPr="00DE479E">
                <w:rPr>
                  <w:rFonts w:ascii="Times New Roman" w:eastAsia="Times New Roman" w:hAnsi="Times New Roman" w:cs="Times New Roman"/>
                  <w:noProof/>
                  <w:sz w:val="20"/>
                  <w:szCs w:val="16"/>
                  <w:vertAlign w:val="superscript"/>
                  <w:lang w:eastAsia="en-GB"/>
                </w:rPr>
                <w:t>3</w:t>
              </w:r>
              <w:r w:rsidRPr="00DE479E">
                <w:rPr>
                  <w:rFonts w:ascii="Times New Roman" w:eastAsia="Times New Roman" w:hAnsi="Times New Roman" w:cs="Times New Roman"/>
                  <w:sz w:val="20"/>
                  <w:szCs w:val="16"/>
                  <w:lang w:eastAsia="en-GB"/>
                </w:rPr>
                <w:fldChar w:fldCharType="end"/>
              </w:r>
            </w:hyperlink>
            <w:r w:rsidRPr="00DE479E">
              <w:rPr>
                <w:rFonts w:ascii="Times New Roman" w:eastAsia="Times New Roman" w:hAnsi="Times New Roman" w:cs="Times New Roman"/>
                <w:color w:val="000000"/>
                <w:sz w:val="20"/>
                <w:szCs w:val="16"/>
                <w:lang w:eastAsia="en-GB"/>
              </w:rPr>
              <w:t xml:space="preserve"> resulting in polymorphisms </w:t>
            </w:r>
          </w:p>
        </w:tc>
      </w:tr>
    </w:tbl>
    <w:p w:rsidR="00DE479E" w:rsidRPr="00DE479E" w:rsidRDefault="00DE479E" w:rsidP="00DE479E">
      <w:pPr>
        <w:pStyle w:val="NoSpacing"/>
        <w:rPr>
          <w:noProof/>
          <w:sz w:val="28"/>
          <w:lang w:eastAsia="en-GB"/>
        </w:rPr>
      </w:pPr>
    </w:p>
    <w:p w:rsidR="00DA3FB4" w:rsidRDefault="00DA3FB4">
      <w:bookmarkStart w:id="1" w:name="_GoBack"/>
      <w:bookmarkEnd w:id="1"/>
    </w:p>
    <w:sectPr w:rsidR="00DA3FB4" w:rsidSect="00DE479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9E"/>
    <w:rsid w:val="00DA3FB4"/>
    <w:rsid w:val="00DE4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7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479E"/>
    <w:pPr>
      <w:spacing w:after="0" w:line="240" w:lineRule="auto"/>
    </w:pPr>
  </w:style>
  <w:style w:type="character" w:customStyle="1" w:styleId="apple-converted-space">
    <w:name w:val="apple-converted-space"/>
    <w:basedOn w:val="DefaultParagraphFont"/>
    <w:rsid w:val="00DE47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7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479E"/>
    <w:pPr>
      <w:spacing w:after="0" w:line="240" w:lineRule="auto"/>
    </w:pPr>
  </w:style>
  <w:style w:type="character" w:customStyle="1" w:styleId="apple-converted-space">
    <w:name w:val="apple-converted-space"/>
    <w:basedOn w:val="DefaultParagraphFont"/>
    <w:rsid w:val="00DE4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52DEB55A.dotm</Template>
  <TotalTime>1</TotalTime>
  <Pages>1</Pages>
  <Words>818</Words>
  <Characters>4663</Characters>
  <Application>Microsoft Office Word</Application>
  <DocSecurity>0</DocSecurity>
  <Lines>38</Lines>
  <Paragraphs>10</Paragraphs>
  <ScaleCrop>false</ScaleCrop>
  <Company>UCL</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Hollie-Ann Hatherell</dc:creator>
  <cp:lastModifiedBy>Hollie-Ann Hatherell</cp:lastModifiedBy>
  <cp:revision>1</cp:revision>
  <dcterms:created xsi:type="dcterms:W3CDTF">2015-11-27T14:35:00Z</dcterms:created>
  <dcterms:modified xsi:type="dcterms:W3CDTF">2015-11-27T14:36:00Z</dcterms:modified>
</cp:coreProperties>
</file>