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ACFA15" w14:textId="470606E8" w:rsidR="00914A52" w:rsidRDefault="0027650C" w:rsidP="0087494D">
      <w:pPr>
        <w:pStyle w:val="Title"/>
      </w:pPr>
      <w:r w:rsidRPr="001F7E51">
        <w:rPr>
          <w:rFonts w:eastAsia="Times New Roman"/>
        </w:rPr>
        <w:t>Supplement</w:t>
      </w:r>
      <w:r w:rsidR="00914A52">
        <w:rPr>
          <w:rFonts w:eastAsia="Times New Roman"/>
        </w:rPr>
        <w:t xml:space="preserve">: </w:t>
      </w:r>
      <w:r w:rsidR="00914A52">
        <w:t>Analysis of vaccination campaign effectiveness and population immunity to support and sustain polio elimination in Nigeria</w:t>
      </w:r>
    </w:p>
    <w:p w14:paraId="2D02E04E" w14:textId="77777777" w:rsidR="00914A52" w:rsidRDefault="00914A52" w:rsidP="00914A52"/>
    <w:p w14:paraId="0FDE4FED" w14:textId="0B05545D" w:rsidR="00914A52" w:rsidRPr="0087494D" w:rsidRDefault="00914A52" w:rsidP="0087494D">
      <w:r>
        <w:t>Alex</w:t>
      </w:r>
      <w:r w:rsidR="00063A4B">
        <w:t>ander</w:t>
      </w:r>
      <w:r w:rsidR="00A97DC8">
        <w:t xml:space="preserve"> </w:t>
      </w:r>
      <w:r>
        <w:t>M</w:t>
      </w:r>
      <w:r w:rsidR="00A97DC8">
        <w:t xml:space="preserve"> </w:t>
      </w:r>
      <w:proofErr w:type="spellStart"/>
      <w:r>
        <w:t>Upfill</w:t>
      </w:r>
      <w:proofErr w:type="spellEnd"/>
      <w:r>
        <w:t>-Brown,</w:t>
      </w:r>
      <w:r w:rsidR="00A97DC8">
        <w:t xml:space="preserve"> </w:t>
      </w:r>
      <w:r>
        <w:t>Ar</w:t>
      </w:r>
      <w:bookmarkStart w:id="0" w:name="_GoBack"/>
      <w:bookmarkEnd w:id="0"/>
      <w:r>
        <w:t xml:space="preserve">end </w:t>
      </w:r>
      <w:proofErr w:type="spellStart"/>
      <w:r>
        <w:t>Voorman</w:t>
      </w:r>
      <w:proofErr w:type="spellEnd"/>
      <w:r>
        <w:t xml:space="preserve">, Guillaume Chabot-Couture, </w:t>
      </w:r>
      <w:r w:rsidR="00C93CCE">
        <w:rPr>
          <w:rStyle w:val="author"/>
          <w:lang w:val="en"/>
        </w:rPr>
        <w:t xml:space="preserve">Faisal </w:t>
      </w:r>
      <w:proofErr w:type="spellStart"/>
      <w:r w:rsidR="00C93CCE">
        <w:rPr>
          <w:rStyle w:val="author"/>
          <w:lang w:val="en"/>
        </w:rPr>
        <w:t>Shuaib</w:t>
      </w:r>
      <w:proofErr w:type="spellEnd"/>
      <w:r w:rsidR="00C93CCE">
        <w:t xml:space="preserve">, </w:t>
      </w:r>
      <w:proofErr w:type="spellStart"/>
      <w:r>
        <w:t>Hil</w:t>
      </w:r>
      <w:proofErr w:type="spellEnd"/>
      <w:r>
        <w:t xml:space="preserve"> M Lyons</w:t>
      </w:r>
    </w:p>
    <w:p w14:paraId="0DCBF35A" w14:textId="77777777" w:rsidR="0027650C" w:rsidRPr="001F7E51" w:rsidRDefault="0027650C" w:rsidP="0087494D">
      <w:pPr>
        <w:pStyle w:val="Heading1"/>
        <w:rPr>
          <w:rFonts w:eastAsia="Times New Roman"/>
        </w:rPr>
      </w:pPr>
      <w:r w:rsidRPr="001F7E51">
        <w:rPr>
          <w:rFonts w:eastAsia="Times New Roman"/>
        </w:rPr>
        <w:t>Methods</w:t>
      </w:r>
    </w:p>
    <w:p w14:paraId="644387A7" w14:textId="321B072E" w:rsidR="0027650C" w:rsidRPr="001F7E51" w:rsidRDefault="00914A52" w:rsidP="0087494D">
      <w:pPr>
        <w:pStyle w:val="Heading2"/>
        <w:rPr>
          <w:rFonts w:eastAsia="Times New Roman"/>
        </w:rPr>
      </w:pPr>
      <w:r>
        <w:rPr>
          <w:rFonts w:eastAsia="Times New Roman"/>
        </w:rPr>
        <w:t>Model</w:t>
      </w:r>
      <w:r w:rsidR="0027650C" w:rsidRPr="001F7E51">
        <w:rPr>
          <w:rFonts w:eastAsia="Times New Roman"/>
        </w:rPr>
        <w:t xml:space="preserve"> for campaign effectiveness</w:t>
      </w:r>
    </w:p>
    <w:p w14:paraId="0DB80835" w14:textId="77777777" w:rsidR="0027650C" w:rsidRPr="001F7E51" w:rsidRDefault="0027650C" w:rsidP="0027650C">
      <w:pPr>
        <w:rPr>
          <w:rFonts w:ascii="Calibri" w:eastAsia="Calibri" w:hAnsi="Calibri" w:cs="Times New Roman"/>
        </w:rPr>
      </w:pPr>
      <w:r w:rsidRPr="001F7E51">
        <w:rPr>
          <w:rFonts w:ascii="Calibri" w:eastAsia="Calibri" w:hAnsi="Calibri" w:cs="Times New Roman"/>
        </w:rPr>
        <w:t xml:space="preserve">Campaign effectiveness is the coverage as estimated by NPAFP data and the campaign history.  We have modeled coverage, a value constrained between 0 and 1, on the convenient logit scale. </w:t>
      </w:r>
    </w:p>
    <w:p w14:paraId="681F9A5D"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We specify a flexible hierarchical model of campaign effectiveness to account for temporal patterns and between-LGA differences.  The model is fit separately for each state, and for </w:t>
      </w:r>
      <w:r>
        <w:rPr>
          <w:rFonts w:ascii="Calibri" w:eastAsia="Times New Roman" w:hAnsi="Calibri" w:cs="Times New Roman"/>
        </w:rPr>
        <w:t xml:space="preserve">notational </w:t>
      </w:r>
      <w:r w:rsidRPr="001F7E51">
        <w:rPr>
          <w:rFonts w:ascii="Calibri" w:eastAsia="Times New Roman" w:hAnsi="Calibri" w:cs="Times New Roman"/>
        </w:rPr>
        <w:t xml:space="preserve">convenience we describe the model as it applies to a single state. Let </w:t>
      </w:r>
      <m:oMath>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jta</m:t>
            </m:r>
          </m:sub>
        </m:sSub>
        <m:r>
          <w:rPr>
            <w:rFonts w:ascii="Cambria Math" w:eastAsia="Times New Roman" w:hAnsi="Cambria Math" w:cs="Times New Roman"/>
          </w:rPr>
          <m:t xml:space="preserve"> </m:t>
        </m:r>
      </m:oMath>
      <w:r w:rsidRPr="001F7E51">
        <w:rPr>
          <w:rFonts w:ascii="Calibri" w:eastAsia="Times New Roman" w:hAnsi="Calibri" w:cs="Times New Roman"/>
        </w:rPr>
        <w:t>be the campaign effecti</w:t>
      </w:r>
      <w:proofErr w:type="spellStart"/>
      <w:r w:rsidRPr="001F7E51">
        <w:rPr>
          <w:rFonts w:ascii="Calibri" w:eastAsia="Times New Roman" w:hAnsi="Calibri" w:cs="Times New Roman"/>
        </w:rPr>
        <w:t>veness</w:t>
      </w:r>
      <w:proofErr w:type="spellEnd"/>
      <w:r w:rsidRPr="001F7E51">
        <w:rPr>
          <w:rFonts w:ascii="Calibri" w:eastAsia="Times New Roman" w:hAnsi="Calibri" w:cs="Times New Roman"/>
        </w:rPr>
        <w:t xml:space="preserve"> for </w:t>
      </w:r>
      <w:proofErr w:type="gramStart"/>
      <w:r w:rsidRPr="001F7E51">
        <w:rPr>
          <w:rFonts w:ascii="Calibri" w:eastAsia="Times New Roman" w:hAnsi="Calibri" w:cs="Times New Roman"/>
        </w:rPr>
        <w:t xml:space="preserve">LGA </w:t>
      </w:r>
      <w:proofErr w:type="gramEnd"/>
      <m:oMath>
        <m:r>
          <w:rPr>
            <w:rFonts w:ascii="Cambria Math" w:eastAsia="Times New Roman" w:hAnsi="Cambria Math" w:cs="Times New Roman"/>
          </w:rPr>
          <m:t>j</m:t>
        </m:r>
      </m:oMath>
      <w:r w:rsidRPr="001F7E51">
        <w:rPr>
          <w:rFonts w:ascii="Calibri" w:eastAsia="Times New Roman" w:hAnsi="Calibri" w:cs="Times New Roman"/>
        </w:rPr>
        <w:t xml:space="preserve">, year </w:t>
      </w:r>
      <m:oMath>
        <m:r>
          <w:rPr>
            <w:rFonts w:ascii="Cambria Math" w:eastAsia="Times New Roman" w:hAnsi="Cambria Math" w:cs="Times New Roman"/>
          </w:rPr>
          <m:t>t</m:t>
        </m:r>
      </m:oMath>
      <w:r w:rsidRPr="001F7E51">
        <w:rPr>
          <w:rFonts w:ascii="Calibri" w:eastAsia="Times New Roman" w:hAnsi="Calibri" w:cs="Times New Roman"/>
        </w:rPr>
        <w:t xml:space="preserve">, and age stratum </w:t>
      </w:r>
      <m:oMath>
        <m:r>
          <w:rPr>
            <w:rFonts w:ascii="Cambria Math" w:eastAsia="Times New Roman" w:hAnsi="Cambria Math" w:cs="Times New Roman"/>
          </w:rPr>
          <m:t>a</m:t>
        </m:r>
      </m:oMath>
      <w:r w:rsidRPr="001F7E51">
        <w:rPr>
          <w:rFonts w:ascii="Calibri" w:eastAsia="Times New Roman" w:hAnsi="Calibri" w:cs="Times New Roman"/>
        </w:rPr>
        <w:t xml:space="preserve">.  Campaign effectiveness is assumed to be constant for each year of the campaign.  We model  </w:t>
      </w:r>
      <m:oMath>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jta</m:t>
            </m:r>
          </m:sub>
        </m:sSub>
      </m:oMath>
      <w:r w:rsidRPr="001F7E51">
        <w:rPr>
          <w:rFonts w:ascii="Calibri" w:eastAsia="Times New Roman" w:hAnsi="Calibri" w:cs="Times New Roman"/>
        </w:rPr>
        <w:t xml:space="preserve"> with</w:t>
      </w:r>
    </w:p>
    <w:p w14:paraId="1F71DC12" w14:textId="77777777" w:rsidR="0027650C" w:rsidRPr="001F7E51" w:rsidRDefault="0027650C" w:rsidP="0027650C">
      <w:pPr>
        <w:rPr>
          <w:rFonts w:ascii="Calibri" w:eastAsia="Times New Roman" w:hAnsi="Calibri" w:cs="Times New Roman"/>
        </w:rPr>
      </w:pPr>
      <m:oMathPara>
        <m:oMath>
          <m:r>
            <m:rPr>
              <m:sty m:val="p"/>
            </m:rPr>
            <w:rPr>
              <w:rFonts w:ascii="Cambria Math" w:eastAsia="Times New Roman" w:hAnsi="Cambria Math" w:cs="Times New Roman"/>
            </w:rPr>
            <m:t>logit</m:t>
          </m:r>
          <m:d>
            <m:dPr>
              <m:ctrlPr>
                <w:rPr>
                  <w:rFonts w:ascii="Cambria Math" w:eastAsia="Times New Roman" w:hAnsi="Cambria Math" w:cs="Times New Roman"/>
                </w:rPr>
              </m:ctrlPr>
            </m:dPr>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jta</m:t>
                  </m:r>
                </m:sub>
              </m:sSub>
              <m:ctrlPr>
                <w:rPr>
                  <w:rFonts w:ascii="Cambria Math" w:eastAsia="Times New Roman" w:hAnsi="Cambria Math" w:cs="Times New Roman"/>
                  <w:i/>
                </w:rPr>
              </m:ctrlPr>
            </m:e>
          </m:d>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a</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b</m:t>
              </m:r>
            </m:e>
            <m:sub>
              <m:r>
                <w:rPr>
                  <w:rFonts w:ascii="Cambria Math" w:eastAsia="Times New Roman" w:hAnsi="Cambria Math" w:cs="Times New Roman"/>
                </w:rPr>
                <m:t>j</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t</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jt</m:t>
              </m:r>
            </m:sub>
          </m:sSub>
          <m:r>
            <w:rPr>
              <w:rFonts w:ascii="Cambria Math" w:eastAsia="Times New Roman" w:hAnsi="Cambria Math" w:cs="Times New Roman"/>
            </w:rPr>
            <m:t>,</m:t>
          </m:r>
        </m:oMath>
      </m:oMathPara>
    </w:p>
    <w:p w14:paraId="6E1462CC" w14:textId="55DD3D1D" w:rsidR="0027650C" w:rsidRPr="00075A36" w:rsidRDefault="0027650C" w:rsidP="0027650C">
      <w:pPr>
        <w:rPr>
          <w:rFonts w:ascii="Calibri" w:eastAsia="Times New Roman" w:hAnsi="Calibri" w:cs="Times New Roman"/>
        </w:rPr>
      </w:pPr>
      <w:proofErr w:type="gramStart"/>
      <w:r w:rsidRPr="001F7E51">
        <w:rPr>
          <w:rFonts w:ascii="Calibri" w:eastAsia="Times New Roman" w:hAnsi="Calibri" w:cs="Times New Roman"/>
        </w:rPr>
        <w:t>where</w:t>
      </w:r>
      <w:proofErr w:type="gramEnd"/>
      <w:r w:rsidRPr="001F7E51">
        <w:rPr>
          <w:rFonts w:ascii="Calibri" w:eastAsia="Times New Roman" w:hAnsi="Calibri"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a</m:t>
            </m:r>
          </m:sub>
        </m:sSub>
      </m:oMath>
      <w:r w:rsidRPr="001F7E51">
        <w:rPr>
          <w:rFonts w:ascii="Calibri" w:eastAsia="Times New Roman" w:hAnsi="Calibri" w:cs="Times New Roman"/>
        </w:rPr>
        <w:t xml:space="preserve"> is a fixed effect by age stratum, </w:t>
      </w:r>
      <m:oMath>
        <m:sSub>
          <m:sSubPr>
            <m:ctrlPr>
              <w:rPr>
                <w:rFonts w:ascii="Cambria Math" w:eastAsia="Times New Roman" w:hAnsi="Cambria Math" w:cs="Times New Roman"/>
                <w:i/>
              </w:rPr>
            </m:ctrlPr>
          </m:sSubPr>
          <m:e>
            <m:r>
              <w:rPr>
                <w:rFonts w:ascii="Cambria Math" w:eastAsia="Times New Roman" w:hAnsi="Cambria Math" w:cs="Times New Roman"/>
              </w:rPr>
              <m:t>b</m:t>
            </m:r>
          </m:e>
          <m:sub>
            <m:r>
              <w:rPr>
                <w:rFonts w:ascii="Cambria Math" w:eastAsia="Times New Roman" w:hAnsi="Cambria Math" w:cs="Times New Roman"/>
              </w:rPr>
              <m:t>j</m:t>
            </m:r>
          </m:sub>
        </m:sSub>
        <m:r>
          <w:rPr>
            <w:rFonts w:ascii="Cambria Math" w:eastAsia="Times New Roman" w:hAnsi="Cambria Math" w:cs="Times New Roman"/>
          </w:rPr>
          <m:t>∼N</m:t>
        </m:r>
        <m:d>
          <m:dPr>
            <m:ctrlPr>
              <w:rPr>
                <w:rFonts w:ascii="Cambria Math" w:eastAsia="Times New Roman" w:hAnsi="Cambria Math" w:cs="Times New Roman"/>
                <w:i/>
              </w:rPr>
            </m:ctrlPr>
          </m:dPr>
          <m:e>
            <m:r>
              <w:rPr>
                <w:rFonts w:ascii="Cambria Math" w:eastAsia="Times New Roman" w:hAnsi="Cambria Math" w:cs="Times New Roman"/>
              </w:rPr>
              <m:t>0,</m:t>
            </m:r>
            <m:sSup>
              <m:sSupPr>
                <m:ctrlPr>
                  <w:rPr>
                    <w:rFonts w:ascii="Cambria Math" w:eastAsia="Times New Roman" w:hAnsi="Cambria Math" w:cs="Times New Roman"/>
                    <w:i/>
                  </w:rPr>
                </m:ctrlPr>
              </m:sSupPr>
              <m:e>
                <m:r>
                  <w:rPr>
                    <w:rFonts w:ascii="Cambria Math" w:eastAsia="Times New Roman" w:hAnsi="Cambria Math" w:cs="Times New Roman"/>
                  </w:rPr>
                  <m:t>σ</m:t>
                </m:r>
              </m:e>
              <m:sup>
                <m:r>
                  <w:rPr>
                    <w:rFonts w:ascii="Cambria Math" w:eastAsia="Times New Roman" w:hAnsi="Cambria Math" w:cs="Times New Roman"/>
                  </w:rPr>
                  <m:t>2</m:t>
                </m:r>
              </m:sup>
            </m:sSup>
          </m:e>
        </m:d>
      </m:oMath>
      <w:r w:rsidRPr="001F7E51">
        <w:rPr>
          <w:rFonts w:ascii="Calibri" w:eastAsia="Times New Roman" w:hAnsi="Calibri" w:cs="Times New Roman"/>
        </w:rPr>
        <w:t xml:space="preserve"> is a ra</w:t>
      </w:r>
      <w:proofErr w:type="spellStart"/>
      <w:r w:rsidRPr="001F7E51">
        <w:rPr>
          <w:rFonts w:ascii="Calibri" w:eastAsia="Times New Roman" w:hAnsi="Calibri" w:cs="Times New Roman"/>
        </w:rPr>
        <w:t>ndom</w:t>
      </w:r>
      <w:proofErr w:type="spellEnd"/>
      <w:r w:rsidRPr="001F7E51">
        <w:rPr>
          <w:rFonts w:ascii="Calibri" w:eastAsia="Times New Roman" w:hAnsi="Calibri" w:cs="Times New Roman"/>
        </w:rPr>
        <w:t xml:space="preserve"> effect for LGA and </w:t>
      </w:r>
      <m:oMath>
        <m:sSup>
          <m:sSupPr>
            <m:ctrlPr>
              <w:rPr>
                <w:rFonts w:ascii="Cambria Math" w:eastAsia="Times New Roman" w:hAnsi="Cambria Math" w:cs="Times New Roman"/>
                <w:i/>
              </w:rPr>
            </m:ctrlPr>
          </m:sSupPr>
          <m:e>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T</m:t>
                    </m:r>
                  </m:sub>
                </m:sSub>
              </m:e>
            </m:d>
          </m:e>
          <m:sup>
            <m:r>
              <w:rPr>
                <w:rFonts w:ascii="Cambria Math" w:eastAsia="Times New Roman" w:hAnsi="Cambria Math" w:cs="Times New Roman"/>
              </w:rPr>
              <m:t>T</m:t>
            </m:r>
          </m:sup>
        </m:s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N</m:t>
            </m:r>
          </m:e>
          <m:sub>
            <m:r>
              <w:rPr>
                <w:rFonts w:ascii="Cambria Math" w:eastAsia="Times New Roman" w:hAnsi="Cambria Math" w:cs="Times New Roman"/>
              </w:rPr>
              <m:t>T</m:t>
            </m:r>
          </m:sub>
        </m:sSub>
        <m:d>
          <m:dPr>
            <m:ctrlPr>
              <w:rPr>
                <w:rFonts w:ascii="Cambria Math" w:eastAsia="Times New Roman" w:hAnsi="Cambria Math" w:cs="Times New Roman"/>
                <w:i/>
              </w:rPr>
            </m:ctrlPr>
          </m:dPr>
          <m:e>
            <m:r>
              <m:rPr>
                <m:sty m:val="bi"/>
              </m:rPr>
              <w:rPr>
                <w:rFonts w:ascii="Cambria Math" w:eastAsia="Times New Roman" w:hAnsi="Cambria Math" w:cs="Times New Roman"/>
              </w:rPr>
              <m:t>0</m:t>
            </m:r>
            <m:r>
              <w:rPr>
                <w:rFonts w:ascii="Cambria Math" w:eastAsia="Times New Roman" w:hAnsi="Cambria Math" w:cs="Times New Roman"/>
              </w:rPr>
              <m:t>,</m:t>
            </m:r>
            <m:r>
              <m:rPr>
                <m:sty m:val="b"/>
              </m:rPr>
              <w:rPr>
                <w:rFonts w:ascii="Cambria Math" w:eastAsia="Times New Roman" w:hAnsi="Cambria Math" w:cs="Times New Roman"/>
              </w:rPr>
              <m:t>Σ</m:t>
            </m:r>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u</m:t>
                    </m:r>
                  </m:sub>
                  <m:sup>
                    <m:r>
                      <w:rPr>
                        <w:rFonts w:ascii="Cambria Math" w:eastAsia="Times New Roman" w:hAnsi="Cambria Math" w:cs="Times New Roman"/>
                      </w:rPr>
                      <m:t>2</m:t>
                    </m:r>
                  </m:sup>
                </m:sSubSup>
              </m:e>
            </m:d>
          </m:e>
        </m:d>
      </m:oMath>
      <w:r w:rsidRPr="001F7E51">
        <w:rPr>
          <w:rFonts w:ascii="Calibri" w:eastAsia="Times New Roman" w:hAnsi="Calibri" w:cs="Times New Roman"/>
        </w:rPr>
        <w:t xml:space="preserve"> and  </w:t>
      </w:r>
      <m:oMath>
        <m:sSup>
          <m:sSupPr>
            <m:ctrlPr>
              <w:rPr>
                <w:rFonts w:ascii="Cambria Math" w:eastAsia="Times New Roman" w:hAnsi="Cambria Math" w:cs="Times New Roman"/>
                <w:i/>
              </w:rPr>
            </m:ctrlPr>
          </m:sSupPr>
          <m:e>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j1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jT</m:t>
                    </m:r>
                  </m:sub>
                </m:sSub>
              </m:e>
            </m:d>
          </m:e>
          <m:sup>
            <m:r>
              <w:rPr>
                <w:rFonts w:ascii="Cambria Math" w:eastAsia="Times New Roman" w:hAnsi="Cambria Math" w:cs="Times New Roman"/>
              </w:rPr>
              <m:t>T</m:t>
            </m:r>
          </m:sup>
        </m:s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N</m:t>
            </m:r>
          </m:e>
          <m:sub>
            <m:r>
              <w:rPr>
                <w:rFonts w:ascii="Cambria Math" w:eastAsia="Times New Roman" w:hAnsi="Cambria Math" w:cs="Times New Roman"/>
              </w:rPr>
              <m:t>T</m:t>
            </m:r>
          </m:sub>
        </m:sSub>
        <m:d>
          <m:dPr>
            <m:ctrlPr>
              <w:rPr>
                <w:rFonts w:ascii="Cambria Math" w:eastAsia="Times New Roman" w:hAnsi="Cambria Math" w:cs="Times New Roman"/>
                <w:i/>
              </w:rPr>
            </m:ctrlPr>
          </m:dPr>
          <m:e>
            <m:r>
              <m:rPr>
                <m:sty m:val="bi"/>
              </m:rPr>
              <w:rPr>
                <w:rFonts w:ascii="Cambria Math" w:eastAsia="Times New Roman" w:hAnsi="Cambria Math" w:cs="Times New Roman"/>
              </w:rPr>
              <m:t>0</m:t>
            </m:r>
            <m:r>
              <w:rPr>
                <w:rFonts w:ascii="Cambria Math" w:eastAsia="Times New Roman" w:hAnsi="Cambria Math" w:cs="Times New Roman"/>
              </w:rPr>
              <m:t>,</m:t>
            </m:r>
            <m:r>
              <m:rPr>
                <m:sty m:val="b"/>
              </m:rPr>
              <w:rPr>
                <w:rFonts w:ascii="Cambria Math" w:eastAsia="Times New Roman" w:hAnsi="Cambria Math" w:cs="Times New Roman"/>
              </w:rPr>
              <m:t>Σ</m:t>
            </m:r>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v</m:t>
                    </m:r>
                  </m:sub>
                  <m:sup>
                    <m:r>
                      <w:rPr>
                        <w:rFonts w:ascii="Cambria Math" w:eastAsia="Times New Roman" w:hAnsi="Cambria Math" w:cs="Times New Roman"/>
                      </w:rPr>
                      <m:t>2</m:t>
                    </m:r>
                  </m:sup>
                </m:sSubSup>
              </m:e>
            </m:d>
          </m:e>
        </m:d>
      </m:oMath>
      <w:r w:rsidRPr="001F7E51">
        <w:rPr>
          <w:rFonts w:ascii="Calibri" w:eastAsia="Times New Roman" w:hAnsi="Calibri" w:cs="Times New Roman"/>
        </w:rPr>
        <w:t xml:space="preserve"> are first order normal random walks  for LGA and state</w:t>
      </w:r>
      <w:r w:rsidR="00075A36">
        <w:rPr>
          <w:rFonts w:ascii="Calibri" w:eastAsia="Times New Roman" w:hAnsi="Calibri" w:cs="Times New Roman"/>
        </w:rPr>
        <w:t>.</w:t>
      </w:r>
    </w:p>
    <w:p w14:paraId="1F1F1829" w14:textId="77777777" w:rsidR="0027650C" w:rsidRPr="001F7E51" w:rsidRDefault="0027650C" w:rsidP="0087494D">
      <w:pPr>
        <w:pStyle w:val="Heading2"/>
        <w:rPr>
          <w:rFonts w:eastAsia="Times New Roman"/>
        </w:rPr>
      </w:pPr>
      <w:r w:rsidRPr="001F7E51">
        <w:rPr>
          <w:rFonts w:eastAsia="Times New Roman"/>
        </w:rPr>
        <w:t>Error modeling and heterogeneity</w:t>
      </w:r>
    </w:p>
    <w:p w14:paraId="06EE8DAD" w14:textId="7FCAB88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When doses are observed without error, conditional on a sequence of campaign coverage </w:t>
      </w:r>
      <m:oMath>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k</m:t>
            </m:r>
          </m:sub>
        </m:sSub>
      </m:oMath>
      <w:r w:rsidRPr="001F7E51">
        <w:rPr>
          <w:rFonts w:ascii="Calibri" w:eastAsia="Times New Roman" w:hAnsi="Calibri" w:cs="Times New Roman"/>
        </w:rPr>
        <w:t>with independent participation, the distribution of doses follows a Poisson-Binomial distribution</w:t>
      </w:r>
      <w:r w:rsidR="008D4FD4">
        <w:rPr>
          <w:rFonts w:ascii="Calibri" w:eastAsia="Times New Roman" w:hAnsi="Calibri" w:cs="Times New Roman"/>
        </w:rPr>
        <w:fldChar w:fldCharType="begin" w:fldLock="1"/>
      </w:r>
      <w:r w:rsidR="00914A52">
        <w:rPr>
          <w:rFonts w:ascii="Calibri" w:eastAsia="Times New Roman" w:hAnsi="Calibri" w:cs="Times New Roman"/>
        </w:rPr>
        <w:instrText>ADDIN CSL_CITATION { "citationItems" : [ { "id" : "ITEM-1", "itemData" : { "DOI" : "10.1016/j.csda.2012.10.006", "ISSN" : "01679473", "abstract" : "The Poisson binomial distribution is the distribution of the sum of independent and non-identically distributed random indicators. Each indicator follows a Bernoulli distribution and the individual probabilities of success vary. When all success probabilities are equal, the Poisson binomial distribution is a binomial distribution. The Poisson binomial distribution has many applications in different areas such as reliability, actuarial science, survey sampling, econometrics, etc. The computing of the cumulative distribution function (cdf) of the Poisson binomial distribution, however, is not straightforward. Approximation methods such as the Poisson approximation and normal approximations have been used in literature. Recursive formulae also have been used to compute the cdf in some areas. In this paper, we present a simple derivation for an exact formula with a closed-form expression for the cdf of the Poisson binomial distribution. The derivation uses the discrete Fourier transform of the characteristic function of the distribution. We develop an algorithm that efficiently implements the exact formula. Numerical studies were conducted to study the accuracy of the developed algorithm and approximation methods. We also studied the computational efficiency of different methods. The paper is concluded with a discussion on the use of different methods in practice and some suggestions for practitioners. ?? 2012 Elsevier B.V. All rights reserved.", "author" : [ { "dropping-particle" : "", "family" : "Hong", "given" : "Yili", "non-dropping-particle" : "", "parse-names" : false, "suffix" : "" } ], "container-title" : "Computational Statistics &amp; Data Analysis", "id" : "ITEM-1", "issue" : "1", "issued" : { "date-parts" : [ [ "2013" ] ] }, "page" : "41-51", "title" : "On computing the distribution function for the Poisson binomial distribution", "type" : "article-journal", "volume" : "59" }, "uris" : [ "http://www.mendeley.com/documents/?uuid=32f87e39-4c8f-434c-b7d6-57ff635dbc7b" ] } ], "mendeley" : { "formattedCitation" : "[1]", "plainTextFormattedCitation" : "[1]", "previouslyFormattedCitation" : "[1]" }, "properties" : { "noteIndex" : 0 }, "schema" : "https://github.com/citation-style-language/schema/raw/master/csl-citation.json" }</w:instrText>
      </w:r>
      <w:r w:rsidR="008D4FD4">
        <w:rPr>
          <w:rFonts w:ascii="Calibri" w:eastAsia="Times New Roman" w:hAnsi="Calibri" w:cs="Times New Roman"/>
        </w:rPr>
        <w:fldChar w:fldCharType="separate"/>
      </w:r>
      <w:r w:rsidR="008D4FD4" w:rsidRPr="008D4FD4">
        <w:rPr>
          <w:rFonts w:ascii="Calibri" w:eastAsia="Times New Roman" w:hAnsi="Calibri" w:cs="Times New Roman"/>
          <w:noProof/>
        </w:rPr>
        <w:t>[1]</w:t>
      </w:r>
      <w:r w:rsidR="008D4FD4">
        <w:rPr>
          <w:rFonts w:ascii="Calibri" w:eastAsia="Times New Roman" w:hAnsi="Calibri" w:cs="Times New Roman"/>
        </w:rPr>
        <w:fldChar w:fldCharType="end"/>
      </w:r>
      <w:r w:rsidRPr="001F7E51">
        <w:rPr>
          <w:rFonts w:ascii="Calibri" w:eastAsia="Times New Roman" w:hAnsi="Calibri" w:cs="Times New Roman"/>
        </w:rPr>
        <w:t xml:space="preserve">.  The mean and variance of the number of doses </w:t>
      </w:r>
      <m:oMath>
        <m:r>
          <w:rPr>
            <w:rFonts w:ascii="Cambria Math" w:eastAsia="Times New Roman" w:hAnsi="Cambria Math" w:cs="Times New Roman"/>
          </w:rPr>
          <m:t>y</m:t>
        </m:r>
      </m:oMath>
      <w:r w:rsidRPr="001F7E51">
        <w:rPr>
          <w:rFonts w:ascii="Calibri" w:eastAsia="Times New Roman" w:hAnsi="Calibri" w:cs="Times New Roman"/>
        </w:rPr>
        <w:t xml:space="preserve"> are</w:t>
      </w:r>
    </w:p>
    <w:p w14:paraId="08BDE2D8" w14:textId="77777777" w:rsidR="0027650C" w:rsidRPr="001F7E51" w:rsidRDefault="0027650C" w:rsidP="0027650C">
      <w:pPr>
        <w:rPr>
          <w:rFonts w:ascii="Calibri" w:eastAsia="Times New Roman" w:hAnsi="Calibri" w:cs="Times New Roman"/>
        </w:rPr>
      </w:pPr>
      <m:oMathPara>
        <m:oMath>
          <m:r>
            <w:rPr>
              <w:rFonts w:ascii="Cambria Math" w:eastAsia="Times New Roman" w:hAnsi="Cambria Math" w:cs="Times New Roman"/>
            </w:rPr>
            <m:t>E</m:t>
          </m:r>
          <m:d>
            <m:dPr>
              <m:ctrlPr>
                <w:rPr>
                  <w:rFonts w:ascii="Cambria Math" w:eastAsia="Times New Roman" w:hAnsi="Cambria Math" w:cs="Times New Roman"/>
                  <w:i/>
                </w:rPr>
              </m:ctrlPr>
            </m:dPr>
            <m:e>
              <m:r>
                <w:rPr>
                  <w:rFonts w:ascii="Cambria Math" w:eastAsia="Times New Roman" w:hAnsi="Cambria Math" w:cs="Times New Roman"/>
                </w:rPr>
                <m:t>y</m:t>
              </m:r>
            </m:e>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k</m:t>
                  </m:r>
                </m:sub>
              </m:sSub>
            </m:e>
          </m:d>
          <m:r>
            <w:rPr>
              <w:rFonts w:ascii="Cambria Math" w:eastAsia="Times New Roman" w:hAnsi="Cambria Math" w:cs="Times New Roman"/>
            </w:rPr>
            <m:t>=</m:t>
          </m:r>
          <m:nary>
            <m:naryPr>
              <m:chr m:val="∑"/>
              <m:ctrlPr>
                <w:rPr>
                  <w:rFonts w:ascii="Cambria Math" w:eastAsia="Times New Roman" w:hAnsi="Cambria Math" w:cs="Times New Roman"/>
                  <w:i/>
                </w:rPr>
              </m:ctrlPr>
            </m:naryPr>
            <m:sub>
              <m:r>
                <w:rPr>
                  <w:rFonts w:ascii="Cambria Math" w:eastAsia="Times New Roman" w:hAnsi="Cambria Math" w:cs="Times New Roman"/>
                </w:rPr>
                <m:t>i=1</m:t>
              </m:r>
            </m:sub>
            <m:sup>
              <m:r>
                <w:rPr>
                  <w:rFonts w:ascii="Cambria Math" w:eastAsia="Times New Roman" w:hAnsi="Cambria Math" w:cs="Times New Roman"/>
                </w:rPr>
                <m:t>k</m:t>
              </m:r>
            </m:sup>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i</m:t>
                  </m:r>
                </m:sub>
              </m:sSub>
            </m:e>
          </m:nary>
          <m:r>
            <m:rPr>
              <m:sty m:val="p"/>
            </m:rPr>
            <w:rPr>
              <w:rFonts w:ascii="Cambria Math" w:eastAsia="Times New Roman" w:hAnsi="Cambria Math" w:cs="Times New Roman"/>
            </w:rPr>
            <w:br/>
          </m:r>
        </m:oMath>
        <m:oMath>
          <m:r>
            <w:rPr>
              <w:rFonts w:ascii="Cambria Math" w:eastAsia="Times New Roman" w:hAnsi="Cambria Math" w:cs="Times New Roman"/>
            </w:rPr>
            <m:t>Var</m:t>
          </m:r>
          <m:d>
            <m:dPr>
              <m:ctrlPr>
                <w:rPr>
                  <w:rFonts w:ascii="Cambria Math" w:eastAsia="Times New Roman" w:hAnsi="Cambria Math" w:cs="Times New Roman"/>
                  <w:i/>
                </w:rPr>
              </m:ctrlPr>
            </m:dPr>
            <m:e>
              <m:r>
                <w:rPr>
                  <w:rFonts w:ascii="Cambria Math" w:eastAsia="Times New Roman" w:hAnsi="Cambria Math" w:cs="Times New Roman"/>
                </w:rPr>
                <m:t>y</m:t>
              </m:r>
            </m:e>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k</m:t>
                  </m:r>
                </m:sub>
              </m:sSub>
            </m:e>
          </m:d>
          <m:r>
            <w:rPr>
              <w:rFonts w:ascii="Cambria Math" w:eastAsia="Times New Roman" w:hAnsi="Cambria Math" w:cs="Times New Roman"/>
            </w:rPr>
            <m:t>=</m:t>
          </m:r>
          <m:nary>
            <m:naryPr>
              <m:chr m:val="∑"/>
              <m:ctrlPr>
                <w:rPr>
                  <w:rFonts w:ascii="Cambria Math" w:eastAsia="Times New Roman" w:hAnsi="Cambria Math" w:cs="Times New Roman"/>
                  <w:i/>
                </w:rPr>
              </m:ctrlPr>
            </m:naryPr>
            <m:sub>
              <m:r>
                <w:rPr>
                  <w:rFonts w:ascii="Cambria Math" w:eastAsia="Times New Roman" w:hAnsi="Cambria Math" w:cs="Times New Roman"/>
                </w:rPr>
                <m:t>i=1</m:t>
              </m:r>
            </m:sub>
            <m:sup>
              <m:r>
                <w:rPr>
                  <w:rFonts w:ascii="Cambria Math" w:eastAsia="Times New Roman" w:hAnsi="Cambria Math" w:cs="Times New Roman"/>
                </w:rPr>
                <m:t>k</m:t>
              </m:r>
            </m:sup>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i</m:t>
                  </m:r>
                </m:sub>
              </m:sSub>
              <m:d>
                <m:dPr>
                  <m:ctrlPr>
                    <w:rPr>
                      <w:rFonts w:ascii="Cambria Math" w:eastAsia="Times New Roman" w:hAnsi="Cambria Math" w:cs="Times New Roman"/>
                      <w:i/>
                    </w:rPr>
                  </m:ctrlPr>
                </m:dPr>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i</m:t>
                      </m:r>
                    </m:sub>
                  </m:sSub>
                </m:e>
              </m:d>
            </m:e>
          </m:nary>
          <m:r>
            <w:rPr>
              <w:rFonts w:ascii="Cambria Math" w:eastAsia="Times New Roman" w:hAnsi="Cambria Math" w:cs="Times New Roman"/>
            </w:rPr>
            <m:t>,</m:t>
          </m:r>
        </m:oMath>
      </m:oMathPara>
    </w:p>
    <w:p w14:paraId="77B42666" w14:textId="77777777" w:rsidR="0027650C" w:rsidRPr="001F7E51" w:rsidRDefault="0027650C" w:rsidP="0027650C">
      <w:pPr>
        <w:rPr>
          <w:rFonts w:ascii="Calibri" w:eastAsia="Times New Roman" w:hAnsi="Calibri" w:cs="Times New Roman"/>
        </w:rPr>
      </w:pPr>
      <w:proofErr w:type="gramStart"/>
      <w:r w:rsidRPr="001F7E51">
        <w:rPr>
          <w:rFonts w:ascii="Calibri" w:eastAsia="Times New Roman" w:hAnsi="Calibri" w:cs="Times New Roman"/>
        </w:rPr>
        <w:t>both</w:t>
      </w:r>
      <w:proofErr w:type="gramEnd"/>
      <w:r w:rsidRPr="001F7E51">
        <w:rPr>
          <w:rFonts w:ascii="Calibri" w:eastAsia="Times New Roman" w:hAnsi="Calibri" w:cs="Times New Roman"/>
        </w:rPr>
        <w:t xml:space="preserve"> arising from the conditional independence of a sum of Bernoulli trials.</w:t>
      </w:r>
    </w:p>
    <w:p w14:paraId="5531FE28" w14:textId="4457F32D"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To allow for a more flexible mean-variance relationship, we use a Negative Binomial distribution to model error in reported doses per child, where the expected value (mean) is the sum of campaign effectiveness across campaigns experienced by the child</w:t>
      </w:r>
      <w:r w:rsidRPr="001F7E51">
        <w:rPr>
          <w:rFonts w:ascii="Calibri" w:eastAsia="Times New Roman" w:hAnsi="Calibri" w:cs="Times New Roman"/>
        </w:rPr>
        <w:fldChar w:fldCharType="begin" w:fldLock="1"/>
      </w:r>
      <w:r w:rsidR="00914A52">
        <w:rPr>
          <w:rFonts w:ascii="Calibri" w:eastAsia="Times New Roman" w:hAnsi="Calibri" w:cs="Times New Roman"/>
        </w:rPr>
        <w:instrText>ADDIN CSL_CITATION { "citationItems" : [ { "id" : "ITEM-1", "itemData" : { "author" : [ { "dropping-particle" : "", "family" : "Stan Development Team", "given" : "", "non-dropping-particle" : "", "parse-names" : false, "suffix" : "" } ], "id" : "ITEM-1", "issued" : { "date-parts" : [ [ "2014" ] ] }, "title" : "Stan: A C++ Library for Probability and Sampling, Version 2.5.0", "type" : "article" }, "uris" : [ "http://www.mendeley.com/documents/?uuid=60eca21c-421e-4f11-b138-35757c562a81" ] } ], "mendeley" : { "formattedCitation" : "[2]", "plainTextFormattedCitation" : "[2]", "previouslyFormattedCitation" : "[2]" }, "properties" : { "noteIndex" : 0 }, "schema" : "https://github.com/citation-style-language/schema/raw/master/csl-citation.json" }</w:instrText>
      </w:r>
      <w:r w:rsidRPr="001F7E51">
        <w:rPr>
          <w:rFonts w:ascii="Calibri" w:eastAsia="Times New Roman" w:hAnsi="Calibri" w:cs="Times New Roman"/>
        </w:rPr>
        <w:fldChar w:fldCharType="separate"/>
      </w:r>
      <w:r w:rsidR="008D4FD4" w:rsidRPr="008D4FD4">
        <w:rPr>
          <w:rFonts w:ascii="Calibri" w:eastAsia="Times New Roman" w:hAnsi="Calibri" w:cs="Times New Roman"/>
          <w:noProof/>
        </w:rPr>
        <w:t>[2]</w:t>
      </w:r>
      <w:r w:rsidRPr="001F7E51">
        <w:rPr>
          <w:rFonts w:ascii="Calibri" w:eastAsia="Times New Roman" w:hAnsi="Calibri" w:cs="Times New Roman"/>
        </w:rPr>
        <w:fldChar w:fldCharType="end"/>
      </w:r>
      <w:r w:rsidRPr="001F7E51">
        <w:rPr>
          <w:rFonts w:ascii="Calibri" w:eastAsia="Times New Roman" w:hAnsi="Calibri" w:cs="Times New Roman"/>
        </w:rPr>
        <w:t>. The mass function may be written</w:t>
      </w:r>
    </w:p>
    <w:p w14:paraId="79F01BF8" w14:textId="77777777" w:rsidR="0027650C" w:rsidRPr="001F7E51" w:rsidRDefault="0027650C" w:rsidP="0027650C">
      <w:pPr>
        <w:rPr>
          <w:rFonts w:ascii="Calibri" w:eastAsia="Times New Roman" w:hAnsi="Calibri" w:cs="Times New Roman"/>
        </w:rPr>
      </w:pPr>
      <m:oMathPara>
        <m:oMath>
          <m:r>
            <w:rPr>
              <w:rFonts w:ascii="Cambria Math" w:eastAsia="Calibri" w:hAnsi="Cambria Math" w:cs="Times New Roman"/>
            </w:rPr>
            <w:lastRenderedPageBreak/>
            <m:t>P</m:t>
          </m:r>
          <m:d>
            <m:dPr>
              <m:ctrlPr>
                <w:rPr>
                  <w:rFonts w:ascii="Cambria Math" w:eastAsia="Calibri" w:hAnsi="Cambria Math" w:cs="Times New Roman"/>
                  <w:i/>
                </w:rPr>
              </m:ctrlPr>
            </m:dPr>
            <m:e>
              <m:r>
                <w:rPr>
                  <w:rFonts w:ascii="Cambria Math" w:eastAsia="Calibri" w:hAnsi="Cambria Math" w:cs="Times New Roman"/>
                </w:rPr>
                <m:t>y</m:t>
              </m:r>
            </m:e>
            <m:e>
              <m:sSub>
                <m:sSubPr>
                  <m:ctrlPr>
                    <w:rPr>
                      <w:rFonts w:ascii="Cambria Math" w:eastAsia="Calibri" w:hAnsi="Cambria Math" w:cs="Times New Roman"/>
                      <w:i/>
                    </w:rPr>
                  </m:ctrlPr>
                </m:sSubPr>
                <m:e>
                  <m:r>
                    <w:rPr>
                      <w:rFonts w:ascii="Cambria Math" w:eastAsia="Calibri" w:hAnsi="Cambria Math" w:cs="Times New Roman"/>
                    </w:rPr>
                    <m:t>p</m:t>
                  </m:r>
                </m:e>
                <m:sub>
                  <m:r>
                    <w:rPr>
                      <w:rFonts w:ascii="Cambria Math" w:eastAsia="Calibri" w:hAnsi="Cambria Math" w:cs="Times New Roman"/>
                    </w:rPr>
                    <m: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p</m:t>
                  </m:r>
                </m:e>
                <m:sub>
                  <m:r>
                    <w:rPr>
                      <w:rFonts w:ascii="Cambria Math" w:eastAsia="Calibri" w:hAnsi="Cambria Math" w:cs="Times New Roman"/>
                    </w:rPr>
                    <m:t>k</m:t>
                  </m:r>
                </m:sub>
              </m:sSub>
            </m:e>
          </m:d>
          <m:r>
            <w:rPr>
              <w:rFonts w:ascii="Cambria Math" w:eastAsia="Calibri" w:hAnsi="Cambria Math" w:cs="Times New Roman"/>
            </w:rPr>
            <m:t>=</m:t>
          </m:r>
          <m:d>
            <m:dPr>
              <m:ctrlPr>
                <w:rPr>
                  <w:rFonts w:ascii="Cambria Math" w:eastAsia="Calibri" w:hAnsi="Cambria Math" w:cs="Times New Roman"/>
                  <w:i/>
                </w:rPr>
              </m:ctrlPr>
            </m:dPr>
            <m:e>
              <m:m>
                <m:mPr>
                  <m:mcs>
                    <m:mc>
                      <m:mcPr>
                        <m:count m:val="1"/>
                        <m:mcJc m:val="center"/>
                      </m:mcPr>
                    </m:mc>
                  </m:mcs>
                  <m:ctrlPr>
                    <w:rPr>
                      <w:rFonts w:ascii="Cambria Math" w:eastAsia="Times New Roman" w:hAnsi="Cambria Math" w:cs="Times New Roman"/>
                      <w:i/>
                    </w:rPr>
                  </m:ctrlPr>
                </m:mPr>
                <m:mr>
                  <m:e>
                    <m:r>
                      <w:rPr>
                        <w:rFonts w:ascii="Cambria Math" w:eastAsia="Times New Roman" w:hAnsi="Cambria Math" w:cs="Times New Roman"/>
                      </w:rPr>
                      <m:t>y+θ-1</m:t>
                    </m:r>
                  </m:e>
                </m:mr>
                <m:mr>
                  <m:e>
                    <m:r>
                      <w:rPr>
                        <w:rFonts w:ascii="Cambria Math" w:eastAsia="Times New Roman" w:hAnsi="Cambria Math" w:cs="Times New Roman"/>
                      </w:rPr>
                      <m:t>y</m:t>
                    </m:r>
                  </m:e>
                </m:mr>
              </m:m>
              <m:ctrlPr>
                <w:rPr>
                  <w:rFonts w:ascii="Cambria Math" w:eastAsia="Times New Roman" w:hAnsi="Cambria Math" w:cs="Times New Roman"/>
                  <w:i/>
                </w:rPr>
              </m:ctrlPr>
            </m:e>
          </m:d>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μ</m:t>
                      </m:r>
                    </m:num>
                    <m:den>
                      <m:r>
                        <w:rPr>
                          <w:rFonts w:ascii="Cambria Math" w:eastAsia="Times New Roman" w:hAnsi="Cambria Math" w:cs="Times New Roman"/>
                        </w:rPr>
                        <m:t>μ+θ</m:t>
                      </m:r>
                    </m:den>
                  </m:f>
                </m:e>
              </m:d>
            </m:e>
            <m:sup>
              <m:r>
                <w:rPr>
                  <w:rFonts w:ascii="Cambria Math" w:eastAsia="Times New Roman" w:hAnsi="Cambria Math" w:cs="Times New Roman"/>
                </w:rPr>
                <m:t>y</m:t>
              </m:r>
            </m:sup>
          </m:sSup>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θ</m:t>
                      </m:r>
                    </m:num>
                    <m:den>
                      <m:r>
                        <w:rPr>
                          <w:rFonts w:ascii="Cambria Math" w:eastAsia="Times New Roman" w:hAnsi="Cambria Math" w:cs="Times New Roman"/>
                        </w:rPr>
                        <m:t>μ+θ</m:t>
                      </m:r>
                    </m:den>
                  </m:f>
                </m:e>
              </m:d>
            </m:e>
            <m:sup>
              <m:r>
                <w:rPr>
                  <w:rFonts w:ascii="Cambria Math" w:eastAsia="Times New Roman" w:hAnsi="Cambria Math" w:cs="Times New Roman"/>
                </w:rPr>
                <m:t>θ</m:t>
              </m:r>
            </m:sup>
          </m:sSup>
          <m:r>
            <w:rPr>
              <w:rFonts w:ascii="Cambria Math" w:eastAsia="Times New Roman" w:hAnsi="Cambria Math" w:cs="Times New Roman"/>
            </w:rPr>
            <m:t>,</m:t>
          </m:r>
        </m:oMath>
      </m:oMathPara>
    </w:p>
    <w:p w14:paraId="0B6DF853" w14:textId="77777777" w:rsidR="0027650C" w:rsidRPr="001F7E51" w:rsidRDefault="0027650C" w:rsidP="0027650C">
      <w:pPr>
        <w:rPr>
          <w:rFonts w:ascii="Calibri" w:eastAsia="Times New Roman" w:hAnsi="Calibri" w:cs="Times New Roman"/>
        </w:rPr>
      </w:pPr>
      <w:proofErr w:type="gramStart"/>
      <w:r w:rsidRPr="001F7E51">
        <w:rPr>
          <w:rFonts w:ascii="Calibri" w:eastAsia="Times New Roman" w:hAnsi="Calibri" w:cs="Times New Roman"/>
        </w:rPr>
        <w:t>with</w:t>
      </w:r>
      <w:proofErr w:type="gramEnd"/>
      <w:r w:rsidRPr="001F7E51">
        <w:rPr>
          <w:rFonts w:ascii="Calibri" w:eastAsia="Times New Roman" w:hAnsi="Calibri" w:cs="Times New Roman"/>
        </w:rPr>
        <w:t xml:space="preserve"> </w:t>
      </w:r>
      <m:oMath>
        <m:r>
          <w:rPr>
            <w:rFonts w:ascii="Cambria Math" w:eastAsia="Times New Roman" w:hAnsi="Cambria Math" w:cs="Times New Roman"/>
          </w:rPr>
          <m:t>μ=</m:t>
        </m:r>
        <m:nary>
          <m:naryPr>
            <m:chr m:val="∑"/>
            <m:supHide m:val="1"/>
            <m:ctrlPr>
              <w:rPr>
                <w:rFonts w:ascii="Cambria Math" w:eastAsia="Times New Roman" w:hAnsi="Cambria Math" w:cs="Times New Roman"/>
                <w:i/>
              </w:rPr>
            </m:ctrlPr>
          </m:naryPr>
          <m:sub>
            <m:r>
              <w:rPr>
                <w:rFonts w:ascii="Cambria Math" w:eastAsia="Times New Roman" w:hAnsi="Cambria Math" w:cs="Times New Roman"/>
              </w:rPr>
              <m:t>i</m:t>
            </m:r>
          </m:sub>
          <m:sup/>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i</m:t>
                </m:r>
              </m:sub>
            </m:sSub>
          </m:e>
        </m:nary>
      </m:oMath>
      <w:r w:rsidRPr="001F7E51">
        <w:rPr>
          <w:rFonts w:ascii="Calibri" w:eastAsia="Times New Roman" w:hAnsi="Calibri" w:cs="Times New Roman"/>
        </w:rPr>
        <w:t xml:space="preserve"> and </w:t>
      </w:r>
      <m:oMath>
        <m:r>
          <w:rPr>
            <w:rFonts w:ascii="Cambria Math" w:eastAsia="Times New Roman" w:hAnsi="Cambria Math" w:cs="Times New Roman"/>
          </w:rPr>
          <m:t>θ&gt;0</m:t>
        </m:r>
      </m:oMath>
      <w:r w:rsidRPr="001F7E51">
        <w:rPr>
          <w:rFonts w:ascii="Calibri" w:eastAsia="Times New Roman" w:hAnsi="Calibri" w:cs="Times New Roman"/>
        </w:rPr>
        <w:t xml:space="preserve">.  The parameter </w:t>
      </w:r>
      <m:oMath>
        <m:r>
          <w:rPr>
            <w:rFonts w:ascii="Cambria Math" w:eastAsia="Times New Roman" w:hAnsi="Cambria Math" w:cs="Times New Roman"/>
          </w:rPr>
          <m:t>θ</m:t>
        </m:r>
      </m:oMath>
      <w:r w:rsidRPr="001F7E51">
        <w:rPr>
          <w:rFonts w:ascii="Calibri" w:eastAsia="Times New Roman" w:hAnsi="Calibri" w:cs="Times New Roman"/>
        </w:rPr>
        <w:t xml:space="preserve"> controls the overall level of dispersion, with</w:t>
      </w:r>
    </w:p>
    <w:p w14:paraId="14DC4C1E" w14:textId="77777777" w:rsidR="0027650C" w:rsidRPr="001F7E51" w:rsidRDefault="0027650C" w:rsidP="0027650C">
      <w:pPr>
        <w:rPr>
          <w:rFonts w:ascii="Calibri" w:eastAsia="Times New Roman" w:hAnsi="Calibri" w:cs="Times New Roman"/>
        </w:rPr>
      </w:pPr>
      <m:oMathPara>
        <m:oMath>
          <m:r>
            <w:rPr>
              <w:rFonts w:ascii="Cambria Math" w:eastAsia="Times New Roman" w:hAnsi="Cambria Math" w:cs="Times New Roman"/>
            </w:rPr>
            <m:t>Var</m:t>
          </m:r>
          <m:d>
            <m:dPr>
              <m:ctrlPr>
                <w:rPr>
                  <w:rFonts w:ascii="Cambria Math" w:eastAsia="Times New Roman" w:hAnsi="Cambria Math" w:cs="Times New Roman"/>
                  <w:i/>
                </w:rPr>
              </m:ctrlPr>
            </m:dPr>
            <m:e>
              <m:r>
                <w:rPr>
                  <w:rFonts w:ascii="Cambria Math" w:eastAsia="Times New Roman" w:hAnsi="Cambria Math" w:cs="Times New Roman"/>
                </w:rPr>
                <m:t>y</m:t>
              </m:r>
            </m:e>
            <m:e>
              <m:r>
                <w:rPr>
                  <w:rFonts w:ascii="Cambria Math" w:eastAsia="Times New Roman" w:hAnsi="Cambria Math" w:cs="Times New Roman"/>
                </w:rPr>
                <m:t>μ,θ</m:t>
              </m:r>
            </m:e>
          </m:d>
          <m:r>
            <w:rPr>
              <w:rFonts w:ascii="Cambria Math" w:eastAsia="Times New Roman" w:hAnsi="Cambria Math" w:cs="Times New Roman"/>
            </w:rPr>
            <m:t>=μ+</m:t>
          </m:r>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rPr>
                    <m:t>μ</m:t>
                  </m:r>
                </m:e>
                <m:sup>
                  <m:r>
                    <w:rPr>
                      <w:rFonts w:ascii="Cambria Math" w:eastAsia="Times New Roman" w:hAnsi="Cambria Math" w:cs="Times New Roman"/>
                    </w:rPr>
                    <m:t>2</m:t>
                  </m:r>
                </m:sup>
              </m:sSup>
            </m:num>
            <m:den>
              <m:r>
                <w:rPr>
                  <w:rFonts w:ascii="Cambria Math" w:eastAsia="Times New Roman" w:hAnsi="Cambria Math" w:cs="Times New Roman"/>
                </w:rPr>
                <m:t>θ</m:t>
              </m:r>
            </m:den>
          </m:f>
          <m:r>
            <w:rPr>
              <w:rFonts w:ascii="Cambria Math" w:eastAsia="Times New Roman" w:hAnsi="Cambria Math" w:cs="Times New Roman"/>
            </w:rPr>
            <m:t>.</m:t>
          </m:r>
        </m:oMath>
      </m:oMathPara>
    </w:p>
    <w:p w14:paraId="6260C4B5"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The Negative Binomial formulation has uniformly larger variance than the Poisson-Binomial formulation, as</w:t>
      </w:r>
    </w:p>
    <w:p w14:paraId="35673B3B" w14:textId="77777777" w:rsidR="0027650C" w:rsidRPr="001F7E51" w:rsidRDefault="00A97DC8" w:rsidP="0027650C">
      <w:pPr>
        <w:rPr>
          <w:rFonts w:ascii="Calibri" w:eastAsia="Times New Roman" w:hAnsi="Calibri" w:cs="Times New Roman"/>
        </w:rPr>
      </w:pPr>
      <m:oMathPara>
        <m:oMath>
          <m:nary>
            <m:naryPr>
              <m:chr m:val="∑"/>
              <m:ctrlPr>
                <w:rPr>
                  <w:rFonts w:ascii="Cambria Math" w:eastAsia="Times New Roman" w:hAnsi="Cambria Math" w:cs="Times New Roman"/>
                  <w:i/>
                </w:rPr>
              </m:ctrlPr>
            </m:naryPr>
            <m:sub>
              <m:r>
                <w:rPr>
                  <w:rFonts w:ascii="Cambria Math" w:eastAsia="Times New Roman" w:hAnsi="Cambria Math" w:cs="Times New Roman"/>
                </w:rPr>
                <m:t>i=1</m:t>
              </m:r>
            </m:sub>
            <m:sup>
              <m:r>
                <w:rPr>
                  <w:rFonts w:ascii="Cambria Math" w:eastAsia="Times New Roman" w:hAnsi="Cambria Math" w:cs="Times New Roman"/>
                </w:rPr>
                <m:t>k</m:t>
              </m:r>
            </m:sup>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i</m:t>
                  </m:r>
                </m:sub>
              </m:sSub>
              <m:d>
                <m:dPr>
                  <m:ctrlPr>
                    <w:rPr>
                      <w:rFonts w:ascii="Cambria Math" w:eastAsia="Times New Roman" w:hAnsi="Cambria Math" w:cs="Times New Roman"/>
                      <w:i/>
                    </w:rPr>
                  </m:ctrlPr>
                </m:dPr>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i</m:t>
                      </m:r>
                    </m:sub>
                  </m:sSub>
                </m:e>
              </m:d>
            </m:e>
          </m:nary>
          <m:r>
            <w:rPr>
              <w:rFonts w:ascii="Cambria Math" w:eastAsia="Times New Roman" w:hAnsi="Cambria Math" w:cs="Times New Roman"/>
            </w:rPr>
            <m:t>&lt;</m:t>
          </m:r>
          <m:nary>
            <m:naryPr>
              <m:chr m:val="∑"/>
              <m:ctrlPr>
                <w:rPr>
                  <w:rFonts w:ascii="Cambria Math" w:eastAsia="Times New Roman" w:hAnsi="Cambria Math" w:cs="Times New Roman"/>
                  <w:i/>
                </w:rPr>
              </m:ctrlPr>
            </m:naryPr>
            <m:sub>
              <m:r>
                <w:rPr>
                  <w:rFonts w:ascii="Cambria Math" w:eastAsia="Times New Roman" w:hAnsi="Cambria Math" w:cs="Times New Roman"/>
                </w:rPr>
                <m:t>i=1</m:t>
              </m:r>
            </m:sub>
            <m:sup>
              <m:r>
                <w:rPr>
                  <w:rFonts w:ascii="Cambria Math" w:eastAsia="Times New Roman" w:hAnsi="Cambria Math" w:cs="Times New Roman"/>
                </w:rPr>
                <m:t>k</m:t>
              </m:r>
            </m:sup>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i</m:t>
                  </m:r>
                </m:sub>
              </m:sSub>
            </m:e>
          </m:nary>
          <m:r>
            <w:rPr>
              <w:rFonts w:ascii="Cambria Math" w:eastAsia="Times New Roman" w:hAnsi="Cambria Math" w:cs="Times New Roman"/>
            </w:rPr>
            <m:t>=μ&lt; μ+</m:t>
          </m:r>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rPr>
                    <m:t>μ</m:t>
                  </m:r>
                </m:e>
                <m:sup>
                  <m:r>
                    <w:rPr>
                      <w:rFonts w:ascii="Cambria Math" w:eastAsia="Times New Roman" w:hAnsi="Cambria Math" w:cs="Times New Roman"/>
                    </w:rPr>
                    <m:t>2</m:t>
                  </m:r>
                </m:sup>
              </m:sSup>
            </m:num>
            <m:den>
              <m:r>
                <w:rPr>
                  <w:rFonts w:ascii="Cambria Math" w:eastAsia="Times New Roman" w:hAnsi="Cambria Math" w:cs="Times New Roman"/>
                </w:rPr>
                <m:t>θ</m:t>
              </m:r>
            </m:den>
          </m:f>
          <m:r>
            <w:rPr>
              <w:rFonts w:ascii="Cambria Math" w:eastAsia="Times New Roman" w:hAnsi="Cambria Math" w:cs="Times New Roman"/>
            </w:rPr>
            <m:t>.</m:t>
          </m:r>
        </m:oMath>
      </m:oMathPara>
    </w:p>
    <w:p w14:paraId="54581A5A"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While relative variance to the Poisson Binomial is not preserved, the Negative Binomial distribution provides flexibility in the amount of </w:t>
      </w:r>
      <w:proofErr w:type="spellStart"/>
      <w:r w:rsidRPr="001F7E51">
        <w:rPr>
          <w:rFonts w:ascii="Calibri" w:eastAsia="Times New Roman" w:hAnsi="Calibri" w:cs="Times New Roman"/>
        </w:rPr>
        <w:t>overdispersion</w:t>
      </w:r>
      <w:proofErr w:type="spellEnd"/>
      <w:r w:rsidRPr="001F7E51">
        <w:rPr>
          <w:rFonts w:ascii="Calibri" w:eastAsia="Times New Roman" w:hAnsi="Calibri" w:cs="Times New Roman"/>
        </w:rPr>
        <w:t xml:space="preserve"> while preserving the mean.</w:t>
      </w:r>
    </w:p>
    <w:p w14:paraId="52F7D951"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Note that use of the negative binomial attributes all the excess variation over that induced by the hierarchical mean model to error in dose reporting.  Other forms of heterogeneity, for example, differential coverage for the chronically missed children are possible, but likely come with </w:t>
      </w:r>
      <w:proofErr w:type="spellStart"/>
      <w:r w:rsidRPr="001F7E51">
        <w:rPr>
          <w:rFonts w:ascii="Calibri" w:eastAsia="Times New Roman" w:hAnsi="Calibri" w:cs="Times New Roman"/>
        </w:rPr>
        <w:t>identifiability</w:t>
      </w:r>
      <w:proofErr w:type="spellEnd"/>
      <w:r w:rsidRPr="001F7E51">
        <w:rPr>
          <w:rFonts w:ascii="Calibri" w:eastAsia="Times New Roman" w:hAnsi="Calibri" w:cs="Times New Roman"/>
        </w:rPr>
        <w:t xml:space="preserve"> issues.  That is, it may be difficult to disaggregate dose recall error from true heterogeneity in absence of a known model for dose recall.  We do not attempt to address that in this analysis. </w:t>
      </w:r>
    </w:p>
    <w:p w14:paraId="0958E47A" w14:textId="77777777" w:rsidR="0027650C" w:rsidRPr="001F7E51" w:rsidRDefault="0027650C" w:rsidP="0087494D">
      <w:pPr>
        <w:pStyle w:val="Heading2"/>
        <w:rPr>
          <w:rFonts w:eastAsia="Times New Roman"/>
        </w:rPr>
      </w:pPr>
      <w:r w:rsidRPr="001F7E51">
        <w:rPr>
          <w:rFonts w:eastAsia="Times New Roman"/>
        </w:rPr>
        <w:t>Random walk models</w:t>
      </w:r>
    </w:p>
    <w:p w14:paraId="3241CCF3" w14:textId="33887060" w:rsidR="0027650C" w:rsidRPr="001F7E51" w:rsidRDefault="0027650C" w:rsidP="0027650C">
      <w:pPr>
        <w:rPr>
          <w:rFonts w:ascii="Calibri" w:eastAsia="Times New Roman" w:hAnsi="Calibri" w:cs="Times New Roman"/>
        </w:rPr>
      </w:pPr>
      <w:r w:rsidRPr="001F7E51">
        <w:rPr>
          <w:rFonts w:ascii="Calibri" w:eastAsia="Calibri" w:hAnsi="Calibri" w:cs="Times New Roman"/>
        </w:rPr>
        <w:t>The discrete first order random walk is a Gaussian Markov random field (GMRF) characterized in this analysis by independent and identically distributed increments between time intervals</w:t>
      </w:r>
      <w:r w:rsidR="00E416D4">
        <w:rPr>
          <w:rFonts w:ascii="Calibri" w:eastAsia="Calibri" w:hAnsi="Calibri" w:cs="Times New Roman"/>
        </w:rPr>
        <w:fldChar w:fldCharType="begin" w:fldLock="1"/>
      </w:r>
      <w:r w:rsidR="00914A52">
        <w:rPr>
          <w:rFonts w:ascii="Calibri" w:eastAsia="Calibri" w:hAnsi="Calibri" w:cs="Times New Roman"/>
        </w:rPr>
        <w:instrText>ADDIN CSL_CITATION { "citationItems" : [ { "id" : "ITEM-1", "itemData" : { "author" : [ { "dropping-particle" : "", "family" : "Rue", "given" : "Havard", "non-dropping-particle" : "", "parse-names" : false, "suffix" : "" }, { "dropping-particle" : "", "family" : "Held", "given" : "Leonhard", "non-dropping-particle" : "", "parse-names" : false, "suffix" : "" } ], "id" : "ITEM-1", "issued" : { "date-parts" : [ [ "2005" ] ] }, "publisher" : "CRC Press", "title" : "Gaussian Markov random fields: theory and applications", "type" : "book" }, "uris" : [ "http://www.mendeley.com/documents/?uuid=ad551ea7-da22-4249-97b0-304ee48a386a" ] } ], "mendeley" : { "formattedCitation" : "[3]", "plainTextFormattedCitation" : "[3]", "previouslyFormattedCitation" : "[3]" }, "properties" : { "noteIndex" : 0 }, "schema" : "https://github.com/citation-style-language/schema/raw/master/csl-citation.json" }</w:instrText>
      </w:r>
      <w:r w:rsidR="00E416D4">
        <w:rPr>
          <w:rFonts w:ascii="Calibri" w:eastAsia="Calibri" w:hAnsi="Calibri" w:cs="Times New Roman"/>
        </w:rPr>
        <w:fldChar w:fldCharType="separate"/>
      </w:r>
      <w:r w:rsidR="008D4FD4" w:rsidRPr="008D4FD4">
        <w:rPr>
          <w:rFonts w:ascii="Calibri" w:eastAsia="Calibri" w:hAnsi="Calibri" w:cs="Times New Roman"/>
          <w:noProof/>
        </w:rPr>
        <w:t>[3]</w:t>
      </w:r>
      <w:r w:rsidR="00E416D4">
        <w:rPr>
          <w:rFonts w:ascii="Calibri" w:eastAsia="Calibri" w:hAnsi="Calibri" w:cs="Times New Roman"/>
        </w:rPr>
        <w:fldChar w:fldCharType="end"/>
      </w:r>
      <w:r w:rsidRPr="001F7E51">
        <w:rPr>
          <w:rFonts w:ascii="Calibri" w:eastAsia="Calibri" w:hAnsi="Calibri" w:cs="Times New Roman"/>
        </w:rPr>
        <w:t xml:space="preserve">. That is, </w:t>
      </w:r>
      <w:proofErr w:type="gramStart"/>
      <w:r w:rsidRPr="001F7E51">
        <w:rPr>
          <w:rFonts w:ascii="Calibri" w:eastAsia="Calibri" w:hAnsi="Calibri" w:cs="Times New Roman"/>
        </w:rPr>
        <w:t xml:space="preserve">if </w:t>
      </w:r>
      <w:proofErr w:type="gramEnd"/>
      <m:oMath>
        <m:sSub>
          <m:sSubPr>
            <m:ctrlPr>
              <w:rPr>
                <w:rFonts w:ascii="Cambria Math" w:eastAsia="Calibri" w:hAnsi="Cambria Math" w:cs="Times New Roman"/>
                <w:i/>
              </w:rPr>
            </m:ctrlPr>
          </m:sSubPr>
          <m:e>
            <m:r>
              <w:rPr>
                <w:rFonts w:ascii="Cambria Math" w:eastAsia="Calibri" w:hAnsi="Cambria Math" w:cs="Times New Roman"/>
              </w:rPr>
              <m:t>u</m:t>
            </m:r>
          </m:e>
          <m:sub>
            <m:r>
              <w:rPr>
                <w:rFonts w:ascii="Cambria Math" w:eastAsia="Calibri" w:hAnsi="Cambria Math" w:cs="Times New Roman"/>
              </w:rPr>
              <m:t>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u</m:t>
            </m:r>
          </m:e>
          <m:sub>
            <m:r>
              <w:rPr>
                <w:rFonts w:ascii="Cambria Math" w:eastAsia="Calibri" w:hAnsi="Cambria Math" w:cs="Times New Roman"/>
              </w:rPr>
              <m:t>t</m:t>
            </m:r>
          </m:sub>
        </m:sSub>
        <m:r>
          <w:rPr>
            <w:rFonts w:ascii="Cambria Math" w:eastAsia="Calibri" w:hAnsi="Cambria Math" w:cs="Times New Roman"/>
          </w:rPr>
          <m:t>∼N</m:t>
        </m:r>
        <m:d>
          <m:dPr>
            <m:ctrlPr>
              <w:rPr>
                <w:rFonts w:ascii="Cambria Math" w:eastAsia="Calibri" w:hAnsi="Cambria Math" w:cs="Times New Roman"/>
                <w:i/>
              </w:rPr>
            </m:ctrlPr>
          </m:dPr>
          <m:e>
            <m:r>
              <w:rPr>
                <w:rFonts w:ascii="Cambria Math" w:eastAsia="Calibri" w:hAnsi="Cambria Math" w:cs="Times New Roman"/>
              </w:rPr>
              <m:t xml:space="preserve">0, </m:t>
            </m:r>
            <m:sSup>
              <m:sSupPr>
                <m:ctrlPr>
                  <w:rPr>
                    <w:rFonts w:ascii="Cambria Math" w:eastAsia="Calibri" w:hAnsi="Cambria Math" w:cs="Times New Roman"/>
                    <w:i/>
                  </w:rPr>
                </m:ctrlPr>
              </m:sSupPr>
              <m:e>
                <m:r>
                  <w:rPr>
                    <w:rFonts w:ascii="Cambria Math" w:eastAsia="Calibri" w:hAnsi="Cambria Math" w:cs="Times New Roman"/>
                  </w:rPr>
                  <m:t>σ</m:t>
                </m:r>
              </m:e>
              <m:sup>
                <m:r>
                  <w:rPr>
                    <w:rFonts w:ascii="Cambria Math" w:eastAsia="Calibri" w:hAnsi="Cambria Math" w:cs="Times New Roman"/>
                  </w:rPr>
                  <m:t>2</m:t>
                </m:r>
              </m:sup>
            </m:sSup>
          </m:e>
        </m:d>
      </m:oMath>
      <w:r w:rsidRPr="001F7E51">
        <w:rPr>
          <w:rFonts w:ascii="Calibri" w:eastAsia="Times New Roman" w:hAnsi="Calibri" w:cs="Times New Roman"/>
        </w:rPr>
        <w:t xml:space="preserve">, then </w:t>
      </w:r>
      <m:oMath>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t</m:t>
            </m:r>
          </m:sub>
        </m:sSub>
        <m:r>
          <w:rPr>
            <w:rFonts w:ascii="Cambria Math" w:eastAsia="Times New Roman" w:hAnsi="Cambria Math" w:cs="Times New Roman"/>
          </w:rPr>
          <m:t>~N</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t</m:t>
                </m:r>
              </m:sub>
            </m:sSub>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u</m:t>
                </m:r>
              </m:sub>
              <m:sup>
                <m:r>
                  <w:rPr>
                    <w:rFonts w:ascii="Cambria Math" w:eastAsia="Times New Roman" w:hAnsi="Cambria Math" w:cs="Times New Roman"/>
                  </w:rPr>
                  <m:t>2</m:t>
                </m:r>
              </m:sup>
            </m:sSubSup>
          </m:e>
        </m:d>
      </m:oMath>
      <w:r w:rsidRPr="001F7E51">
        <w:rPr>
          <w:rFonts w:ascii="Calibri" w:eastAsia="Times New Roman" w:hAnsi="Calibri" w:cs="Times New Roman"/>
        </w:rPr>
        <w:t>.  This implies a certain smoothness or coherence in coverage from year to year.</w:t>
      </w:r>
    </w:p>
    <w:p w14:paraId="21605BB3"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The joint density of the </w:t>
      </w:r>
      <m:oMath>
        <m:r>
          <w:rPr>
            <w:rFonts w:ascii="Cambria Math" w:eastAsia="Times New Roman" w:hAnsi="Cambria Math" w:cs="Times New Roman"/>
          </w:rPr>
          <m:t>T</m:t>
        </m:r>
      </m:oMath>
      <w:r w:rsidRPr="001F7E51">
        <w:rPr>
          <w:rFonts w:ascii="Calibri" w:eastAsia="Times New Roman" w:hAnsi="Calibri" w:cs="Times New Roman"/>
        </w:rPr>
        <w:t xml:space="preserve"> random walk terms may be written in terms of the differences</w:t>
      </w:r>
    </w:p>
    <w:p w14:paraId="08AA9834" w14:textId="77777777" w:rsidR="0027650C" w:rsidRPr="001F7E51" w:rsidRDefault="0027650C" w:rsidP="0027650C">
      <w:pPr>
        <w:rPr>
          <w:rFonts w:ascii="Calibri" w:eastAsia="Times New Roman" w:hAnsi="Calibri" w:cs="Times New Roman"/>
          <w:b/>
        </w:rPr>
      </w:pPr>
      <m:oMathPara>
        <m:oMath>
          <m:r>
            <w:rPr>
              <w:rFonts w:ascii="Cambria Math" w:eastAsia="Calibri" w:hAnsi="Cambria Math" w:cs="Times New Roman"/>
            </w:rPr>
            <m:t>f</m:t>
          </m:r>
          <m:d>
            <m:dPr>
              <m:ctrlPr>
                <w:rPr>
                  <w:rFonts w:ascii="Cambria Math" w:eastAsia="Calibri" w:hAnsi="Cambria Math" w:cs="Times New Roman"/>
                  <w:i/>
                </w:rPr>
              </m:ctrlPr>
            </m:dPr>
            <m:e>
              <m:r>
                <m:rPr>
                  <m:sty m:val="bi"/>
                </m:rPr>
                <w:rPr>
                  <w:rFonts w:ascii="Cambria Math" w:eastAsia="Calibri" w:hAnsi="Cambria Math" w:cs="Times New Roman"/>
                </w:rPr>
                <m:t>u</m:t>
              </m:r>
            </m:e>
          </m:d>
          <m:r>
            <w:rPr>
              <w:rFonts w:ascii="Cambria Math" w:eastAsia="Calibri" w:hAnsi="Cambria Math" w:cs="Times New Roman"/>
            </w:rPr>
            <m:t>=</m:t>
          </m:r>
          <m:sSup>
            <m:sSupPr>
              <m:ctrlPr>
                <w:rPr>
                  <w:rFonts w:ascii="Cambria Math" w:eastAsia="Calibri" w:hAnsi="Cambria Math" w:cs="Times New Roman"/>
                  <w:i/>
                </w:rPr>
              </m:ctrlPr>
            </m:sSupPr>
            <m:e>
              <m:d>
                <m:dPr>
                  <m:ctrlPr>
                    <w:rPr>
                      <w:rFonts w:ascii="Cambria Math" w:eastAsia="Calibri" w:hAnsi="Cambria Math" w:cs="Times New Roman"/>
                      <w:i/>
                    </w:rPr>
                  </m:ctrlPr>
                </m:dPr>
                <m:e>
                  <m:r>
                    <w:rPr>
                      <w:rFonts w:ascii="Cambria Math" w:eastAsia="Calibri" w:hAnsi="Cambria Math" w:cs="Times New Roman"/>
                    </w:rPr>
                    <m:t>2π</m:t>
                  </m:r>
                  <m:sSubSup>
                    <m:sSubSupPr>
                      <m:ctrlPr>
                        <w:rPr>
                          <w:rFonts w:ascii="Cambria Math" w:eastAsia="Calibri" w:hAnsi="Cambria Math" w:cs="Times New Roman"/>
                          <w:i/>
                        </w:rPr>
                      </m:ctrlPr>
                    </m:sSubSupPr>
                    <m:e>
                      <m:r>
                        <w:rPr>
                          <w:rFonts w:ascii="Cambria Math" w:eastAsia="Calibri" w:hAnsi="Cambria Math" w:cs="Times New Roman"/>
                        </w:rPr>
                        <m:t>σ</m:t>
                      </m:r>
                    </m:e>
                    <m:sub>
                      <m:r>
                        <w:rPr>
                          <w:rFonts w:ascii="Cambria Math" w:eastAsia="Calibri" w:hAnsi="Cambria Math" w:cs="Times New Roman"/>
                        </w:rPr>
                        <m:t>u</m:t>
                      </m:r>
                    </m:sub>
                    <m:sup>
                      <m:r>
                        <w:rPr>
                          <w:rFonts w:ascii="Cambria Math" w:eastAsia="Calibri" w:hAnsi="Cambria Math" w:cs="Times New Roman"/>
                        </w:rPr>
                        <m:t>2</m:t>
                      </m:r>
                    </m:sup>
                  </m:sSubSup>
                </m:e>
              </m:d>
            </m:e>
            <m:sup>
              <m:r>
                <w:rPr>
                  <w:rFonts w:ascii="Cambria Math" w:eastAsia="Calibri" w:hAnsi="Cambria Math" w:cs="Times New Roman"/>
                </w:rPr>
                <m:t>-</m:t>
              </m:r>
              <m:f>
                <m:fPr>
                  <m:ctrlPr>
                    <w:rPr>
                      <w:rFonts w:ascii="Cambria Math" w:eastAsia="Calibri" w:hAnsi="Cambria Math" w:cs="Times New Roman"/>
                      <w:i/>
                    </w:rPr>
                  </m:ctrlPr>
                </m:fPr>
                <m:num>
                  <m:r>
                    <w:rPr>
                      <w:rFonts w:ascii="Cambria Math" w:eastAsia="Calibri" w:hAnsi="Cambria Math" w:cs="Times New Roman"/>
                    </w:rPr>
                    <m:t>T-1</m:t>
                  </m:r>
                </m:num>
                <m:den>
                  <m:r>
                    <w:rPr>
                      <w:rFonts w:ascii="Cambria Math" w:eastAsia="Calibri" w:hAnsi="Cambria Math" w:cs="Times New Roman"/>
                    </w:rPr>
                    <m:t>2</m:t>
                  </m:r>
                </m:den>
              </m:f>
            </m:sup>
          </m:sSup>
          <m:func>
            <m:funcPr>
              <m:ctrlPr>
                <w:rPr>
                  <w:rFonts w:ascii="Cambria Math" w:eastAsia="Calibri" w:hAnsi="Cambria Math" w:cs="Times New Roman"/>
                  <w:i/>
                </w:rPr>
              </m:ctrlPr>
            </m:funcPr>
            <m:fName>
              <m:r>
                <m:rPr>
                  <m:sty m:val="p"/>
                </m:rPr>
                <w:rPr>
                  <w:rFonts w:ascii="Cambria Math" w:eastAsia="Calibri" w:hAnsi="Cambria Math" w:cs="Times New Roman"/>
                </w:rPr>
                <m:t>exp</m:t>
              </m:r>
            </m:fName>
            <m:e>
              <m:d>
                <m:dPr>
                  <m:begChr m:val="{"/>
                  <m:endChr m:val="}"/>
                  <m:ctrlPr>
                    <w:rPr>
                      <w:rFonts w:ascii="Cambria Math" w:eastAsia="Calibri" w:hAnsi="Cambria Math" w:cs="Times New Roman"/>
                      <w:i/>
                    </w:rPr>
                  </m:ctrlPr>
                </m:dPr>
                <m:e>
                  <m:r>
                    <w:rPr>
                      <w:rFonts w:ascii="Cambria Math" w:eastAsia="Calibri" w:hAnsi="Cambria Math" w:cs="Times New Roman"/>
                    </w:rPr>
                    <m:t>-</m:t>
                  </m:r>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2</m:t>
                      </m:r>
                      <m:sSubSup>
                        <m:sSubSupPr>
                          <m:ctrlPr>
                            <w:rPr>
                              <w:rFonts w:ascii="Cambria Math" w:eastAsia="Calibri" w:hAnsi="Cambria Math" w:cs="Times New Roman"/>
                              <w:i/>
                            </w:rPr>
                          </m:ctrlPr>
                        </m:sSubSupPr>
                        <m:e>
                          <m:r>
                            <w:rPr>
                              <w:rFonts w:ascii="Cambria Math" w:eastAsia="Calibri" w:hAnsi="Cambria Math" w:cs="Times New Roman"/>
                            </w:rPr>
                            <m:t>σ</m:t>
                          </m:r>
                        </m:e>
                        <m:sub>
                          <m:r>
                            <w:rPr>
                              <w:rFonts w:ascii="Cambria Math" w:eastAsia="Calibri" w:hAnsi="Cambria Math" w:cs="Times New Roman"/>
                            </w:rPr>
                            <m:t>u</m:t>
                          </m:r>
                        </m:sub>
                        <m:sup>
                          <m:r>
                            <w:rPr>
                              <w:rFonts w:ascii="Cambria Math" w:eastAsia="Calibri" w:hAnsi="Cambria Math" w:cs="Times New Roman"/>
                            </w:rPr>
                            <m:t>2</m:t>
                          </m:r>
                        </m:sup>
                      </m:sSubSup>
                    </m:den>
                  </m:f>
                  <m:d>
                    <m:dPr>
                      <m:ctrlPr>
                        <w:rPr>
                          <w:rFonts w:ascii="Cambria Math" w:eastAsia="Calibri" w:hAnsi="Cambria Math" w:cs="Times New Roman"/>
                          <w:i/>
                        </w:rPr>
                      </m:ctrlPr>
                    </m:dPr>
                    <m:e>
                      <m:nary>
                        <m:naryPr>
                          <m:chr m:val="∑"/>
                          <m:ctrlPr>
                            <w:rPr>
                              <w:rFonts w:ascii="Cambria Math" w:eastAsia="Calibri" w:hAnsi="Cambria Math" w:cs="Times New Roman"/>
                              <w:i/>
                            </w:rPr>
                          </m:ctrlPr>
                        </m:naryPr>
                        <m:sub>
                          <m:r>
                            <w:rPr>
                              <w:rFonts w:ascii="Cambria Math" w:eastAsia="Calibri" w:hAnsi="Cambria Math" w:cs="Times New Roman"/>
                            </w:rPr>
                            <m:t>t=1</m:t>
                          </m:r>
                        </m:sub>
                        <m:sup>
                          <m:r>
                            <w:rPr>
                              <w:rFonts w:ascii="Cambria Math" w:eastAsia="Calibri" w:hAnsi="Cambria Math" w:cs="Times New Roman"/>
                            </w:rPr>
                            <m:t>T-1</m:t>
                          </m:r>
                        </m:sup>
                        <m:e>
                          <m:sSup>
                            <m:sSupPr>
                              <m:ctrlPr>
                                <w:rPr>
                                  <w:rFonts w:ascii="Cambria Math" w:eastAsia="Calibri" w:hAnsi="Cambria Math" w:cs="Times New Roman"/>
                                  <w:i/>
                                </w:rPr>
                              </m:ctrlPr>
                            </m:sSupPr>
                            <m:e>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u</m:t>
                                      </m:r>
                                    </m:e>
                                    <m:sub>
                                      <m:r>
                                        <w:rPr>
                                          <w:rFonts w:ascii="Cambria Math" w:eastAsia="Calibri" w:hAnsi="Cambria Math" w:cs="Times New Roman"/>
                                        </w:rPr>
                                        <m:t>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u</m:t>
                                      </m:r>
                                    </m:e>
                                    <m:sub>
                                      <m:r>
                                        <w:rPr>
                                          <w:rFonts w:ascii="Cambria Math" w:eastAsia="Calibri" w:hAnsi="Cambria Math" w:cs="Times New Roman"/>
                                        </w:rPr>
                                        <m:t>t</m:t>
                                      </m:r>
                                    </m:sub>
                                  </m:sSub>
                                </m:e>
                              </m:d>
                            </m:e>
                            <m:sup>
                              <m:r>
                                <w:rPr>
                                  <w:rFonts w:ascii="Cambria Math" w:eastAsia="Calibri" w:hAnsi="Cambria Math" w:cs="Times New Roman"/>
                                </w:rPr>
                                <m:t>2</m:t>
                              </m:r>
                            </m:sup>
                          </m:sSup>
                        </m:e>
                      </m:nary>
                    </m:e>
                  </m:d>
                </m:e>
              </m:d>
            </m:e>
          </m:func>
          <m:sSub>
            <m:sSubPr>
              <m:ctrlPr>
                <w:rPr>
                  <w:rFonts w:ascii="Cambria Math" w:eastAsia="Times New Roman" w:hAnsi="Cambria Math" w:cs="Times New Roman"/>
                  <w:b/>
                  <w:i/>
                </w:rPr>
              </m:ctrlPr>
            </m:sSubPr>
            <m:e>
              <m:r>
                <m:rPr>
                  <m:sty m:val="bi"/>
                </m:rPr>
                <w:rPr>
                  <w:rFonts w:ascii="Cambria Math" w:eastAsia="Times New Roman" w:hAnsi="Cambria Math" w:cs="Times New Roman"/>
                </w:rPr>
                <m:t>1</m:t>
              </m:r>
            </m:e>
            <m:sub>
              <m:d>
                <m:dPr>
                  <m:begChr m:val="["/>
                  <m:endChr m:val="]"/>
                  <m:ctrlPr>
                    <w:rPr>
                      <w:rFonts w:ascii="Cambria Math" w:eastAsia="Times New Roman" w:hAnsi="Cambria Math" w:cs="Times New Roman"/>
                      <w:i/>
                    </w:rPr>
                  </m:ctrlPr>
                </m:dPr>
                <m:e>
                  <m:nary>
                    <m:naryPr>
                      <m:chr m:val="∑"/>
                      <m:ctrlPr>
                        <w:rPr>
                          <w:rFonts w:ascii="Cambria Math" w:eastAsia="Times New Roman" w:hAnsi="Cambria Math" w:cs="Times New Roman"/>
                          <w:i/>
                        </w:rPr>
                      </m:ctrlPr>
                    </m:naryPr>
                    <m:sub>
                      <m:r>
                        <w:rPr>
                          <w:rFonts w:ascii="Cambria Math" w:eastAsia="Times New Roman" w:hAnsi="Cambria Math" w:cs="Times New Roman"/>
                        </w:rPr>
                        <m:t>t=1</m:t>
                      </m:r>
                    </m:sub>
                    <m:sup>
                      <m:r>
                        <w:rPr>
                          <w:rFonts w:ascii="Cambria Math" w:eastAsia="Times New Roman" w:hAnsi="Cambria Math" w:cs="Times New Roman"/>
                        </w:rPr>
                        <m:t>T</m:t>
                      </m:r>
                    </m:sup>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j</m:t>
                          </m:r>
                        </m:sub>
                      </m:sSub>
                    </m:e>
                  </m:nary>
                  <m:r>
                    <w:rPr>
                      <w:rFonts w:ascii="Cambria Math" w:eastAsia="Times New Roman" w:hAnsi="Cambria Math" w:cs="Times New Roman"/>
                    </w:rPr>
                    <m:t>=0</m:t>
                  </m:r>
                </m:e>
              </m:d>
            </m:sub>
          </m:sSub>
          <m:r>
            <m:rPr>
              <m:sty m:val="bi"/>
            </m:rPr>
            <w:rPr>
              <w:rFonts w:ascii="Cambria Math" w:eastAsia="Times New Roman" w:hAnsi="Cambria Math" w:cs="Times New Roman"/>
            </w:rPr>
            <m:t>.</m:t>
          </m:r>
        </m:oMath>
      </m:oMathPara>
    </w:p>
    <w:p w14:paraId="139DC2E2"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This is a proper density due to the </w:t>
      </w:r>
      <w:proofErr w:type="gramStart"/>
      <w:r w:rsidRPr="001F7E51">
        <w:rPr>
          <w:rFonts w:ascii="Calibri" w:eastAsia="Times New Roman" w:hAnsi="Calibri" w:cs="Times New Roman"/>
        </w:rPr>
        <w:t xml:space="preserve">constraint </w:t>
      </w:r>
      <w:proofErr w:type="gramEnd"/>
      <m:oMath>
        <m:nary>
          <m:naryPr>
            <m:chr m:val="∑"/>
            <m:ctrlPr>
              <w:rPr>
                <w:rFonts w:ascii="Cambria Math" w:eastAsia="Times New Roman" w:hAnsi="Cambria Math" w:cs="Times New Roman"/>
                <w:i/>
              </w:rPr>
            </m:ctrlPr>
          </m:naryPr>
          <m:sub>
            <m:r>
              <w:rPr>
                <w:rFonts w:ascii="Cambria Math" w:eastAsia="Times New Roman" w:hAnsi="Cambria Math" w:cs="Times New Roman"/>
              </w:rPr>
              <m:t>j=1</m:t>
            </m:r>
          </m:sub>
          <m:sup>
            <m:r>
              <w:rPr>
                <w:rFonts w:ascii="Cambria Math" w:eastAsia="Times New Roman" w:hAnsi="Cambria Math" w:cs="Times New Roman"/>
              </w:rPr>
              <m:t>n</m:t>
            </m:r>
          </m:sup>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j</m:t>
                </m:r>
              </m:sub>
            </m:sSub>
          </m:e>
        </m:nary>
        <m:r>
          <w:rPr>
            <w:rFonts w:ascii="Cambria Math" w:eastAsia="Times New Roman" w:hAnsi="Cambria Math" w:cs="Times New Roman"/>
          </w:rPr>
          <m:t>=0</m:t>
        </m:r>
      </m:oMath>
      <w:r w:rsidRPr="001F7E51">
        <w:rPr>
          <w:rFonts w:ascii="Calibri" w:eastAsia="Times New Roman" w:hAnsi="Calibri" w:cs="Times New Roman"/>
        </w:rPr>
        <w:t xml:space="preserve">.  An alternative representation is with precision </w:t>
      </w:r>
      <m:oMath>
        <m:r>
          <m:rPr>
            <m:sty m:val="bi"/>
          </m:rPr>
          <w:rPr>
            <w:rFonts w:ascii="Cambria Math" w:eastAsia="Times New Roman" w:hAnsi="Cambria Math" w:cs="Times New Roman"/>
          </w:rPr>
          <m:t>Q</m:t>
        </m:r>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u</m:t>
                </m:r>
              </m:sub>
              <m:sup>
                <m:r>
                  <w:rPr>
                    <w:rFonts w:ascii="Cambria Math" w:eastAsia="Times New Roman" w:hAnsi="Cambria Math" w:cs="Times New Roman"/>
                  </w:rPr>
                  <m:t>2</m:t>
                </m:r>
              </m:sup>
            </m:sSubSup>
          </m:den>
        </m:f>
        <m:r>
          <m:rPr>
            <m:sty m:val="bi"/>
          </m:rPr>
          <w:rPr>
            <w:rFonts w:ascii="Cambria Math" w:eastAsia="Times New Roman" w:hAnsi="Cambria Math" w:cs="Times New Roman"/>
          </w:rPr>
          <m:t>R</m:t>
        </m:r>
      </m:oMath>
      <w:r w:rsidRPr="001F7E51">
        <w:rPr>
          <w:rFonts w:ascii="Calibri" w:eastAsia="Times New Roman" w:hAnsi="Calibri" w:cs="Times New Roman"/>
        </w:rPr>
        <w:t xml:space="preserve"> where </w:t>
      </w:r>
      <m:oMath>
        <m:r>
          <m:rPr>
            <m:sty m:val="bi"/>
          </m:rPr>
          <w:rPr>
            <w:rFonts w:ascii="Cambria Math" w:eastAsia="Times New Roman" w:hAnsi="Cambria Math" w:cs="Times New Roman"/>
          </w:rPr>
          <m:t>R</m:t>
        </m:r>
      </m:oMath>
      <w:r w:rsidRPr="001F7E51">
        <w:rPr>
          <w:rFonts w:ascii="Calibri" w:eastAsia="Times New Roman" w:hAnsi="Calibri" w:cs="Times New Roman"/>
        </w:rPr>
        <w:t xml:space="preserve"> is called the structure matrix.  </w:t>
      </w:r>
    </w:p>
    <w:p w14:paraId="264A103A" w14:textId="287CF614"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Relevant to MCMC sampling of the posterior distribution is specification of a sampling procedure for this density that satisfies the </w:t>
      </w:r>
      <w:proofErr w:type="gramStart"/>
      <w:r w:rsidRPr="001F7E51">
        <w:rPr>
          <w:rFonts w:ascii="Calibri" w:eastAsia="Times New Roman" w:hAnsi="Calibri" w:cs="Times New Roman"/>
        </w:rPr>
        <w:t>constraint</w:t>
      </w:r>
      <w:r>
        <w:rPr>
          <w:rFonts w:ascii="Calibri" w:eastAsia="Times New Roman" w:hAnsi="Calibri" w:cs="Times New Roman"/>
        </w:rPr>
        <w:t xml:space="preserve"> </w:t>
      </w:r>
      <w:proofErr w:type="gramEnd"/>
      <m:oMath>
        <m:nary>
          <m:naryPr>
            <m:chr m:val="∑"/>
            <m:ctrlPr>
              <w:rPr>
                <w:rFonts w:ascii="Cambria Math" w:eastAsia="Times New Roman" w:hAnsi="Cambria Math" w:cs="Times New Roman"/>
                <w:i/>
              </w:rPr>
            </m:ctrlPr>
          </m:naryPr>
          <m:sub>
            <m:r>
              <w:rPr>
                <w:rFonts w:ascii="Cambria Math" w:eastAsia="Times New Roman" w:hAnsi="Cambria Math" w:cs="Times New Roman"/>
              </w:rPr>
              <m:t>j=1</m:t>
            </m:r>
          </m:sub>
          <m:sup>
            <m:r>
              <w:rPr>
                <w:rFonts w:ascii="Cambria Math" w:eastAsia="Times New Roman" w:hAnsi="Cambria Math" w:cs="Times New Roman"/>
              </w:rPr>
              <m:t>n</m:t>
            </m:r>
          </m:sup>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j</m:t>
                </m:r>
              </m:sub>
            </m:sSub>
          </m:e>
        </m:nary>
        <m:r>
          <w:rPr>
            <w:rFonts w:ascii="Cambria Math" w:eastAsia="Times New Roman" w:hAnsi="Cambria Math" w:cs="Times New Roman"/>
          </w:rPr>
          <m:t>=0</m:t>
        </m:r>
      </m:oMath>
      <w:r w:rsidRPr="001F7E51">
        <w:rPr>
          <w:rFonts w:ascii="Calibri" w:eastAsia="Times New Roman" w:hAnsi="Calibri" w:cs="Times New Roman"/>
        </w:rPr>
        <w:t xml:space="preserve">.  </w:t>
      </w:r>
      <w:r w:rsidR="007C2269">
        <w:rPr>
          <w:rFonts w:ascii="Calibri" w:eastAsia="Times New Roman" w:hAnsi="Calibri" w:cs="Times New Roman"/>
        </w:rPr>
        <w:t>One</w:t>
      </w:r>
      <w:r w:rsidR="000A148D">
        <w:rPr>
          <w:rFonts w:ascii="Calibri" w:eastAsia="Times New Roman" w:hAnsi="Calibri" w:cs="Times New Roman"/>
        </w:rPr>
        <w:t xml:space="preserve"> </w:t>
      </w:r>
      <w:r w:rsidRPr="001F7E51">
        <w:rPr>
          <w:rFonts w:ascii="Calibri" w:eastAsia="Times New Roman" w:hAnsi="Calibri" w:cs="Times New Roman"/>
        </w:rPr>
        <w:t xml:space="preserve">form utilizes the </w:t>
      </w:r>
      <w:proofErr w:type="spellStart"/>
      <w:r w:rsidRPr="001F7E51">
        <w:rPr>
          <w:rFonts w:ascii="Calibri" w:eastAsia="Times New Roman" w:hAnsi="Calibri" w:cs="Times New Roman"/>
        </w:rPr>
        <w:t>Cholesky</w:t>
      </w:r>
      <w:proofErr w:type="spellEnd"/>
      <w:r w:rsidRPr="001F7E51">
        <w:rPr>
          <w:rFonts w:ascii="Calibri" w:eastAsia="Times New Roman" w:hAnsi="Calibri" w:cs="Times New Roman"/>
        </w:rPr>
        <w:t xml:space="preserve"> factorization for a rank </w:t>
      </w:r>
      <m:oMath>
        <m:r>
          <w:rPr>
            <w:rFonts w:ascii="Cambria Math" w:eastAsia="Times New Roman" w:hAnsi="Cambria Math" w:cs="Times New Roman"/>
          </w:rPr>
          <m:t>n-1</m:t>
        </m:r>
      </m:oMath>
      <w:r w:rsidRPr="001F7E51">
        <w:rPr>
          <w:rFonts w:ascii="Calibri" w:eastAsia="Times New Roman" w:hAnsi="Calibri" w:cs="Times New Roman"/>
        </w:rPr>
        <w:t xml:space="preserve"> positive definite submatrix of the generalized inverse </w:t>
      </w:r>
      <w:proofErr w:type="gramStart"/>
      <w:r w:rsidRPr="001F7E51">
        <w:rPr>
          <w:rFonts w:ascii="Calibri" w:eastAsia="Times New Roman" w:hAnsi="Calibri" w:cs="Times New Roman"/>
        </w:rPr>
        <w:t xml:space="preserve">of </w:t>
      </w:r>
      <w:proofErr w:type="gramEnd"/>
      <m:oMath>
        <m:r>
          <m:rPr>
            <m:sty m:val="bi"/>
          </m:rPr>
          <w:rPr>
            <w:rFonts w:ascii="Cambria Math" w:eastAsia="Times New Roman" w:hAnsi="Cambria Math" w:cs="Times New Roman"/>
          </w:rPr>
          <m:t>Q</m:t>
        </m:r>
      </m:oMath>
      <w:r w:rsidRPr="001F7E51">
        <w:rPr>
          <w:rFonts w:ascii="Calibri" w:eastAsia="Times New Roman" w:hAnsi="Calibri" w:cs="Times New Roman"/>
        </w:rPr>
        <w:t>.</w:t>
      </w:r>
    </w:p>
    <w:p w14:paraId="025D366C"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That is, let </w:t>
      </w:r>
      <m:oMath>
        <m:r>
          <m:rPr>
            <m:sty m:val="b"/>
          </m:rPr>
          <w:rPr>
            <w:rFonts w:ascii="Cambria Math" w:eastAsia="Times New Roman" w:hAnsi="Cambria Math" w:cs="Times New Roman"/>
          </w:rPr>
          <m:t>Σ</m:t>
        </m:r>
      </m:oMath>
      <w:r w:rsidRPr="001F7E51">
        <w:rPr>
          <w:rFonts w:ascii="Calibri" w:eastAsia="Times New Roman" w:hAnsi="Calibri" w:cs="Times New Roman"/>
        </w:rPr>
        <w:t xml:space="preserve"> be the generalized or Moore-Penrose inverse </w:t>
      </w:r>
      <w:proofErr w:type="gramStart"/>
      <w:r w:rsidRPr="001F7E51">
        <w:rPr>
          <w:rFonts w:ascii="Calibri" w:eastAsia="Times New Roman" w:hAnsi="Calibri" w:cs="Times New Roman"/>
        </w:rPr>
        <w:t>of</w:t>
      </w:r>
      <w:r w:rsidRPr="001F7E51">
        <w:rPr>
          <w:rFonts w:ascii="Calibri" w:eastAsia="Times New Roman" w:hAnsi="Calibri" w:cs="Times New Roman"/>
          <w:b/>
        </w:rPr>
        <w:t xml:space="preserve"> </w:t>
      </w:r>
      <w:proofErr w:type="gramEnd"/>
      <m:oMath>
        <m:r>
          <m:rPr>
            <m:sty m:val="bi"/>
          </m:rPr>
          <w:rPr>
            <w:rFonts w:ascii="Cambria Math" w:eastAsia="Times New Roman" w:hAnsi="Cambria Math" w:cs="Times New Roman"/>
          </w:rPr>
          <m:t>Q</m:t>
        </m:r>
      </m:oMath>
      <w:r w:rsidRPr="001F7E51">
        <w:rPr>
          <w:rFonts w:ascii="Calibri" w:eastAsia="Times New Roman" w:hAnsi="Calibri" w:cs="Times New Roman"/>
        </w:rPr>
        <w:t xml:space="preserve">, the covariance matrix of </w:t>
      </w:r>
      <m:oMath>
        <m:r>
          <m:rPr>
            <m:sty m:val="bi"/>
          </m:rPr>
          <w:rPr>
            <w:rFonts w:ascii="Cambria Math" w:eastAsia="Times New Roman" w:hAnsi="Cambria Math" w:cs="Times New Roman"/>
          </w:rPr>
          <m:t>u</m:t>
        </m:r>
        <m:r>
          <w:rPr>
            <w:rFonts w:ascii="Cambria Math" w:eastAsia="Times New Roman" w:hAnsi="Cambria Math" w:cs="Times New Roman"/>
          </w:rPr>
          <m:t>=</m:t>
        </m:r>
        <m:sSup>
          <m:sSupPr>
            <m:ctrlPr>
              <w:rPr>
                <w:rFonts w:ascii="Cambria Math" w:eastAsia="Times New Roman" w:hAnsi="Cambria Math" w:cs="Times New Roman"/>
                <w:i/>
              </w:rPr>
            </m:ctrlPr>
          </m:sSupPr>
          <m:e>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T</m:t>
                    </m:r>
                  </m:sub>
                </m:sSub>
              </m:e>
            </m:d>
          </m:e>
          <m:sup>
            <m:r>
              <w:rPr>
                <w:rFonts w:ascii="Cambria Math" w:eastAsia="Times New Roman" w:hAnsi="Cambria Math" w:cs="Times New Roman"/>
              </w:rPr>
              <m:t>T</m:t>
            </m:r>
          </m:sup>
        </m:sSup>
      </m:oMath>
      <w:r w:rsidRPr="001F7E51">
        <w:rPr>
          <w:rFonts w:ascii="Calibri" w:eastAsia="Times New Roman" w:hAnsi="Calibri" w:cs="Times New Roman"/>
        </w:rPr>
        <w:t xml:space="preserve">.  Consider any </w:t>
      </w:r>
      <m:oMath>
        <m:d>
          <m:dPr>
            <m:ctrlPr>
              <w:rPr>
                <w:rFonts w:ascii="Cambria Math" w:eastAsia="Times New Roman" w:hAnsi="Cambria Math" w:cs="Times New Roman"/>
                <w:i/>
              </w:rPr>
            </m:ctrlPr>
          </m:dPr>
          <m:e>
            <m:r>
              <w:rPr>
                <w:rFonts w:ascii="Cambria Math" w:eastAsia="Times New Roman" w:hAnsi="Cambria Math" w:cs="Times New Roman"/>
              </w:rPr>
              <m:t>T-1</m:t>
            </m:r>
          </m:e>
        </m:d>
      </m:oMath>
      <w:r w:rsidRPr="001F7E51">
        <w:rPr>
          <w:rFonts w:ascii="Calibri" w:eastAsia="Times New Roman" w:hAnsi="Calibri" w:cs="Times New Roman"/>
        </w:rPr>
        <w:t xml:space="preserve">-dimensional subset </w:t>
      </w:r>
      <w:proofErr w:type="gramStart"/>
      <w:r w:rsidRPr="001F7E51">
        <w:rPr>
          <w:rFonts w:ascii="Calibri" w:eastAsia="Times New Roman" w:hAnsi="Calibri" w:cs="Times New Roman"/>
        </w:rPr>
        <w:t xml:space="preserve">of </w:t>
      </w:r>
      <w:proofErr w:type="gramEnd"/>
      <m:oMath>
        <m:r>
          <m:rPr>
            <m:sty m:val="b"/>
          </m:rPr>
          <w:rPr>
            <w:rFonts w:ascii="Cambria Math" w:eastAsia="Times New Roman" w:hAnsi="Cambria Math" w:cs="Times New Roman"/>
          </w:rPr>
          <m:t>Σ</m:t>
        </m:r>
      </m:oMath>
      <w:r w:rsidRPr="001F7E51">
        <w:rPr>
          <w:rFonts w:ascii="Calibri" w:eastAsia="Times New Roman" w:hAnsi="Calibri" w:cs="Times New Roman"/>
        </w:rPr>
        <w:t xml:space="preserve">, denoted here </w:t>
      </w:r>
      <m:oMath>
        <m:sSub>
          <m:sSubPr>
            <m:ctrlPr>
              <w:rPr>
                <w:rFonts w:ascii="Cambria Math" w:eastAsia="Times New Roman" w:hAnsi="Cambria Math" w:cs="Times New Roman"/>
                <w:i/>
              </w:rPr>
            </m:ctrlPr>
          </m:sSubPr>
          <m:e>
            <m:r>
              <m:rPr>
                <m:sty m:val="b"/>
              </m:rPr>
              <w:rPr>
                <w:rFonts w:ascii="Cambria Math" w:eastAsia="Times New Roman" w:hAnsi="Cambria Math" w:cs="Times New Roman"/>
              </w:rPr>
              <m:t>Σ</m:t>
            </m:r>
            <m:ctrlPr>
              <w:rPr>
                <w:rFonts w:ascii="Cambria Math" w:eastAsia="Times New Roman" w:hAnsi="Cambria Math" w:cs="Times New Roman"/>
              </w:rPr>
            </m:ctrlPr>
          </m:e>
          <m:sub>
            <m:r>
              <w:rPr>
                <w:rFonts w:ascii="Cambria Math" w:eastAsia="Times New Roman" w:hAnsi="Cambria Math" w:cs="Times New Roman"/>
              </w:rPr>
              <m:t>T-1</m:t>
            </m:r>
          </m:sub>
        </m:sSub>
      </m:oMath>
      <w:r w:rsidRPr="001F7E51">
        <w:rPr>
          <w:rFonts w:ascii="Calibri" w:eastAsia="Times New Roman" w:hAnsi="Calibri" w:cs="Times New Roman"/>
        </w:rPr>
        <w:t>, which will be posit</w:t>
      </w:r>
      <w:proofErr w:type="spellStart"/>
      <w:r w:rsidRPr="001F7E51">
        <w:rPr>
          <w:rFonts w:ascii="Calibri" w:eastAsia="Times New Roman" w:hAnsi="Calibri" w:cs="Times New Roman"/>
        </w:rPr>
        <w:t>ive</w:t>
      </w:r>
      <w:proofErr w:type="spellEnd"/>
      <w:r w:rsidRPr="001F7E51">
        <w:rPr>
          <w:rFonts w:ascii="Calibri" w:eastAsia="Times New Roman" w:hAnsi="Calibri" w:cs="Times New Roman"/>
        </w:rPr>
        <w:t xml:space="preserve"> </w:t>
      </w:r>
      <w:r w:rsidRPr="001F7E51">
        <w:rPr>
          <w:rFonts w:ascii="Calibri" w:eastAsia="Times New Roman" w:hAnsi="Calibri" w:cs="Times New Roman"/>
        </w:rPr>
        <w:lastRenderedPageBreak/>
        <w:t xml:space="preserve">definite in the random walk case. The </w:t>
      </w:r>
      <w:proofErr w:type="spellStart"/>
      <w:r w:rsidRPr="001F7E51">
        <w:rPr>
          <w:rFonts w:ascii="Calibri" w:eastAsia="Times New Roman" w:hAnsi="Calibri" w:cs="Times New Roman"/>
        </w:rPr>
        <w:t>Cholesky</w:t>
      </w:r>
      <w:proofErr w:type="spellEnd"/>
      <w:r w:rsidRPr="001F7E51">
        <w:rPr>
          <w:rFonts w:ascii="Calibri" w:eastAsia="Times New Roman" w:hAnsi="Calibri" w:cs="Times New Roman"/>
        </w:rPr>
        <w:t xml:space="preserve"> factorization is a (lower) triangular matrix </w:t>
      </w:r>
      <m:oMath>
        <m:r>
          <w:rPr>
            <w:rFonts w:ascii="Cambria Math" w:eastAsia="Times New Roman" w:hAnsi="Cambria Math" w:cs="Times New Roman"/>
          </w:rPr>
          <m:t>L</m:t>
        </m:r>
      </m:oMath>
      <w:r w:rsidRPr="001F7E51">
        <w:rPr>
          <w:rFonts w:ascii="Calibri" w:eastAsia="Times New Roman" w:hAnsi="Calibri" w:cs="Times New Roman"/>
        </w:rPr>
        <w:t xml:space="preserve"> such </w:t>
      </w:r>
      <w:proofErr w:type="gramStart"/>
      <w:r w:rsidRPr="001F7E51">
        <w:rPr>
          <w:rFonts w:ascii="Calibri" w:eastAsia="Times New Roman" w:hAnsi="Calibri" w:cs="Times New Roman"/>
        </w:rPr>
        <w:t xml:space="preserve">that </w:t>
      </w:r>
      <w:proofErr w:type="gramEnd"/>
      <m:oMath>
        <m:r>
          <m:rPr>
            <m:sty m:val="bi"/>
          </m:rPr>
          <w:rPr>
            <w:rFonts w:ascii="Cambria Math" w:eastAsia="Times New Roman" w:hAnsi="Cambria Math" w:cs="Times New Roman"/>
          </w:rPr>
          <m:t>L</m:t>
        </m:r>
        <m:sSup>
          <m:sSupPr>
            <m:ctrlPr>
              <w:rPr>
                <w:rFonts w:ascii="Cambria Math" w:eastAsia="Times New Roman" w:hAnsi="Cambria Math" w:cs="Times New Roman"/>
                <w:i/>
              </w:rPr>
            </m:ctrlPr>
          </m:sSupPr>
          <m:e>
            <m:r>
              <m:rPr>
                <m:sty m:val="bi"/>
              </m:rPr>
              <w:rPr>
                <w:rFonts w:ascii="Cambria Math" w:eastAsia="Times New Roman" w:hAnsi="Cambria Math" w:cs="Times New Roman"/>
              </w:rPr>
              <m:t>L</m:t>
            </m:r>
          </m:e>
          <m:sup>
            <m:r>
              <w:rPr>
                <w:rFonts w:ascii="Cambria Math" w:eastAsia="Times New Roman" w:hAnsi="Cambria Math" w:cs="Times New Roman"/>
              </w:rPr>
              <m:t>T</m:t>
            </m:r>
          </m:sup>
        </m:sSup>
        <m:r>
          <w:rPr>
            <w:rFonts w:ascii="Cambria Math" w:eastAsia="Times New Roman" w:hAnsi="Cambria Math" w:cs="Times New Roman"/>
          </w:rPr>
          <m:t>=</m:t>
        </m:r>
        <m:sSub>
          <m:sSubPr>
            <m:ctrlPr>
              <w:rPr>
                <w:rFonts w:ascii="Cambria Math" w:eastAsia="Times New Roman" w:hAnsi="Cambria Math" w:cs="Times New Roman"/>
                <w:i/>
              </w:rPr>
            </m:ctrlPr>
          </m:sSubPr>
          <m:e>
            <m:r>
              <m:rPr>
                <m:sty m:val="b"/>
              </m:rPr>
              <w:rPr>
                <w:rFonts w:ascii="Cambria Math" w:eastAsia="Times New Roman" w:hAnsi="Cambria Math" w:cs="Times New Roman"/>
              </w:rPr>
              <m:t>Σ</m:t>
            </m:r>
            <m:ctrlPr>
              <w:rPr>
                <w:rFonts w:ascii="Cambria Math" w:eastAsia="Times New Roman" w:hAnsi="Cambria Math" w:cs="Times New Roman"/>
              </w:rPr>
            </m:ctrlPr>
          </m:e>
          <m:sub>
            <m:r>
              <w:rPr>
                <w:rFonts w:ascii="Cambria Math" w:eastAsia="Times New Roman" w:hAnsi="Cambria Math" w:cs="Times New Roman"/>
              </w:rPr>
              <m:t>T-1</m:t>
            </m:r>
          </m:sub>
        </m:sSub>
      </m:oMath>
      <w:r w:rsidRPr="001F7E51">
        <w:rPr>
          <w:rFonts w:ascii="Calibri" w:eastAsia="Times New Roman" w:hAnsi="Calibri" w:cs="Times New Roman"/>
        </w:rPr>
        <w:t>. Then one sampling strategy consists of the following:</w:t>
      </w:r>
    </w:p>
    <w:p w14:paraId="4CFD8D4C"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Step 1: </w:t>
      </w:r>
      <w:proofErr w:type="gramStart"/>
      <w:r w:rsidRPr="001F7E51">
        <w:rPr>
          <w:rFonts w:ascii="Calibri" w:eastAsia="Times New Roman" w:hAnsi="Calibri" w:cs="Times New Roman"/>
        </w:rPr>
        <w:t xml:space="preserve">Sample </w:t>
      </w:r>
      <w:proofErr w:type="gramEnd"/>
      <m:oMath>
        <m:sSub>
          <m:sSubPr>
            <m:ctrlPr>
              <w:rPr>
                <w:rFonts w:ascii="Cambria Math" w:eastAsia="Times New Roman" w:hAnsi="Cambria Math" w:cs="Times New Roman"/>
                <w:i/>
              </w:rPr>
            </m:ctrlPr>
          </m:sSubPr>
          <m:e>
            <m:r>
              <w:rPr>
                <w:rFonts w:ascii="Cambria Math" w:eastAsia="Times New Roman" w:hAnsi="Cambria Math" w:cs="Times New Roman"/>
              </w:rPr>
              <m:t>z</m:t>
            </m:r>
          </m:e>
          <m:sub>
            <m:r>
              <w:rPr>
                <w:rFonts w:ascii="Cambria Math" w:eastAsia="Times New Roman" w:hAnsi="Cambria Math" w:cs="Times New Roman"/>
              </w:rPr>
              <m:t>t</m:t>
            </m:r>
          </m:sub>
        </m:sSub>
        <m:r>
          <w:rPr>
            <w:rFonts w:ascii="Cambria Math" w:eastAsia="Times New Roman" w:hAnsi="Cambria Math" w:cs="Times New Roman"/>
          </w:rPr>
          <m:t>∼N</m:t>
        </m:r>
        <m:d>
          <m:dPr>
            <m:ctrlPr>
              <w:rPr>
                <w:rFonts w:ascii="Cambria Math" w:eastAsia="Times New Roman" w:hAnsi="Cambria Math" w:cs="Times New Roman"/>
                <w:i/>
              </w:rPr>
            </m:ctrlPr>
          </m:dPr>
          <m:e>
            <m:r>
              <w:rPr>
                <w:rFonts w:ascii="Cambria Math" w:eastAsia="Times New Roman" w:hAnsi="Cambria Math" w:cs="Times New Roman"/>
              </w:rPr>
              <m:t>0,1</m:t>
            </m:r>
          </m:e>
        </m:d>
      </m:oMath>
      <w:r w:rsidRPr="001F7E51">
        <w:rPr>
          <w:rFonts w:ascii="Calibri" w:eastAsia="Times New Roman" w:hAnsi="Calibri" w:cs="Times New Roman"/>
        </w:rPr>
        <w:t xml:space="preserve">, </w:t>
      </w:r>
      <m:oMath>
        <m:r>
          <w:rPr>
            <w:rFonts w:ascii="Cambria Math" w:eastAsia="Times New Roman" w:hAnsi="Cambria Math" w:cs="Times New Roman"/>
          </w:rPr>
          <m:t>t=1,…,T-1</m:t>
        </m:r>
      </m:oMath>
      <w:r w:rsidRPr="001F7E51">
        <w:rPr>
          <w:rFonts w:ascii="Calibri" w:eastAsia="Times New Roman" w:hAnsi="Calibri" w:cs="Times New Roman"/>
        </w:rPr>
        <w:t>.</w:t>
      </w:r>
    </w:p>
    <w:p w14:paraId="36228211"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Step 2: Set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u</m:t>
            </m:r>
          </m:e>
          <m:sub>
            <m:d>
              <m:dPr>
                <m:ctrlPr>
                  <w:rPr>
                    <w:rFonts w:ascii="Cambria Math" w:eastAsia="Times New Roman" w:hAnsi="Cambria Math" w:cs="Times New Roman"/>
                    <w:b/>
                    <w:i/>
                  </w:rPr>
                </m:ctrlPr>
              </m:dPr>
              <m:e>
                <m:r>
                  <m:rPr>
                    <m:sty m:val="bi"/>
                  </m:rPr>
                  <w:rPr>
                    <w:rFonts w:ascii="Cambria Math" w:eastAsia="Times New Roman" w:hAnsi="Cambria Math" w:cs="Times New Roman"/>
                  </w:rPr>
                  <m:t>-i</m:t>
                </m:r>
              </m:e>
            </m:d>
          </m:sub>
        </m:sSub>
        <m:r>
          <w:rPr>
            <w:rFonts w:ascii="Cambria Math" w:eastAsia="Times New Roman" w:hAnsi="Cambria Math" w:cs="Times New Roman"/>
          </w:rPr>
          <m:t>=</m:t>
        </m:r>
        <m:r>
          <m:rPr>
            <m:sty m:val="bi"/>
          </m:rPr>
          <w:rPr>
            <w:rFonts w:ascii="Cambria Math" w:eastAsia="Times New Roman" w:hAnsi="Cambria Math" w:cs="Times New Roman"/>
          </w:rPr>
          <m:t>Lz</m:t>
        </m:r>
      </m:oMath>
      <w:r w:rsidRPr="001F7E51">
        <w:rPr>
          <w:rFonts w:ascii="Calibri" w:eastAsia="Times New Roman" w:hAnsi="Calibri" w:cs="Times New Roman"/>
        </w:rPr>
        <w:t xml:space="preserve"> where </w:t>
      </w:r>
      <m:oMath>
        <m:r>
          <w:rPr>
            <w:rFonts w:ascii="Cambria Math" w:eastAsia="Times New Roman" w:hAnsi="Cambria Math" w:cs="Times New Roman"/>
          </w:rPr>
          <m:t>i</m:t>
        </m:r>
      </m:oMath>
      <w:proofErr w:type="gramStart"/>
      <w:r w:rsidRPr="001F7E51">
        <w:rPr>
          <w:rFonts w:ascii="Calibri" w:eastAsia="Times New Roman" w:hAnsi="Calibri" w:cs="Times New Roman"/>
        </w:rPr>
        <w:t xml:space="preserve"> is the index of the excluded element of </w:t>
      </w:r>
      <m:oMath>
        <m:r>
          <m:rPr>
            <m:sty m:val="bi"/>
          </m:rPr>
          <w:rPr>
            <w:rFonts w:ascii="Cambria Math" w:eastAsia="Times New Roman" w:hAnsi="Cambria Math" w:cs="Times New Roman"/>
          </w:rPr>
          <m:t xml:space="preserve">u </m:t>
        </m:r>
      </m:oMath>
      <w:r w:rsidRPr="001F7E51">
        <w:rPr>
          <w:rFonts w:ascii="Calibri" w:eastAsia="Times New Roman" w:hAnsi="Calibri" w:cs="Times New Roman"/>
        </w:rPr>
        <w:t>determining the sub-matrix</w:t>
      </w:r>
      <w:proofErr w:type="gramEnd"/>
      <w:r w:rsidRPr="001F7E51">
        <w:rPr>
          <w:rFonts w:ascii="Calibri" w:eastAsia="Times New Roman" w:hAnsi="Calibri" w:cs="Times New Roman"/>
        </w:rPr>
        <w:t xml:space="preserve"> </w:t>
      </w:r>
      <m:oMath>
        <m:sSub>
          <m:sSubPr>
            <m:ctrlPr>
              <w:rPr>
                <w:rFonts w:ascii="Cambria Math" w:eastAsia="Times New Roman" w:hAnsi="Cambria Math" w:cs="Times New Roman"/>
                <w:i/>
              </w:rPr>
            </m:ctrlPr>
          </m:sSubPr>
          <m:e>
            <m:r>
              <m:rPr>
                <m:sty m:val="b"/>
              </m:rPr>
              <w:rPr>
                <w:rFonts w:ascii="Cambria Math" w:eastAsia="Times New Roman" w:hAnsi="Cambria Math" w:cs="Times New Roman"/>
              </w:rPr>
              <m:t>Σ</m:t>
            </m:r>
            <m:ctrlPr>
              <w:rPr>
                <w:rFonts w:ascii="Cambria Math" w:eastAsia="Times New Roman" w:hAnsi="Cambria Math" w:cs="Times New Roman"/>
              </w:rPr>
            </m:ctrlPr>
          </m:e>
          <m:sub>
            <m:r>
              <w:rPr>
                <w:rFonts w:ascii="Cambria Math" w:eastAsia="Times New Roman" w:hAnsi="Cambria Math" w:cs="Times New Roman"/>
              </w:rPr>
              <m:t>n-1</m:t>
            </m:r>
          </m:sub>
        </m:sSub>
      </m:oMath>
      <w:r w:rsidRPr="001F7E51">
        <w:rPr>
          <w:rFonts w:ascii="Calibri" w:eastAsia="Times New Roman" w:hAnsi="Calibri" w:cs="Times New Roman"/>
        </w:rPr>
        <w:t xml:space="preserve"> (</w:t>
      </w:r>
      <m:oMath>
        <m:r>
          <w:rPr>
            <w:rFonts w:ascii="Cambria Math" w:eastAsia="Times New Roman" w:hAnsi="Cambria Math" w:cs="Times New Roman"/>
          </w:rPr>
          <m:t>i</m:t>
        </m:r>
      </m:oMath>
      <w:r w:rsidRPr="001F7E51">
        <w:rPr>
          <w:rFonts w:ascii="Calibri" w:eastAsia="Times New Roman" w:hAnsi="Calibri" w:cs="Times New Roman"/>
        </w:rPr>
        <w:t xml:space="preserve">-th row and columns removed).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u</m:t>
            </m:r>
          </m:e>
          <m:sub>
            <m:d>
              <m:dPr>
                <m:ctrlPr>
                  <w:rPr>
                    <w:rFonts w:ascii="Cambria Math" w:eastAsia="Times New Roman" w:hAnsi="Cambria Math" w:cs="Times New Roman"/>
                    <w:b/>
                    <w:i/>
                  </w:rPr>
                </m:ctrlPr>
              </m:dPr>
              <m:e>
                <m:r>
                  <m:rPr>
                    <m:sty m:val="bi"/>
                  </m:rPr>
                  <w:rPr>
                    <w:rFonts w:ascii="Cambria Math" w:eastAsia="Times New Roman" w:hAnsi="Cambria Math" w:cs="Times New Roman"/>
                  </w:rPr>
                  <m:t>-i</m:t>
                </m:r>
              </m:e>
            </m:d>
          </m:sub>
        </m:sSub>
        <m:r>
          <w:rPr>
            <w:rFonts w:ascii="Cambria Math" w:eastAsia="Times New Roman" w:hAnsi="Cambria Math" w:cs="Times New Roman"/>
          </w:rPr>
          <m:t>∼MVN</m:t>
        </m:r>
        <m:d>
          <m:dPr>
            <m:ctrlPr>
              <w:rPr>
                <w:rFonts w:ascii="Cambria Math" w:eastAsia="Times New Roman" w:hAnsi="Cambria Math" w:cs="Times New Roman"/>
                <w:i/>
              </w:rPr>
            </m:ctrlPr>
          </m:dPr>
          <m:e>
            <m:r>
              <w:rPr>
                <w:rFonts w:ascii="Cambria Math" w:eastAsia="Times New Roman" w:hAnsi="Cambria Math" w:cs="Times New Roman"/>
              </w:rPr>
              <m:t>0,</m:t>
            </m:r>
            <m:sSub>
              <m:sSubPr>
                <m:ctrlPr>
                  <w:rPr>
                    <w:rFonts w:ascii="Cambria Math" w:eastAsia="Times New Roman" w:hAnsi="Cambria Math" w:cs="Times New Roman"/>
                    <w:i/>
                  </w:rPr>
                </m:ctrlPr>
              </m:sSubPr>
              <m:e>
                <m:r>
                  <m:rPr>
                    <m:sty m:val="b"/>
                  </m:rPr>
                  <w:rPr>
                    <w:rFonts w:ascii="Cambria Math" w:eastAsia="Times New Roman" w:hAnsi="Cambria Math" w:cs="Times New Roman"/>
                  </w:rPr>
                  <m:t>Σ</m:t>
                </m:r>
              </m:e>
              <m:sub>
                <m:r>
                  <w:rPr>
                    <w:rFonts w:ascii="Cambria Math" w:eastAsia="Times New Roman" w:hAnsi="Cambria Math" w:cs="Times New Roman"/>
                  </w:rPr>
                  <m:t>T-1</m:t>
                </m:r>
              </m:sub>
            </m:sSub>
          </m:e>
        </m:d>
      </m:oMath>
      <w:r w:rsidRPr="001F7E51">
        <w:rPr>
          <w:rFonts w:ascii="Calibri" w:eastAsia="Times New Roman" w:hAnsi="Calibri" w:cs="Times New Roman"/>
        </w:rPr>
        <w:t>.</w:t>
      </w:r>
    </w:p>
    <w:p w14:paraId="64E48E68"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Step 3: Set </w:t>
      </w:r>
      <m:oMath>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i</m:t>
            </m:r>
          </m:sub>
        </m:sSub>
        <m:r>
          <w:rPr>
            <w:rFonts w:ascii="Cambria Math" w:eastAsia="Times New Roman" w:hAnsi="Cambria Math" w:cs="Times New Roman"/>
          </w:rPr>
          <m:t>=-</m:t>
        </m:r>
        <m:nary>
          <m:naryPr>
            <m:chr m:val="∑"/>
            <m:supHide m:val="1"/>
            <m:ctrlPr>
              <w:rPr>
                <w:rFonts w:ascii="Cambria Math" w:eastAsia="Times New Roman" w:hAnsi="Cambria Math" w:cs="Times New Roman"/>
                <w:i/>
              </w:rPr>
            </m:ctrlPr>
          </m:naryPr>
          <m:sub>
            <m:d>
              <m:dPr>
                <m:ctrlPr>
                  <w:rPr>
                    <w:rFonts w:ascii="Cambria Math" w:eastAsia="Times New Roman" w:hAnsi="Cambria Math" w:cs="Times New Roman"/>
                    <w:i/>
                  </w:rPr>
                </m:ctrlPr>
              </m:dPr>
              <m:e>
                <m:r>
                  <w:rPr>
                    <w:rFonts w:ascii="Cambria Math" w:eastAsia="Times New Roman" w:hAnsi="Cambria Math" w:cs="Times New Roman"/>
                  </w:rPr>
                  <m:t>j≠i</m:t>
                </m:r>
              </m:e>
            </m:d>
          </m:sub>
          <m:sup/>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j</m:t>
                </m:r>
              </m:sub>
            </m:sSub>
          </m:e>
        </m:nary>
      </m:oMath>
      <w:r w:rsidRPr="001F7E51">
        <w:rPr>
          <w:rFonts w:ascii="Calibri" w:eastAsia="Times New Roman" w:hAnsi="Calibri" w:cs="Times New Roman"/>
        </w:rPr>
        <w:t xml:space="preserve"> to satisfy the </w:t>
      </w:r>
      <w:proofErr w:type="gramStart"/>
      <w:r w:rsidRPr="001F7E51">
        <w:rPr>
          <w:rFonts w:ascii="Calibri" w:eastAsia="Times New Roman" w:hAnsi="Calibri" w:cs="Times New Roman"/>
        </w:rPr>
        <w:t xml:space="preserve">constraint </w:t>
      </w:r>
      <w:proofErr w:type="gramEnd"/>
      <m:oMath>
        <m:nary>
          <m:naryPr>
            <m:chr m:val="∑"/>
            <m:ctrlPr>
              <w:rPr>
                <w:rFonts w:ascii="Cambria Math" w:eastAsia="Times New Roman" w:hAnsi="Cambria Math" w:cs="Times New Roman"/>
                <w:i/>
              </w:rPr>
            </m:ctrlPr>
          </m:naryPr>
          <m:sub>
            <m:r>
              <w:rPr>
                <w:rFonts w:ascii="Cambria Math" w:eastAsia="Times New Roman" w:hAnsi="Cambria Math" w:cs="Times New Roman"/>
              </w:rPr>
              <m:t>j=1</m:t>
            </m:r>
          </m:sub>
          <m:sup>
            <m:r>
              <w:rPr>
                <w:rFonts w:ascii="Cambria Math" w:eastAsia="Times New Roman" w:hAnsi="Cambria Math" w:cs="Times New Roman"/>
              </w:rPr>
              <m:t>n</m:t>
            </m:r>
          </m:sup>
          <m:e>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j</m:t>
                </m:r>
              </m:sub>
            </m:sSub>
          </m:e>
        </m:nary>
        <m:r>
          <w:rPr>
            <w:rFonts w:ascii="Cambria Math" w:eastAsia="Times New Roman" w:hAnsi="Cambria Math" w:cs="Times New Roman"/>
          </w:rPr>
          <m:t>=0</m:t>
        </m:r>
      </m:oMath>
      <w:r w:rsidRPr="001F7E51">
        <w:rPr>
          <w:rFonts w:ascii="Calibri" w:eastAsia="Times New Roman" w:hAnsi="Calibri" w:cs="Times New Roman"/>
        </w:rPr>
        <w:t>.</w:t>
      </w:r>
    </w:p>
    <w:p w14:paraId="2F380985" w14:textId="24E85140"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 xml:space="preserve">In practice, sampling in STAN is a lower level function guided by the specification of (log) densities. STAN includes a convenient specification for the multivariate normal distribution using the </w:t>
      </w:r>
      <w:proofErr w:type="spellStart"/>
      <w:r w:rsidRPr="001F7E51">
        <w:rPr>
          <w:rFonts w:ascii="Calibri" w:eastAsia="Times New Roman" w:hAnsi="Calibri" w:cs="Times New Roman"/>
        </w:rPr>
        <w:t>Cholesky</w:t>
      </w:r>
      <w:proofErr w:type="spellEnd"/>
      <w:r w:rsidRPr="001F7E51">
        <w:rPr>
          <w:rFonts w:ascii="Calibri" w:eastAsia="Times New Roman" w:hAnsi="Calibri" w:cs="Times New Roman"/>
        </w:rPr>
        <w:t xml:space="preserve"> factorization. In the case of the random walk, and unscaled </w:t>
      </w:r>
      <w:proofErr w:type="spellStart"/>
      <w:r w:rsidRPr="001F7E51">
        <w:rPr>
          <w:rFonts w:ascii="Calibri" w:eastAsia="Times New Roman" w:hAnsi="Calibri" w:cs="Times New Roman"/>
        </w:rPr>
        <w:t>Cholesky</w:t>
      </w:r>
      <w:proofErr w:type="spellEnd"/>
      <w:r w:rsidRPr="001F7E51">
        <w:rPr>
          <w:rFonts w:ascii="Calibri" w:eastAsia="Times New Roman" w:hAnsi="Calibri" w:cs="Times New Roman"/>
        </w:rPr>
        <w:t xml:space="preserve"> factorization may be computed in advance based on inverting the structure matrix </w:t>
      </w:r>
      <m:oMath>
        <m:r>
          <w:rPr>
            <w:rFonts w:ascii="Cambria Math" w:eastAsia="Times New Roman" w:hAnsi="Cambria Math" w:cs="Times New Roman"/>
          </w:rPr>
          <m:t>R</m:t>
        </m:r>
      </m:oMath>
      <w:r w:rsidRPr="001F7E51">
        <w:rPr>
          <w:rFonts w:ascii="Calibri" w:eastAsia="Times New Roman" w:hAnsi="Calibri" w:cs="Times New Roman"/>
        </w:rPr>
        <w:t xml:space="preserve"> and rescaling with the appropriate variance. Note that in our setting, there are state and LGA level random walks, but as they cover the same time period the structure matrix </w:t>
      </w:r>
      <m:oMath>
        <m:r>
          <w:rPr>
            <w:rFonts w:ascii="Cambria Math" w:eastAsia="Times New Roman" w:hAnsi="Cambria Math" w:cs="Times New Roman"/>
          </w:rPr>
          <m:t>R</m:t>
        </m:r>
      </m:oMath>
      <w:r w:rsidRPr="001F7E51">
        <w:rPr>
          <w:rFonts w:ascii="Calibri" w:eastAsia="Times New Roman" w:hAnsi="Calibri" w:cs="Times New Roman"/>
        </w:rPr>
        <w:t xml:space="preserve"> is identical as is the corresponding Cholesky factorization.</w:t>
      </w:r>
      <w:r w:rsidR="000A148D">
        <w:rPr>
          <w:rFonts w:ascii="Calibri" w:eastAsia="Times New Roman" w:hAnsi="Calibri" w:cs="Times New Roman"/>
        </w:rPr>
        <w:t xml:space="preserve">  For an alternate sample strategy, see </w:t>
      </w:r>
      <w:r w:rsidR="000A148D">
        <w:rPr>
          <w:rFonts w:ascii="Calibri" w:eastAsia="Times New Roman" w:hAnsi="Calibri" w:cs="Times New Roman"/>
        </w:rPr>
        <w:fldChar w:fldCharType="begin" w:fldLock="1"/>
      </w:r>
      <w:r w:rsidR="000A148D">
        <w:rPr>
          <w:rFonts w:ascii="Calibri" w:eastAsia="Times New Roman" w:hAnsi="Calibri" w:cs="Times New Roman"/>
        </w:rPr>
        <w:instrText>ADDIN CSL_CITATION { "citationItems" : [ { "id" : "ITEM-1", "itemData" : { "author" : [ { "dropping-particle" : "", "family" : "Rue", "given" : "Havard", "non-dropping-particle" : "", "parse-names" : false, "suffix" : "" }, { "dropping-particle" : "", "family" : "Held", "given" : "Leonhard", "non-dropping-particle" : "", "parse-names" : false, "suffix" : "" } ], "id" : "ITEM-1", "issued" : { "date-parts" : [ [ "2005" ] ] }, "publisher" : "CRC Press", "title" : "Gaussian Markov random fields: theory and applications", "type" : "book" }, "uris" : [ "http://www.mendeley.com/documents/?uuid=ad551ea7-da22-4249-97b0-304ee48a386a" ] } ], "mendeley" : { "formattedCitation" : "[3]", "plainTextFormattedCitation" : "[3]" }, "properties" : { "noteIndex" : 0 }, "schema" : "https://github.com/citation-style-language/schema/raw/master/csl-citation.json" }</w:instrText>
      </w:r>
      <w:r w:rsidR="000A148D">
        <w:rPr>
          <w:rFonts w:ascii="Calibri" w:eastAsia="Times New Roman" w:hAnsi="Calibri" w:cs="Times New Roman"/>
        </w:rPr>
        <w:fldChar w:fldCharType="separate"/>
      </w:r>
      <w:r w:rsidR="000A148D" w:rsidRPr="000A148D">
        <w:rPr>
          <w:rFonts w:ascii="Calibri" w:eastAsia="Times New Roman" w:hAnsi="Calibri" w:cs="Times New Roman"/>
          <w:noProof/>
        </w:rPr>
        <w:t>[3]</w:t>
      </w:r>
      <w:r w:rsidR="000A148D">
        <w:rPr>
          <w:rFonts w:ascii="Calibri" w:eastAsia="Times New Roman" w:hAnsi="Calibri" w:cs="Times New Roman"/>
        </w:rPr>
        <w:fldChar w:fldCharType="end"/>
      </w:r>
      <w:r w:rsidR="000A148D">
        <w:rPr>
          <w:rFonts w:ascii="Calibri" w:eastAsia="Times New Roman" w:hAnsi="Calibri" w:cs="Times New Roman"/>
        </w:rPr>
        <w:t>.</w:t>
      </w:r>
    </w:p>
    <w:p w14:paraId="13D1EFB6" w14:textId="77777777" w:rsidR="0027650C" w:rsidRPr="001F7E51" w:rsidRDefault="0027650C" w:rsidP="0087494D">
      <w:pPr>
        <w:pStyle w:val="Heading2"/>
        <w:rPr>
          <w:rFonts w:eastAsia="Times New Roman"/>
        </w:rPr>
      </w:pPr>
      <w:r w:rsidRPr="001F7E51">
        <w:rPr>
          <w:rFonts w:eastAsia="Times New Roman"/>
        </w:rPr>
        <w:t>Immunity estimation</w:t>
      </w:r>
    </w:p>
    <w:p w14:paraId="77E5DC06" w14:textId="77777777" w:rsidR="0027650C" w:rsidRPr="001F7E51" w:rsidRDefault="0027650C" w:rsidP="0027650C">
      <w:pPr>
        <w:rPr>
          <w:rFonts w:ascii="Calibri" w:eastAsia="Calibri" w:hAnsi="Calibri" w:cs="Times New Roman"/>
        </w:rPr>
      </w:pPr>
      <w:r>
        <w:rPr>
          <w:rFonts w:ascii="Calibri" w:eastAsia="Times New Roman" w:hAnsi="Calibri" w:cs="Times New Roman"/>
        </w:rPr>
        <w:t xml:space="preserve">Here, we describe the procedure for estimating immunity from campaign coverage. Without loss of generality, we limit the discussion to a single polio serotype. </w:t>
      </w:r>
      <w:r w:rsidRPr="001F7E51">
        <w:rPr>
          <w:rFonts w:ascii="Calibri" w:eastAsia="Times New Roman" w:hAnsi="Calibri" w:cs="Times New Roman"/>
        </w:rPr>
        <w:t xml:space="preserve">Suppose a child </w:t>
      </w:r>
      <w:r>
        <w:rPr>
          <w:rFonts w:ascii="Calibri" w:eastAsia="Times New Roman" w:hAnsi="Calibri" w:cs="Times New Roman"/>
        </w:rPr>
        <w:t xml:space="preserve">in LGA </w:t>
      </w:r>
      <m:oMath>
        <m:r>
          <w:rPr>
            <w:rFonts w:ascii="Cambria Math" w:eastAsia="Calibri" w:hAnsi="Cambria Math" w:cs="Times New Roman"/>
          </w:rPr>
          <m:t>j</m:t>
        </m:r>
      </m:oMath>
      <w:r w:rsidRPr="001F7E51">
        <w:rPr>
          <w:rFonts w:ascii="Calibri" w:eastAsia="Times New Roman" w:hAnsi="Calibri" w:cs="Times New Roman"/>
        </w:rPr>
        <w:t xml:space="preserve"> experiences</w:t>
      </w:r>
      <w:r>
        <w:rPr>
          <w:rFonts w:ascii="Calibri" w:eastAsia="Times New Roman" w:hAnsi="Calibri" w:cs="Times New Roman"/>
        </w:rPr>
        <w:t xml:space="preserve"> their first </w:t>
      </w:r>
      <w:r w:rsidRPr="001F7E51">
        <w:rPr>
          <w:rFonts w:ascii="Calibri" w:eastAsia="Times New Roman" w:hAnsi="Calibri" w:cs="Times New Roman"/>
        </w:rPr>
        <w:t xml:space="preserve">campaign </w:t>
      </w:r>
      <w:r>
        <w:rPr>
          <w:rFonts w:ascii="Calibri" w:eastAsia="Times New Roman" w:hAnsi="Calibri" w:cs="Times New Roman"/>
        </w:rPr>
        <w:t xml:space="preserve">in year </w:t>
      </w:r>
      <m:oMath>
        <m:r>
          <w:rPr>
            <w:rFonts w:ascii="Cambria Math" w:eastAsia="Calibri" w:hAnsi="Cambria Math" w:cs="Times New Roman"/>
          </w:rPr>
          <m:t>t</m:t>
        </m:r>
      </m:oMath>
      <w:r w:rsidRPr="001F7E51">
        <w:rPr>
          <w:rFonts w:ascii="Calibri" w:eastAsia="Times New Roman" w:hAnsi="Calibri" w:cs="Times New Roman"/>
        </w:rPr>
        <w:t xml:space="preserve"> </w:t>
      </w:r>
      <w:r>
        <w:rPr>
          <w:rFonts w:ascii="Calibri" w:eastAsia="Times New Roman" w:hAnsi="Calibri" w:cs="Times New Roman"/>
        </w:rPr>
        <w:t xml:space="preserve">and age </w:t>
      </w:r>
      <m:oMath>
        <m:r>
          <w:rPr>
            <w:rFonts w:ascii="Cambria Math" w:eastAsia="Calibri" w:hAnsi="Cambria Math" w:cs="Times New Roman"/>
          </w:rPr>
          <m:t>a</m:t>
        </m:r>
      </m:oMath>
      <w:r>
        <w:rPr>
          <w:rFonts w:ascii="Calibri" w:eastAsia="Times New Roman" w:hAnsi="Calibri" w:cs="Times New Roman"/>
        </w:rPr>
        <w:t xml:space="preserve"> </w:t>
      </w:r>
      <w:r w:rsidRPr="001F7E51">
        <w:rPr>
          <w:rFonts w:ascii="Calibri" w:eastAsia="Times New Roman" w:hAnsi="Calibri" w:cs="Times New Roman"/>
        </w:rPr>
        <w:t xml:space="preserve">with no routine immunization.  </w:t>
      </w:r>
      <w:r>
        <w:rPr>
          <w:rFonts w:ascii="Calibri" w:eastAsia="Times New Roman" w:hAnsi="Calibri" w:cs="Times New Roman"/>
        </w:rPr>
        <w:t xml:space="preserve">To become immune, the child must be covered in the campaign and seroconvert. </w:t>
      </w:r>
      <w:r w:rsidRPr="001F7E51">
        <w:rPr>
          <w:rFonts w:ascii="Calibri" w:eastAsia="Times New Roman" w:hAnsi="Calibri" w:cs="Times New Roman"/>
        </w:rPr>
        <w:t xml:space="preserve">The probability of neither of these events occurring is </w:t>
      </w:r>
      <m:oMath>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jta</m:t>
            </m:r>
          </m:sub>
        </m:sSub>
        <m:sSub>
          <m:sSubPr>
            <m:ctrlPr>
              <w:rPr>
                <w:rFonts w:ascii="Cambria Math" w:eastAsia="Times New Roman" w:hAnsi="Cambria Math" w:cs="Times New Roman"/>
                <w:i/>
              </w:rPr>
            </m:ctrlPr>
          </m:sSubPr>
          <m:e>
            <m:r>
              <w:rPr>
                <w:rFonts w:ascii="Cambria Math" w:eastAsia="Times New Roman" w:hAnsi="Cambria Math" w:cs="Times New Roman"/>
              </w:rPr>
              <m:t>ϕ</m:t>
            </m:r>
          </m:e>
          <m:sub>
            <m:r>
              <w:rPr>
                <w:rFonts w:ascii="Cambria Math" w:eastAsia="Times New Roman" w:hAnsi="Cambria Math" w:cs="Times New Roman"/>
              </w:rPr>
              <m:t>jt</m:t>
            </m:r>
          </m:sub>
        </m:sSub>
      </m:oMath>
      <w:r>
        <w:rPr>
          <w:rFonts w:ascii="Calibri" w:eastAsia="Times New Roman" w:hAnsi="Calibri" w:cs="Times New Roman"/>
        </w:rPr>
        <w:t xml:space="preserve"> </w:t>
      </w:r>
      <w:r w:rsidRPr="001F7E51">
        <w:rPr>
          <w:rFonts w:ascii="Calibri" w:eastAsia="Times New Roman" w:hAnsi="Calibri" w:cs="Times New Roman"/>
        </w:rPr>
        <w:t xml:space="preserve"> where </w:t>
      </w:r>
      <m:oMath>
        <m:sSub>
          <m:sSubPr>
            <m:ctrlPr>
              <w:rPr>
                <w:rFonts w:ascii="Cambria Math" w:eastAsia="Times New Roman" w:hAnsi="Cambria Math" w:cs="Times New Roman"/>
                <w:i/>
              </w:rPr>
            </m:ctrlPr>
          </m:sSubPr>
          <m:e>
            <m:r>
              <w:rPr>
                <w:rFonts w:ascii="Cambria Math" w:eastAsia="Times New Roman" w:hAnsi="Cambria Math" w:cs="Times New Roman"/>
              </w:rPr>
              <m:t>ϕ</m:t>
            </m:r>
          </m:e>
          <m:sub>
            <m:r>
              <w:rPr>
                <w:rFonts w:ascii="Cambria Math" w:eastAsia="Times New Roman" w:hAnsi="Cambria Math" w:cs="Times New Roman"/>
              </w:rPr>
              <m:t>jt</m:t>
            </m:r>
          </m:sub>
        </m:sSub>
      </m:oMath>
      <w:r w:rsidRPr="001F7E51">
        <w:rPr>
          <w:rFonts w:ascii="Calibri" w:eastAsia="Times New Roman" w:hAnsi="Calibri" w:cs="Times New Roman"/>
        </w:rPr>
        <w:t xml:space="preserve"> the probability of take (efficacy) for the particular vaccine used.  </w:t>
      </w:r>
    </w:p>
    <w:p w14:paraId="4836DA40" w14:textId="77777777" w:rsidR="0027650C" w:rsidRPr="001F7E51" w:rsidRDefault="0027650C" w:rsidP="0027650C">
      <w:pPr>
        <w:rPr>
          <w:rFonts w:ascii="Calibri" w:eastAsia="Calibri" w:hAnsi="Calibri" w:cs="Times New Roman"/>
        </w:rPr>
      </w:pPr>
      <w:r w:rsidRPr="001F7E51">
        <w:rPr>
          <w:rFonts w:ascii="Calibri" w:eastAsia="Calibri" w:hAnsi="Calibri" w:cs="Times New Roman"/>
        </w:rPr>
        <w:t>To generalize</w:t>
      </w:r>
      <w:r>
        <w:rPr>
          <w:rFonts w:ascii="Calibri" w:eastAsia="Calibri" w:hAnsi="Calibri" w:cs="Times New Roman"/>
        </w:rPr>
        <w:t>,</w:t>
      </w:r>
      <w:r w:rsidRPr="001F7E51">
        <w:rPr>
          <w:rFonts w:ascii="Calibri" w:eastAsia="Calibri" w:hAnsi="Calibri" w:cs="Times New Roman"/>
        </w:rPr>
        <w:t xml:space="preserve"> </w:t>
      </w:r>
      <w:r>
        <w:rPr>
          <w:rFonts w:ascii="Calibri" w:eastAsia="Calibri" w:hAnsi="Calibri" w:cs="Times New Roman"/>
        </w:rPr>
        <w:t xml:space="preserve">suppose at </w:t>
      </w:r>
      <w:proofErr w:type="gramStart"/>
      <w:r>
        <w:rPr>
          <w:rFonts w:ascii="Calibri" w:eastAsia="Calibri" w:hAnsi="Calibri" w:cs="Times New Roman"/>
        </w:rPr>
        <w:t xml:space="preserve">time </w:t>
      </w:r>
      <w:proofErr w:type="gramEnd"/>
      <m:oMath>
        <m:acc>
          <m:accPr>
            <m:chr m:val="̃"/>
            <m:ctrlPr>
              <w:rPr>
                <w:rFonts w:ascii="Cambria Math" w:eastAsia="Calibri" w:hAnsi="Cambria Math" w:cs="Times New Roman"/>
                <w:i/>
              </w:rPr>
            </m:ctrlPr>
          </m:accPr>
          <m:e>
            <m:r>
              <w:rPr>
                <w:rFonts w:ascii="Cambria Math" w:eastAsia="Calibri" w:hAnsi="Cambria Math" w:cs="Times New Roman"/>
              </w:rPr>
              <m:t>t</m:t>
            </m:r>
          </m:e>
        </m:acc>
      </m:oMath>
      <w:r>
        <w:rPr>
          <w:rFonts w:ascii="Calibri" w:eastAsia="Calibri" w:hAnsi="Calibri" w:cs="Times New Roman"/>
        </w:rPr>
        <w:t xml:space="preserve">, a child of age </w:t>
      </w:r>
      <m:oMath>
        <m:acc>
          <m:accPr>
            <m:chr m:val="̃"/>
            <m:ctrlPr>
              <w:rPr>
                <w:rFonts w:ascii="Cambria Math" w:eastAsia="Calibri" w:hAnsi="Cambria Math" w:cs="Times New Roman"/>
                <w:i/>
              </w:rPr>
            </m:ctrlPr>
          </m:accPr>
          <m:e>
            <m:r>
              <w:rPr>
                <w:rFonts w:ascii="Cambria Math" w:eastAsia="Calibri" w:hAnsi="Cambria Math" w:cs="Times New Roman"/>
              </w:rPr>
              <m:t>a</m:t>
            </m:r>
          </m:e>
        </m:acc>
      </m:oMath>
      <w:r>
        <w:rPr>
          <w:rFonts w:ascii="Calibri" w:eastAsia="Calibri" w:hAnsi="Calibri" w:cs="Times New Roman"/>
        </w:rPr>
        <w:t xml:space="preserve"> has experienced campaigns in years  </w:t>
      </w:r>
      <m:oMath>
        <m:sSub>
          <m:sSubPr>
            <m:ctrlPr>
              <w:rPr>
                <w:rFonts w:ascii="Cambria Math" w:eastAsia="Calibri" w:hAnsi="Cambria Math" w:cs="Times New Roman"/>
                <w:i/>
              </w:rPr>
            </m:ctrlPr>
          </m:sSubPr>
          <m:e>
            <m:r>
              <w:rPr>
                <w:rFonts w:ascii="Cambria Math" w:eastAsia="Calibri" w:hAnsi="Cambria Math" w:cs="Times New Roman"/>
              </w:rPr>
              <m:t>t</m:t>
            </m:r>
          </m:e>
          <m:sub>
            <m:r>
              <w:rPr>
                <w:rFonts w:ascii="Cambria Math" w:eastAsia="Calibri" w:hAnsi="Cambria Math" w:cs="Times New Roman"/>
              </w:rPr>
              <m: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t</m:t>
            </m:r>
          </m:e>
          <m:sub>
            <m:r>
              <w:rPr>
                <w:rFonts w:ascii="Cambria Math" w:eastAsia="Calibri" w:hAnsi="Cambria Math" w:cs="Times New Roman"/>
              </w:rPr>
              <m:t>k</m:t>
            </m:r>
          </m:sub>
        </m:sSub>
      </m:oMath>
      <w:r>
        <w:rPr>
          <w:rFonts w:ascii="Calibri" w:eastAsia="Calibri" w:hAnsi="Calibri" w:cs="Times New Roman"/>
        </w:rPr>
        <w:t xml:space="preserve"> and corresponding age stratums </w:t>
      </w:r>
      <m:oMath>
        <m:sSub>
          <m:sSubPr>
            <m:ctrlPr>
              <w:rPr>
                <w:rFonts w:ascii="Cambria Math" w:eastAsia="Calibri" w:hAnsi="Cambria Math" w:cs="Times New Roman"/>
                <w:i/>
              </w:rPr>
            </m:ctrlPr>
          </m:sSubPr>
          <m:e>
            <m:r>
              <w:rPr>
                <w:rFonts w:ascii="Cambria Math" w:eastAsia="Calibri" w:hAnsi="Cambria Math" w:cs="Times New Roman"/>
              </w:rPr>
              <m:t>a</m:t>
            </m:r>
          </m:e>
          <m:sub>
            <m:r>
              <w:rPr>
                <w:rFonts w:ascii="Cambria Math" w:eastAsia="Calibri" w:hAnsi="Cambria Math" w:cs="Times New Roman"/>
              </w:rPr>
              <m: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a</m:t>
            </m:r>
          </m:e>
          <m:sub>
            <m:r>
              <w:rPr>
                <w:rFonts w:ascii="Cambria Math" w:eastAsia="Calibri" w:hAnsi="Cambria Math" w:cs="Times New Roman"/>
              </w:rPr>
              <m:t>k</m:t>
            </m:r>
          </m:sub>
        </m:sSub>
        <m:r>
          <w:rPr>
            <w:rFonts w:ascii="Cambria Math" w:eastAsia="Calibri" w:hAnsi="Cambria Math" w:cs="Times New Roman"/>
          </w:rPr>
          <m:t>.</m:t>
        </m:r>
      </m:oMath>
      <w:r>
        <w:rPr>
          <w:rFonts w:ascii="Calibri" w:eastAsia="Calibri" w:hAnsi="Calibri" w:cs="Times New Roman"/>
        </w:rPr>
        <w:t xml:space="preserve"> </w:t>
      </w:r>
      <w:r w:rsidRPr="001F7E51">
        <w:rPr>
          <w:rFonts w:ascii="Calibri" w:eastAsia="Calibri" w:hAnsi="Calibri" w:cs="Times New Roman"/>
        </w:rPr>
        <w:t xml:space="preserve">With independent participation in campaigns and independent seroconversion, the probability </w:t>
      </w:r>
      <m:oMath>
        <m:r>
          <w:rPr>
            <w:rFonts w:ascii="Cambria Math" w:eastAsia="Calibri" w:hAnsi="Cambria Math" w:cs="Times New Roman"/>
          </w:rPr>
          <m:t>I(t,a)</m:t>
        </m:r>
      </m:oMath>
      <w:r w:rsidRPr="001F7E51">
        <w:rPr>
          <w:rFonts w:ascii="Calibri" w:eastAsia="Times New Roman" w:hAnsi="Calibri" w:cs="Times New Roman"/>
        </w:rPr>
        <w:t xml:space="preserve"> </w:t>
      </w:r>
      <w:r w:rsidRPr="001F7E51">
        <w:rPr>
          <w:rFonts w:ascii="Calibri" w:eastAsia="Calibri" w:hAnsi="Calibri" w:cs="Times New Roman"/>
        </w:rPr>
        <w:t>of vaccine-based seroconversion for the child is</w:t>
      </w:r>
    </w:p>
    <w:p w14:paraId="7B5F9DB1" w14:textId="77777777" w:rsidR="0027650C" w:rsidRPr="001F7E51" w:rsidRDefault="00A97DC8" w:rsidP="0027650C">
      <w:pPr>
        <w:rPr>
          <w:rFonts w:ascii="Calibri" w:eastAsia="Times New Roman" w:hAnsi="Calibri" w:cs="Times New Roman"/>
          <w:i/>
        </w:rPr>
      </w:pPr>
      <m:oMathPara>
        <m:oMath>
          <m:sSub>
            <m:sSubPr>
              <m:ctrlPr>
                <w:rPr>
                  <w:rFonts w:ascii="Cambria Math" w:eastAsia="Calibri" w:hAnsi="Cambria Math" w:cs="Times New Roman"/>
                  <w:i/>
                </w:rPr>
              </m:ctrlPr>
            </m:sSubPr>
            <m:e>
              <m:r>
                <w:rPr>
                  <w:rFonts w:ascii="Cambria Math" w:eastAsia="Calibri" w:hAnsi="Cambria Math" w:cs="Times New Roman"/>
                </w:rPr>
                <m:t>I</m:t>
              </m:r>
            </m:e>
            <m:sub>
              <m:r>
                <w:rPr>
                  <w:rFonts w:ascii="Cambria Math" w:eastAsia="Calibri" w:hAnsi="Cambria Math" w:cs="Times New Roman"/>
                </w:rPr>
                <m:t>j</m:t>
              </m:r>
            </m:sub>
          </m:sSub>
          <m:d>
            <m:dPr>
              <m:ctrlPr>
                <w:rPr>
                  <w:rFonts w:ascii="Cambria Math" w:eastAsia="Calibri"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e>
          </m:d>
          <m:r>
            <w:rPr>
              <w:rFonts w:ascii="Cambria Math" w:eastAsia="Calibri" w:hAnsi="Cambria Math" w:cs="Times New Roman"/>
            </w:rPr>
            <m:t>=1-</m:t>
          </m:r>
          <m:nary>
            <m:naryPr>
              <m:chr m:val="∏"/>
              <m:supHide m:val="1"/>
              <m:ctrlPr>
                <w:rPr>
                  <w:rFonts w:ascii="Cambria Math" w:eastAsia="Calibri" w:hAnsi="Cambria Math" w:cs="Times New Roman"/>
                  <w:i/>
                </w:rPr>
              </m:ctrlPr>
            </m:naryPr>
            <m:sub>
              <m:r>
                <w:rPr>
                  <w:rFonts w:ascii="Cambria Math" w:eastAsia="Calibri" w:hAnsi="Cambria Math" w:cs="Times New Roman"/>
                </w:rPr>
                <m:t>m=1…k</m:t>
              </m:r>
            </m:sub>
            <m:sup/>
            <m:e>
              <m:d>
                <m:dPr>
                  <m:ctrlPr>
                    <w:rPr>
                      <w:rFonts w:ascii="Cambria Math" w:eastAsia="Calibri" w:hAnsi="Cambria Math" w:cs="Times New Roman"/>
                      <w:i/>
                    </w:rPr>
                  </m:ctrlPr>
                </m:dPr>
                <m:e>
                  <m:r>
                    <w:rPr>
                      <w:rFonts w:ascii="Cambria Math" w:eastAsia="Calibri" w:hAnsi="Cambria Math" w:cs="Times New Roman"/>
                    </w:rPr>
                    <m:t>1-</m:t>
                  </m:r>
                  <m:sSub>
                    <m:sSubPr>
                      <m:ctrlPr>
                        <w:rPr>
                          <w:rFonts w:ascii="Cambria Math" w:eastAsia="Calibri" w:hAnsi="Cambria Math" w:cs="Times New Roman"/>
                          <w:i/>
                        </w:rPr>
                      </m:ctrlPr>
                    </m:sSubPr>
                    <m:e>
                      <m:r>
                        <w:rPr>
                          <w:rFonts w:ascii="Cambria Math" w:eastAsia="Calibri" w:hAnsi="Cambria Math" w:cs="Times New Roman"/>
                        </w:rPr>
                        <m:t>p</m:t>
                      </m:r>
                    </m:e>
                    <m:sub>
                      <m:r>
                        <w:rPr>
                          <w:rFonts w:ascii="Cambria Math" w:eastAsia="Calibri" w:hAnsi="Cambria Math" w:cs="Times New Roman"/>
                        </w:rPr>
                        <m:t>j</m:t>
                      </m:r>
                      <m:sSub>
                        <m:sSubPr>
                          <m:ctrlPr>
                            <w:rPr>
                              <w:rFonts w:ascii="Cambria Math" w:eastAsia="Calibri" w:hAnsi="Cambria Math" w:cs="Times New Roman"/>
                              <w:i/>
                            </w:rPr>
                          </m:ctrlPr>
                        </m:sSubPr>
                        <m:e>
                          <m:r>
                            <w:rPr>
                              <w:rFonts w:ascii="Cambria Math" w:eastAsia="Calibri" w:hAnsi="Cambria Math" w:cs="Times New Roman"/>
                            </w:rPr>
                            <m:t>t</m:t>
                          </m:r>
                        </m:e>
                        <m:sub>
                          <m:r>
                            <w:rPr>
                              <w:rFonts w:ascii="Cambria Math" w:eastAsia="Calibri" w:hAnsi="Cambria Math" w:cs="Times New Roman"/>
                            </w:rPr>
                            <m:t>m</m:t>
                          </m:r>
                        </m:sub>
                      </m:sSub>
                      <m:sSub>
                        <m:sSubPr>
                          <m:ctrlPr>
                            <w:rPr>
                              <w:rFonts w:ascii="Cambria Math" w:eastAsia="Calibri" w:hAnsi="Cambria Math" w:cs="Times New Roman"/>
                              <w:i/>
                            </w:rPr>
                          </m:ctrlPr>
                        </m:sSubPr>
                        <m:e>
                          <m:r>
                            <w:rPr>
                              <w:rFonts w:ascii="Cambria Math" w:eastAsia="Calibri" w:hAnsi="Cambria Math" w:cs="Times New Roman"/>
                            </w:rPr>
                            <m:t>a</m:t>
                          </m:r>
                        </m:e>
                        <m:sub>
                          <m:r>
                            <w:rPr>
                              <w:rFonts w:ascii="Cambria Math" w:eastAsia="Calibri" w:hAnsi="Cambria Math" w:cs="Times New Roman"/>
                            </w:rPr>
                            <m:t>m</m:t>
                          </m:r>
                        </m:sub>
                      </m:sSub>
                    </m:sub>
                  </m:sSub>
                  <m:sSub>
                    <m:sSubPr>
                      <m:ctrlPr>
                        <w:rPr>
                          <w:rFonts w:ascii="Cambria Math" w:eastAsia="Calibri" w:hAnsi="Cambria Math" w:cs="Times New Roman"/>
                          <w:i/>
                        </w:rPr>
                      </m:ctrlPr>
                    </m:sSubPr>
                    <m:e>
                      <m:r>
                        <w:rPr>
                          <w:rFonts w:ascii="Cambria Math" w:eastAsia="Calibri" w:hAnsi="Cambria Math" w:cs="Times New Roman"/>
                        </w:rPr>
                        <m:t>ϕ</m:t>
                      </m:r>
                    </m:e>
                    <m:sub>
                      <m:r>
                        <w:rPr>
                          <w:rFonts w:ascii="Cambria Math" w:eastAsia="Calibri" w:hAnsi="Cambria Math" w:cs="Times New Roman"/>
                        </w:rPr>
                        <m:t>j</m:t>
                      </m:r>
                      <m:sSub>
                        <m:sSubPr>
                          <m:ctrlPr>
                            <w:rPr>
                              <w:rFonts w:ascii="Cambria Math" w:eastAsia="Calibri" w:hAnsi="Cambria Math" w:cs="Times New Roman"/>
                              <w:i/>
                            </w:rPr>
                          </m:ctrlPr>
                        </m:sSubPr>
                        <m:e>
                          <m:r>
                            <w:rPr>
                              <w:rFonts w:ascii="Cambria Math" w:eastAsia="Calibri" w:hAnsi="Cambria Math" w:cs="Times New Roman"/>
                            </w:rPr>
                            <m:t>t</m:t>
                          </m:r>
                        </m:e>
                        <m:sub>
                          <m:r>
                            <w:rPr>
                              <w:rFonts w:ascii="Cambria Math" w:eastAsia="Calibri" w:hAnsi="Cambria Math" w:cs="Times New Roman"/>
                            </w:rPr>
                            <m:t>m</m:t>
                          </m:r>
                        </m:sub>
                      </m:sSub>
                    </m:sub>
                  </m:sSub>
                </m:e>
              </m:d>
            </m:e>
          </m:nary>
          <m:r>
            <w:rPr>
              <w:rFonts w:ascii="Cambria Math" w:eastAsia="Calibri" w:hAnsi="Cambria Math" w:cs="Times New Roman"/>
            </w:rPr>
            <m:t>.</m:t>
          </m:r>
        </m:oMath>
      </m:oMathPara>
    </w:p>
    <w:p w14:paraId="1E318457" w14:textId="77777777" w:rsidR="0027650C" w:rsidRPr="001F7E51" w:rsidRDefault="0027650C" w:rsidP="0027650C">
      <w:pPr>
        <w:rPr>
          <w:rFonts w:ascii="Calibri" w:eastAsia="Times New Roman" w:hAnsi="Calibri" w:cs="Times New Roman"/>
        </w:rPr>
      </w:pPr>
      <w:r>
        <w:rPr>
          <w:rFonts w:ascii="Calibri" w:eastAsia="Times New Roman" w:hAnsi="Calibri" w:cs="Times New Roman"/>
        </w:rPr>
        <w:t xml:space="preserve">Note that immunity </w:t>
      </w:r>
      <m:oMath>
        <m:sSub>
          <m:sSubPr>
            <m:ctrlPr>
              <w:rPr>
                <w:rFonts w:ascii="Cambria Math" w:eastAsia="Calibri" w:hAnsi="Cambria Math" w:cs="Times New Roman"/>
                <w:i/>
              </w:rPr>
            </m:ctrlPr>
          </m:sSubPr>
          <m:e>
            <m:r>
              <w:rPr>
                <w:rFonts w:ascii="Cambria Math" w:eastAsia="Calibri" w:hAnsi="Cambria Math" w:cs="Times New Roman"/>
              </w:rPr>
              <m:t>I</m:t>
            </m:r>
          </m:e>
          <m:sub>
            <m:r>
              <w:rPr>
                <w:rFonts w:ascii="Cambria Math" w:eastAsia="Calibri" w:hAnsi="Cambria Math" w:cs="Times New Roman"/>
              </w:rPr>
              <m:t>j</m:t>
            </m:r>
          </m:sub>
        </m:sSub>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r>
          <w:rPr>
            <w:rFonts w:ascii="Cambria Math" w:eastAsia="Calibri" w:hAnsi="Cambria Math" w:cs="Times New Roman"/>
          </w:rPr>
          <m:t>)</m:t>
        </m:r>
      </m:oMath>
      <w:r>
        <w:rPr>
          <w:rFonts w:ascii="Calibri" w:eastAsia="Times New Roman" w:hAnsi="Calibri" w:cs="Times New Roman"/>
        </w:rPr>
        <w:t xml:space="preserve"> is a function of the continuous variables </w:t>
      </w:r>
      <m:oMath>
        <m:acc>
          <m:accPr>
            <m:chr m:val="̃"/>
            <m:ctrlPr>
              <w:rPr>
                <w:rFonts w:ascii="Cambria Math" w:eastAsia="Calibri" w:hAnsi="Cambria Math" w:cs="Times New Roman"/>
                <w:i/>
              </w:rPr>
            </m:ctrlPr>
          </m:accPr>
          <m:e>
            <m:r>
              <w:rPr>
                <w:rFonts w:ascii="Cambria Math" w:eastAsia="Calibri" w:hAnsi="Cambria Math" w:cs="Times New Roman"/>
              </w:rPr>
              <m:t>t</m:t>
            </m:r>
          </m:e>
        </m:acc>
      </m:oMath>
      <w:r>
        <w:rPr>
          <w:rFonts w:ascii="Calibri" w:eastAsia="Times New Roman" w:hAnsi="Calibri" w:cs="Times New Roman"/>
        </w:rPr>
        <w:t xml:space="preserve"> </w:t>
      </w:r>
      <w:proofErr w:type="gramStart"/>
      <w:r>
        <w:rPr>
          <w:rFonts w:ascii="Calibri" w:eastAsia="Times New Roman" w:hAnsi="Calibri" w:cs="Times New Roman"/>
        </w:rPr>
        <w:t xml:space="preserve">and </w:t>
      </w:r>
      <w:proofErr w:type="gramEnd"/>
      <m:oMath>
        <m:acc>
          <m:accPr>
            <m:chr m:val="̃"/>
            <m:ctrlPr>
              <w:rPr>
                <w:rFonts w:ascii="Cambria Math" w:eastAsia="Calibri" w:hAnsi="Cambria Math" w:cs="Times New Roman"/>
                <w:i/>
              </w:rPr>
            </m:ctrlPr>
          </m:accPr>
          <m:e>
            <m:r>
              <w:rPr>
                <w:rFonts w:ascii="Cambria Math" w:eastAsia="Calibri" w:hAnsi="Cambria Math" w:cs="Times New Roman"/>
              </w:rPr>
              <m:t>a</m:t>
            </m:r>
          </m:e>
        </m:acc>
      </m:oMath>
      <w:r>
        <w:rPr>
          <w:rFonts w:ascii="Calibri" w:eastAsia="Times New Roman" w:hAnsi="Calibri" w:cs="Times New Roman"/>
        </w:rPr>
        <w:t xml:space="preserve">, whereas campaign effectiveness </w:t>
      </w:r>
      <m:oMath>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jta</m:t>
            </m:r>
          </m:sub>
        </m:sSub>
      </m:oMath>
      <w:r>
        <w:rPr>
          <w:rFonts w:ascii="Calibri" w:eastAsia="Times New Roman" w:hAnsi="Calibri" w:cs="Times New Roman"/>
        </w:rPr>
        <w:t xml:space="preserve"> is indexed by year </w:t>
      </w:r>
      <m:oMath>
        <m:r>
          <w:rPr>
            <w:rFonts w:ascii="Cambria Math" w:eastAsia="Times New Roman" w:hAnsi="Cambria Math" w:cs="Times New Roman"/>
          </w:rPr>
          <m:t>t</m:t>
        </m:r>
      </m:oMath>
      <w:r>
        <w:rPr>
          <w:rFonts w:ascii="Calibri" w:eastAsia="Times New Roman" w:hAnsi="Calibri" w:cs="Times New Roman"/>
        </w:rPr>
        <w:t xml:space="preserve"> and age stratum </w:t>
      </w:r>
      <m:oMath>
        <m:r>
          <w:rPr>
            <w:rFonts w:ascii="Cambria Math" w:eastAsia="Times New Roman" w:hAnsi="Cambria Math" w:cs="Times New Roman"/>
          </w:rPr>
          <m:t>a.</m:t>
        </m:r>
      </m:oMath>
      <w:r>
        <w:rPr>
          <w:rFonts w:ascii="Calibri" w:eastAsia="Times New Roman" w:hAnsi="Calibri" w:cs="Times New Roman"/>
        </w:rPr>
        <w:t xml:space="preserve"> </w:t>
      </w:r>
      <w:r w:rsidRPr="001F7E51">
        <w:rPr>
          <w:rFonts w:ascii="Calibri" w:eastAsia="Times New Roman" w:hAnsi="Calibri" w:cs="Times New Roman"/>
        </w:rPr>
        <w:t xml:space="preserve">In the model employed, children of an identical age living in the same LGA have the same probability of </w:t>
      </w:r>
      <w:r>
        <w:rPr>
          <w:rFonts w:ascii="Calibri" w:eastAsia="Times New Roman" w:hAnsi="Calibri" w:cs="Times New Roman"/>
        </w:rPr>
        <w:t>being immune</w:t>
      </w:r>
      <w:r w:rsidRPr="001F7E51">
        <w:rPr>
          <w:rFonts w:ascii="Calibri" w:eastAsia="Times New Roman" w:hAnsi="Calibri" w:cs="Times New Roman"/>
        </w:rPr>
        <w:t xml:space="preserve"> due to identical campaign exposure.  Therefore, population immunity over an age group distribution </w:t>
      </w:r>
      <m:oMath>
        <m:r>
          <w:rPr>
            <w:rFonts w:ascii="Cambria Math" w:eastAsia="Times New Roman" w:hAnsi="Cambria Math" w:cs="Times New Roman"/>
          </w:rPr>
          <m:t>F</m:t>
        </m:r>
      </m:oMath>
      <w:r w:rsidRPr="001F7E51">
        <w:rPr>
          <w:rFonts w:ascii="Calibri" w:eastAsia="Times New Roman" w:hAnsi="Calibri" w:cs="Times New Roman"/>
        </w:rPr>
        <w:t xml:space="preserve"> may be obtained by taking the expectation (i.e. integrating) </w:t>
      </w:r>
      <m:oMath>
        <m:sSub>
          <m:sSubPr>
            <m:ctrlPr>
              <w:rPr>
                <w:rFonts w:ascii="Cambria Math" w:eastAsia="Calibri" w:hAnsi="Cambria Math" w:cs="Times New Roman"/>
                <w:i/>
              </w:rPr>
            </m:ctrlPr>
          </m:sSubPr>
          <m:e>
            <m:r>
              <w:rPr>
                <w:rFonts w:ascii="Cambria Math" w:eastAsia="Calibri" w:hAnsi="Cambria Math" w:cs="Times New Roman"/>
              </w:rPr>
              <m:t>I</m:t>
            </m:r>
          </m:e>
          <m:sub>
            <m:r>
              <w:rPr>
                <w:rFonts w:ascii="Cambria Math" w:eastAsia="Calibri" w:hAnsi="Cambria Math" w:cs="Times New Roman"/>
              </w:rPr>
              <m:t>j</m:t>
            </m:r>
          </m:sub>
        </m:sSub>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r>
          <w:rPr>
            <w:rFonts w:ascii="Cambria Math" w:eastAsia="Calibri" w:hAnsi="Cambria Math" w:cs="Times New Roman"/>
          </w:rPr>
          <m:t>)</m:t>
        </m:r>
      </m:oMath>
      <w:r w:rsidRPr="001F7E51">
        <w:rPr>
          <w:rFonts w:ascii="Calibri" w:eastAsia="Times New Roman" w:hAnsi="Calibri" w:cs="Times New Roman"/>
        </w:rPr>
        <w:t xml:space="preserve"> with respect to the </w:t>
      </w:r>
      <w:proofErr w:type="gramStart"/>
      <w:r w:rsidRPr="001F7E51">
        <w:rPr>
          <w:rFonts w:ascii="Calibri" w:eastAsia="Times New Roman" w:hAnsi="Calibri" w:cs="Times New Roman"/>
        </w:rPr>
        <w:t xml:space="preserve">distribution </w:t>
      </w:r>
      <w:proofErr w:type="gramEnd"/>
      <m:oMath>
        <m:r>
          <w:rPr>
            <w:rFonts w:ascii="Cambria Math" w:eastAsia="Times New Roman" w:hAnsi="Cambria Math" w:cs="Times New Roman"/>
          </w:rPr>
          <m:t>F</m:t>
        </m:r>
      </m:oMath>
      <w:r w:rsidRPr="001F7E51">
        <w:rPr>
          <w:rFonts w:ascii="Calibri" w:eastAsia="Times New Roman" w:hAnsi="Calibri" w:cs="Times New Roman"/>
        </w:rPr>
        <w:t>.  That is</w:t>
      </w:r>
    </w:p>
    <w:p w14:paraId="6CAECCF4" w14:textId="77777777" w:rsidR="0027650C" w:rsidRPr="001F7E51" w:rsidRDefault="00A97DC8" w:rsidP="0027650C">
      <w:pPr>
        <w:rPr>
          <w:rFonts w:ascii="Calibri" w:eastAsia="Times New Roman" w:hAnsi="Calibri"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e>
          </m:d>
          <m:r>
            <w:rPr>
              <w:rFonts w:ascii="Cambria Math" w:eastAsia="Times New Roman" w:hAnsi="Cambria Math" w:cs="Times New Roman"/>
            </w:rPr>
            <m:t>=</m:t>
          </m:r>
          <m:nary>
            <m:naryPr>
              <m:subHide m:val="1"/>
              <m:supHide m:val="1"/>
              <m:ctrlPr>
                <w:rPr>
                  <w:rFonts w:ascii="Cambria Math" w:eastAsia="Times New Roman" w:hAnsi="Cambria Math" w:cs="Times New Roman"/>
                  <w:i/>
                </w:rPr>
              </m:ctrlPr>
            </m:naryPr>
            <m:sub/>
            <m:sup/>
            <m:e>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e>
              </m:d>
              <m:r>
                <w:rPr>
                  <w:rFonts w:ascii="Cambria Math" w:eastAsia="Times New Roman" w:hAnsi="Cambria Math" w:cs="Times New Roman"/>
                </w:rPr>
                <m:t>dF</m:t>
              </m:r>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a</m:t>
                      </m:r>
                    </m:e>
                  </m:acc>
                </m:e>
              </m:d>
            </m:e>
          </m:nary>
          <m:r>
            <w:rPr>
              <w:rFonts w:ascii="Cambria Math" w:eastAsia="Times New Roman" w:hAnsi="Cambria Math" w:cs="Times New Roman"/>
            </w:rPr>
            <m:t>.</m:t>
          </m:r>
        </m:oMath>
      </m:oMathPara>
    </w:p>
    <w:p w14:paraId="08F99432" w14:textId="77777777" w:rsidR="0027650C" w:rsidRPr="001F7E51" w:rsidRDefault="0027650C" w:rsidP="0027650C">
      <w:pPr>
        <w:rPr>
          <w:rFonts w:ascii="Calibri" w:eastAsia="Times New Roman" w:hAnsi="Calibri" w:cs="Times New Roman"/>
        </w:rPr>
      </w:pPr>
      <w:r>
        <w:rPr>
          <w:rFonts w:ascii="Calibri" w:eastAsia="Times New Roman" w:hAnsi="Calibri" w:cs="Times New Roman"/>
        </w:rPr>
        <w:t xml:space="preserve">We compute the time course of immunity through an efficient dynamic programming algorithm. We start </w:t>
      </w:r>
      <w:proofErr w:type="gramStart"/>
      <w:r>
        <w:rPr>
          <w:rFonts w:ascii="Calibri" w:eastAsia="Times New Roman" w:hAnsi="Calibri" w:cs="Times New Roman"/>
        </w:rPr>
        <w:t xml:space="preserve">with </w:t>
      </w:r>
      <w:proofErr w:type="gramEnd"/>
      <m:oMath>
        <m:r>
          <w:rPr>
            <w:rFonts w:ascii="Cambria Math" w:eastAsia="Calibri" w:hAnsi="Cambria Math" w:cs="Times New Roman"/>
          </w:rPr>
          <m:t>I</m:t>
        </m:r>
        <m:d>
          <m:dPr>
            <m:ctrlPr>
              <w:rPr>
                <w:rFonts w:ascii="Cambria Math" w:eastAsia="Calibri"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,0</m:t>
            </m:r>
          </m:e>
        </m:d>
        <m:r>
          <w:rPr>
            <w:rFonts w:ascii="Cambria Math" w:eastAsia="Calibri" w:hAnsi="Cambria Math" w:cs="Times New Roman"/>
          </w:rPr>
          <m:t>=</m:t>
        </m:r>
        <m:r>
          <w:rPr>
            <w:rFonts w:ascii="Cambria Math" w:eastAsia="Times New Roman" w:hAnsi="Cambria Math" w:cs="Times New Roman"/>
          </w:rPr>
          <m:t>0</m:t>
        </m:r>
      </m:oMath>
      <w:r>
        <w:rPr>
          <w:rFonts w:ascii="Calibri" w:eastAsia="Times New Roman" w:hAnsi="Calibri" w:cs="Times New Roman"/>
        </w:rPr>
        <w:t xml:space="preserve">, i.e. newborn children are not immune. Now, suppose </w:t>
      </w:r>
      <m:oMath>
        <m:sSub>
          <m:sSubPr>
            <m:ctrlPr>
              <w:rPr>
                <w:rFonts w:ascii="Cambria Math" w:eastAsia="Calibri" w:hAnsi="Cambria Math" w:cs="Times New Roman"/>
                <w:i/>
              </w:rPr>
            </m:ctrlPr>
          </m:sSubPr>
          <m:e>
            <m:r>
              <w:rPr>
                <w:rFonts w:ascii="Cambria Math" w:eastAsia="Calibri" w:hAnsi="Cambria Math" w:cs="Times New Roman"/>
              </w:rPr>
              <m:t>I</m:t>
            </m:r>
          </m:e>
          <m:sub>
            <m:r>
              <w:rPr>
                <w:rFonts w:ascii="Cambria Math" w:eastAsia="Calibri" w:hAnsi="Cambria Math" w:cs="Times New Roman"/>
              </w:rPr>
              <m:t>j</m:t>
            </m:r>
          </m:sub>
        </m:sSub>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r>
          <w:rPr>
            <w:rFonts w:ascii="Cambria Math" w:eastAsia="Calibri" w:hAnsi="Cambria Math" w:cs="Times New Roman"/>
          </w:rPr>
          <m:t>)</m:t>
        </m:r>
      </m:oMath>
      <w:r w:rsidRPr="001F7E51">
        <w:rPr>
          <w:rFonts w:ascii="Calibri" w:eastAsia="Times New Roman" w:hAnsi="Calibri" w:cs="Times New Roman"/>
        </w:rPr>
        <w:t xml:space="preserve"> </w:t>
      </w:r>
      <w:r>
        <w:rPr>
          <w:rFonts w:ascii="Calibri" w:eastAsia="Times New Roman" w:hAnsi="Calibri" w:cs="Times New Roman"/>
        </w:rPr>
        <w:t xml:space="preserve">is known for fixed </w:t>
      </w:r>
      <m:oMath>
        <m:acc>
          <m:accPr>
            <m:chr m:val="̃"/>
            <m:ctrlPr>
              <w:rPr>
                <w:rFonts w:ascii="Cambria Math" w:eastAsia="Calibri" w:hAnsi="Cambria Math" w:cs="Times New Roman"/>
                <w:i/>
              </w:rPr>
            </m:ctrlPr>
          </m:accPr>
          <m:e>
            <m:r>
              <w:rPr>
                <w:rFonts w:ascii="Cambria Math" w:eastAsia="Calibri" w:hAnsi="Cambria Math" w:cs="Times New Roman"/>
              </w:rPr>
              <m:t>t</m:t>
            </m:r>
          </m:e>
        </m:acc>
      </m:oMath>
      <w:r>
        <w:rPr>
          <w:rFonts w:ascii="Calibri" w:eastAsia="Times New Roman" w:hAnsi="Calibri" w:cs="Times New Roman"/>
        </w:rPr>
        <w:t xml:space="preserve"> and all </w:t>
      </w:r>
      <w:proofErr w:type="gramStart"/>
      <w:r>
        <w:rPr>
          <w:rFonts w:ascii="Calibri" w:eastAsia="Times New Roman" w:hAnsi="Calibri" w:cs="Times New Roman"/>
        </w:rPr>
        <w:t xml:space="preserve">ages </w:t>
      </w:r>
      <w:proofErr w:type="gramEnd"/>
      <m:oMath>
        <m:acc>
          <m:accPr>
            <m:chr m:val="̃"/>
            <m:ctrlPr>
              <w:rPr>
                <w:rFonts w:ascii="Cambria Math" w:eastAsia="Calibri" w:hAnsi="Cambria Math" w:cs="Times New Roman"/>
                <w:i/>
              </w:rPr>
            </m:ctrlPr>
          </m:accPr>
          <m:e>
            <m:r>
              <w:rPr>
                <w:rFonts w:ascii="Cambria Math" w:eastAsia="Calibri" w:hAnsi="Cambria Math" w:cs="Times New Roman"/>
              </w:rPr>
              <m:t>a</m:t>
            </m:r>
          </m:e>
        </m:acc>
      </m:oMath>
      <w:r>
        <w:rPr>
          <w:rFonts w:ascii="Calibri" w:eastAsia="Times New Roman" w:hAnsi="Calibri" w:cs="Times New Roman"/>
        </w:rPr>
        <w:t xml:space="preserve">. Then, for sufficiently small </w:t>
      </w:r>
      <m:oMath>
        <m:r>
          <m:rPr>
            <m:sty m:val="p"/>
          </m:rPr>
          <w:rPr>
            <w:rFonts w:ascii="Cambria Math" w:eastAsia="Times New Roman" w:hAnsi="Cambria Math" w:cs="Times New Roman"/>
          </w:rPr>
          <m:t>δ</m:t>
        </m:r>
      </m:oMath>
      <w:r>
        <w:rPr>
          <w:rFonts w:ascii="Calibri" w:eastAsia="Times New Roman" w:hAnsi="Calibri" w:cs="Times New Roman"/>
        </w:rPr>
        <w:t xml:space="preserve"> we can compute immunity at future time points using the equations:</w:t>
      </w:r>
      <w:r w:rsidRPr="001F7E51">
        <w:rPr>
          <w:rFonts w:ascii="Calibri" w:eastAsia="Times New Roman" w:hAnsi="Calibri" w:cs="Times New Roman"/>
        </w:rPr>
        <w:t xml:space="preserve"> </w:t>
      </w:r>
      <m:oMath>
        <m:r>
          <w:rPr>
            <w:rFonts w:ascii="Cambria Math" w:eastAsia="Calibri" w:hAnsi="Cambria Math" w:cs="Times New Roman"/>
          </w:rPr>
          <m:t xml:space="preserve"> </m:t>
        </m:r>
      </m:oMath>
    </w:p>
    <w:p w14:paraId="69B6F6D6" w14:textId="77777777" w:rsidR="0027650C" w:rsidRPr="001F7E51" w:rsidRDefault="00A97DC8" w:rsidP="0027650C">
      <w:pPr>
        <w:rPr>
          <w:rFonts w:ascii="Calibri" w:eastAsia="Times New Roman" w:hAnsi="Calibri"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Times New Roman" w:hAnsi="Cambria Math" w:cs="Times New Roman"/>
                </w:rPr>
                <m:t>+</m:t>
              </m:r>
              <m:r>
                <m:rPr>
                  <m:sty m:val="p"/>
                </m:rPr>
                <w:rPr>
                  <w:rFonts w:ascii="Cambria Math" w:eastAsia="Times New Roman" w:hAnsi="Cambria Math" w:cs="Times New Roman"/>
                </w:rPr>
                <m:t>δ</m:t>
              </m:r>
              <m:r>
                <w:rPr>
                  <w:rFonts w:ascii="Cambria Math" w:eastAsia="Times New Roman" w:hAnsi="Cambria Math" w:cs="Times New Roman"/>
                </w:rPr>
                <m:t xml:space="preserve">, </m:t>
              </m:r>
              <m:acc>
                <m:accPr>
                  <m:chr m:val="̃"/>
                  <m:ctrlPr>
                    <w:rPr>
                      <w:rFonts w:ascii="Cambria Math" w:eastAsia="Calibri" w:hAnsi="Cambria Math" w:cs="Times New Roman"/>
                      <w:i/>
                    </w:rPr>
                  </m:ctrlPr>
                </m:accPr>
                <m:e>
                  <m:r>
                    <w:rPr>
                      <w:rFonts w:ascii="Cambria Math" w:eastAsia="Calibri" w:hAnsi="Cambria Math" w:cs="Times New Roman"/>
                    </w:rPr>
                    <m:t>a</m:t>
                  </m:r>
                </m:e>
              </m:acc>
              <m:r>
                <w:rPr>
                  <w:rFonts w:ascii="Cambria Math" w:eastAsia="Times New Roman" w:hAnsi="Cambria Math" w:cs="Times New Roman"/>
                </w:rPr>
                <m:t>+</m:t>
              </m:r>
              <m:r>
                <m:rPr>
                  <m:sty m:val="p"/>
                </m:rPr>
                <w:rPr>
                  <w:rFonts w:ascii="Cambria Math" w:eastAsia="Times New Roman" w:hAnsi="Cambria Math" w:cs="Times New Roman"/>
                </w:rPr>
                <m:t>δ</m:t>
              </m:r>
            </m:e>
          </m:d>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e>
          </m:d>
          <m:r>
            <m:rPr>
              <m:sty m:val="p"/>
            </m:rPr>
            <w:rPr>
              <w:rFonts w:ascii="Cambria Math" w:eastAsia="Times New Roman" w:hAnsi="Cambria Math" w:cs="Times New Roman"/>
            </w:rPr>
            <m:t xml:space="preserve"> if no campaigns occured in the interval (</m:t>
          </m:r>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m:rPr>
              <m:sty m:val="p"/>
            </m:rPr>
            <w:rPr>
              <w:rFonts w:ascii="Cambria Math" w:eastAsia="Times New Roman" w:hAnsi="Cambria Math" w:cs="Times New Roman"/>
            </w:rPr>
            <m:t>+δ];</m:t>
          </m:r>
          <m:r>
            <m:rPr>
              <m:sty m:val="p"/>
            </m:rPr>
            <w:rPr>
              <w:rFonts w:ascii="Cambria Math" w:eastAsia="Times New Roman" w:hAnsi="Cambria Math" w:cs="Times New Roman"/>
            </w:rPr>
            <w:br/>
          </m:r>
        </m:oMath>
        <m:oMath>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Times New Roman" w:hAnsi="Cambria Math" w:cs="Times New Roman"/>
                </w:rPr>
                <m:t xml:space="preserve">+ </m:t>
              </m:r>
              <m:r>
                <m:rPr>
                  <m:sty m:val="p"/>
                </m:rPr>
                <w:rPr>
                  <w:rFonts w:ascii="Cambria Math" w:eastAsia="Times New Roman" w:hAnsi="Cambria Math" w:cs="Times New Roman"/>
                </w:rPr>
                <m:t>δ</m:t>
              </m:r>
              <m:r>
                <w:rPr>
                  <w:rFonts w:ascii="Cambria Math" w:eastAsia="Times New Roman" w:hAnsi="Cambria Math" w:cs="Times New Roman"/>
                </w:rPr>
                <m:t xml:space="preserve">, </m:t>
              </m:r>
              <m:acc>
                <m:accPr>
                  <m:chr m:val="̃"/>
                  <m:ctrlPr>
                    <w:rPr>
                      <w:rFonts w:ascii="Cambria Math" w:eastAsia="Calibri" w:hAnsi="Cambria Math" w:cs="Times New Roman"/>
                      <w:i/>
                    </w:rPr>
                  </m:ctrlPr>
                </m:accPr>
                <m:e>
                  <m:r>
                    <w:rPr>
                      <w:rFonts w:ascii="Cambria Math" w:eastAsia="Calibri" w:hAnsi="Cambria Math" w:cs="Times New Roman"/>
                    </w:rPr>
                    <m:t>a</m:t>
                  </m:r>
                </m:e>
              </m:acc>
              <m:r>
                <w:rPr>
                  <w:rFonts w:ascii="Cambria Math" w:eastAsia="Times New Roman" w:hAnsi="Cambria Math" w:cs="Times New Roman"/>
                </w:rPr>
                <m:t>+</m:t>
              </m:r>
              <m:r>
                <m:rPr>
                  <m:sty m:val="p"/>
                </m:rPr>
                <w:rPr>
                  <w:rFonts w:ascii="Cambria Math" w:eastAsia="Times New Roman" w:hAnsi="Cambria Math" w:cs="Times New Roman"/>
                </w:rPr>
                <m:t>δ</m:t>
              </m:r>
            </m:e>
          </m:d>
          <m:r>
            <w:rPr>
              <w:rFonts w:ascii="Cambria Math" w:eastAsia="Times New Roman" w:hAnsi="Cambria Math" w:cs="Times New Roman"/>
            </w:rPr>
            <m:t>=1-</m:t>
          </m:r>
          <m:d>
            <m:dPr>
              <m:ctrlPr>
                <w:rPr>
                  <w:rFonts w:ascii="Cambria Math" w:eastAsia="Times New Roman" w:hAnsi="Cambria Math" w:cs="Times New Roman"/>
                  <w:i/>
                </w:rPr>
              </m:ctrlPr>
            </m:dPr>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e>
              </m:d>
              <m:r>
                <m:rPr>
                  <m:sty m:val="p"/>
                </m:rPr>
                <w:rPr>
                  <w:rFonts w:ascii="Cambria Math" w:eastAsia="Times New Roman" w:hAnsi="Cambria Math" w:cs="Times New Roman"/>
                </w:rPr>
                <m:t xml:space="preserve"> </m:t>
              </m:r>
            </m:e>
          </m:d>
          <m:d>
            <m:dPr>
              <m:ctrlPr>
                <w:rPr>
                  <w:rFonts w:ascii="Cambria Math" w:eastAsia="Times New Roman" w:hAnsi="Cambria Math" w:cs="Times New Roman"/>
                  <w:i/>
                </w:rPr>
              </m:ctrlPr>
            </m:dPr>
            <m:e>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p</m:t>
                  </m:r>
                </m:e>
                <m:sup>
                  <m:r>
                    <w:rPr>
                      <w:rFonts w:ascii="Cambria Math" w:eastAsia="Times New Roman" w:hAnsi="Cambria Math" w:cs="Times New Roman"/>
                    </w:rPr>
                    <m:t>*</m:t>
                  </m:r>
                </m:sup>
              </m:sSup>
              <m:sSup>
                <m:sSupPr>
                  <m:ctrlPr>
                    <w:rPr>
                      <w:rFonts w:ascii="Cambria Math" w:eastAsia="Times New Roman" w:hAnsi="Cambria Math" w:cs="Times New Roman"/>
                      <w:i/>
                    </w:rPr>
                  </m:ctrlPr>
                </m:sSupPr>
                <m:e>
                  <m:r>
                    <w:rPr>
                      <w:rFonts w:ascii="Cambria Math" w:eastAsia="Times New Roman" w:hAnsi="Cambria Math" w:cs="Times New Roman"/>
                    </w:rPr>
                    <m:t>ϕ</m:t>
                  </m:r>
                </m:e>
                <m:sup>
                  <m:r>
                    <w:rPr>
                      <w:rFonts w:ascii="Cambria Math" w:eastAsia="Times New Roman" w:hAnsi="Cambria Math" w:cs="Times New Roman"/>
                    </w:rPr>
                    <m:t>*</m:t>
                  </m:r>
                </m:sup>
              </m:sSup>
            </m:e>
          </m:d>
          <m:r>
            <m:rPr>
              <m:sty m:val="p"/>
            </m:rPr>
            <w:rPr>
              <w:rFonts w:ascii="Cambria Math" w:eastAsia="Times New Roman" w:hAnsi="Cambria Math" w:cs="Times New Roman"/>
            </w:rPr>
            <m:t xml:space="preserve"> if a campaign occured in the interval (</m:t>
          </m:r>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m:rPr>
              <m:sty m:val="p"/>
            </m:rPr>
            <w:rPr>
              <w:rFonts w:ascii="Cambria Math" w:eastAsia="Times New Roman" w:hAnsi="Cambria Math" w:cs="Times New Roman"/>
            </w:rPr>
            <m:t>+δ],</m:t>
          </m:r>
        </m:oMath>
      </m:oMathPara>
    </w:p>
    <w:p w14:paraId="2B28642F" w14:textId="77777777" w:rsidR="0027650C" w:rsidRDefault="0027650C" w:rsidP="0027650C">
      <w:pPr>
        <w:rPr>
          <w:rFonts w:ascii="Calibri" w:eastAsia="Times New Roman" w:hAnsi="Calibri" w:cs="Times New Roman"/>
        </w:rPr>
      </w:pPr>
      <w:proofErr w:type="gramStart"/>
      <w:r>
        <w:rPr>
          <w:rFonts w:ascii="Calibri" w:eastAsia="Times New Roman" w:hAnsi="Calibri" w:cs="Times New Roman"/>
        </w:rPr>
        <w:t>where</w:t>
      </w:r>
      <w:proofErr w:type="gramEnd"/>
      <w:r>
        <w:rPr>
          <w:rFonts w:ascii="Calibri" w:eastAsia="Times New Roman" w:hAnsi="Calibri" w:cs="Times New Roman"/>
        </w:rPr>
        <w:t xml:space="preserve"> </w:t>
      </w:r>
      <m:oMath>
        <m:sSup>
          <m:sSupPr>
            <m:ctrlPr>
              <w:rPr>
                <w:rFonts w:ascii="Cambria Math" w:eastAsia="Times New Roman" w:hAnsi="Cambria Math" w:cs="Times New Roman"/>
                <w:i/>
              </w:rPr>
            </m:ctrlPr>
          </m:sSupPr>
          <m:e>
            <m:r>
              <w:rPr>
                <w:rFonts w:ascii="Cambria Math" w:eastAsia="Times New Roman" w:hAnsi="Cambria Math" w:cs="Times New Roman"/>
              </w:rPr>
              <m:t>p</m:t>
            </m:r>
          </m:e>
          <m:sup>
            <m:r>
              <w:rPr>
                <w:rFonts w:ascii="Cambria Math" w:eastAsia="Times New Roman" w:hAnsi="Cambria Math" w:cs="Times New Roman"/>
              </w:rPr>
              <m:t>*</m:t>
            </m:r>
          </m:sup>
        </m:sSup>
      </m:oMath>
      <w:r>
        <w:rPr>
          <w:rFonts w:ascii="Calibri" w:eastAsia="Times New Roman" w:hAnsi="Calibri" w:cs="Times New Roman"/>
        </w:rPr>
        <w:t xml:space="preserve"> and </w:t>
      </w:r>
      <m:oMath>
        <m:sSup>
          <m:sSupPr>
            <m:ctrlPr>
              <w:rPr>
                <w:rFonts w:ascii="Cambria Math" w:eastAsia="Times New Roman" w:hAnsi="Cambria Math" w:cs="Times New Roman"/>
                <w:i/>
              </w:rPr>
            </m:ctrlPr>
          </m:sSupPr>
          <m:e>
            <m:r>
              <w:rPr>
                <w:rFonts w:ascii="Cambria Math" w:eastAsia="Times New Roman" w:hAnsi="Cambria Math" w:cs="Times New Roman"/>
              </w:rPr>
              <m:t>ϕ</m:t>
            </m:r>
          </m:e>
          <m:sup>
            <m:r>
              <w:rPr>
                <w:rFonts w:ascii="Cambria Math" w:eastAsia="Times New Roman" w:hAnsi="Cambria Math" w:cs="Times New Roman"/>
              </w:rPr>
              <m:t>*</m:t>
            </m:r>
          </m:sup>
        </m:sSup>
      </m:oMath>
      <w:r>
        <w:rPr>
          <w:rFonts w:ascii="Calibri" w:eastAsia="Times New Roman" w:hAnsi="Calibri" w:cs="Times New Roman"/>
        </w:rPr>
        <w:t xml:space="preserve"> are the appropriate campaign coverage and vaccine efficacy for the campaign occurring in the interval </w:t>
      </w:r>
      <m:oMath>
        <m:r>
          <m:rPr>
            <m:sty m:val="p"/>
          </m:rPr>
          <w:rPr>
            <w:rFonts w:ascii="Cambria Math" w:eastAsia="Times New Roman"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m:rPr>
            <m:sty m:val="p"/>
          </m:rPr>
          <w:rPr>
            <w:rFonts w:ascii="Cambria Math" w:eastAsia="Times New Roman" w:hAnsi="Cambria Math" w:cs="Times New Roman"/>
          </w:rPr>
          <m:t>+δ]</m:t>
        </m:r>
      </m:oMath>
      <w:r>
        <w:rPr>
          <w:rFonts w:ascii="Calibri" w:eastAsia="Times New Roman" w:hAnsi="Calibri" w:cs="Times New Roman"/>
        </w:rPr>
        <w:t>.</w:t>
      </w:r>
    </w:p>
    <w:p w14:paraId="47981CE4" w14:textId="77777777" w:rsidR="0027650C" w:rsidRPr="001F7E51" w:rsidRDefault="0027650C" w:rsidP="0027650C">
      <w:pPr>
        <w:rPr>
          <w:rFonts w:ascii="Calibri" w:eastAsia="Times New Roman" w:hAnsi="Calibri" w:cs="Times New Roman"/>
        </w:rPr>
      </w:pPr>
      <w:r>
        <w:rPr>
          <w:rFonts w:ascii="Calibri" w:eastAsia="Times New Roman" w:hAnsi="Calibri" w:cs="Times New Roman"/>
        </w:rPr>
        <w:t xml:space="preserve">In practice, we keep track of immunity in a discrete set of ages from 0 to 5 years old, separated by </w:t>
      </w:r>
      <m:oMath>
        <m:r>
          <m:rPr>
            <m:sty m:val="p"/>
          </m:rPr>
          <w:rPr>
            <w:rFonts w:ascii="Cambria Math" w:eastAsia="Times New Roman" w:hAnsi="Cambria Math" w:cs="Times New Roman"/>
          </w:rPr>
          <m:t>δ</m:t>
        </m:r>
      </m:oMath>
      <w:r>
        <w:rPr>
          <w:rFonts w:ascii="Calibri" w:eastAsia="Times New Roman" w:hAnsi="Calibri" w:cs="Times New Roman"/>
        </w:rPr>
        <w:t xml:space="preserve"> = 7 days. Then, starting in January 1, 2000 with all age groups being un-immune, we can calculate immunity in 7 day increments, so that the updates </w:t>
      </w:r>
      <m:oMath>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r>
          <w:rPr>
            <w:rFonts w:ascii="Cambria Math" w:eastAsia="Times New Roman"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Times New Roman" w:hAnsi="Cambria Math" w:cs="Times New Roman"/>
          </w:rPr>
          <m:t>+</m:t>
        </m:r>
        <m:r>
          <m:rPr>
            <m:sty m:val="p"/>
          </m:rPr>
          <w:rPr>
            <w:rFonts w:ascii="Cambria Math" w:eastAsia="Times New Roman" w:hAnsi="Cambria Math" w:cs="Times New Roman"/>
          </w:rPr>
          <m:t>δ</m:t>
        </m:r>
        <m:r>
          <w:rPr>
            <w:rFonts w:ascii="Cambria Math" w:eastAsia="Times New Roman" w:hAnsi="Cambria Math" w:cs="Times New Roman"/>
          </w:rPr>
          <m:t xml:space="preserve">, </m:t>
        </m:r>
        <m:acc>
          <m:accPr>
            <m:chr m:val="̃"/>
            <m:ctrlPr>
              <w:rPr>
                <w:rFonts w:ascii="Cambria Math" w:eastAsia="Calibri" w:hAnsi="Cambria Math" w:cs="Times New Roman"/>
                <w:i/>
              </w:rPr>
            </m:ctrlPr>
          </m:accPr>
          <m:e>
            <m:r>
              <w:rPr>
                <w:rFonts w:ascii="Cambria Math" w:eastAsia="Calibri" w:hAnsi="Cambria Math" w:cs="Times New Roman"/>
              </w:rPr>
              <m:t>a</m:t>
            </m:r>
          </m:e>
        </m:acc>
        <m:r>
          <w:rPr>
            <w:rFonts w:ascii="Cambria Math" w:eastAsia="Times New Roman" w:hAnsi="Cambria Math" w:cs="Times New Roman"/>
          </w:rPr>
          <m:t>+</m:t>
        </m:r>
        <m:r>
          <m:rPr>
            <m:sty m:val="p"/>
          </m:rPr>
          <w:rPr>
            <w:rFonts w:ascii="Cambria Math" w:eastAsia="Times New Roman" w:hAnsi="Cambria Math" w:cs="Times New Roman"/>
          </w:rPr>
          <m:t>δ</m:t>
        </m:r>
        <m:r>
          <w:rPr>
            <w:rFonts w:ascii="Cambria Math" w:eastAsia="Times New Roman" w:hAnsi="Cambria Math" w:cs="Times New Roman"/>
          </w:rPr>
          <m:t>)</m:t>
        </m:r>
      </m:oMath>
      <w:r>
        <w:rPr>
          <w:rFonts w:ascii="Calibri" w:eastAsia="Times New Roman" w:hAnsi="Calibri" w:cs="Times New Roman"/>
        </w:rPr>
        <w:t xml:space="preserve"> yield immunity in the next oldest age group. We then use a discrete approximate </w:t>
      </w:r>
      <w:proofErr w:type="gramStart"/>
      <w:r>
        <w:rPr>
          <w:rFonts w:ascii="Calibri" w:eastAsia="Times New Roman" w:hAnsi="Calibri" w:cs="Times New Roman"/>
        </w:rPr>
        <w:t xml:space="preserve">to </w:t>
      </w:r>
      <w:proofErr w:type="gramEnd"/>
      <m:oMath>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e>
        </m:d>
        <m:r>
          <w:rPr>
            <w:rFonts w:ascii="Cambria Math" w:eastAsia="Times New Roman" w:hAnsi="Cambria Math" w:cs="Times New Roman"/>
          </w:rPr>
          <m:t>=</m:t>
        </m:r>
        <m:nary>
          <m:naryPr>
            <m:subHide m:val="1"/>
            <m:supHide m:val="1"/>
            <m:ctrlPr>
              <w:rPr>
                <w:rFonts w:ascii="Cambria Math" w:eastAsia="Times New Roman" w:hAnsi="Cambria Math" w:cs="Times New Roman"/>
                <w:i/>
              </w:rPr>
            </m:ctrlPr>
          </m:naryPr>
          <m:sub/>
          <m:sup/>
          <m:e>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r>
                  <w:rPr>
                    <w:rFonts w:ascii="Cambria Math" w:eastAsia="Calibri" w:hAnsi="Cambria Math" w:cs="Times New Roman"/>
                  </w:rPr>
                  <m:t>,</m:t>
                </m:r>
                <m:acc>
                  <m:accPr>
                    <m:chr m:val="̃"/>
                    <m:ctrlPr>
                      <w:rPr>
                        <w:rFonts w:ascii="Cambria Math" w:eastAsia="Calibri" w:hAnsi="Cambria Math" w:cs="Times New Roman"/>
                        <w:i/>
                      </w:rPr>
                    </m:ctrlPr>
                  </m:accPr>
                  <m:e>
                    <m:r>
                      <w:rPr>
                        <w:rFonts w:ascii="Cambria Math" w:eastAsia="Calibri" w:hAnsi="Cambria Math" w:cs="Times New Roman"/>
                      </w:rPr>
                      <m:t>a</m:t>
                    </m:r>
                  </m:e>
                </m:acc>
              </m:e>
            </m:d>
            <m:r>
              <w:rPr>
                <w:rFonts w:ascii="Cambria Math" w:eastAsia="Times New Roman" w:hAnsi="Cambria Math" w:cs="Times New Roman"/>
              </w:rPr>
              <m:t>dF</m:t>
            </m:r>
            <m:d>
              <m:dPr>
                <m:ctrlPr>
                  <w:rPr>
                    <w:rFonts w:ascii="Cambria Math" w:eastAsia="Times New Roman"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a</m:t>
                    </m:r>
                  </m:e>
                </m:acc>
              </m:e>
            </m:d>
          </m:e>
        </m:nary>
      </m:oMath>
      <w:r>
        <w:rPr>
          <w:rFonts w:ascii="Calibri" w:eastAsia="Times New Roman" w:hAnsi="Calibri" w:cs="Times New Roman"/>
        </w:rPr>
        <w:t xml:space="preserve">, where </w:t>
      </w:r>
      <m:oMath>
        <m:r>
          <w:rPr>
            <w:rFonts w:ascii="Cambria Math" w:eastAsia="Times New Roman" w:hAnsi="Cambria Math" w:cs="Times New Roman"/>
          </w:rPr>
          <m:t xml:space="preserve">F </m:t>
        </m:r>
      </m:oMath>
      <w:r>
        <w:rPr>
          <w:rFonts w:ascii="Calibri" w:eastAsia="Times New Roman" w:hAnsi="Calibri" w:cs="Times New Roman"/>
        </w:rPr>
        <w:t xml:space="preserve">is the uniform distribution on 6-59 month olds. </w:t>
      </w:r>
    </w:p>
    <w:p w14:paraId="31992B0C" w14:textId="77777777" w:rsidR="0027650C" w:rsidRPr="001F7E51" w:rsidRDefault="0027650C" w:rsidP="0087494D">
      <w:pPr>
        <w:pStyle w:val="Heading2"/>
        <w:rPr>
          <w:rFonts w:eastAsia="Times New Roman"/>
        </w:rPr>
      </w:pPr>
      <w:r w:rsidRPr="001F7E51">
        <w:rPr>
          <w:rFonts w:eastAsia="Times New Roman"/>
        </w:rPr>
        <w:t>Uncertainty propagation for immunity</w:t>
      </w:r>
    </w:p>
    <w:p w14:paraId="5C154B7E" w14:textId="77777777" w:rsidR="0027650C" w:rsidRPr="001F7E51" w:rsidRDefault="0027650C" w:rsidP="0027650C">
      <w:pPr>
        <w:rPr>
          <w:rFonts w:ascii="Calibri" w:eastAsia="Times New Roman" w:hAnsi="Calibri" w:cs="Times New Roman"/>
        </w:rPr>
      </w:pPr>
      <w:r w:rsidRPr="001F7E51">
        <w:rPr>
          <w:rFonts w:ascii="Calibri" w:eastAsia="Times New Roman" w:hAnsi="Calibri" w:cs="Times New Roman"/>
        </w:rPr>
        <w:t>The output of an MCMC procedure is a set of samples that approximate the posterior distribution of the parameters.  The particular parameters of interest are campaign effectiveness parameters by age, which are composed of various random and fixed effects.</w:t>
      </w:r>
    </w:p>
    <w:p w14:paraId="37FDFC56" w14:textId="77777777" w:rsidR="0027650C" w:rsidRPr="001F7E51" w:rsidRDefault="0027650C" w:rsidP="0027650C">
      <w:pPr>
        <w:rPr>
          <w:rFonts w:ascii="Calibri" w:eastAsia="Times New Roman" w:hAnsi="Calibri" w:cs="Times New Roman"/>
        </w:rPr>
      </w:pPr>
      <w:r>
        <w:rPr>
          <w:rFonts w:ascii="Calibri" w:eastAsia="Times New Roman" w:hAnsi="Calibri" w:cs="Times New Roman"/>
        </w:rPr>
        <w:t xml:space="preserve">In addition, population immunity </w:t>
      </w:r>
      <m:oMath>
        <m:sSub>
          <m:sSubPr>
            <m:ctrlPr>
              <w:rPr>
                <w:rFonts w:ascii="Cambria Math" w:eastAsia="Calibri" w:hAnsi="Cambria Math" w:cs="Times New Roman"/>
                <w:i/>
              </w:rPr>
            </m:ctrlPr>
          </m:sSubPr>
          <m:e>
            <m:r>
              <w:rPr>
                <w:rFonts w:ascii="Cambria Math" w:eastAsia="Calibri" w:hAnsi="Cambria Math" w:cs="Times New Roman"/>
              </w:rPr>
              <m:t>I</m:t>
            </m:r>
          </m:e>
          <m:sub>
            <m:r>
              <w:rPr>
                <w:rFonts w:ascii="Cambria Math" w:eastAsia="Calibri" w:hAnsi="Cambria Math" w:cs="Times New Roman"/>
              </w:rPr>
              <m:t>j</m:t>
            </m:r>
          </m:sub>
        </m:sSub>
        <m:r>
          <w:rPr>
            <w:rFonts w:ascii="Cambria Math" w:eastAsia="Calibri" w:hAnsi="Cambria Math" w:cs="Times New Roman"/>
          </w:rPr>
          <m:t>(⋅)</m:t>
        </m:r>
      </m:oMath>
      <w:r>
        <w:rPr>
          <w:rFonts w:ascii="Calibri" w:eastAsia="Times New Roman" w:hAnsi="Calibri" w:cs="Times New Roman"/>
        </w:rPr>
        <w:t xml:space="preserve"> i</w:t>
      </w:r>
      <w:proofErr w:type="spellStart"/>
      <w:r>
        <w:rPr>
          <w:rFonts w:ascii="Calibri" w:eastAsia="Times New Roman" w:hAnsi="Calibri" w:cs="Times New Roman"/>
        </w:rPr>
        <w:t>s</w:t>
      </w:r>
      <w:proofErr w:type="spellEnd"/>
      <w:r>
        <w:rPr>
          <w:rFonts w:ascii="Calibri" w:eastAsia="Times New Roman" w:hAnsi="Calibri" w:cs="Times New Roman"/>
        </w:rPr>
        <w:t xml:space="preserve"> a function of campaign effectiveness, and so its posterior distribution can be approximated by applying the immunity calculations to posterior samples.</w:t>
      </w:r>
      <w:r w:rsidRPr="001F7E51">
        <w:rPr>
          <w:rFonts w:ascii="Calibri" w:eastAsia="Times New Roman" w:hAnsi="Calibri" w:cs="Times New Roman"/>
        </w:rPr>
        <w:t xml:space="preserve"> </w:t>
      </w:r>
      <w:r>
        <w:rPr>
          <w:rFonts w:ascii="Calibri" w:eastAsia="Times New Roman" w:hAnsi="Calibri" w:cs="Times New Roman"/>
        </w:rPr>
        <w:t xml:space="preserve"> </w:t>
      </w:r>
      <w:r w:rsidRPr="001F7E51">
        <w:rPr>
          <w:rFonts w:ascii="Calibri" w:eastAsia="Times New Roman" w:hAnsi="Calibri" w:cs="Times New Roman"/>
        </w:rPr>
        <w:t xml:space="preserve">Let </w:t>
      </w:r>
      <m:oMath>
        <m:sSubSup>
          <m:sSubSupPr>
            <m:ctrlPr>
              <w:rPr>
                <w:rFonts w:ascii="Cambria Math" w:eastAsia="Calibri" w:hAnsi="Cambria Math" w:cs="Times New Roman"/>
                <w:i/>
              </w:rPr>
            </m:ctrlPr>
          </m:sSubSupPr>
          <m:e>
            <m:r>
              <w:rPr>
                <w:rFonts w:ascii="Cambria Math" w:eastAsia="Calibri" w:hAnsi="Cambria Math" w:cs="Times New Roman"/>
              </w:rPr>
              <m:t>I</m:t>
            </m:r>
          </m:e>
          <m:sub>
            <m:r>
              <w:rPr>
                <w:rFonts w:ascii="Cambria Math" w:eastAsia="Calibri" w:hAnsi="Cambria Math" w:cs="Times New Roman"/>
              </w:rPr>
              <m:t>j</m:t>
            </m:r>
          </m:sub>
          <m:sup>
            <m:r>
              <w:rPr>
                <w:rFonts w:ascii="Cambria Math" w:eastAsia="Calibri" w:hAnsi="Cambria Math" w:cs="Times New Roman"/>
              </w:rPr>
              <m:t>(k)</m:t>
            </m:r>
          </m:sup>
        </m:sSubSup>
        <m:r>
          <w:rPr>
            <w:rFonts w:ascii="Cambria Math" w:eastAsia="Calibri" w:hAnsi="Cambria Math" w:cs="Times New Roman"/>
          </w:rPr>
          <m:t xml:space="preserve">= </m:t>
        </m:r>
        <m:sSubSup>
          <m:sSubSupPr>
            <m:ctrlPr>
              <w:rPr>
                <w:rFonts w:ascii="Cambria Math" w:eastAsia="Calibri" w:hAnsi="Cambria Math" w:cs="Times New Roman"/>
                <w:i/>
              </w:rPr>
            </m:ctrlPr>
          </m:sSubSupPr>
          <m:e>
            <m:r>
              <w:rPr>
                <w:rFonts w:ascii="Cambria Math" w:eastAsia="Calibri" w:hAnsi="Cambria Math" w:cs="Times New Roman"/>
              </w:rPr>
              <m:t>I</m:t>
            </m:r>
          </m:e>
          <m:sub>
            <m:r>
              <w:rPr>
                <w:rFonts w:ascii="Cambria Math" w:eastAsia="Calibri" w:hAnsi="Cambria Math" w:cs="Times New Roman"/>
              </w:rPr>
              <m:t>j</m:t>
            </m:r>
          </m:sub>
          <m:sup>
            <m:d>
              <m:dPr>
                <m:ctrlPr>
                  <w:rPr>
                    <w:rFonts w:ascii="Cambria Math" w:eastAsia="Calibri" w:hAnsi="Cambria Math" w:cs="Times New Roman"/>
                    <w:i/>
                  </w:rPr>
                </m:ctrlPr>
              </m:dPr>
              <m:e>
                <m:r>
                  <w:rPr>
                    <w:rFonts w:ascii="Cambria Math" w:eastAsia="Calibri" w:hAnsi="Cambria Math" w:cs="Times New Roman"/>
                  </w:rPr>
                  <m:t>k</m:t>
                </m:r>
              </m:e>
            </m:d>
          </m:sup>
        </m:sSubSup>
        <m:d>
          <m:dPr>
            <m:ctrlPr>
              <w:rPr>
                <w:rFonts w:ascii="Cambria Math" w:eastAsia="Calibri" w:hAnsi="Cambria Math" w:cs="Times New Roman"/>
                <w:i/>
              </w:rPr>
            </m:ctrlPr>
          </m:dPr>
          <m:e>
            <m:acc>
              <m:accPr>
                <m:chr m:val="̃"/>
                <m:ctrlPr>
                  <w:rPr>
                    <w:rFonts w:ascii="Cambria Math" w:eastAsia="Calibri" w:hAnsi="Cambria Math" w:cs="Times New Roman"/>
                    <w:i/>
                  </w:rPr>
                </m:ctrlPr>
              </m:accPr>
              <m:e>
                <m:r>
                  <w:rPr>
                    <w:rFonts w:ascii="Cambria Math" w:eastAsia="Calibri" w:hAnsi="Cambria Math" w:cs="Times New Roman"/>
                  </w:rPr>
                  <m:t>t</m:t>
                </m:r>
              </m:e>
            </m:acc>
          </m:e>
        </m:d>
        <m:r>
          <w:rPr>
            <w:rFonts w:ascii="Cambria Math" w:eastAsia="Calibri" w:hAnsi="Cambria Math" w:cs="Times New Roman"/>
          </w:rPr>
          <m:t>,  i=1,…,K</m:t>
        </m:r>
      </m:oMath>
      <w:r w:rsidRPr="001F7E51">
        <w:rPr>
          <w:rFonts w:ascii="Calibri" w:eastAsia="Times New Roman" w:hAnsi="Calibri" w:cs="Times New Roman"/>
        </w:rPr>
        <w:t xml:space="preserve"> be the </w:t>
      </w:r>
      <w:r>
        <w:rPr>
          <w:rFonts w:ascii="Calibri" w:eastAsia="Times New Roman" w:hAnsi="Calibri" w:cs="Times New Roman"/>
        </w:rPr>
        <w:t xml:space="preserve">population immunity estimates for a particular time </w:t>
      </w:r>
      <w:proofErr w:type="gramStart"/>
      <w:r>
        <w:rPr>
          <w:rFonts w:ascii="Calibri" w:eastAsia="Times New Roman" w:hAnsi="Calibri" w:cs="Times New Roman"/>
        </w:rPr>
        <w:t xml:space="preserve">point </w:t>
      </w:r>
      <w:proofErr w:type="gramEnd"/>
      <m:oMath>
        <m:acc>
          <m:accPr>
            <m:chr m:val="̃"/>
            <m:ctrlPr>
              <w:rPr>
                <w:rFonts w:ascii="Cambria Math" w:eastAsia="Calibri" w:hAnsi="Cambria Math" w:cs="Times New Roman"/>
                <w:i/>
              </w:rPr>
            </m:ctrlPr>
          </m:accPr>
          <m:e>
            <m:r>
              <w:rPr>
                <w:rFonts w:ascii="Cambria Math" w:eastAsia="Calibri" w:hAnsi="Cambria Math" w:cs="Times New Roman"/>
              </w:rPr>
              <m:t>t</m:t>
            </m:r>
          </m:e>
        </m:acc>
      </m:oMath>
      <w:r>
        <w:rPr>
          <w:rFonts w:ascii="Calibri" w:eastAsia="Times New Roman" w:hAnsi="Calibri" w:cs="Times New Roman"/>
        </w:rPr>
        <w:t>, based on the</w:t>
      </w:r>
      <w:r w:rsidRPr="001F7E51">
        <w:rPr>
          <w:rFonts w:ascii="Calibri" w:eastAsia="Times New Roman" w:hAnsi="Calibri" w:cs="Times New Roman"/>
        </w:rPr>
        <w:t xml:space="preserve"> </w:t>
      </w:r>
      <m:oMath>
        <m:r>
          <w:rPr>
            <w:rFonts w:ascii="Cambria Math" w:eastAsia="Times New Roman" w:hAnsi="Cambria Math" w:cs="Times New Roman"/>
          </w:rPr>
          <m:t>K</m:t>
        </m:r>
      </m:oMath>
      <w:r w:rsidRPr="001F7E51">
        <w:rPr>
          <w:rFonts w:ascii="Calibri" w:eastAsia="Times New Roman" w:hAnsi="Calibri" w:cs="Times New Roman"/>
        </w:rPr>
        <w:t xml:space="preserve"> MCMC sample</w:t>
      </w:r>
      <w:r>
        <w:rPr>
          <w:rFonts w:ascii="Calibri" w:eastAsia="Times New Roman" w:hAnsi="Calibri" w:cs="Times New Roman"/>
        </w:rPr>
        <w:t>s</w:t>
      </w:r>
      <w:r w:rsidRPr="001F7E51">
        <w:rPr>
          <w:rFonts w:ascii="Calibri" w:eastAsia="Times New Roman" w:hAnsi="Calibri" w:cs="Times New Roman"/>
        </w:rPr>
        <w:t xml:space="preserve"> </w:t>
      </w:r>
      <w:r>
        <w:rPr>
          <w:rFonts w:ascii="Calibri" w:eastAsia="Times New Roman" w:hAnsi="Calibri" w:cs="Times New Roman"/>
        </w:rPr>
        <w:t>of the parameters.</w:t>
      </w:r>
      <w:r w:rsidRPr="001F7E51">
        <w:rPr>
          <w:rFonts w:ascii="Calibri" w:eastAsia="Times New Roman" w:hAnsi="Calibri" w:cs="Times New Roman"/>
        </w:rPr>
        <w:t xml:space="preserve"> Then</w:t>
      </w:r>
      <w:r>
        <w:rPr>
          <w:rFonts w:ascii="Calibri" w:eastAsia="Times New Roman" w:hAnsi="Calibri" w:cs="Times New Roman"/>
        </w:rPr>
        <w:t xml:space="preserve"> the posterior expectation and variance for population immunity are given by  </w:t>
      </w:r>
    </w:p>
    <w:p w14:paraId="25C647BC" w14:textId="77777777" w:rsidR="0027650C" w:rsidRPr="001F7E51" w:rsidRDefault="00A97DC8" w:rsidP="0027650C">
      <w:pPr>
        <w:rPr>
          <w:rFonts w:ascii="Calibri" w:eastAsia="Times New Roman" w:hAnsi="Calibri" w:cs="Times New Roman"/>
        </w:rPr>
      </w:pPr>
      <m:oMathPara>
        <m:oMath>
          <m:acc>
            <m:accPr>
              <m:chr m:val="̃"/>
              <m:ctrlPr>
                <w:rPr>
                  <w:rFonts w:ascii="Cambria Math" w:eastAsia="Times New Roman" w:hAnsi="Cambria Math" w:cs="Times New Roman"/>
                  <w:i/>
                </w:rPr>
              </m:ctrlPr>
            </m:accPr>
            <m:e>
              <m:r>
                <w:rPr>
                  <w:rFonts w:ascii="Cambria Math" w:eastAsia="Times New Roman" w:hAnsi="Cambria Math" w:cs="Times New Roman"/>
                </w:rPr>
                <m:t>E(</m:t>
              </m:r>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r>
                <w:rPr>
                  <w:rFonts w:ascii="Cambria Math" w:eastAsia="Times New Roman" w:hAnsi="Cambria Math" w:cs="Times New Roman"/>
                </w:rPr>
                <m:t>|</m:t>
              </m:r>
              <m:r>
                <m:rPr>
                  <m:sty m:val="bi"/>
                </m:rPr>
                <w:rPr>
                  <w:rFonts w:ascii="Cambria Math" w:eastAsia="Times New Roman" w:hAnsi="Cambria Math" w:cs="Times New Roman"/>
                </w:rPr>
                <m:t>Y</m:t>
              </m:r>
              <m:r>
                <w:rPr>
                  <w:rFonts w:ascii="Cambria Math" w:eastAsia="Times New Roman" w:hAnsi="Cambria Math" w:cs="Times New Roman"/>
                </w:rPr>
                <m:t>)</m:t>
              </m:r>
            </m:e>
          </m:acc>
          <m:r>
            <m:rPr>
              <m:sty m:val="bi"/>
            </m:rP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K</m:t>
              </m:r>
            </m:den>
          </m:f>
          <m:nary>
            <m:naryPr>
              <m:chr m:val="∑"/>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K</m:t>
              </m:r>
            </m:sup>
            <m:e>
              <m:sSubSup>
                <m:sSubSupPr>
                  <m:ctrlPr>
                    <w:rPr>
                      <w:rFonts w:ascii="Cambria Math" w:eastAsia="Times New Roman" w:hAnsi="Cambria Math" w:cs="Times New Roman"/>
                      <w:i/>
                    </w:rPr>
                  </m:ctrlPr>
                </m:sSubSupPr>
                <m:e>
                  <m:r>
                    <w:rPr>
                      <w:rFonts w:ascii="Cambria Math" w:eastAsia="Times New Roman" w:hAnsi="Cambria Math" w:cs="Times New Roman"/>
                    </w:rPr>
                    <m:t>I</m:t>
                  </m:r>
                </m:e>
                <m:sub>
                  <m:r>
                    <w:rPr>
                      <w:rFonts w:ascii="Cambria Math" w:eastAsia="Times New Roman" w:hAnsi="Cambria Math" w:cs="Times New Roman"/>
                    </w:rPr>
                    <m:t>j</m:t>
                  </m:r>
                </m:sub>
                <m:sup>
                  <m:d>
                    <m:dPr>
                      <m:ctrlPr>
                        <w:rPr>
                          <w:rFonts w:ascii="Cambria Math" w:eastAsia="Times New Roman" w:hAnsi="Cambria Math" w:cs="Times New Roman"/>
                          <w:i/>
                        </w:rPr>
                      </m:ctrlPr>
                    </m:dPr>
                    <m:e>
                      <m:r>
                        <w:rPr>
                          <w:rFonts w:ascii="Cambria Math" w:eastAsia="Times New Roman" w:hAnsi="Cambria Math" w:cs="Times New Roman"/>
                        </w:rPr>
                        <m:t>k</m:t>
                      </m:r>
                    </m:e>
                  </m:d>
                </m:sup>
              </m:sSubSup>
            </m:e>
          </m:nary>
          <m:r>
            <w:rPr>
              <w:rFonts w:ascii="Cambria Math" w:eastAsia="Times New Roman" w:hAnsi="Cambria Math" w:cs="Times New Roman"/>
            </w:rPr>
            <m:t xml:space="preserve"> </m:t>
          </m:r>
          <m:r>
            <m:rPr>
              <m:sty m:val="p"/>
            </m:rPr>
            <w:rPr>
              <w:rFonts w:ascii="Cambria Math" w:eastAsia="Times New Roman" w:hAnsi="Cambria Math" w:cs="Times New Roman"/>
            </w:rPr>
            <m:t>and</m:t>
          </m:r>
        </m:oMath>
      </m:oMathPara>
    </w:p>
    <w:p w14:paraId="42BABEA1" w14:textId="77777777" w:rsidR="0027650C" w:rsidRPr="001F7E51" w:rsidRDefault="0027650C" w:rsidP="0027650C">
      <w:pPr>
        <w:rPr>
          <w:rFonts w:ascii="Calibri" w:eastAsia="Times New Roman" w:hAnsi="Calibri" w:cs="Times New Roman"/>
        </w:rPr>
      </w:pPr>
      <m:oMathPara>
        <m:oMath>
          <m:r>
            <w:rPr>
              <w:rFonts w:ascii="Cambria Math" w:eastAsia="Times New Roman" w:hAnsi="Cambria Math" w:cs="Times New Roman"/>
            </w:rPr>
            <m:t> </m:t>
          </m:r>
          <m:acc>
            <m:accPr>
              <m:chr m:val="̃"/>
              <m:ctrlPr>
                <w:rPr>
                  <w:rFonts w:ascii="Cambria Math" w:eastAsia="Times New Roman" w:hAnsi="Cambria Math" w:cs="Times New Roman"/>
                  <w:i/>
                </w:rPr>
              </m:ctrlPr>
            </m:accPr>
            <m:e>
              <m:r>
                <w:rPr>
                  <w:rFonts w:ascii="Cambria Math" w:eastAsia="Times New Roman" w:hAnsi="Cambria Math" w:cs="Times New Roman"/>
                </w:rPr>
                <m:t>V</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e>
                <m:e>
                  <m:r>
                    <m:rPr>
                      <m:sty m:val="bi"/>
                    </m:rPr>
                    <w:rPr>
                      <w:rFonts w:ascii="Cambria Math" w:eastAsia="Times New Roman" w:hAnsi="Cambria Math" w:cs="Times New Roman"/>
                    </w:rPr>
                    <m:t>Y</m:t>
                  </m:r>
                </m:e>
              </m:d>
            </m:e>
          </m:acc>
          <m:r>
            <m:rPr>
              <m:sty m:val="bi"/>
            </m:rP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K-1</m:t>
              </m:r>
            </m:den>
          </m:f>
          <m:nary>
            <m:naryPr>
              <m:chr m:val="∑"/>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K</m:t>
              </m:r>
            </m:sup>
            <m:e>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I</m:t>
                          </m:r>
                        </m:e>
                        <m:sub>
                          <m:r>
                            <w:rPr>
                              <w:rFonts w:ascii="Cambria Math" w:eastAsia="Times New Roman" w:hAnsi="Cambria Math" w:cs="Times New Roman"/>
                            </w:rPr>
                            <m:t>j</m:t>
                          </m:r>
                        </m:sub>
                        <m:sup>
                          <m:d>
                            <m:dPr>
                              <m:ctrlPr>
                                <w:rPr>
                                  <w:rFonts w:ascii="Cambria Math" w:eastAsia="Times New Roman" w:hAnsi="Cambria Math" w:cs="Times New Roman"/>
                                  <w:i/>
                                </w:rPr>
                              </m:ctrlPr>
                            </m:dPr>
                            <m:e>
                              <m:r>
                                <w:rPr>
                                  <w:rFonts w:ascii="Cambria Math" w:eastAsia="Times New Roman" w:hAnsi="Cambria Math" w:cs="Times New Roman"/>
                                </w:rPr>
                                <m:t>k</m:t>
                              </m:r>
                            </m:e>
                          </m:d>
                        </m:sup>
                      </m:sSubSup>
                      <m:r>
                        <w:rPr>
                          <w:rFonts w:ascii="Cambria Math" w:eastAsia="Times New Roman" w:hAnsi="Cambria Math" w:cs="Times New Roman"/>
                        </w:rPr>
                        <m:t>-</m:t>
                      </m:r>
                      <m:acc>
                        <m:accPr>
                          <m:chr m:val="̃"/>
                          <m:ctrlPr>
                            <w:rPr>
                              <w:rFonts w:ascii="Cambria Math" w:eastAsia="Times New Roman" w:hAnsi="Cambria Math" w:cs="Times New Roman"/>
                              <w:i/>
                            </w:rPr>
                          </m:ctrlPr>
                        </m:accPr>
                        <m:e>
                          <m:r>
                            <w:rPr>
                              <w:rFonts w:ascii="Cambria Math" w:eastAsia="Times New Roman" w:hAnsi="Cambria Math" w:cs="Times New Roman"/>
                            </w:rPr>
                            <m:t>E</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I</m:t>
                                  </m:r>
                                </m:e>
                                <m:sub>
                                  <m:r>
                                    <w:rPr>
                                      <w:rFonts w:ascii="Cambria Math" w:eastAsia="Times New Roman" w:hAnsi="Cambria Math" w:cs="Times New Roman"/>
                                    </w:rPr>
                                    <m:t>j</m:t>
                                  </m:r>
                                </m:sub>
                              </m:sSub>
                            </m:e>
                            <m:e>
                              <m:r>
                                <m:rPr>
                                  <m:sty m:val="bi"/>
                                </m:rPr>
                                <w:rPr>
                                  <w:rFonts w:ascii="Cambria Math" w:eastAsia="Times New Roman" w:hAnsi="Cambria Math" w:cs="Times New Roman"/>
                                </w:rPr>
                                <m:t>Y</m:t>
                              </m:r>
                            </m:e>
                          </m:d>
                        </m:e>
                      </m:acc>
                    </m:e>
                  </m:d>
                </m:e>
                <m:sup>
                  <m:r>
                    <w:rPr>
                      <w:rFonts w:ascii="Cambria Math" w:eastAsia="Times New Roman" w:hAnsi="Cambria Math" w:cs="Times New Roman"/>
                    </w:rPr>
                    <m:t>2</m:t>
                  </m:r>
                </m:sup>
              </m:sSup>
              <m:r>
                <w:rPr>
                  <w:rFonts w:ascii="Cambria Math" w:eastAsia="Times New Roman" w:hAnsi="Cambria Math" w:cs="Times New Roman"/>
                </w:rPr>
                <m:t>.</m:t>
              </m:r>
            </m:e>
          </m:nary>
        </m:oMath>
      </m:oMathPara>
    </w:p>
    <w:p w14:paraId="112FFD55" w14:textId="77777777" w:rsidR="0027650C" w:rsidRDefault="0027650C" w:rsidP="0027650C">
      <w:pPr>
        <w:rPr>
          <w:rFonts w:ascii="Calibri" w:eastAsia="Times New Roman" w:hAnsi="Calibri" w:cs="Times New Roman"/>
        </w:rPr>
      </w:pPr>
      <w:r>
        <w:rPr>
          <w:rFonts w:ascii="Calibri" w:eastAsia="Times New Roman" w:hAnsi="Calibri" w:cs="Times New Roman"/>
        </w:rPr>
        <w:t>Similarly, posterior quantiles for population immunity may be available as well.</w:t>
      </w:r>
    </w:p>
    <w:p w14:paraId="1041149E" w14:textId="77777777" w:rsidR="007B3F74" w:rsidRDefault="007B3F74" w:rsidP="0027650C">
      <w:pPr>
        <w:rPr>
          <w:rFonts w:ascii="Calibri" w:eastAsia="Times New Roman" w:hAnsi="Calibri" w:cs="Times New Roman"/>
        </w:rPr>
      </w:pPr>
    </w:p>
    <w:p w14:paraId="1A48229E" w14:textId="77777777" w:rsidR="007B3F74" w:rsidRDefault="007B3F74" w:rsidP="007B3F74">
      <w:pPr>
        <w:pStyle w:val="Heading2"/>
      </w:pPr>
      <w:r>
        <w:t>Bayesian hierarchical model specification</w:t>
      </w:r>
    </w:p>
    <w:p w14:paraId="5C64BB79" w14:textId="77777777" w:rsidR="007B3F74" w:rsidRDefault="007B3F74" w:rsidP="007B3F74">
      <w:pPr>
        <w:rPr>
          <w:rFonts w:eastAsiaTheme="minorEastAsia"/>
        </w:rPr>
      </w:pPr>
      <w:r>
        <w:t xml:space="preserve">Likelihood, prior, and </w:t>
      </w:r>
      <w:proofErr w:type="spellStart"/>
      <w:r>
        <w:t>hyperprior</w:t>
      </w:r>
      <w:proofErr w:type="spellEnd"/>
      <w:r>
        <w:t xml:space="preserve"> specification is as follows.  Let </w:t>
      </w:r>
      <m:oMath>
        <m:r>
          <w:rPr>
            <w:rFonts w:ascii="Cambria Math" w:hAnsi="Cambria Math"/>
          </w:rPr>
          <m:t>k</m:t>
        </m:r>
      </m:oMath>
      <w:r>
        <w:rPr>
          <w:rFonts w:eastAsiaTheme="minorEastAsia"/>
        </w:rPr>
        <w:t xml:space="preserve"> refer to the </w:t>
      </w:r>
      <m:oMath>
        <m:r>
          <w:rPr>
            <w:rFonts w:ascii="Cambria Math" w:eastAsiaTheme="minorEastAsia" w:hAnsi="Cambria Math"/>
          </w:rPr>
          <m:t>k</m:t>
        </m:r>
      </m:oMath>
      <w:r>
        <w:rPr>
          <w:rFonts w:eastAsiaTheme="minorEastAsia"/>
        </w:rPr>
        <w:t xml:space="preserve">-th child, and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jk</m:t>
            </m:r>
          </m:sub>
        </m:sSub>
      </m:oMath>
      <w:r>
        <w:rPr>
          <w:rFonts w:eastAsiaTheme="minorEastAsia"/>
        </w:rPr>
        <w:t xml:space="preserve"> the doses experienced by the </w:t>
      </w:r>
      <m:oMath>
        <m:r>
          <w:rPr>
            <w:rFonts w:ascii="Cambria Math" w:eastAsiaTheme="minorEastAsia" w:hAnsi="Cambria Math"/>
          </w:rPr>
          <m:t>k</m:t>
        </m:r>
      </m:oMath>
      <w:r>
        <w:rPr>
          <w:rFonts w:eastAsiaTheme="minorEastAsia"/>
        </w:rPr>
        <w:t xml:space="preserve">-th child in </w:t>
      </w:r>
      <w:proofErr w:type="gramStart"/>
      <w:r>
        <w:rPr>
          <w:rFonts w:eastAsiaTheme="minorEastAsia"/>
        </w:rPr>
        <w:t xml:space="preserve">LGA </w:t>
      </w:r>
      <w:proofErr w:type="gramEnd"/>
      <m:oMath>
        <m:r>
          <w:rPr>
            <w:rFonts w:ascii="Cambria Math" w:eastAsiaTheme="minorEastAsia" w:hAnsi="Cambria Math"/>
          </w:rPr>
          <m:t>j</m:t>
        </m:r>
      </m:oMath>
      <w:r>
        <w:rPr>
          <w:rFonts w:eastAsiaTheme="minorEastAsia"/>
        </w:rPr>
        <w:t>.  Then</w:t>
      </w:r>
    </w:p>
    <w:p w14:paraId="1F78F404" w14:textId="77777777" w:rsidR="007B3F74" w:rsidRPr="004F0DE3" w:rsidRDefault="00A97DC8" w:rsidP="007B3F74">
      <w:pPr>
        <w:rPr>
          <w:rFonts w:eastAsiaTheme="minorEastAsia"/>
        </w:rPr>
      </w:pPr>
      <m:oMathPara>
        <m:oMath>
          <m:sSub>
            <m:sSubPr>
              <m:ctrlPr>
                <w:rPr>
                  <w:rFonts w:ascii="Cambria Math" w:hAnsi="Cambria Math"/>
                  <w:i/>
                </w:rPr>
              </m:ctrlPr>
            </m:sSubPr>
            <m:e>
              <m:r>
                <w:rPr>
                  <w:rFonts w:ascii="Cambria Math" w:hAnsi="Cambria Math"/>
                </w:rPr>
                <m:t>y</m:t>
              </m:r>
            </m:e>
            <m:sub>
              <m:r>
                <w:rPr>
                  <w:rFonts w:ascii="Cambria Math" w:hAnsi="Cambria Math"/>
                </w:rPr>
                <m:t>jk</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j</m:t>
              </m:r>
              <m:r>
                <w:rPr>
                  <w:rFonts w:ascii="Cambria Math" w:hAnsi="Cambria Math"/>
                </w:rPr>
                <m:t>k</m:t>
              </m:r>
            </m:sub>
          </m:sSub>
          <m:r>
            <w:rPr>
              <w:rFonts w:ascii="Cambria Math" w:hAnsi="Cambria Math"/>
            </w:rPr>
            <m:t>,θ~NegBinomial</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jk</m:t>
                  </m:r>
                </m:sub>
              </m:sSub>
              <m:r>
                <w:rPr>
                  <w:rFonts w:ascii="Cambria Math" w:hAnsi="Cambria Math"/>
                </w:rPr>
                <m:t>,θ</m:t>
              </m:r>
            </m:e>
          </m:d>
          <m:r>
            <m:rPr>
              <m:sty m:val="p"/>
            </m:rPr>
            <w:rPr>
              <w:rFonts w:ascii="Cambria Math" w:hAnsi="Cambria Math"/>
            </w:rPr>
            <w:br/>
          </m:r>
        </m:oMath>
        <m:oMath>
          <m:sSub>
            <m:sSubPr>
              <m:ctrlPr>
                <w:rPr>
                  <w:rFonts w:ascii="Cambria Math" w:hAnsi="Cambria Math"/>
                  <w:i/>
                </w:rPr>
              </m:ctrlPr>
            </m:sSubPr>
            <m:e>
              <m:r>
                <w:rPr>
                  <w:rFonts w:ascii="Cambria Math" w:hAnsi="Cambria Math"/>
                </w:rPr>
                <m:t>μ</m:t>
              </m:r>
            </m:e>
            <m:sub>
              <m:r>
                <w:rPr>
                  <w:rFonts w:ascii="Cambria Math" w:hAnsi="Cambria Math"/>
                </w:rPr>
                <m:t>jk</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jt,a</m:t>
              </m:r>
              <m:d>
                <m:dPr>
                  <m:ctrlPr>
                    <w:rPr>
                      <w:rFonts w:ascii="Cambria Math" w:hAnsi="Cambria Math"/>
                      <w:i/>
                    </w:rPr>
                  </m:ctrlPr>
                </m:dPr>
                <m:e>
                  <m:r>
                    <w:rPr>
                      <w:rFonts w:ascii="Cambria Math" w:hAnsi="Cambria Math"/>
                    </w:rPr>
                    <m:t>k,t</m:t>
                  </m:r>
                </m:e>
              </m:d>
            </m:sub>
          </m:sSub>
          <m:r>
            <w:rPr>
              <w:rFonts w:ascii="Cambria Math" w:eastAsiaTheme="minorEastAsia" w:hAnsi="Cambria Math"/>
            </w:rPr>
            <m:t>,</m:t>
          </m:r>
        </m:oMath>
      </m:oMathPara>
    </w:p>
    <w:p w14:paraId="7E35F5DF" w14:textId="77777777" w:rsidR="007B3F74" w:rsidRDefault="007B3F74" w:rsidP="007B3F74">
      <w:pPr>
        <w:rPr>
          <w:rFonts w:eastAsiaTheme="minorEastAsia"/>
        </w:rPr>
      </w:pPr>
      <w:proofErr w:type="gramStart"/>
      <w:r>
        <w:rPr>
          <w:rFonts w:eastAsiaTheme="minorEastAsia"/>
        </w:rPr>
        <w:t>where</w:t>
      </w:r>
      <w:proofErr w:type="gramEnd"/>
      <w:r>
        <w:rPr>
          <w:rFonts w:eastAsiaTheme="minorEastAsia"/>
        </w:rPr>
        <w:t xml:space="preserve"> the sum is taken over campaigns experienced by child, where effectiveness may depend on age of the child at the time of the campaign.  This is slightly informal notation as there is no index for campaigns provided that would serve to indicate which campaigns were experienced by a child.</w:t>
      </w:r>
    </w:p>
    <w:p w14:paraId="77266398" w14:textId="77777777" w:rsidR="007B3F74" w:rsidRDefault="007B3F74" w:rsidP="007B3F74">
      <w:pPr>
        <w:rPr>
          <w:rFonts w:eastAsiaTheme="minorEastAsia"/>
        </w:rPr>
      </w:pPr>
      <w:r>
        <w:rPr>
          <w:rFonts w:eastAsiaTheme="minorEastAsia"/>
        </w:rPr>
        <w:lastRenderedPageBreak/>
        <w:t>Then,</w:t>
      </w:r>
    </w:p>
    <w:p w14:paraId="16C7BA87" w14:textId="77777777" w:rsidR="007B3F74" w:rsidRPr="0087494D" w:rsidRDefault="007B3F74" w:rsidP="007B3F74">
      <w:pPr>
        <w:rPr>
          <w:rFonts w:eastAsiaTheme="minorEastAsia"/>
        </w:rPr>
      </w:pPr>
      <m:oMathPara>
        <m:oMath>
          <m:r>
            <m:rPr>
              <m:sty m:val="p"/>
            </m:rPr>
            <w:rPr>
              <w:rFonts w:ascii="Cambria Math" w:eastAsia="Times New Roman" w:hAnsi="Cambria Math" w:cs="Times New Roman"/>
            </w:rPr>
            <m:t>logit</m:t>
          </m:r>
          <m:d>
            <m:dPr>
              <m:ctrlPr>
                <w:rPr>
                  <w:rFonts w:ascii="Cambria Math" w:eastAsia="Times New Roman" w:hAnsi="Cambria Math" w:cs="Times New Roman"/>
                </w:rPr>
              </m:ctrlPr>
            </m:dPr>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jta</m:t>
                  </m:r>
                </m:sub>
              </m:sSub>
              <m:ctrlPr>
                <w:rPr>
                  <w:rFonts w:ascii="Cambria Math" w:eastAsia="Times New Roman" w:hAnsi="Cambria Math" w:cs="Times New Roman"/>
                  <w:i/>
                </w:rPr>
              </m:ctrlPr>
            </m:e>
          </m:d>
          <m:r>
            <m:rPr>
              <m:aln/>
            </m:rPr>
            <w:rPr>
              <w:rFonts w:ascii="Cambria Math" w:eastAsia="Times New Roman" w:hAnsi="Cambria Math" w:cs="Times New Roman"/>
            </w:rPr>
            <m:t>=α+</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a</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b</m:t>
              </m:r>
            </m:e>
            <m:sub>
              <m:r>
                <w:rPr>
                  <w:rFonts w:ascii="Cambria Math" w:eastAsia="Times New Roman" w:hAnsi="Cambria Math" w:cs="Times New Roman"/>
                </w:rPr>
                <m:t>j</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u</m:t>
              </m:r>
            </m:e>
            <m:sub>
              <m:r>
                <w:rPr>
                  <w:rFonts w:ascii="Cambria Math" w:eastAsia="Times New Roman" w:hAnsi="Cambria Math" w:cs="Times New Roman"/>
                </w:rPr>
                <m:t>t</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jt</m:t>
              </m:r>
            </m:sub>
          </m:sSub>
          <m:r>
            <m:rPr>
              <m:sty m:val="p"/>
            </m:rPr>
            <w:rPr>
              <w:rFonts w:eastAsiaTheme="minorEastAsia"/>
            </w:rPr>
            <w:br/>
          </m:r>
        </m:oMath>
        <m:oMath>
          <m:r>
            <w:rPr>
              <w:rFonts w:ascii="Cambria Math" w:eastAsiaTheme="minorEastAsia" w:hAnsi="Cambria Math"/>
            </w:rPr>
            <m:t>α</m:t>
          </m:r>
          <m:r>
            <m:rPr>
              <m:aln/>
            </m:rP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0,2</m:t>
              </m:r>
            </m:e>
          </m:d>
          <m:r>
            <m:rPr>
              <m:sty m:val="p"/>
            </m:rPr>
            <w:rPr>
              <w:rFonts w:eastAsiaTheme="minorEastAsia"/>
            </w:rPr>
            <w:br/>
          </m:r>
        </m:oMath>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a</m:t>
              </m:r>
            </m:sub>
          </m:sSub>
          <m:r>
            <m:rPr>
              <m:aln/>
            </m:rP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0,1</m:t>
              </m:r>
            </m:e>
          </m:d>
          <m:r>
            <m:rPr>
              <m:sty m:val="p"/>
            </m:rPr>
            <w:rPr>
              <w:rFonts w:eastAsiaTheme="minorEastAsia"/>
            </w:rPr>
            <w:br/>
          </m:r>
        </m:oMath>
        <m:oMath>
          <m:sSub>
            <m:sSubPr>
              <m:ctrlPr>
                <w:rPr>
                  <w:rFonts w:ascii="Cambria Math" w:eastAsia="Times New Roman" w:hAnsi="Cambria Math" w:cs="Times New Roman"/>
                  <w:i/>
                </w:rPr>
              </m:ctrlPr>
            </m:sSubPr>
            <m:e>
              <m:r>
                <w:rPr>
                  <w:rFonts w:ascii="Cambria Math" w:eastAsia="Times New Roman" w:hAnsi="Cambria Math" w:cs="Times New Roman"/>
                </w:rPr>
                <m:t>b</m:t>
              </m:r>
            </m:e>
            <m:sub>
              <m:r>
                <w:rPr>
                  <w:rFonts w:ascii="Cambria Math" w:eastAsia="Times New Roman" w:hAnsi="Cambria Math" w:cs="Times New Roman"/>
                </w:rPr>
                <m:t>j</m:t>
              </m:r>
            </m:sub>
          </m:sSub>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σ</m:t>
              </m:r>
            </m:e>
            <m:sup>
              <m:r>
                <w:rPr>
                  <w:rFonts w:ascii="Cambria Math" w:eastAsia="Times New Roman" w:hAnsi="Cambria Math" w:cs="Times New Roman"/>
                </w:rPr>
                <m:t>2</m:t>
              </m:r>
            </m:sup>
          </m:sSup>
          <m:r>
            <m:rPr>
              <m:aln/>
            </m:rPr>
            <w:rPr>
              <w:rFonts w:ascii="Cambria Math" w:eastAsia="Times New Roman" w:hAnsi="Cambria Math" w:cs="Times New Roman"/>
            </w:rPr>
            <m:t>∼N</m:t>
          </m:r>
          <m:d>
            <m:dPr>
              <m:ctrlPr>
                <w:rPr>
                  <w:rFonts w:ascii="Cambria Math" w:eastAsia="Times New Roman" w:hAnsi="Cambria Math" w:cs="Times New Roman"/>
                  <w:i/>
                </w:rPr>
              </m:ctrlPr>
            </m:dPr>
            <m:e>
              <m:r>
                <w:rPr>
                  <w:rFonts w:ascii="Cambria Math" w:eastAsia="Times New Roman" w:hAnsi="Cambria Math" w:cs="Times New Roman"/>
                </w:rPr>
                <m:t>0,</m:t>
              </m:r>
              <m:sSup>
                <m:sSupPr>
                  <m:ctrlPr>
                    <w:rPr>
                      <w:rFonts w:ascii="Cambria Math" w:eastAsia="Times New Roman" w:hAnsi="Cambria Math" w:cs="Times New Roman"/>
                      <w:i/>
                    </w:rPr>
                  </m:ctrlPr>
                </m:sSupPr>
                <m:e>
                  <m:r>
                    <w:rPr>
                      <w:rFonts w:ascii="Cambria Math" w:eastAsia="Times New Roman" w:hAnsi="Cambria Math" w:cs="Times New Roman"/>
                    </w:rPr>
                    <m:t>σ</m:t>
                  </m:r>
                </m:e>
                <m:sup>
                  <m:r>
                    <w:rPr>
                      <w:rFonts w:ascii="Cambria Math" w:eastAsia="Times New Roman" w:hAnsi="Cambria Math" w:cs="Times New Roman"/>
                    </w:rPr>
                    <m:t>2</m:t>
                  </m:r>
                </m:sup>
              </m:sSup>
            </m:e>
          </m:d>
          <m:r>
            <m:rPr>
              <m:sty m:val="p"/>
            </m:rPr>
            <w:rPr>
              <w:rFonts w:eastAsiaTheme="minorEastAsia"/>
            </w:rPr>
            <w:br/>
          </m:r>
        </m:oMath>
        <m:oMath>
          <m:r>
            <m:rPr>
              <m:sty m:val="bi"/>
            </m:rPr>
            <w:rPr>
              <w:rFonts w:ascii="Cambria Math" w:eastAsiaTheme="minorEastAsia" w:hAnsi="Cambria Math"/>
            </w:rPr>
            <m:t>u</m:t>
          </m:r>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u</m:t>
              </m:r>
            </m:sub>
            <m:sup>
              <m:r>
                <w:rPr>
                  <w:rFonts w:ascii="Cambria Math" w:eastAsiaTheme="minorEastAsia" w:hAnsi="Cambria Math"/>
                </w:rPr>
                <m:t>2</m:t>
              </m:r>
            </m:sup>
          </m:sSubSup>
          <m:r>
            <m:rPr>
              <m:aln/>
            </m:rPr>
            <w:rPr>
              <w:rFonts w:ascii="Cambria Math" w:eastAsiaTheme="minorEastAsia" w:hAnsi="Cambria Math"/>
            </w:rPr>
            <m:t>∼MVN</m:t>
          </m:r>
          <m:d>
            <m:dPr>
              <m:ctrlPr>
                <w:rPr>
                  <w:rFonts w:ascii="Cambria Math" w:eastAsiaTheme="minorEastAsia" w:hAnsi="Cambria Math"/>
                  <w:i/>
                </w:rPr>
              </m:ctrlPr>
            </m:dPr>
            <m:e>
              <m:r>
                <w:rPr>
                  <w:rFonts w:ascii="Cambria Math" w:eastAsiaTheme="minorEastAsia" w:hAnsi="Cambria Math"/>
                </w:rPr>
                <m:t>0,</m:t>
              </m:r>
              <m:r>
                <m:rPr>
                  <m:sty m:val="b"/>
                </m:rPr>
                <w:rPr>
                  <w:rFonts w:ascii="Cambria Math" w:eastAsia="Times New Roman" w:hAnsi="Cambria Math" w:cs="Times New Roman"/>
                </w:rPr>
                <m:t>Σ</m:t>
              </m:r>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u</m:t>
                      </m:r>
                    </m:sub>
                    <m:sup>
                      <m:r>
                        <w:rPr>
                          <w:rFonts w:ascii="Cambria Math" w:eastAsia="Times New Roman" w:hAnsi="Cambria Math" w:cs="Times New Roman"/>
                        </w:rPr>
                        <m:t>2</m:t>
                      </m:r>
                    </m:sup>
                  </m:sSubSup>
                </m:e>
              </m:d>
            </m:e>
          </m:d>
          <m:r>
            <m:rPr>
              <m:sty m:val="p"/>
            </m:rPr>
            <w:rPr>
              <w:rFonts w:eastAsiaTheme="minorEastAsia"/>
            </w:rPr>
            <w:br/>
          </m:r>
        </m:oMath>
        <m:oMath>
          <m:sSub>
            <m:sSubPr>
              <m:ctrlPr>
                <w:rPr>
                  <w:rFonts w:ascii="Cambria Math" w:eastAsiaTheme="minorEastAsia" w:hAnsi="Cambria Math"/>
                  <w:b/>
                  <w:i/>
                </w:rPr>
              </m:ctrlPr>
            </m:sSubPr>
            <m:e>
              <m:r>
                <m:rPr>
                  <m:sty m:val="bi"/>
                </m:rPr>
                <w:rPr>
                  <w:rFonts w:ascii="Cambria Math" w:eastAsiaTheme="minorEastAsia" w:hAnsi="Cambria Math"/>
                </w:rPr>
                <m:t>v</m:t>
              </m:r>
            </m:e>
            <m:sub>
              <m:r>
                <m:rPr>
                  <m:sty m:val="bi"/>
                </m:rPr>
                <w:rPr>
                  <w:rFonts w:ascii="Cambria Math" w:eastAsiaTheme="minorEastAsia" w:hAnsi="Cambria Math"/>
                </w:rPr>
                <m:t>j</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v</m:t>
              </m:r>
            </m:sub>
            <m:sup>
              <m:r>
                <w:rPr>
                  <w:rFonts w:ascii="Cambria Math" w:eastAsiaTheme="minorEastAsia" w:hAnsi="Cambria Math"/>
                </w:rPr>
                <m:t>2</m:t>
              </m:r>
            </m:sup>
          </m:sSubSup>
          <m:r>
            <m:rPr>
              <m:aln/>
            </m:rPr>
            <w:rPr>
              <w:rFonts w:ascii="Cambria Math" w:eastAsiaTheme="minorEastAsia" w:hAnsi="Cambria Math"/>
            </w:rPr>
            <m:t>∼MVN(0,</m:t>
          </m:r>
          <m:r>
            <m:rPr>
              <m:sty m:val="b"/>
            </m:rPr>
            <w:rPr>
              <w:rFonts w:ascii="Cambria Math" w:eastAsia="Times New Roman" w:hAnsi="Cambria Math" w:cs="Times New Roman"/>
            </w:rPr>
            <m:t>Σ</m:t>
          </m:r>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u</m:t>
                  </m:r>
                </m:sub>
                <m:sup>
                  <m:r>
                    <w:rPr>
                      <w:rFonts w:ascii="Cambria Math" w:eastAsia="Times New Roman" w:hAnsi="Cambria Math" w:cs="Times New Roman"/>
                    </w:rPr>
                    <m:t>2</m:t>
                  </m:r>
                </m:sup>
              </m:sSubSup>
            </m:e>
          </m:d>
          <m:r>
            <w:rPr>
              <w:rFonts w:ascii="Cambria Math" w:eastAsiaTheme="minorEastAsia" w:hAnsi="Cambria Math"/>
            </w:rPr>
            <m:t>)</m:t>
          </m:r>
          <m:r>
            <m:rPr>
              <m:sty m:val="p"/>
            </m:rPr>
            <w:rPr>
              <w:rFonts w:eastAsiaTheme="minorEastAsia"/>
            </w:rPr>
            <w:br/>
          </m:r>
        </m:oMath>
        <m:oMath>
          <m:r>
            <w:rPr>
              <w:rFonts w:ascii="Cambria Math" w:eastAsiaTheme="minorEastAsia" w:hAnsi="Cambria Math"/>
            </w:rPr>
            <m:t>π</m:t>
          </m:r>
          <m:d>
            <m:dPr>
              <m:ctrlPr>
                <w:rPr>
                  <w:rFonts w:ascii="Cambria Math" w:eastAsiaTheme="minorEastAsia" w:hAnsi="Cambria Math"/>
                  <w:i/>
                </w:rPr>
              </m:ctrlPr>
            </m:dPr>
            <m:e>
              <m:r>
                <w:rPr>
                  <w:rFonts w:ascii="Cambria Math" w:eastAsiaTheme="minorEastAsia" w:hAnsi="Cambria Math"/>
                </w:rPr>
                <m:t>θ</m:t>
              </m:r>
            </m:e>
          </m:d>
          <m:r>
            <m:rPr>
              <m:aln/>
            </m:rPr>
            <w:rPr>
              <w:rFonts w:ascii="Cambria Math" w:eastAsiaTheme="minorEastAsia" w:hAnsi="Cambria Math"/>
            </w:rPr>
            <m:t>∝1</m:t>
          </m:r>
          <m:r>
            <m:rPr>
              <m:sty m:val="p"/>
            </m:rPr>
            <w:rPr>
              <w:rFonts w:ascii="Cambria Math" w:eastAsiaTheme="minorEastAsia" w:hAnsi="Cambria Math"/>
            </w:rPr>
            <w:br/>
          </m:r>
        </m:oMath>
        <m:oMath>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r>
            <m:rPr>
              <m:aln/>
            </m:rPr>
            <w:rPr>
              <w:rFonts w:ascii="Cambria Math" w:eastAsiaTheme="minorEastAsia" w:hAnsi="Cambria Math"/>
            </w:rPr>
            <m:t>∼InvGamma</m:t>
          </m:r>
          <m:d>
            <m:dPr>
              <m:ctrlPr>
                <w:rPr>
                  <w:rFonts w:ascii="Cambria Math" w:eastAsiaTheme="minorEastAsia" w:hAnsi="Cambria Math"/>
                  <w:i/>
                </w:rPr>
              </m:ctrlPr>
            </m:dPr>
            <m:e>
              <m:r>
                <w:rPr>
                  <w:rFonts w:ascii="Cambria Math" w:eastAsiaTheme="minorEastAsia" w:hAnsi="Cambria Math"/>
                </w:rPr>
                <m:t>0.1,0.1</m:t>
              </m:r>
            </m:e>
          </m:d>
          <m:r>
            <m:rPr>
              <m:sty m:val="p"/>
            </m:rPr>
            <w:rPr>
              <w:rFonts w:ascii="Cambria Math" w:eastAsiaTheme="minorEastAsia" w:hAnsi="Cambria Math"/>
            </w:rPr>
            <w:br/>
          </m:r>
        </m:oMath>
        <m:oMath>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u</m:t>
              </m:r>
            </m:sub>
            <m:sup>
              <m:r>
                <w:rPr>
                  <w:rFonts w:ascii="Cambria Math" w:eastAsiaTheme="minorEastAsia" w:hAnsi="Cambria Math"/>
                </w:rPr>
                <m:t>2</m:t>
              </m:r>
            </m:sup>
          </m:sSubSup>
          <m:r>
            <m:rPr>
              <m:aln/>
            </m:rPr>
            <w:rPr>
              <w:rFonts w:ascii="Cambria Math" w:eastAsiaTheme="minorEastAsia" w:hAnsi="Cambria Math"/>
            </w:rPr>
            <m:t>∼InvGamma</m:t>
          </m:r>
          <m:d>
            <m:dPr>
              <m:ctrlPr>
                <w:rPr>
                  <w:rFonts w:ascii="Cambria Math" w:eastAsiaTheme="minorEastAsia" w:hAnsi="Cambria Math"/>
                  <w:i/>
                </w:rPr>
              </m:ctrlPr>
            </m:dPr>
            <m:e>
              <m:r>
                <w:rPr>
                  <w:rFonts w:ascii="Cambria Math" w:eastAsiaTheme="minorEastAsia" w:hAnsi="Cambria Math"/>
                </w:rPr>
                <m:t>0.1,0.1</m:t>
              </m:r>
            </m:e>
          </m:d>
          <m:r>
            <m:rPr>
              <m:sty m:val="p"/>
            </m:rPr>
            <w:rPr>
              <w:rFonts w:ascii="Cambria Math" w:eastAsiaTheme="minorEastAsia" w:hAnsi="Cambria Math"/>
            </w:rPr>
            <w:br/>
          </m:r>
        </m:oMath>
        <m:oMath>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v</m:t>
              </m:r>
            </m:sub>
            <m:sup>
              <m:r>
                <w:rPr>
                  <w:rFonts w:ascii="Cambria Math" w:eastAsiaTheme="minorEastAsia" w:hAnsi="Cambria Math"/>
                </w:rPr>
                <m:t>2</m:t>
              </m:r>
            </m:sup>
          </m:sSubSup>
          <m:r>
            <m:rPr>
              <m:aln/>
            </m:rPr>
            <w:rPr>
              <w:rFonts w:ascii="Cambria Math" w:eastAsiaTheme="minorEastAsia" w:hAnsi="Cambria Math"/>
            </w:rPr>
            <m:t>∼InvGamma</m:t>
          </m:r>
          <m:d>
            <m:dPr>
              <m:ctrlPr>
                <w:rPr>
                  <w:rFonts w:ascii="Cambria Math" w:eastAsiaTheme="minorEastAsia" w:hAnsi="Cambria Math"/>
                  <w:i/>
                </w:rPr>
              </m:ctrlPr>
            </m:dPr>
            <m:e>
              <m:r>
                <w:rPr>
                  <w:rFonts w:ascii="Cambria Math" w:eastAsiaTheme="minorEastAsia" w:hAnsi="Cambria Math"/>
                </w:rPr>
                <m:t>0.1,0.1</m:t>
              </m:r>
            </m:e>
          </m:d>
        </m:oMath>
      </m:oMathPara>
    </w:p>
    <w:p w14:paraId="074B8DB6" w14:textId="77777777" w:rsidR="007B3F74" w:rsidRDefault="007B3F74" w:rsidP="007B3F74">
      <w:r>
        <w:t xml:space="preserve">Note that there are 5 age categories by age of life; the base category, &lt;1 year olds is represented by </w:t>
      </w:r>
      <m:oMath>
        <m:r>
          <w:rPr>
            <w:rFonts w:ascii="Cambria Math" w:hAnsi="Cambria Math"/>
          </w:rPr>
          <m:t>α</m:t>
        </m:r>
      </m:oMath>
      <w:r>
        <w:rPr>
          <w:rFonts w:eastAsiaTheme="minorEastAsia"/>
        </w:rPr>
        <w:t xml:space="preserve">, with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a</m:t>
            </m:r>
          </m:sub>
        </m:sSub>
      </m:oMath>
      <w:r>
        <w:rPr>
          <w:rFonts w:eastAsiaTheme="minorEastAsia"/>
        </w:rPr>
        <w:t xml:space="preserve"> representing age effects of the other 4 age groups rel</w:t>
      </w:r>
      <w:proofErr w:type="spellStart"/>
      <w:r>
        <w:rPr>
          <w:rFonts w:eastAsiaTheme="minorEastAsia"/>
        </w:rPr>
        <w:t>ative</w:t>
      </w:r>
      <w:proofErr w:type="spellEnd"/>
      <w:r>
        <w:rPr>
          <w:rFonts w:eastAsiaTheme="minorEastAsia"/>
        </w:rPr>
        <w:t xml:space="preserve"> to the base category.  The priors for these parameters combine to center effectiveness at 50% (median).  The choice of expression </w:t>
      </w:r>
      <m:oMath>
        <m:r>
          <w:rPr>
            <w:rFonts w:ascii="Cambria Math" w:eastAsiaTheme="minorEastAsia" w:hAnsi="Cambria Math"/>
          </w:rPr>
          <m:t>π</m:t>
        </m:r>
        <m:d>
          <m:dPr>
            <m:ctrlPr>
              <w:rPr>
                <w:rFonts w:ascii="Cambria Math" w:eastAsiaTheme="minorEastAsia" w:hAnsi="Cambria Math"/>
                <w:i/>
              </w:rPr>
            </m:ctrlPr>
          </m:dPr>
          <m:e>
            <m:r>
              <w:rPr>
                <w:rFonts w:ascii="Cambria Math" w:eastAsiaTheme="minorEastAsia" w:hAnsi="Cambria Math"/>
              </w:rPr>
              <m:t>θ</m:t>
            </m:r>
          </m:e>
        </m:d>
        <m:r>
          <w:rPr>
            <w:rFonts w:ascii="Cambria Math" w:eastAsiaTheme="minorEastAsia" w:hAnsi="Cambria Math"/>
          </w:rPr>
          <m:t>∝1</m:t>
        </m:r>
      </m:oMath>
      <w:r>
        <w:rPr>
          <w:rFonts w:eastAsiaTheme="minorEastAsia"/>
        </w:rPr>
        <w:t xml:space="preserve"> indicates </w:t>
      </w:r>
      <w:proofErr w:type="gramStart"/>
      <w:r>
        <w:rPr>
          <w:rFonts w:eastAsiaTheme="minorEastAsia"/>
        </w:rPr>
        <w:t>a</w:t>
      </w:r>
      <w:proofErr w:type="gramEnd"/>
      <w:r>
        <w:rPr>
          <w:rFonts w:eastAsiaTheme="minorEastAsia"/>
        </w:rPr>
        <w:t xml:space="preserve"> improper flat prior for the overdispersion parameter of the Negative Binomial.</w:t>
      </w:r>
    </w:p>
    <w:p w14:paraId="2BC0B0B7" w14:textId="2C667999" w:rsidR="007B3F74" w:rsidRDefault="00131A47" w:rsidP="00C93CCE">
      <w:pPr>
        <w:pStyle w:val="Heading2"/>
        <w:rPr>
          <w:rFonts w:eastAsia="Times New Roman"/>
        </w:rPr>
      </w:pPr>
      <w:r>
        <w:rPr>
          <w:rFonts w:eastAsia="Times New Roman"/>
        </w:rPr>
        <w:t>Vaccine</w:t>
      </w:r>
      <w:r w:rsidR="009F2CDC">
        <w:rPr>
          <w:rFonts w:eastAsia="Times New Roman"/>
        </w:rPr>
        <w:t xml:space="preserve"> Per-Dose</w:t>
      </w:r>
      <w:r>
        <w:rPr>
          <w:rFonts w:eastAsia="Times New Roman"/>
        </w:rPr>
        <w:t xml:space="preserve"> Efficacy </w:t>
      </w:r>
    </w:p>
    <w:p w14:paraId="30124F23" w14:textId="317E1FCC" w:rsidR="00131A47" w:rsidRDefault="00131A47">
      <w:r>
        <w:t xml:space="preserve">Per dose efficacies for OPV were taken from </w:t>
      </w:r>
      <w:r w:rsidR="004D772C">
        <w:t>[5</w:t>
      </w:r>
      <w:r>
        <w:t>] and can be found in Table S1.</w:t>
      </w:r>
      <w:r w:rsidR="009F2CDC">
        <w:t xml:space="preserve"> These values were estimated using NP-AFP data in northern Nigeria, and are therefore consistent with the data used in this study.</w:t>
      </w:r>
    </w:p>
    <w:p w14:paraId="0403F49C" w14:textId="1D8903E0" w:rsidR="009F2CDC" w:rsidRDefault="009F2CDC" w:rsidP="009F2CDC">
      <w:r>
        <w:rPr>
          <w:b/>
        </w:rPr>
        <w:t>Table S1 – Polio vaccine efficacies used to estimate population immunity.</w:t>
      </w:r>
    </w:p>
    <w:tbl>
      <w:tblPr>
        <w:tblStyle w:val="LightShading"/>
        <w:tblW w:w="0" w:type="auto"/>
        <w:jc w:val="center"/>
        <w:tblLook w:val="04A0" w:firstRow="1" w:lastRow="0" w:firstColumn="1" w:lastColumn="0" w:noHBand="0" w:noVBand="1"/>
      </w:tblPr>
      <w:tblGrid>
        <w:gridCol w:w="1221"/>
        <w:gridCol w:w="1221"/>
        <w:gridCol w:w="1221"/>
        <w:gridCol w:w="1221"/>
        <w:gridCol w:w="1221"/>
        <w:gridCol w:w="1221"/>
      </w:tblGrid>
      <w:tr w:rsidR="00131A47" w14:paraId="6315B1FC" w14:textId="77777777" w:rsidTr="00C93CCE">
        <w:trPr>
          <w:cnfStyle w:val="100000000000" w:firstRow="1" w:lastRow="0" w:firstColumn="0" w:lastColumn="0" w:oddVBand="0" w:evenVBand="0" w:oddHBand="0"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1221" w:type="dxa"/>
          </w:tcPr>
          <w:p w14:paraId="38CEFCB5" w14:textId="77777777" w:rsidR="00131A47" w:rsidRDefault="00131A47" w:rsidP="00131A47"/>
        </w:tc>
        <w:tc>
          <w:tcPr>
            <w:tcW w:w="1221" w:type="dxa"/>
          </w:tcPr>
          <w:p w14:paraId="77C1715C" w14:textId="2BE24B5E" w:rsidR="00131A47" w:rsidRDefault="00131A47" w:rsidP="00C93CCE">
            <w:pPr>
              <w:jc w:val="center"/>
              <w:cnfStyle w:val="100000000000" w:firstRow="1" w:lastRow="0" w:firstColumn="0" w:lastColumn="0" w:oddVBand="0" w:evenVBand="0" w:oddHBand="0" w:evenHBand="0" w:firstRowFirstColumn="0" w:firstRowLastColumn="0" w:lastRowFirstColumn="0" w:lastRowLastColumn="0"/>
            </w:pPr>
            <w:proofErr w:type="spellStart"/>
            <w:r>
              <w:t>tOPV</w:t>
            </w:r>
            <w:proofErr w:type="spellEnd"/>
          </w:p>
        </w:tc>
        <w:tc>
          <w:tcPr>
            <w:tcW w:w="1221" w:type="dxa"/>
          </w:tcPr>
          <w:p w14:paraId="5326CCCF" w14:textId="23721D28" w:rsidR="00131A47" w:rsidRDefault="00131A47" w:rsidP="00C93CCE">
            <w:pPr>
              <w:jc w:val="center"/>
              <w:cnfStyle w:val="100000000000" w:firstRow="1" w:lastRow="0" w:firstColumn="0" w:lastColumn="0" w:oddVBand="0" w:evenVBand="0" w:oddHBand="0" w:evenHBand="0" w:firstRowFirstColumn="0" w:firstRowLastColumn="0" w:lastRowFirstColumn="0" w:lastRowLastColumn="0"/>
            </w:pPr>
            <w:proofErr w:type="spellStart"/>
            <w:r>
              <w:t>bOPV</w:t>
            </w:r>
            <w:proofErr w:type="spellEnd"/>
          </w:p>
        </w:tc>
        <w:tc>
          <w:tcPr>
            <w:tcW w:w="1221" w:type="dxa"/>
          </w:tcPr>
          <w:p w14:paraId="128BFABE" w14:textId="7178C88A" w:rsidR="00131A47" w:rsidRDefault="00131A47" w:rsidP="00C93CCE">
            <w:pPr>
              <w:jc w:val="center"/>
              <w:cnfStyle w:val="100000000000" w:firstRow="1" w:lastRow="0" w:firstColumn="0" w:lastColumn="0" w:oddVBand="0" w:evenVBand="0" w:oddHBand="0" w:evenHBand="0" w:firstRowFirstColumn="0" w:firstRowLastColumn="0" w:lastRowFirstColumn="0" w:lastRowLastColumn="0"/>
            </w:pPr>
            <w:r>
              <w:t>mOPV1</w:t>
            </w:r>
          </w:p>
        </w:tc>
        <w:tc>
          <w:tcPr>
            <w:tcW w:w="1221" w:type="dxa"/>
          </w:tcPr>
          <w:p w14:paraId="1F1F00D3" w14:textId="41B23E5C" w:rsidR="00131A47" w:rsidRDefault="00131A47" w:rsidP="00C93CCE">
            <w:pPr>
              <w:jc w:val="center"/>
              <w:cnfStyle w:val="100000000000" w:firstRow="1" w:lastRow="0" w:firstColumn="0" w:lastColumn="0" w:oddVBand="0" w:evenVBand="0" w:oddHBand="0" w:evenHBand="0" w:firstRowFirstColumn="0" w:firstRowLastColumn="0" w:lastRowFirstColumn="0" w:lastRowLastColumn="0"/>
            </w:pPr>
            <w:r>
              <w:t>mOPV3</w:t>
            </w:r>
          </w:p>
        </w:tc>
        <w:tc>
          <w:tcPr>
            <w:tcW w:w="1221" w:type="dxa"/>
          </w:tcPr>
          <w:p w14:paraId="036F622B" w14:textId="6E0F1C5F" w:rsidR="00131A47" w:rsidRDefault="00131A47" w:rsidP="00C93CCE">
            <w:pPr>
              <w:jc w:val="center"/>
              <w:cnfStyle w:val="100000000000" w:firstRow="1" w:lastRow="0" w:firstColumn="0" w:lastColumn="0" w:oddVBand="0" w:evenVBand="0" w:oddHBand="0" w:evenHBand="0" w:firstRowFirstColumn="0" w:firstRowLastColumn="0" w:lastRowFirstColumn="0" w:lastRowLastColumn="0"/>
            </w:pPr>
            <w:r>
              <w:t>IPV</w:t>
            </w:r>
          </w:p>
        </w:tc>
      </w:tr>
      <w:tr w:rsidR="00131A47" w14:paraId="6E7A5BE9" w14:textId="77777777" w:rsidTr="00C93CCE">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1" w:type="dxa"/>
          </w:tcPr>
          <w:p w14:paraId="5259EA63" w14:textId="4D859FD3" w:rsidR="00131A47" w:rsidRDefault="00131A47" w:rsidP="00131A47">
            <w:r>
              <w:t>Type 1</w:t>
            </w:r>
          </w:p>
        </w:tc>
        <w:tc>
          <w:tcPr>
            <w:tcW w:w="1221" w:type="dxa"/>
          </w:tcPr>
          <w:p w14:paraId="5E81A9A3" w14:textId="2D5EBA4D" w:rsidR="00131A47" w:rsidRDefault="00D83078" w:rsidP="00C93CCE">
            <w:pPr>
              <w:jc w:val="center"/>
              <w:cnfStyle w:val="000000100000" w:firstRow="0" w:lastRow="0" w:firstColumn="0" w:lastColumn="0" w:oddVBand="0" w:evenVBand="0" w:oddHBand="1" w:evenHBand="0" w:firstRowFirstColumn="0" w:firstRowLastColumn="0" w:lastRowFirstColumn="0" w:lastRowLastColumn="0"/>
            </w:pPr>
            <w:r>
              <w:t>19.2</w:t>
            </w:r>
          </w:p>
        </w:tc>
        <w:tc>
          <w:tcPr>
            <w:tcW w:w="1221" w:type="dxa"/>
          </w:tcPr>
          <w:p w14:paraId="2F55AB9B" w14:textId="6FB199B3" w:rsidR="00131A47" w:rsidRDefault="00D83078" w:rsidP="00C93CCE">
            <w:pPr>
              <w:jc w:val="center"/>
              <w:cnfStyle w:val="000000100000" w:firstRow="0" w:lastRow="0" w:firstColumn="0" w:lastColumn="0" w:oddVBand="0" w:evenVBand="0" w:oddHBand="1" w:evenHBand="0" w:firstRowFirstColumn="0" w:firstRowLastColumn="0" w:lastRowFirstColumn="0" w:lastRowLastColumn="0"/>
            </w:pPr>
            <w:r>
              <w:t>29.9</w:t>
            </w:r>
          </w:p>
        </w:tc>
        <w:tc>
          <w:tcPr>
            <w:tcW w:w="1221" w:type="dxa"/>
          </w:tcPr>
          <w:p w14:paraId="04A5278A" w14:textId="09D02398" w:rsidR="00131A47" w:rsidRDefault="00D83078" w:rsidP="00C93CCE">
            <w:pPr>
              <w:jc w:val="center"/>
              <w:cnfStyle w:val="000000100000" w:firstRow="0" w:lastRow="0" w:firstColumn="0" w:lastColumn="0" w:oddVBand="0" w:evenVBand="0" w:oddHBand="1" w:evenHBand="0" w:firstRowFirstColumn="0" w:firstRowLastColumn="0" w:lastRowFirstColumn="0" w:lastRowLastColumn="0"/>
            </w:pPr>
            <w:r>
              <w:t>28.8</w:t>
            </w:r>
          </w:p>
        </w:tc>
        <w:tc>
          <w:tcPr>
            <w:tcW w:w="1221" w:type="dxa"/>
          </w:tcPr>
          <w:p w14:paraId="4EEA7E85" w14:textId="7197A1E2" w:rsidR="00131A47" w:rsidRDefault="009F2CDC" w:rsidP="00C93CCE">
            <w:pPr>
              <w:jc w:val="center"/>
              <w:cnfStyle w:val="000000100000" w:firstRow="0" w:lastRow="0" w:firstColumn="0" w:lastColumn="0" w:oddVBand="0" w:evenVBand="0" w:oddHBand="1" w:evenHBand="0" w:firstRowFirstColumn="0" w:firstRowLastColumn="0" w:lastRowFirstColumn="0" w:lastRowLastColumn="0"/>
            </w:pPr>
            <w:r>
              <w:t>-</w:t>
            </w:r>
          </w:p>
        </w:tc>
        <w:tc>
          <w:tcPr>
            <w:tcW w:w="1221" w:type="dxa"/>
          </w:tcPr>
          <w:p w14:paraId="1504A6A9" w14:textId="50F11845" w:rsidR="009F2CDC" w:rsidRDefault="00D83078" w:rsidP="00C93CCE">
            <w:pPr>
              <w:jc w:val="center"/>
              <w:cnfStyle w:val="000000100000" w:firstRow="0" w:lastRow="0" w:firstColumn="0" w:lastColumn="0" w:oddVBand="0" w:evenVBand="0" w:oddHBand="1" w:evenHBand="0" w:firstRowFirstColumn="0" w:firstRowLastColumn="0" w:lastRowFirstColumn="0" w:lastRowLastColumn="0"/>
            </w:pPr>
            <w:r>
              <w:t>80</w:t>
            </w:r>
            <w:r w:rsidR="009F2CDC">
              <w:t>.0</w:t>
            </w:r>
          </w:p>
        </w:tc>
      </w:tr>
      <w:tr w:rsidR="00131A47" w14:paraId="606B7378" w14:textId="77777777" w:rsidTr="00C93CCE">
        <w:trPr>
          <w:trHeight w:val="260"/>
          <w:jc w:val="center"/>
        </w:trPr>
        <w:tc>
          <w:tcPr>
            <w:cnfStyle w:val="001000000000" w:firstRow="0" w:lastRow="0" w:firstColumn="1" w:lastColumn="0" w:oddVBand="0" w:evenVBand="0" w:oddHBand="0" w:evenHBand="0" w:firstRowFirstColumn="0" w:firstRowLastColumn="0" w:lastRowFirstColumn="0" w:lastRowLastColumn="0"/>
            <w:tcW w:w="1221" w:type="dxa"/>
          </w:tcPr>
          <w:p w14:paraId="6724F486" w14:textId="2CB9423A" w:rsidR="00131A47" w:rsidRDefault="00131A47" w:rsidP="00131A47">
            <w:r>
              <w:t>Type 2</w:t>
            </w:r>
          </w:p>
        </w:tc>
        <w:tc>
          <w:tcPr>
            <w:tcW w:w="1221" w:type="dxa"/>
          </w:tcPr>
          <w:p w14:paraId="0FC5B4B0" w14:textId="29E20E42" w:rsidR="00131A47" w:rsidRDefault="00D83078" w:rsidP="00C93CCE">
            <w:pPr>
              <w:jc w:val="center"/>
              <w:cnfStyle w:val="000000000000" w:firstRow="0" w:lastRow="0" w:firstColumn="0" w:lastColumn="0" w:oddVBand="0" w:evenVBand="0" w:oddHBand="0" w:evenHBand="0" w:firstRowFirstColumn="0" w:firstRowLastColumn="0" w:lastRowFirstColumn="0" w:lastRowLastColumn="0"/>
            </w:pPr>
            <w:r>
              <w:t>48.9</w:t>
            </w:r>
          </w:p>
        </w:tc>
        <w:tc>
          <w:tcPr>
            <w:tcW w:w="1221" w:type="dxa"/>
          </w:tcPr>
          <w:p w14:paraId="2EB18F04" w14:textId="0BF1DB5E" w:rsidR="00131A47" w:rsidRDefault="009F2CDC" w:rsidP="00C93CCE">
            <w:pPr>
              <w:jc w:val="center"/>
              <w:cnfStyle w:val="000000000000" w:firstRow="0" w:lastRow="0" w:firstColumn="0" w:lastColumn="0" w:oddVBand="0" w:evenVBand="0" w:oddHBand="0" w:evenHBand="0" w:firstRowFirstColumn="0" w:firstRowLastColumn="0" w:lastRowFirstColumn="0" w:lastRowLastColumn="0"/>
            </w:pPr>
            <w:r>
              <w:t>-</w:t>
            </w:r>
          </w:p>
        </w:tc>
        <w:tc>
          <w:tcPr>
            <w:tcW w:w="1221" w:type="dxa"/>
          </w:tcPr>
          <w:p w14:paraId="6CC86671" w14:textId="58794B23" w:rsidR="00131A47" w:rsidRDefault="009F2CDC" w:rsidP="00C93CCE">
            <w:pPr>
              <w:jc w:val="center"/>
              <w:cnfStyle w:val="000000000000" w:firstRow="0" w:lastRow="0" w:firstColumn="0" w:lastColumn="0" w:oddVBand="0" w:evenVBand="0" w:oddHBand="0" w:evenHBand="0" w:firstRowFirstColumn="0" w:firstRowLastColumn="0" w:lastRowFirstColumn="0" w:lastRowLastColumn="0"/>
            </w:pPr>
            <w:r>
              <w:t>-</w:t>
            </w:r>
          </w:p>
        </w:tc>
        <w:tc>
          <w:tcPr>
            <w:tcW w:w="1221" w:type="dxa"/>
          </w:tcPr>
          <w:p w14:paraId="5F0EDCA8" w14:textId="40445B13" w:rsidR="00131A47" w:rsidRDefault="009F2CDC" w:rsidP="00C93CCE">
            <w:pPr>
              <w:jc w:val="center"/>
              <w:cnfStyle w:val="000000000000" w:firstRow="0" w:lastRow="0" w:firstColumn="0" w:lastColumn="0" w:oddVBand="0" w:evenVBand="0" w:oddHBand="0" w:evenHBand="0" w:firstRowFirstColumn="0" w:firstRowLastColumn="0" w:lastRowFirstColumn="0" w:lastRowLastColumn="0"/>
            </w:pPr>
            <w:r>
              <w:t>-</w:t>
            </w:r>
          </w:p>
        </w:tc>
        <w:tc>
          <w:tcPr>
            <w:tcW w:w="1221" w:type="dxa"/>
          </w:tcPr>
          <w:p w14:paraId="5834108A" w14:textId="41289962" w:rsidR="00131A47" w:rsidRDefault="00D83078" w:rsidP="00C93CCE">
            <w:pPr>
              <w:jc w:val="center"/>
              <w:cnfStyle w:val="000000000000" w:firstRow="0" w:lastRow="0" w:firstColumn="0" w:lastColumn="0" w:oddVBand="0" w:evenVBand="0" w:oddHBand="0" w:evenHBand="0" w:firstRowFirstColumn="0" w:firstRowLastColumn="0" w:lastRowFirstColumn="0" w:lastRowLastColumn="0"/>
            </w:pPr>
            <w:r>
              <w:t>90</w:t>
            </w:r>
            <w:r w:rsidR="009F2CDC">
              <w:t>.0</w:t>
            </w:r>
          </w:p>
        </w:tc>
      </w:tr>
      <w:tr w:rsidR="00131A47" w14:paraId="5BDD229C" w14:textId="77777777" w:rsidTr="00C93CCE">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1221" w:type="dxa"/>
          </w:tcPr>
          <w:p w14:paraId="1539ADAB" w14:textId="3AA05438" w:rsidR="00131A47" w:rsidRDefault="00131A47" w:rsidP="00131A47">
            <w:r>
              <w:t>Type 3</w:t>
            </w:r>
          </w:p>
        </w:tc>
        <w:tc>
          <w:tcPr>
            <w:tcW w:w="1221" w:type="dxa"/>
          </w:tcPr>
          <w:p w14:paraId="60C84240" w14:textId="6F6D1D2D" w:rsidR="00131A47" w:rsidRDefault="00D83078" w:rsidP="00C93CCE">
            <w:pPr>
              <w:jc w:val="center"/>
              <w:cnfStyle w:val="000000100000" w:firstRow="0" w:lastRow="0" w:firstColumn="0" w:lastColumn="0" w:oddVBand="0" w:evenVBand="0" w:oddHBand="1" w:evenHBand="0" w:firstRowFirstColumn="0" w:firstRowLastColumn="0" w:lastRowFirstColumn="0" w:lastRowLastColumn="0"/>
            </w:pPr>
            <w:r>
              <w:t>17.7</w:t>
            </w:r>
          </w:p>
        </w:tc>
        <w:tc>
          <w:tcPr>
            <w:tcW w:w="1221" w:type="dxa"/>
          </w:tcPr>
          <w:p w14:paraId="7DA275E0" w14:textId="4CF4DAC6" w:rsidR="00131A47" w:rsidRDefault="00D83078" w:rsidP="00C93CCE">
            <w:pPr>
              <w:jc w:val="center"/>
              <w:cnfStyle w:val="000000100000" w:firstRow="0" w:lastRow="0" w:firstColumn="0" w:lastColumn="0" w:oddVBand="0" w:evenVBand="0" w:oddHBand="1" w:evenHBand="0" w:firstRowFirstColumn="0" w:firstRowLastColumn="0" w:lastRowFirstColumn="0" w:lastRowLastColumn="0"/>
            </w:pPr>
            <w:r>
              <w:t>24.0</w:t>
            </w:r>
          </w:p>
        </w:tc>
        <w:tc>
          <w:tcPr>
            <w:tcW w:w="1221" w:type="dxa"/>
          </w:tcPr>
          <w:p w14:paraId="5C911067" w14:textId="68379411" w:rsidR="00131A47" w:rsidRDefault="009F2CDC" w:rsidP="00C93CCE">
            <w:pPr>
              <w:jc w:val="center"/>
              <w:cnfStyle w:val="000000100000" w:firstRow="0" w:lastRow="0" w:firstColumn="0" w:lastColumn="0" w:oddVBand="0" w:evenVBand="0" w:oddHBand="1" w:evenHBand="0" w:firstRowFirstColumn="0" w:firstRowLastColumn="0" w:lastRowFirstColumn="0" w:lastRowLastColumn="0"/>
            </w:pPr>
            <w:r>
              <w:t>-</w:t>
            </w:r>
          </w:p>
        </w:tc>
        <w:tc>
          <w:tcPr>
            <w:tcW w:w="1221" w:type="dxa"/>
          </w:tcPr>
          <w:p w14:paraId="442F2D30" w14:textId="5AC54070" w:rsidR="00131A47" w:rsidRDefault="00D83078" w:rsidP="00C93CCE">
            <w:pPr>
              <w:jc w:val="center"/>
              <w:cnfStyle w:val="000000100000" w:firstRow="0" w:lastRow="0" w:firstColumn="0" w:lastColumn="0" w:oddVBand="0" w:evenVBand="0" w:oddHBand="1" w:evenHBand="0" w:firstRowFirstColumn="0" w:firstRowLastColumn="0" w:lastRowFirstColumn="0" w:lastRowLastColumn="0"/>
            </w:pPr>
            <w:r>
              <w:t>40.9</w:t>
            </w:r>
          </w:p>
        </w:tc>
        <w:tc>
          <w:tcPr>
            <w:tcW w:w="1221" w:type="dxa"/>
          </w:tcPr>
          <w:p w14:paraId="60E5683F" w14:textId="6191B342" w:rsidR="00131A47" w:rsidRDefault="00D83078" w:rsidP="00C93CCE">
            <w:pPr>
              <w:jc w:val="center"/>
              <w:cnfStyle w:val="000000100000" w:firstRow="0" w:lastRow="0" w:firstColumn="0" w:lastColumn="0" w:oddVBand="0" w:evenVBand="0" w:oddHBand="1" w:evenHBand="0" w:firstRowFirstColumn="0" w:firstRowLastColumn="0" w:lastRowFirstColumn="0" w:lastRowLastColumn="0"/>
            </w:pPr>
            <w:r>
              <w:t>80</w:t>
            </w:r>
            <w:r w:rsidR="009F2CDC">
              <w:t>.0</w:t>
            </w:r>
          </w:p>
        </w:tc>
      </w:tr>
    </w:tbl>
    <w:p w14:paraId="3A081475" w14:textId="77777777" w:rsidR="00131A47" w:rsidRDefault="00131A47" w:rsidP="00131A47"/>
    <w:p w14:paraId="09FA0A59" w14:textId="77777777" w:rsidR="00AC4200" w:rsidRDefault="009F2CDC" w:rsidP="00131A47">
      <w:r>
        <w:t>IPV has been used very recently in Nigeria in vaccination campaigns in highest risk areas. The inclusion of IPV in our standard calculation is complicated by the fact that IPV efficacy against paralysis is varies depending on previous OPV exposure. Seronegative children who have received OPV previously seroconvert at a higher rate than OPV-naive children receiving IPV as a first dose</w:t>
      </w:r>
      <w:r w:rsidR="006E2305">
        <w:t xml:space="preserve"> [6-10]</w:t>
      </w:r>
      <w:r>
        <w:t>.</w:t>
      </w:r>
      <w:r w:rsidR="00AC4200">
        <w:t xml:space="preserve"> If children are seronegative (i.e. no detectable antibody) but have a history of OPV exposure, they seroconvert at a much higher rate.</w:t>
      </w:r>
    </w:p>
    <w:p w14:paraId="7253B886" w14:textId="36E09802" w:rsidR="009F2CDC" w:rsidRPr="00131A47" w:rsidRDefault="00AC4200" w:rsidP="00131A47">
      <w:r>
        <w:t>Because OPV is given to children at the same time that they receive IPV in vaccination campaigns, and because children have been exposed to OPV regularly in these areas, we used an efficacy for IPV derived from three studies on IPV seroconversion following IPV exposure [8-10]</w:t>
      </w:r>
      <w:r w:rsidR="008B6165">
        <w:t>. Average per dose efficacies from these studies were</w:t>
      </w:r>
      <w:r w:rsidR="00C62CD6">
        <w:t xml:space="preserve"> 82.3 (126/153), 92.3 (169/181), and 85.2 (305/358) for types 1, 2, and 3, respectively</w:t>
      </w:r>
      <w:r>
        <w:t>.</w:t>
      </w:r>
      <w:r w:rsidR="00782C75">
        <w:t xml:space="preserve"> There is uncertainty surrounding these estimates, so we treat the values </w:t>
      </w:r>
      <w:r w:rsidR="00C62CD6">
        <w:t>used in this study</w:t>
      </w:r>
      <w:r w:rsidR="00782C75">
        <w:t xml:space="preserve"> as rough guides.</w:t>
      </w:r>
    </w:p>
    <w:p w14:paraId="089AE46A" w14:textId="14479172" w:rsidR="00A839F8" w:rsidRDefault="00A839F8" w:rsidP="00A839F8">
      <w:pPr>
        <w:pStyle w:val="Heading1"/>
        <w:rPr>
          <w:rFonts w:eastAsiaTheme="minorEastAsia"/>
        </w:rPr>
      </w:pPr>
      <w:r>
        <w:rPr>
          <w:rFonts w:eastAsiaTheme="minorEastAsia"/>
        </w:rPr>
        <w:lastRenderedPageBreak/>
        <w:t>Results</w:t>
      </w:r>
    </w:p>
    <w:p w14:paraId="2C0AF02F" w14:textId="3A1C0569" w:rsidR="00421FE7" w:rsidRDefault="00421FE7">
      <w:pPr>
        <w:pStyle w:val="Heading2"/>
      </w:pPr>
      <w:r>
        <w:t>Kano Model Selection</w:t>
      </w:r>
    </w:p>
    <w:p w14:paraId="0820F4D0" w14:textId="5E1EB6D0" w:rsidR="00C26A07" w:rsidRDefault="00C26A07" w:rsidP="0087494D">
      <w:r>
        <w:t>In Kano, we tried four different versions of the campaign effectiveness model: 1) a model with no age effect and fixed between-district variation over time, 2) a model allowing for district-level variation over time, 3) a model</w:t>
      </w:r>
      <w:r w:rsidR="000A25EC">
        <w:t xml:space="preserve"> similar to (1)</w:t>
      </w:r>
      <w:r>
        <w:t xml:space="preserve"> with only an age effect added, and 4) a model with both the district-level random walk and age effects. The coverage model that allows for the most complexity – district-level variation over time, age structure – provides the best </w:t>
      </w:r>
      <w:r w:rsidR="000A25EC">
        <w:t>fit in terms of DIC (Table S</w:t>
      </w:r>
      <w:r w:rsidR="00E871E6">
        <w:t>2</w:t>
      </w:r>
      <w:r w:rsidR="000A25EC">
        <w:t>).</w:t>
      </w:r>
    </w:p>
    <w:p w14:paraId="37A40D39" w14:textId="39B040C5" w:rsidR="000A25EC" w:rsidRDefault="000A25EC" w:rsidP="0087494D">
      <w:r>
        <w:t xml:space="preserve">In both models with the age effects (models 3 and 4), campaign effectiveness was estimated to be lowest in the 24-35 month age group (2 year olds) relative to 6-11 month olds. </w:t>
      </w:r>
      <w:r w:rsidR="0068317F">
        <w:t>12-23 month olds experienced the lowest reduction relative to 6-11 month olds in campaign effectiveness.</w:t>
      </w:r>
    </w:p>
    <w:p w14:paraId="1F287F42" w14:textId="65E1B79A" w:rsidR="00C26A07" w:rsidRPr="00E416D4" w:rsidRDefault="00C26A07" w:rsidP="0087494D">
      <w:r>
        <w:rPr>
          <w:b/>
        </w:rPr>
        <w:t>Table S</w:t>
      </w:r>
      <w:r w:rsidR="00E871E6">
        <w:rPr>
          <w:b/>
        </w:rPr>
        <w:t>2</w:t>
      </w:r>
      <w:r>
        <w:rPr>
          <w:b/>
        </w:rPr>
        <w:t xml:space="preserve"> – Kano campaign effectiveness model </w:t>
      </w:r>
      <w:r w:rsidRPr="0087494D">
        <w:rPr>
          <w:b/>
        </w:rPr>
        <w:t>results</w:t>
      </w:r>
      <w:r w:rsidR="00791BE6">
        <w:t>, p</w:t>
      </w:r>
      <w:r w:rsidR="00791BE6" w:rsidRPr="00E416D4">
        <w:t>osterior</w:t>
      </w:r>
      <w:r w:rsidR="00791BE6">
        <w:t xml:space="preserve"> 95% </w:t>
      </w:r>
      <w:r w:rsidR="009F3895">
        <w:t>credible</w:t>
      </w:r>
      <w:r w:rsidR="00791BE6">
        <w:t xml:space="preserve"> interval</w:t>
      </w:r>
      <w:r w:rsidR="009F3895">
        <w:t>s</w:t>
      </w:r>
      <w:r w:rsidR="00791BE6">
        <w:t xml:space="preserve"> in parentheses</w:t>
      </w:r>
    </w:p>
    <w:tbl>
      <w:tblPr>
        <w:tblW w:w="8385" w:type="dxa"/>
        <w:tblInd w:w="93" w:type="dxa"/>
        <w:tblLook w:val="04A0" w:firstRow="1" w:lastRow="0" w:firstColumn="1" w:lastColumn="0" w:noHBand="0" w:noVBand="1"/>
      </w:tblPr>
      <w:tblGrid>
        <w:gridCol w:w="1420"/>
        <w:gridCol w:w="1060"/>
        <w:gridCol w:w="1405"/>
        <w:gridCol w:w="1530"/>
        <w:gridCol w:w="1530"/>
        <w:gridCol w:w="1440"/>
      </w:tblGrid>
      <w:tr w:rsidR="00421FE7" w:rsidRPr="00B10360" w14:paraId="6BF248F4" w14:textId="77777777" w:rsidTr="0087494D">
        <w:trPr>
          <w:cantSplit/>
          <w:trHeight w:hRule="exact" w:val="302"/>
        </w:trPr>
        <w:tc>
          <w:tcPr>
            <w:tcW w:w="1420" w:type="dxa"/>
            <w:tcBorders>
              <w:top w:val="single" w:sz="18" w:space="0" w:color="auto"/>
              <w:left w:val="nil"/>
              <w:bottom w:val="nil"/>
              <w:right w:val="nil"/>
            </w:tcBorders>
            <w:shd w:val="clear" w:color="auto" w:fill="auto"/>
            <w:noWrap/>
            <w:vAlign w:val="bottom"/>
            <w:hideMark/>
          </w:tcPr>
          <w:p w14:paraId="6008603D" w14:textId="77777777" w:rsidR="00421FE7" w:rsidRPr="00B10360" w:rsidRDefault="00421FE7" w:rsidP="0068317F">
            <w:pPr>
              <w:rPr>
                <w:rFonts w:ascii="Calibri" w:eastAsia="Times New Roman" w:hAnsi="Calibri" w:cs="Times New Roman"/>
                <w:color w:val="000000"/>
              </w:rPr>
            </w:pPr>
          </w:p>
        </w:tc>
        <w:tc>
          <w:tcPr>
            <w:tcW w:w="1060" w:type="dxa"/>
            <w:tcBorders>
              <w:top w:val="single" w:sz="18" w:space="0" w:color="auto"/>
              <w:left w:val="nil"/>
              <w:bottom w:val="nil"/>
              <w:right w:val="nil"/>
            </w:tcBorders>
            <w:shd w:val="clear" w:color="auto" w:fill="auto"/>
            <w:noWrap/>
            <w:vAlign w:val="bottom"/>
            <w:hideMark/>
          </w:tcPr>
          <w:p w14:paraId="3C60EEDC" w14:textId="77777777" w:rsidR="00421FE7" w:rsidRPr="00B10360" w:rsidRDefault="00421FE7" w:rsidP="0068317F">
            <w:pPr>
              <w:rPr>
                <w:rFonts w:ascii="Calibri" w:eastAsia="Times New Roman" w:hAnsi="Calibri" w:cs="Times New Roman"/>
                <w:color w:val="000000"/>
              </w:rPr>
            </w:pPr>
          </w:p>
        </w:tc>
        <w:tc>
          <w:tcPr>
            <w:tcW w:w="1405" w:type="dxa"/>
            <w:tcBorders>
              <w:top w:val="single" w:sz="18" w:space="0" w:color="auto"/>
              <w:left w:val="nil"/>
              <w:bottom w:val="nil"/>
              <w:right w:val="nil"/>
            </w:tcBorders>
            <w:shd w:val="clear" w:color="auto" w:fill="auto"/>
            <w:noWrap/>
            <w:vAlign w:val="bottom"/>
            <w:hideMark/>
          </w:tcPr>
          <w:p w14:paraId="6DB83A92"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w:t>
            </w:r>
          </w:p>
        </w:tc>
        <w:tc>
          <w:tcPr>
            <w:tcW w:w="1530" w:type="dxa"/>
            <w:tcBorders>
              <w:top w:val="single" w:sz="18" w:space="0" w:color="auto"/>
              <w:left w:val="nil"/>
              <w:bottom w:val="nil"/>
              <w:right w:val="nil"/>
            </w:tcBorders>
            <w:shd w:val="clear" w:color="auto" w:fill="auto"/>
            <w:noWrap/>
            <w:vAlign w:val="bottom"/>
            <w:hideMark/>
          </w:tcPr>
          <w:p w14:paraId="4FABEC46"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(2)</w:t>
            </w:r>
          </w:p>
        </w:tc>
        <w:tc>
          <w:tcPr>
            <w:tcW w:w="1530" w:type="dxa"/>
            <w:tcBorders>
              <w:top w:val="single" w:sz="18" w:space="0" w:color="auto"/>
              <w:left w:val="nil"/>
              <w:bottom w:val="nil"/>
              <w:right w:val="nil"/>
            </w:tcBorders>
            <w:shd w:val="clear" w:color="auto" w:fill="auto"/>
            <w:noWrap/>
            <w:vAlign w:val="bottom"/>
            <w:hideMark/>
          </w:tcPr>
          <w:p w14:paraId="11940F3A"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(3)</w:t>
            </w:r>
          </w:p>
        </w:tc>
        <w:tc>
          <w:tcPr>
            <w:tcW w:w="1440" w:type="dxa"/>
            <w:tcBorders>
              <w:top w:val="single" w:sz="18" w:space="0" w:color="auto"/>
              <w:left w:val="nil"/>
              <w:bottom w:val="nil"/>
              <w:right w:val="nil"/>
            </w:tcBorders>
            <w:shd w:val="clear" w:color="auto" w:fill="auto"/>
            <w:noWrap/>
            <w:vAlign w:val="bottom"/>
            <w:hideMark/>
          </w:tcPr>
          <w:p w14:paraId="7818D6B8"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(4)</w:t>
            </w:r>
          </w:p>
        </w:tc>
      </w:tr>
      <w:tr w:rsidR="00421FE7" w:rsidRPr="00B10360" w14:paraId="06B196C3" w14:textId="77777777" w:rsidTr="0087494D">
        <w:trPr>
          <w:cantSplit/>
          <w:trHeight w:hRule="exact" w:val="302"/>
        </w:trPr>
        <w:tc>
          <w:tcPr>
            <w:tcW w:w="1420" w:type="dxa"/>
            <w:tcBorders>
              <w:top w:val="nil"/>
              <w:left w:val="nil"/>
              <w:bottom w:val="single" w:sz="18" w:space="0" w:color="auto"/>
              <w:right w:val="nil"/>
            </w:tcBorders>
            <w:shd w:val="clear" w:color="auto" w:fill="auto"/>
            <w:vAlign w:val="bottom"/>
            <w:hideMark/>
          </w:tcPr>
          <w:p w14:paraId="48E59913" w14:textId="77777777" w:rsidR="00421FE7" w:rsidRPr="00B10360" w:rsidRDefault="00421FE7" w:rsidP="0068317F">
            <w:pPr>
              <w:rPr>
                <w:rFonts w:ascii="Calibri" w:eastAsia="Times New Roman" w:hAnsi="Calibri" w:cs="Times New Roman"/>
                <w:color w:val="000000"/>
              </w:rPr>
            </w:pPr>
          </w:p>
        </w:tc>
        <w:tc>
          <w:tcPr>
            <w:tcW w:w="1060" w:type="dxa"/>
            <w:tcBorders>
              <w:top w:val="nil"/>
              <w:left w:val="nil"/>
              <w:bottom w:val="single" w:sz="18" w:space="0" w:color="auto"/>
              <w:right w:val="nil"/>
            </w:tcBorders>
            <w:shd w:val="clear" w:color="auto" w:fill="auto"/>
            <w:vAlign w:val="center"/>
            <w:hideMark/>
          </w:tcPr>
          <w:p w14:paraId="2B2E3F0D"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Variable</w:t>
            </w:r>
          </w:p>
        </w:tc>
        <w:tc>
          <w:tcPr>
            <w:tcW w:w="1405" w:type="dxa"/>
            <w:tcBorders>
              <w:top w:val="nil"/>
              <w:left w:val="nil"/>
              <w:bottom w:val="single" w:sz="18" w:space="0" w:color="auto"/>
              <w:right w:val="nil"/>
            </w:tcBorders>
            <w:shd w:val="clear" w:color="auto" w:fill="auto"/>
            <w:vAlign w:val="center"/>
            <w:hideMark/>
          </w:tcPr>
          <w:p w14:paraId="2835A4B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Base</w:t>
            </w:r>
          </w:p>
        </w:tc>
        <w:tc>
          <w:tcPr>
            <w:tcW w:w="1530" w:type="dxa"/>
            <w:tcBorders>
              <w:top w:val="nil"/>
              <w:left w:val="nil"/>
              <w:bottom w:val="single" w:sz="18" w:space="0" w:color="auto"/>
              <w:right w:val="nil"/>
            </w:tcBorders>
            <w:shd w:val="clear" w:color="auto" w:fill="auto"/>
            <w:vAlign w:val="center"/>
            <w:hideMark/>
          </w:tcPr>
          <w:p w14:paraId="2CFC2BBD"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District Random Walk</w:t>
            </w:r>
          </w:p>
        </w:tc>
        <w:tc>
          <w:tcPr>
            <w:tcW w:w="1530" w:type="dxa"/>
            <w:tcBorders>
              <w:top w:val="nil"/>
              <w:left w:val="nil"/>
              <w:bottom w:val="single" w:sz="18" w:space="0" w:color="auto"/>
              <w:right w:val="nil"/>
            </w:tcBorders>
            <w:shd w:val="clear" w:color="auto" w:fill="auto"/>
            <w:vAlign w:val="center"/>
            <w:hideMark/>
          </w:tcPr>
          <w:p w14:paraId="6126BACA"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Age-based Participation</w:t>
            </w:r>
          </w:p>
        </w:tc>
        <w:tc>
          <w:tcPr>
            <w:tcW w:w="1440" w:type="dxa"/>
            <w:tcBorders>
              <w:top w:val="nil"/>
              <w:left w:val="nil"/>
              <w:bottom w:val="single" w:sz="18" w:space="0" w:color="auto"/>
              <w:right w:val="nil"/>
            </w:tcBorders>
            <w:shd w:val="clear" w:color="auto" w:fill="auto"/>
            <w:vAlign w:val="center"/>
            <w:hideMark/>
          </w:tcPr>
          <w:p w14:paraId="25D8BC0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Full</w:t>
            </w:r>
          </w:p>
        </w:tc>
      </w:tr>
      <w:tr w:rsidR="00421FE7" w:rsidRPr="00B10360" w14:paraId="4C38E45D" w14:textId="77777777" w:rsidTr="0087494D">
        <w:trPr>
          <w:cantSplit/>
          <w:trHeight w:hRule="exact" w:val="302"/>
        </w:trPr>
        <w:tc>
          <w:tcPr>
            <w:tcW w:w="1420" w:type="dxa"/>
            <w:vMerge w:val="restart"/>
            <w:tcBorders>
              <w:top w:val="single" w:sz="18" w:space="0" w:color="auto"/>
              <w:left w:val="nil"/>
              <w:bottom w:val="nil"/>
              <w:right w:val="nil"/>
            </w:tcBorders>
            <w:shd w:val="clear" w:color="auto" w:fill="auto"/>
            <w:noWrap/>
            <w:hideMark/>
          </w:tcPr>
          <w:p w14:paraId="65F157E2" w14:textId="77777777" w:rsidR="00421FE7" w:rsidRPr="00B10360" w:rsidRDefault="00421FE7" w:rsidP="0068317F">
            <w:pPr>
              <w:rPr>
                <w:rFonts w:ascii="Calibri" w:eastAsia="Times New Roman" w:hAnsi="Calibri" w:cs="Times New Roman"/>
                <w:b/>
                <w:bCs/>
                <w:color w:val="000000"/>
              </w:rPr>
            </w:pPr>
            <w:r w:rsidRPr="00B10360">
              <w:rPr>
                <w:rFonts w:ascii="Calibri" w:eastAsia="Times New Roman" w:hAnsi="Calibri" w:cs="Times New Roman"/>
                <w:b/>
                <w:bCs/>
                <w:color w:val="000000"/>
              </w:rPr>
              <w:t>Fixed Effects</w:t>
            </w:r>
          </w:p>
        </w:tc>
        <w:tc>
          <w:tcPr>
            <w:tcW w:w="1060" w:type="dxa"/>
            <w:vMerge w:val="restart"/>
            <w:tcBorders>
              <w:top w:val="single" w:sz="18" w:space="0" w:color="auto"/>
              <w:left w:val="nil"/>
              <w:bottom w:val="nil"/>
              <w:right w:val="nil"/>
            </w:tcBorders>
            <w:shd w:val="clear" w:color="auto" w:fill="auto"/>
            <w:noWrap/>
            <w:vAlign w:val="center"/>
            <w:hideMark/>
          </w:tcPr>
          <w:p w14:paraId="76C556E9"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Intercept</w:t>
            </w:r>
          </w:p>
        </w:tc>
        <w:tc>
          <w:tcPr>
            <w:tcW w:w="1405" w:type="dxa"/>
            <w:tcBorders>
              <w:top w:val="single" w:sz="18" w:space="0" w:color="auto"/>
              <w:left w:val="nil"/>
              <w:bottom w:val="nil"/>
              <w:right w:val="nil"/>
            </w:tcBorders>
            <w:shd w:val="clear" w:color="auto" w:fill="auto"/>
            <w:noWrap/>
            <w:vAlign w:val="bottom"/>
            <w:hideMark/>
          </w:tcPr>
          <w:p w14:paraId="0BA4125F"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-1.52</w:t>
            </w:r>
          </w:p>
        </w:tc>
        <w:tc>
          <w:tcPr>
            <w:tcW w:w="1530" w:type="dxa"/>
            <w:tcBorders>
              <w:top w:val="single" w:sz="18" w:space="0" w:color="auto"/>
              <w:left w:val="nil"/>
              <w:bottom w:val="nil"/>
              <w:right w:val="nil"/>
            </w:tcBorders>
            <w:shd w:val="clear" w:color="auto" w:fill="auto"/>
            <w:noWrap/>
            <w:vAlign w:val="bottom"/>
            <w:hideMark/>
          </w:tcPr>
          <w:p w14:paraId="30618561"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-1.54</w:t>
            </w:r>
          </w:p>
        </w:tc>
        <w:tc>
          <w:tcPr>
            <w:tcW w:w="1530" w:type="dxa"/>
            <w:tcBorders>
              <w:top w:val="single" w:sz="18" w:space="0" w:color="auto"/>
              <w:left w:val="nil"/>
              <w:bottom w:val="nil"/>
              <w:right w:val="nil"/>
            </w:tcBorders>
            <w:shd w:val="clear" w:color="auto" w:fill="auto"/>
            <w:noWrap/>
            <w:vAlign w:val="bottom"/>
            <w:hideMark/>
          </w:tcPr>
          <w:p w14:paraId="28469CED"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-1.09</w:t>
            </w:r>
          </w:p>
        </w:tc>
        <w:tc>
          <w:tcPr>
            <w:tcW w:w="1440" w:type="dxa"/>
            <w:tcBorders>
              <w:top w:val="single" w:sz="18" w:space="0" w:color="auto"/>
              <w:left w:val="nil"/>
              <w:bottom w:val="nil"/>
              <w:right w:val="nil"/>
            </w:tcBorders>
            <w:shd w:val="clear" w:color="auto" w:fill="auto"/>
            <w:noWrap/>
            <w:vAlign w:val="bottom"/>
            <w:hideMark/>
          </w:tcPr>
          <w:p w14:paraId="37FEFCE6"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-1.11</w:t>
            </w:r>
          </w:p>
        </w:tc>
      </w:tr>
      <w:tr w:rsidR="00421FE7" w:rsidRPr="00B10360" w14:paraId="4B213369" w14:textId="77777777" w:rsidTr="0087494D">
        <w:trPr>
          <w:cantSplit/>
          <w:trHeight w:hRule="exact" w:val="302"/>
        </w:trPr>
        <w:tc>
          <w:tcPr>
            <w:tcW w:w="1420" w:type="dxa"/>
            <w:vMerge/>
            <w:tcBorders>
              <w:top w:val="single" w:sz="12" w:space="0" w:color="auto"/>
              <w:left w:val="nil"/>
              <w:bottom w:val="nil"/>
              <w:right w:val="nil"/>
            </w:tcBorders>
            <w:vAlign w:val="center"/>
            <w:hideMark/>
          </w:tcPr>
          <w:p w14:paraId="3D9D9156" w14:textId="77777777" w:rsidR="00421FE7" w:rsidRPr="00B10360" w:rsidRDefault="00421FE7" w:rsidP="0068317F">
            <w:pPr>
              <w:rPr>
                <w:rFonts w:ascii="Calibri" w:eastAsia="Times New Roman" w:hAnsi="Calibri" w:cs="Times New Roman"/>
                <w:b/>
                <w:bCs/>
                <w:color w:val="000000"/>
              </w:rPr>
            </w:pPr>
          </w:p>
        </w:tc>
        <w:tc>
          <w:tcPr>
            <w:tcW w:w="1060" w:type="dxa"/>
            <w:vMerge/>
            <w:tcBorders>
              <w:top w:val="single" w:sz="12" w:space="0" w:color="auto"/>
              <w:left w:val="nil"/>
              <w:bottom w:val="nil"/>
              <w:right w:val="nil"/>
            </w:tcBorders>
            <w:vAlign w:val="center"/>
            <w:hideMark/>
          </w:tcPr>
          <w:p w14:paraId="60DD6A01"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nil"/>
              <w:right w:val="nil"/>
            </w:tcBorders>
            <w:shd w:val="clear" w:color="auto" w:fill="auto"/>
            <w:noWrap/>
            <w:vAlign w:val="bottom"/>
            <w:hideMark/>
          </w:tcPr>
          <w:p w14:paraId="2938996F"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(-1.64, -1.38)</w:t>
            </w:r>
          </w:p>
        </w:tc>
        <w:tc>
          <w:tcPr>
            <w:tcW w:w="1530" w:type="dxa"/>
            <w:tcBorders>
              <w:top w:val="nil"/>
              <w:left w:val="nil"/>
              <w:bottom w:val="nil"/>
              <w:right w:val="nil"/>
            </w:tcBorders>
            <w:shd w:val="clear" w:color="auto" w:fill="auto"/>
            <w:noWrap/>
            <w:vAlign w:val="bottom"/>
            <w:hideMark/>
          </w:tcPr>
          <w:p w14:paraId="7B62EE78"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(-1.67, -1.41)</w:t>
            </w:r>
          </w:p>
        </w:tc>
        <w:tc>
          <w:tcPr>
            <w:tcW w:w="1530" w:type="dxa"/>
            <w:tcBorders>
              <w:top w:val="nil"/>
              <w:left w:val="nil"/>
              <w:bottom w:val="nil"/>
              <w:right w:val="nil"/>
            </w:tcBorders>
            <w:shd w:val="clear" w:color="auto" w:fill="auto"/>
            <w:noWrap/>
            <w:vAlign w:val="bottom"/>
            <w:hideMark/>
          </w:tcPr>
          <w:p w14:paraId="1D6365CF"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(-1.24, -0.93)</w:t>
            </w:r>
          </w:p>
        </w:tc>
        <w:tc>
          <w:tcPr>
            <w:tcW w:w="1440" w:type="dxa"/>
            <w:tcBorders>
              <w:top w:val="nil"/>
              <w:left w:val="nil"/>
              <w:bottom w:val="nil"/>
              <w:right w:val="nil"/>
            </w:tcBorders>
            <w:shd w:val="clear" w:color="auto" w:fill="auto"/>
            <w:noWrap/>
            <w:vAlign w:val="bottom"/>
            <w:hideMark/>
          </w:tcPr>
          <w:p w14:paraId="0945858D"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(-1.27, -0.94)</w:t>
            </w:r>
          </w:p>
        </w:tc>
      </w:tr>
      <w:tr w:rsidR="00421FE7" w:rsidRPr="00B10360" w14:paraId="6AFF1F04" w14:textId="77777777" w:rsidTr="0087494D">
        <w:trPr>
          <w:cantSplit/>
          <w:trHeight w:hRule="exact" w:val="302"/>
        </w:trPr>
        <w:tc>
          <w:tcPr>
            <w:tcW w:w="1420" w:type="dxa"/>
            <w:vMerge w:val="restart"/>
            <w:tcBorders>
              <w:top w:val="nil"/>
              <w:left w:val="nil"/>
              <w:bottom w:val="nil"/>
              <w:right w:val="nil"/>
            </w:tcBorders>
            <w:shd w:val="clear" w:color="auto" w:fill="auto"/>
            <w:vAlign w:val="bottom"/>
            <w:hideMark/>
          </w:tcPr>
          <w:p w14:paraId="53BE1E08" w14:textId="77777777" w:rsidR="00421FE7" w:rsidRPr="00B10360" w:rsidRDefault="00421FE7" w:rsidP="0068317F">
            <w:pPr>
              <w:jc w:val="right"/>
              <w:rPr>
                <w:rFonts w:ascii="Calibri" w:eastAsia="Times New Roman" w:hAnsi="Calibri" w:cs="Times New Roman"/>
                <w:i/>
                <w:iCs/>
                <w:color w:val="000000"/>
              </w:rPr>
            </w:pPr>
            <w:r w:rsidRPr="00B10360">
              <w:rPr>
                <w:rFonts w:ascii="Calibri" w:eastAsia="Times New Roman" w:hAnsi="Calibri" w:cs="Times New Roman"/>
                <w:i/>
                <w:iCs/>
                <w:color w:val="000000"/>
              </w:rPr>
              <w:t>Age-based Participation</w:t>
            </w:r>
          </w:p>
        </w:tc>
        <w:tc>
          <w:tcPr>
            <w:tcW w:w="1060" w:type="dxa"/>
            <w:vMerge w:val="restart"/>
            <w:tcBorders>
              <w:top w:val="nil"/>
              <w:left w:val="nil"/>
              <w:bottom w:val="nil"/>
              <w:right w:val="nil"/>
            </w:tcBorders>
            <w:shd w:val="clear" w:color="auto" w:fill="auto"/>
            <w:noWrap/>
            <w:vAlign w:val="center"/>
            <w:hideMark/>
          </w:tcPr>
          <w:p w14:paraId="3F92FF69" w14:textId="5D1CD5B0" w:rsidR="00421FE7" w:rsidRPr="0087494D" w:rsidRDefault="00421FE7" w:rsidP="0068317F">
            <w:pPr>
              <w:jc w:val="center"/>
              <w:rPr>
                <w:rFonts w:ascii="Calibri" w:eastAsia="Times New Roman" w:hAnsi="Calibri" w:cs="Times New Roman"/>
                <w:color w:val="000000"/>
                <w:vertAlign w:val="superscript"/>
              </w:rPr>
            </w:pPr>
            <w:r w:rsidRPr="00B10360">
              <w:rPr>
                <w:rFonts w:ascii="Calibri" w:eastAsia="Times New Roman" w:hAnsi="Calibri" w:cs="Times New Roman"/>
                <w:color w:val="000000"/>
              </w:rPr>
              <w:t>12-23 M</w:t>
            </w:r>
          </w:p>
        </w:tc>
        <w:tc>
          <w:tcPr>
            <w:tcW w:w="1405" w:type="dxa"/>
            <w:tcBorders>
              <w:top w:val="nil"/>
              <w:left w:val="nil"/>
              <w:bottom w:val="nil"/>
              <w:right w:val="nil"/>
            </w:tcBorders>
            <w:shd w:val="clear" w:color="auto" w:fill="auto"/>
            <w:noWrap/>
            <w:vAlign w:val="bottom"/>
            <w:hideMark/>
          </w:tcPr>
          <w:p w14:paraId="055D253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61690F5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167F239A"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-0.22</w:t>
            </w:r>
          </w:p>
        </w:tc>
        <w:tc>
          <w:tcPr>
            <w:tcW w:w="1440" w:type="dxa"/>
            <w:tcBorders>
              <w:top w:val="nil"/>
              <w:left w:val="nil"/>
              <w:bottom w:val="nil"/>
              <w:right w:val="nil"/>
            </w:tcBorders>
            <w:shd w:val="clear" w:color="auto" w:fill="auto"/>
            <w:noWrap/>
            <w:vAlign w:val="bottom"/>
            <w:hideMark/>
          </w:tcPr>
          <w:p w14:paraId="268582FE"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-0.2</w:t>
            </w:r>
          </w:p>
        </w:tc>
      </w:tr>
      <w:tr w:rsidR="00421FE7" w:rsidRPr="00B10360" w14:paraId="22126420" w14:textId="77777777" w:rsidTr="0087494D">
        <w:trPr>
          <w:cantSplit/>
          <w:trHeight w:hRule="exact" w:val="302"/>
        </w:trPr>
        <w:tc>
          <w:tcPr>
            <w:tcW w:w="1420" w:type="dxa"/>
            <w:vMerge/>
            <w:tcBorders>
              <w:top w:val="nil"/>
              <w:left w:val="nil"/>
              <w:bottom w:val="nil"/>
              <w:right w:val="nil"/>
            </w:tcBorders>
            <w:vAlign w:val="center"/>
            <w:hideMark/>
          </w:tcPr>
          <w:p w14:paraId="5855C700" w14:textId="77777777" w:rsidR="00421FE7" w:rsidRPr="00B10360" w:rsidRDefault="00421FE7" w:rsidP="0068317F">
            <w:pPr>
              <w:rPr>
                <w:rFonts w:ascii="Calibri" w:eastAsia="Times New Roman" w:hAnsi="Calibri" w:cs="Times New Roman"/>
                <w:i/>
                <w:iCs/>
                <w:color w:val="000000"/>
              </w:rPr>
            </w:pPr>
          </w:p>
        </w:tc>
        <w:tc>
          <w:tcPr>
            <w:tcW w:w="1060" w:type="dxa"/>
            <w:vMerge/>
            <w:tcBorders>
              <w:top w:val="nil"/>
              <w:left w:val="nil"/>
              <w:bottom w:val="nil"/>
              <w:right w:val="nil"/>
            </w:tcBorders>
            <w:vAlign w:val="center"/>
            <w:hideMark/>
          </w:tcPr>
          <w:p w14:paraId="6DC03013"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nil"/>
              <w:right w:val="nil"/>
            </w:tcBorders>
            <w:shd w:val="clear" w:color="auto" w:fill="auto"/>
            <w:noWrap/>
            <w:vAlign w:val="bottom"/>
            <w:hideMark/>
          </w:tcPr>
          <w:p w14:paraId="01014A62"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298F4049"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77A1EA36"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(-0.51, 0.06)</w:t>
            </w:r>
          </w:p>
        </w:tc>
        <w:tc>
          <w:tcPr>
            <w:tcW w:w="1440" w:type="dxa"/>
            <w:tcBorders>
              <w:top w:val="nil"/>
              <w:left w:val="nil"/>
              <w:bottom w:val="nil"/>
              <w:right w:val="nil"/>
            </w:tcBorders>
            <w:shd w:val="clear" w:color="auto" w:fill="auto"/>
            <w:noWrap/>
            <w:vAlign w:val="bottom"/>
            <w:hideMark/>
          </w:tcPr>
          <w:p w14:paraId="19A32014"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(-0.48, 0.07)</w:t>
            </w:r>
          </w:p>
        </w:tc>
      </w:tr>
      <w:tr w:rsidR="00421FE7" w:rsidRPr="00B10360" w14:paraId="202E4F3B"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3697F6B1" w14:textId="77777777" w:rsidR="00421FE7" w:rsidRPr="00B10360" w:rsidRDefault="00421FE7" w:rsidP="0068317F">
            <w:pPr>
              <w:rPr>
                <w:rFonts w:ascii="Calibri" w:eastAsia="Times New Roman" w:hAnsi="Calibri" w:cs="Times New Roman"/>
                <w:color w:val="000000"/>
              </w:rPr>
            </w:pPr>
          </w:p>
        </w:tc>
        <w:tc>
          <w:tcPr>
            <w:tcW w:w="1060" w:type="dxa"/>
            <w:vMerge w:val="restart"/>
            <w:tcBorders>
              <w:top w:val="nil"/>
              <w:left w:val="nil"/>
              <w:bottom w:val="nil"/>
              <w:right w:val="nil"/>
            </w:tcBorders>
            <w:shd w:val="clear" w:color="auto" w:fill="auto"/>
            <w:noWrap/>
            <w:vAlign w:val="center"/>
            <w:hideMark/>
          </w:tcPr>
          <w:p w14:paraId="7EDFC0AF"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24-35 M</w:t>
            </w:r>
          </w:p>
        </w:tc>
        <w:tc>
          <w:tcPr>
            <w:tcW w:w="1405" w:type="dxa"/>
            <w:tcBorders>
              <w:top w:val="nil"/>
              <w:left w:val="nil"/>
              <w:bottom w:val="nil"/>
              <w:right w:val="nil"/>
            </w:tcBorders>
            <w:shd w:val="clear" w:color="auto" w:fill="auto"/>
            <w:noWrap/>
            <w:vAlign w:val="bottom"/>
            <w:hideMark/>
          </w:tcPr>
          <w:p w14:paraId="68EFF85A"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59177B6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74E6B932"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-1.8</w:t>
            </w:r>
          </w:p>
        </w:tc>
        <w:tc>
          <w:tcPr>
            <w:tcW w:w="1440" w:type="dxa"/>
            <w:tcBorders>
              <w:top w:val="nil"/>
              <w:left w:val="nil"/>
              <w:bottom w:val="nil"/>
              <w:right w:val="nil"/>
            </w:tcBorders>
            <w:shd w:val="clear" w:color="auto" w:fill="auto"/>
            <w:noWrap/>
            <w:vAlign w:val="bottom"/>
            <w:hideMark/>
          </w:tcPr>
          <w:p w14:paraId="525BA0A2"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-1.82</w:t>
            </w:r>
          </w:p>
        </w:tc>
      </w:tr>
      <w:tr w:rsidR="00421FE7" w:rsidRPr="00B10360" w14:paraId="57132602"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2BA23EE3" w14:textId="77777777" w:rsidR="00421FE7" w:rsidRPr="00B10360" w:rsidRDefault="00421FE7" w:rsidP="0068317F">
            <w:pPr>
              <w:rPr>
                <w:rFonts w:ascii="Calibri" w:eastAsia="Times New Roman" w:hAnsi="Calibri" w:cs="Times New Roman"/>
                <w:color w:val="000000"/>
              </w:rPr>
            </w:pPr>
          </w:p>
        </w:tc>
        <w:tc>
          <w:tcPr>
            <w:tcW w:w="1060" w:type="dxa"/>
            <w:vMerge/>
            <w:tcBorders>
              <w:top w:val="nil"/>
              <w:left w:val="nil"/>
              <w:bottom w:val="nil"/>
              <w:right w:val="nil"/>
            </w:tcBorders>
            <w:vAlign w:val="center"/>
            <w:hideMark/>
          </w:tcPr>
          <w:p w14:paraId="0A5343A4"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nil"/>
              <w:right w:val="nil"/>
            </w:tcBorders>
            <w:shd w:val="clear" w:color="auto" w:fill="auto"/>
            <w:noWrap/>
            <w:vAlign w:val="bottom"/>
            <w:hideMark/>
          </w:tcPr>
          <w:p w14:paraId="37568E6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0EA18BCA"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667C88B7"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(-2.61, -1.27)</w:t>
            </w:r>
          </w:p>
        </w:tc>
        <w:tc>
          <w:tcPr>
            <w:tcW w:w="1440" w:type="dxa"/>
            <w:tcBorders>
              <w:top w:val="nil"/>
              <w:left w:val="nil"/>
              <w:bottom w:val="nil"/>
              <w:right w:val="nil"/>
            </w:tcBorders>
            <w:shd w:val="clear" w:color="auto" w:fill="auto"/>
            <w:noWrap/>
            <w:vAlign w:val="bottom"/>
            <w:hideMark/>
          </w:tcPr>
          <w:p w14:paraId="5295C77F"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(-2.61, -1.3)</w:t>
            </w:r>
          </w:p>
        </w:tc>
      </w:tr>
      <w:tr w:rsidR="00421FE7" w:rsidRPr="00B10360" w14:paraId="2BB23211"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14A5F086" w14:textId="77777777" w:rsidR="00421FE7" w:rsidRPr="00B10360" w:rsidRDefault="00421FE7" w:rsidP="0068317F">
            <w:pPr>
              <w:rPr>
                <w:rFonts w:ascii="Calibri" w:eastAsia="Times New Roman" w:hAnsi="Calibri" w:cs="Times New Roman"/>
                <w:color w:val="000000"/>
              </w:rPr>
            </w:pPr>
          </w:p>
        </w:tc>
        <w:tc>
          <w:tcPr>
            <w:tcW w:w="1060" w:type="dxa"/>
            <w:vMerge w:val="restart"/>
            <w:tcBorders>
              <w:top w:val="nil"/>
              <w:left w:val="nil"/>
              <w:bottom w:val="nil"/>
              <w:right w:val="nil"/>
            </w:tcBorders>
            <w:shd w:val="clear" w:color="auto" w:fill="auto"/>
            <w:noWrap/>
            <w:vAlign w:val="center"/>
            <w:hideMark/>
          </w:tcPr>
          <w:p w14:paraId="3D08F75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36-47 M</w:t>
            </w:r>
          </w:p>
        </w:tc>
        <w:tc>
          <w:tcPr>
            <w:tcW w:w="1405" w:type="dxa"/>
            <w:tcBorders>
              <w:top w:val="nil"/>
              <w:left w:val="nil"/>
              <w:bottom w:val="nil"/>
              <w:right w:val="nil"/>
            </w:tcBorders>
            <w:shd w:val="clear" w:color="auto" w:fill="auto"/>
            <w:noWrap/>
            <w:vAlign w:val="bottom"/>
            <w:hideMark/>
          </w:tcPr>
          <w:p w14:paraId="1C0549A1"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11E65F7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4DE9E227"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-0.86</w:t>
            </w:r>
          </w:p>
        </w:tc>
        <w:tc>
          <w:tcPr>
            <w:tcW w:w="1440" w:type="dxa"/>
            <w:tcBorders>
              <w:top w:val="nil"/>
              <w:left w:val="nil"/>
              <w:bottom w:val="nil"/>
              <w:right w:val="nil"/>
            </w:tcBorders>
            <w:shd w:val="clear" w:color="auto" w:fill="auto"/>
            <w:noWrap/>
            <w:vAlign w:val="bottom"/>
            <w:hideMark/>
          </w:tcPr>
          <w:p w14:paraId="2095BE4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-0.82</w:t>
            </w:r>
          </w:p>
        </w:tc>
      </w:tr>
      <w:tr w:rsidR="00421FE7" w:rsidRPr="00B10360" w14:paraId="174F33EC"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6E378273" w14:textId="77777777" w:rsidR="00421FE7" w:rsidRPr="00B10360" w:rsidRDefault="00421FE7" w:rsidP="0068317F">
            <w:pPr>
              <w:rPr>
                <w:rFonts w:ascii="Calibri" w:eastAsia="Times New Roman" w:hAnsi="Calibri" w:cs="Times New Roman"/>
                <w:color w:val="000000"/>
              </w:rPr>
            </w:pPr>
          </w:p>
        </w:tc>
        <w:tc>
          <w:tcPr>
            <w:tcW w:w="1060" w:type="dxa"/>
            <w:vMerge/>
            <w:tcBorders>
              <w:top w:val="nil"/>
              <w:left w:val="nil"/>
              <w:bottom w:val="nil"/>
              <w:right w:val="nil"/>
            </w:tcBorders>
            <w:vAlign w:val="center"/>
            <w:hideMark/>
          </w:tcPr>
          <w:p w14:paraId="62947288"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nil"/>
              <w:right w:val="nil"/>
            </w:tcBorders>
            <w:shd w:val="clear" w:color="auto" w:fill="auto"/>
            <w:noWrap/>
            <w:vAlign w:val="bottom"/>
            <w:hideMark/>
          </w:tcPr>
          <w:p w14:paraId="73FAB5E0"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742056D8"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17B0A212"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(-1.26, -0.51)</w:t>
            </w:r>
          </w:p>
        </w:tc>
        <w:tc>
          <w:tcPr>
            <w:tcW w:w="1440" w:type="dxa"/>
            <w:tcBorders>
              <w:top w:val="nil"/>
              <w:left w:val="nil"/>
              <w:bottom w:val="nil"/>
              <w:right w:val="nil"/>
            </w:tcBorders>
            <w:shd w:val="clear" w:color="auto" w:fill="auto"/>
            <w:noWrap/>
            <w:vAlign w:val="bottom"/>
            <w:hideMark/>
          </w:tcPr>
          <w:p w14:paraId="6E463AEB"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(-1.23, -0.48)</w:t>
            </w:r>
          </w:p>
        </w:tc>
      </w:tr>
      <w:tr w:rsidR="00421FE7" w:rsidRPr="00B10360" w14:paraId="563FACE4"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5487A373" w14:textId="77777777" w:rsidR="00421FE7" w:rsidRPr="00B10360" w:rsidRDefault="00421FE7" w:rsidP="0068317F">
            <w:pPr>
              <w:rPr>
                <w:rFonts w:ascii="Calibri" w:eastAsia="Times New Roman" w:hAnsi="Calibri" w:cs="Times New Roman"/>
                <w:color w:val="000000"/>
              </w:rPr>
            </w:pPr>
          </w:p>
        </w:tc>
        <w:tc>
          <w:tcPr>
            <w:tcW w:w="1060" w:type="dxa"/>
            <w:vMerge w:val="restart"/>
            <w:tcBorders>
              <w:top w:val="nil"/>
              <w:left w:val="nil"/>
              <w:bottom w:val="nil"/>
              <w:right w:val="nil"/>
            </w:tcBorders>
            <w:shd w:val="clear" w:color="auto" w:fill="auto"/>
            <w:noWrap/>
            <w:vAlign w:val="center"/>
            <w:hideMark/>
          </w:tcPr>
          <w:p w14:paraId="72964DE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48-59 M</w:t>
            </w:r>
          </w:p>
        </w:tc>
        <w:tc>
          <w:tcPr>
            <w:tcW w:w="1405" w:type="dxa"/>
            <w:tcBorders>
              <w:top w:val="nil"/>
              <w:left w:val="nil"/>
              <w:bottom w:val="nil"/>
              <w:right w:val="nil"/>
            </w:tcBorders>
            <w:shd w:val="clear" w:color="auto" w:fill="auto"/>
            <w:noWrap/>
            <w:vAlign w:val="bottom"/>
            <w:hideMark/>
          </w:tcPr>
          <w:p w14:paraId="0B36F8E0"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56F6632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45465E01"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-1.13</w:t>
            </w:r>
          </w:p>
        </w:tc>
        <w:tc>
          <w:tcPr>
            <w:tcW w:w="1440" w:type="dxa"/>
            <w:tcBorders>
              <w:top w:val="nil"/>
              <w:left w:val="nil"/>
              <w:bottom w:val="nil"/>
              <w:right w:val="nil"/>
            </w:tcBorders>
            <w:shd w:val="clear" w:color="auto" w:fill="auto"/>
            <w:noWrap/>
            <w:vAlign w:val="bottom"/>
            <w:hideMark/>
          </w:tcPr>
          <w:p w14:paraId="379124DB"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-1.04</w:t>
            </w:r>
          </w:p>
        </w:tc>
      </w:tr>
      <w:tr w:rsidR="00421FE7" w:rsidRPr="00B10360" w14:paraId="361E62A3"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63D87DAB" w14:textId="77777777" w:rsidR="00421FE7" w:rsidRPr="00B10360" w:rsidRDefault="00421FE7" w:rsidP="0068317F">
            <w:pPr>
              <w:rPr>
                <w:rFonts w:ascii="Calibri" w:eastAsia="Times New Roman" w:hAnsi="Calibri" w:cs="Times New Roman"/>
                <w:color w:val="000000"/>
              </w:rPr>
            </w:pPr>
          </w:p>
        </w:tc>
        <w:tc>
          <w:tcPr>
            <w:tcW w:w="1060" w:type="dxa"/>
            <w:vMerge/>
            <w:tcBorders>
              <w:top w:val="nil"/>
              <w:left w:val="nil"/>
              <w:bottom w:val="nil"/>
              <w:right w:val="nil"/>
            </w:tcBorders>
            <w:vAlign w:val="center"/>
            <w:hideMark/>
          </w:tcPr>
          <w:p w14:paraId="0359F6F8"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nil"/>
              <w:right w:val="nil"/>
            </w:tcBorders>
            <w:shd w:val="clear" w:color="auto" w:fill="auto"/>
            <w:noWrap/>
            <w:vAlign w:val="bottom"/>
            <w:hideMark/>
          </w:tcPr>
          <w:p w14:paraId="2D64468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7AF1CED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2998808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(-2.01, -0.45)</w:t>
            </w:r>
          </w:p>
        </w:tc>
        <w:tc>
          <w:tcPr>
            <w:tcW w:w="1440" w:type="dxa"/>
            <w:tcBorders>
              <w:top w:val="nil"/>
              <w:left w:val="nil"/>
              <w:bottom w:val="nil"/>
              <w:right w:val="nil"/>
            </w:tcBorders>
            <w:shd w:val="clear" w:color="auto" w:fill="auto"/>
            <w:noWrap/>
            <w:vAlign w:val="bottom"/>
            <w:hideMark/>
          </w:tcPr>
          <w:p w14:paraId="5A883321"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(-1.95, -0.41)</w:t>
            </w:r>
          </w:p>
        </w:tc>
      </w:tr>
      <w:tr w:rsidR="00421FE7" w:rsidRPr="00B10360" w14:paraId="655A63DE" w14:textId="77777777" w:rsidTr="0087494D">
        <w:trPr>
          <w:cantSplit/>
          <w:trHeight w:hRule="exact" w:val="302"/>
        </w:trPr>
        <w:tc>
          <w:tcPr>
            <w:tcW w:w="1420" w:type="dxa"/>
            <w:vMerge w:val="restart"/>
            <w:tcBorders>
              <w:top w:val="single" w:sz="4" w:space="0" w:color="auto"/>
              <w:left w:val="nil"/>
              <w:bottom w:val="nil"/>
              <w:right w:val="nil"/>
            </w:tcBorders>
            <w:shd w:val="clear" w:color="auto" w:fill="auto"/>
            <w:hideMark/>
          </w:tcPr>
          <w:p w14:paraId="46BAE566" w14:textId="77777777" w:rsidR="00421FE7" w:rsidRPr="00B10360" w:rsidRDefault="00421FE7" w:rsidP="0068317F">
            <w:pPr>
              <w:rPr>
                <w:rFonts w:ascii="Calibri" w:eastAsia="Times New Roman" w:hAnsi="Calibri" w:cs="Times New Roman"/>
                <w:b/>
                <w:bCs/>
                <w:color w:val="000000"/>
              </w:rPr>
            </w:pPr>
            <w:r w:rsidRPr="00B10360">
              <w:rPr>
                <w:rFonts w:ascii="Calibri" w:eastAsia="Times New Roman" w:hAnsi="Calibri" w:cs="Times New Roman"/>
                <w:b/>
                <w:bCs/>
                <w:color w:val="000000"/>
              </w:rPr>
              <w:t>Random Effects</w:t>
            </w:r>
          </w:p>
        </w:tc>
        <w:tc>
          <w:tcPr>
            <w:tcW w:w="1060" w:type="dxa"/>
            <w:vMerge w:val="restart"/>
            <w:tcBorders>
              <w:top w:val="single" w:sz="4" w:space="0" w:color="auto"/>
              <w:left w:val="nil"/>
              <w:bottom w:val="nil"/>
              <w:right w:val="nil"/>
            </w:tcBorders>
            <w:shd w:val="clear" w:color="auto" w:fill="auto"/>
            <w:noWrap/>
            <w:vAlign w:val="center"/>
            <w:hideMark/>
          </w:tcPr>
          <w:p w14:paraId="0AFF6043" w14:textId="3FE36035" w:rsidR="00421FE7" w:rsidRPr="0087494D" w:rsidRDefault="00A97DC8" w:rsidP="008D4FD4">
            <w:pPr>
              <w:jc w:val="center"/>
              <w:rPr>
                <w:rFonts w:ascii="Calibri" w:eastAsia="Times New Roman" w:hAnsi="Calibri" w:cs="Times New Roman"/>
                <w:color w:val="000000"/>
                <w:vertAlign w:val="superscript"/>
              </w:rPr>
            </w:pPr>
            <m:oMathPara>
              <m:oMath>
                <m:sSup>
                  <m:sSupPr>
                    <m:ctrlPr>
                      <w:rPr>
                        <w:rFonts w:ascii="Cambria Math" w:eastAsia="Times New Roman" w:hAnsi="Cambria Math" w:cs="Times New Roman"/>
                        <w:i/>
                        <w:color w:val="000000"/>
                        <w:vertAlign w:val="superscript"/>
                      </w:rPr>
                    </m:ctrlPr>
                  </m:sSupPr>
                  <m:e>
                    <m:r>
                      <w:rPr>
                        <w:rFonts w:ascii="Cambria Math" w:eastAsia="Times New Roman" w:hAnsi="Cambria Math" w:cs="Times New Roman"/>
                        <w:color w:val="000000"/>
                        <w:vertAlign w:val="superscript"/>
                      </w:rPr>
                      <m:t>σ</m:t>
                    </m:r>
                  </m:e>
                  <m:sup>
                    <m:r>
                      <w:rPr>
                        <w:rFonts w:ascii="Cambria Math" w:eastAsia="Times New Roman" w:hAnsi="Cambria Math" w:cs="Times New Roman"/>
                        <w:color w:val="000000"/>
                        <w:vertAlign w:val="superscript"/>
                      </w:rPr>
                      <m:t>2</m:t>
                    </m:r>
                  </m:sup>
                </m:sSup>
              </m:oMath>
            </m:oMathPara>
          </w:p>
        </w:tc>
        <w:tc>
          <w:tcPr>
            <w:tcW w:w="1405" w:type="dxa"/>
            <w:tcBorders>
              <w:top w:val="single" w:sz="4" w:space="0" w:color="auto"/>
              <w:left w:val="nil"/>
              <w:bottom w:val="nil"/>
              <w:right w:val="nil"/>
            </w:tcBorders>
            <w:shd w:val="clear" w:color="auto" w:fill="auto"/>
            <w:noWrap/>
            <w:vAlign w:val="bottom"/>
            <w:hideMark/>
          </w:tcPr>
          <w:p w14:paraId="021C9487"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0.23</w:t>
            </w:r>
          </w:p>
        </w:tc>
        <w:tc>
          <w:tcPr>
            <w:tcW w:w="1530" w:type="dxa"/>
            <w:tcBorders>
              <w:top w:val="single" w:sz="4" w:space="0" w:color="auto"/>
              <w:left w:val="nil"/>
              <w:bottom w:val="nil"/>
              <w:right w:val="nil"/>
            </w:tcBorders>
            <w:shd w:val="clear" w:color="auto" w:fill="auto"/>
            <w:noWrap/>
            <w:vAlign w:val="bottom"/>
            <w:hideMark/>
          </w:tcPr>
          <w:p w14:paraId="1D7ABCA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0.19</w:t>
            </w:r>
          </w:p>
        </w:tc>
        <w:tc>
          <w:tcPr>
            <w:tcW w:w="1530" w:type="dxa"/>
            <w:tcBorders>
              <w:top w:val="single" w:sz="4" w:space="0" w:color="auto"/>
              <w:left w:val="nil"/>
              <w:bottom w:val="nil"/>
              <w:right w:val="nil"/>
            </w:tcBorders>
            <w:shd w:val="clear" w:color="auto" w:fill="auto"/>
            <w:noWrap/>
            <w:vAlign w:val="bottom"/>
            <w:hideMark/>
          </w:tcPr>
          <w:p w14:paraId="08A37889"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0.21</w:t>
            </w:r>
          </w:p>
        </w:tc>
        <w:tc>
          <w:tcPr>
            <w:tcW w:w="1440" w:type="dxa"/>
            <w:tcBorders>
              <w:top w:val="single" w:sz="4" w:space="0" w:color="auto"/>
              <w:left w:val="nil"/>
              <w:bottom w:val="nil"/>
              <w:right w:val="nil"/>
            </w:tcBorders>
            <w:shd w:val="clear" w:color="auto" w:fill="auto"/>
            <w:noWrap/>
            <w:vAlign w:val="bottom"/>
            <w:hideMark/>
          </w:tcPr>
          <w:p w14:paraId="0253D68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0.19</w:t>
            </w:r>
          </w:p>
        </w:tc>
      </w:tr>
      <w:tr w:rsidR="00421FE7" w:rsidRPr="00B10360" w14:paraId="1B95CBB3" w14:textId="77777777" w:rsidTr="0087494D">
        <w:trPr>
          <w:cantSplit/>
          <w:trHeight w:hRule="exact" w:val="302"/>
        </w:trPr>
        <w:tc>
          <w:tcPr>
            <w:tcW w:w="1420" w:type="dxa"/>
            <w:vMerge/>
            <w:tcBorders>
              <w:top w:val="single" w:sz="4" w:space="0" w:color="auto"/>
              <w:left w:val="nil"/>
              <w:bottom w:val="nil"/>
              <w:right w:val="nil"/>
            </w:tcBorders>
            <w:vAlign w:val="center"/>
            <w:hideMark/>
          </w:tcPr>
          <w:p w14:paraId="57B61F87" w14:textId="77777777" w:rsidR="00421FE7" w:rsidRPr="00B10360" w:rsidRDefault="00421FE7" w:rsidP="0068317F">
            <w:pPr>
              <w:rPr>
                <w:rFonts w:ascii="Calibri" w:eastAsia="Times New Roman" w:hAnsi="Calibri" w:cs="Times New Roman"/>
                <w:b/>
                <w:bCs/>
                <w:color w:val="000000"/>
              </w:rPr>
            </w:pPr>
          </w:p>
        </w:tc>
        <w:tc>
          <w:tcPr>
            <w:tcW w:w="1060" w:type="dxa"/>
            <w:vMerge/>
            <w:tcBorders>
              <w:top w:val="single" w:sz="4" w:space="0" w:color="auto"/>
              <w:left w:val="nil"/>
              <w:bottom w:val="nil"/>
              <w:right w:val="nil"/>
            </w:tcBorders>
            <w:vAlign w:val="center"/>
            <w:hideMark/>
          </w:tcPr>
          <w:p w14:paraId="00E473C2"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nil"/>
              <w:right w:val="nil"/>
            </w:tcBorders>
            <w:shd w:val="clear" w:color="auto" w:fill="auto"/>
            <w:noWrap/>
            <w:vAlign w:val="bottom"/>
            <w:hideMark/>
          </w:tcPr>
          <w:p w14:paraId="57399AAA"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(0.17, 0.3)</w:t>
            </w:r>
          </w:p>
        </w:tc>
        <w:tc>
          <w:tcPr>
            <w:tcW w:w="1530" w:type="dxa"/>
            <w:tcBorders>
              <w:top w:val="nil"/>
              <w:left w:val="nil"/>
              <w:bottom w:val="nil"/>
              <w:right w:val="nil"/>
            </w:tcBorders>
            <w:shd w:val="clear" w:color="auto" w:fill="auto"/>
            <w:noWrap/>
            <w:vAlign w:val="bottom"/>
            <w:hideMark/>
          </w:tcPr>
          <w:p w14:paraId="57EF46A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(0.02, 0.28)</w:t>
            </w:r>
          </w:p>
        </w:tc>
        <w:tc>
          <w:tcPr>
            <w:tcW w:w="1530" w:type="dxa"/>
            <w:tcBorders>
              <w:top w:val="nil"/>
              <w:left w:val="nil"/>
              <w:bottom w:val="nil"/>
              <w:right w:val="nil"/>
            </w:tcBorders>
            <w:shd w:val="clear" w:color="auto" w:fill="auto"/>
            <w:noWrap/>
            <w:vAlign w:val="bottom"/>
            <w:hideMark/>
          </w:tcPr>
          <w:p w14:paraId="117619E9"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(0.15, 0.29)</w:t>
            </w:r>
          </w:p>
        </w:tc>
        <w:tc>
          <w:tcPr>
            <w:tcW w:w="1440" w:type="dxa"/>
            <w:tcBorders>
              <w:top w:val="nil"/>
              <w:left w:val="nil"/>
              <w:bottom w:val="nil"/>
              <w:right w:val="nil"/>
            </w:tcBorders>
            <w:shd w:val="clear" w:color="auto" w:fill="auto"/>
            <w:noWrap/>
            <w:vAlign w:val="bottom"/>
            <w:hideMark/>
          </w:tcPr>
          <w:p w14:paraId="7ACCBDAF"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(0.13, 0.27)</w:t>
            </w:r>
          </w:p>
        </w:tc>
      </w:tr>
      <w:tr w:rsidR="00421FE7" w:rsidRPr="00B10360" w14:paraId="4CEFE491"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5CB465DF" w14:textId="77777777" w:rsidR="00421FE7" w:rsidRPr="00B10360" w:rsidRDefault="00421FE7" w:rsidP="0068317F">
            <w:pPr>
              <w:rPr>
                <w:rFonts w:ascii="Calibri" w:eastAsia="Times New Roman" w:hAnsi="Calibri" w:cs="Times New Roman"/>
                <w:color w:val="000000"/>
              </w:rPr>
            </w:pPr>
          </w:p>
        </w:tc>
        <w:tc>
          <w:tcPr>
            <w:tcW w:w="1060" w:type="dxa"/>
            <w:vMerge w:val="restart"/>
            <w:tcBorders>
              <w:top w:val="nil"/>
              <w:left w:val="nil"/>
              <w:bottom w:val="nil"/>
              <w:right w:val="nil"/>
            </w:tcBorders>
            <w:shd w:val="clear" w:color="auto" w:fill="auto"/>
            <w:noWrap/>
            <w:vAlign w:val="center"/>
            <w:hideMark/>
          </w:tcPr>
          <w:p w14:paraId="0FB4FFAB" w14:textId="48C74CB5" w:rsidR="00421FE7" w:rsidRPr="0087494D" w:rsidRDefault="00A97DC8" w:rsidP="008D4FD4">
            <w:pPr>
              <w:jc w:val="center"/>
              <w:rPr>
                <w:rFonts w:ascii="Calibri" w:eastAsia="Times New Roman" w:hAnsi="Calibri" w:cs="Times New Roman"/>
                <w:color w:val="000000"/>
                <w:vertAlign w:val="superscript"/>
              </w:rPr>
            </w:pPr>
            <m:oMath>
              <m:sSubSup>
                <m:sSubSupPr>
                  <m:ctrlPr>
                    <w:rPr>
                      <w:rFonts w:ascii="Cambria Math" w:eastAsia="Times New Roman" w:hAnsi="Cambria Math" w:cs="Times New Roman"/>
                      <w:i/>
                      <w:color w:val="000000"/>
                      <w:vertAlign w:val="superscript"/>
                    </w:rPr>
                  </m:ctrlPr>
                </m:sSubSupPr>
                <m:e>
                  <m:r>
                    <w:rPr>
                      <w:rFonts w:ascii="Cambria Math" w:eastAsia="Times New Roman" w:hAnsi="Cambria Math" w:cs="Times New Roman"/>
                      <w:color w:val="000000"/>
                      <w:vertAlign w:val="superscript"/>
                    </w:rPr>
                    <m:t>σ</m:t>
                  </m:r>
                </m:e>
                <m:sub>
                  <m:r>
                    <w:rPr>
                      <w:rFonts w:ascii="Cambria Math" w:eastAsia="Times New Roman" w:hAnsi="Cambria Math" w:cs="Times New Roman"/>
                      <w:color w:val="000000"/>
                      <w:vertAlign w:val="superscript"/>
                    </w:rPr>
                    <m:t>u</m:t>
                  </m:r>
                </m:sub>
                <m:sup>
                  <m:r>
                    <w:rPr>
                      <w:rFonts w:ascii="Cambria Math" w:eastAsia="Times New Roman" w:hAnsi="Cambria Math" w:cs="Times New Roman"/>
                      <w:color w:val="000000"/>
                      <w:vertAlign w:val="superscript"/>
                    </w:rPr>
                    <m:t>2</m:t>
                  </m:r>
                </m:sup>
              </m:sSubSup>
              <m:r>
                <w:rPr>
                  <w:rFonts w:ascii="Cambria Math" w:eastAsia="Times New Roman" w:hAnsi="Cambria Math" w:cs="Times New Roman"/>
                  <w:color w:val="000000"/>
                  <w:vertAlign w:val="superscript"/>
                </w:rPr>
                <m:t xml:space="preserve"> </m:t>
              </m:r>
            </m:oMath>
            <w:r w:rsidR="008D4FD4">
              <w:rPr>
                <w:rFonts w:ascii="Calibri" w:eastAsia="Times New Roman" w:hAnsi="Calibri" w:cs="Times New Roman"/>
                <w:color w:val="000000"/>
                <w:vertAlign w:val="superscript"/>
              </w:rPr>
              <w:t xml:space="preserve"> </w:t>
            </w:r>
          </w:p>
        </w:tc>
        <w:tc>
          <w:tcPr>
            <w:tcW w:w="1405" w:type="dxa"/>
            <w:tcBorders>
              <w:top w:val="nil"/>
              <w:left w:val="nil"/>
              <w:bottom w:val="nil"/>
              <w:right w:val="nil"/>
            </w:tcBorders>
            <w:shd w:val="clear" w:color="auto" w:fill="auto"/>
            <w:noWrap/>
            <w:vAlign w:val="bottom"/>
            <w:hideMark/>
          </w:tcPr>
          <w:p w14:paraId="2DC10CED"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0.3</w:t>
            </w:r>
          </w:p>
        </w:tc>
        <w:tc>
          <w:tcPr>
            <w:tcW w:w="1530" w:type="dxa"/>
            <w:tcBorders>
              <w:top w:val="nil"/>
              <w:left w:val="nil"/>
              <w:bottom w:val="nil"/>
              <w:right w:val="nil"/>
            </w:tcBorders>
            <w:shd w:val="clear" w:color="auto" w:fill="auto"/>
            <w:noWrap/>
            <w:vAlign w:val="bottom"/>
            <w:hideMark/>
          </w:tcPr>
          <w:p w14:paraId="6219B6B7"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0.32</w:t>
            </w:r>
          </w:p>
        </w:tc>
        <w:tc>
          <w:tcPr>
            <w:tcW w:w="1530" w:type="dxa"/>
            <w:tcBorders>
              <w:top w:val="nil"/>
              <w:left w:val="nil"/>
              <w:bottom w:val="nil"/>
              <w:right w:val="nil"/>
            </w:tcBorders>
            <w:shd w:val="clear" w:color="auto" w:fill="auto"/>
            <w:noWrap/>
            <w:vAlign w:val="bottom"/>
            <w:hideMark/>
          </w:tcPr>
          <w:p w14:paraId="0F83636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0.29</w:t>
            </w:r>
          </w:p>
        </w:tc>
        <w:tc>
          <w:tcPr>
            <w:tcW w:w="1440" w:type="dxa"/>
            <w:tcBorders>
              <w:top w:val="nil"/>
              <w:left w:val="nil"/>
              <w:bottom w:val="nil"/>
              <w:right w:val="nil"/>
            </w:tcBorders>
            <w:shd w:val="clear" w:color="auto" w:fill="auto"/>
            <w:noWrap/>
            <w:vAlign w:val="bottom"/>
            <w:hideMark/>
          </w:tcPr>
          <w:p w14:paraId="3E89F10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0.3</w:t>
            </w:r>
          </w:p>
        </w:tc>
      </w:tr>
      <w:tr w:rsidR="00421FE7" w:rsidRPr="00B10360" w14:paraId="658F6B15"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2A207EC5" w14:textId="77777777" w:rsidR="00421FE7" w:rsidRPr="00B10360" w:rsidRDefault="00421FE7" w:rsidP="0068317F">
            <w:pPr>
              <w:rPr>
                <w:rFonts w:ascii="Calibri" w:eastAsia="Times New Roman" w:hAnsi="Calibri" w:cs="Times New Roman"/>
                <w:color w:val="000000"/>
              </w:rPr>
            </w:pPr>
          </w:p>
        </w:tc>
        <w:tc>
          <w:tcPr>
            <w:tcW w:w="1060" w:type="dxa"/>
            <w:vMerge/>
            <w:tcBorders>
              <w:top w:val="nil"/>
              <w:left w:val="nil"/>
              <w:bottom w:val="nil"/>
              <w:right w:val="nil"/>
            </w:tcBorders>
            <w:vAlign w:val="center"/>
            <w:hideMark/>
          </w:tcPr>
          <w:p w14:paraId="3BAC1B37"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nil"/>
              <w:right w:val="nil"/>
            </w:tcBorders>
            <w:shd w:val="clear" w:color="auto" w:fill="auto"/>
            <w:noWrap/>
            <w:vAlign w:val="bottom"/>
            <w:hideMark/>
          </w:tcPr>
          <w:p w14:paraId="549CEA0A"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(0.07, 0.88)</w:t>
            </w:r>
          </w:p>
        </w:tc>
        <w:tc>
          <w:tcPr>
            <w:tcW w:w="1530" w:type="dxa"/>
            <w:tcBorders>
              <w:top w:val="nil"/>
              <w:left w:val="nil"/>
              <w:bottom w:val="nil"/>
              <w:right w:val="nil"/>
            </w:tcBorders>
            <w:shd w:val="clear" w:color="auto" w:fill="auto"/>
            <w:noWrap/>
            <w:vAlign w:val="bottom"/>
            <w:hideMark/>
          </w:tcPr>
          <w:p w14:paraId="22CB7267"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(0.08, 0.99)</w:t>
            </w:r>
          </w:p>
        </w:tc>
        <w:tc>
          <w:tcPr>
            <w:tcW w:w="1530" w:type="dxa"/>
            <w:tcBorders>
              <w:top w:val="nil"/>
              <w:left w:val="nil"/>
              <w:bottom w:val="nil"/>
              <w:right w:val="nil"/>
            </w:tcBorders>
            <w:shd w:val="clear" w:color="auto" w:fill="auto"/>
            <w:noWrap/>
            <w:vAlign w:val="bottom"/>
            <w:hideMark/>
          </w:tcPr>
          <w:p w14:paraId="71F09B0D"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(0.08, 0.82)</w:t>
            </w:r>
          </w:p>
        </w:tc>
        <w:tc>
          <w:tcPr>
            <w:tcW w:w="1440" w:type="dxa"/>
            <w:tcBorders>
              <w:top w:val="nil"/>
              <w:left w:val="nil"/>
              <w:bottom w:val="nil"/>
              <w:right w:val="nil"/>
            </w:tcBorders>
            <w:shd w:val="clear" w:color="auto" w:fill="auto"/>
            <w:noWrap/>
            <w:vAlign w:val="bottom"/>
            <w:hideMark/>
          </w:tcPr>
          <w:p w14:paraId="3679466C"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(0.08, 0.88)</w:t>
            </w:r>
          </w:p>
        </w:tc>
      </w:tr>
      <w:tr w:rsidR="00421FE7" w:rsidRPr="00B10360" w14:paraId="1F27BB45" w14:textId="77777777" w:rsidTr="0087494D">
        <w:trPr>
          <w:cantSplit/>
          <w:trHeight w:hRule="exact" w:val="302"/>
        </w:trPr>
        <w:tc>
          <w:tcPr>
            <w:tcW w:w="1420" w:type="dxa"/>
            <w:tcBorders>
              <w:top w:val="nil"/>
              <w:left w:val="nil"/>
              <w:bottom w:val="nil"/>
              <w:right w:val="nil"/>
            </w:tcBorders>
            <w:shd w:val="clear" w:color="auto" w:fill="auto"/>
            <w:noWrap/>
            <w:vAlign w:val="bottom"/>
            <w:hideMark/>
          </w:tcPr>
          <w:p w14:paraId="4A0BFA44" w14:textId="77777777" w:rsidR="00421FE7" w:rsidRPr="00B10360" w:rsidRDefault="00421FE7" w:rsidP="0068317F">
            <w:pPr>
              <w:rPr>
                <w:rFonts w:ascii="Calibri" w:eastAsia="Times New Roman" w:hAnsi="Calibri" w:cs="Times New Roman"/>
                <w:color w:val="000000"/>
              </w:rPr>
            </w:pPr>
          </w:p>
        </w:tc>
        <w:tc>
          <w:tcPr>
            <w:tcW w:w="1060" w:type="dxa"/>
            <w:vMerge w:val="restart"/>
            <w:tcBorders>
              <w:top w:val="nil"/>
              <w:left w:val="nil"/>
              <w:bottom w:val="nil"/>
              <w:right w:val="nil"/>
            </w:tcBorders>
            <w:shd w:val="clear" w:color="auto" w:fill="auto"/>
            <w:noWrap/>
            <w:vAlign w:val="center"/>
            <w:hideMark/>
          </w:tcPr>
          <w:p w14:paraId="488CE349" w14:textId="65FE99D1" w:rsidR="00421FE7" w:rsidRPr="0087494D" w:rsidRDefault="00A97DC8" w:rsidP="008D4FD4">
            <w:pPr>
              <w:jc w:val="center"/>
              <w:rPr>
                <w:rFonts w:ascii="Calibri" w:eastAsia="Times New Roman" w:hAnsi="Calibri" w:cs="Times New Roman"/>
                <w:color w:val="000000"/>
                <w:vertAlign w:val="superscript"/>
              </w:rPr>
            </w:pPr>
            <m:oMathPara>
              <m:oMath>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σ</m:t>
                    </m:r>
                  </m:e>
                  <m:sub>
                    <m:r>
                      <w:rPr>
                        <w:rFonts w:ascii="Cambria Math" w:eastAsia="Times New Roman" w:hAnsi="Cambria Math" w:cs="Times New Roman"/>
                        <w:color w:val="000000"/>
                      </w:rPr>
                      <m:t>v</m:t>
                    </m:r>
                  </m:sub>
                  <m:sup>
                    <m:r>
                      <w:rPr>
                        <w:rFonts w:ascii="Cambria Math" w:eastAsia="Times New Roman" w:hAnsi="Cambria Math" w:cs="Times New Roman"/>
                        <w:color w:val="000000"/>
                      </w:rPr>
                      <m:t>2</m:t>
                    </m:r>
                  </m:sup>
                </m:sSubSup>
              </m:oMath>
            </m:oMathPara>
          </w:p>
        </w:tc>
        <w:tc>
          <w:tcPr>
            <w:tcW w:w="1405" w:type="dxa"/>
            <w:tcBorders>
              <w:top w:val="nil"/>
              <w:left w:val="nil"/>
              <w:bottom w:val="nil"/>
              <w:right w:val="nil"/>
            </w:tcBorders>
            <w:shd w:val="clear" w:color="auto" w:fill="auto"/>
            <w:noWrap/>
            <w:vAlign w:val="bottom"/>
            <w:hideMark/>
          </w:tcPr>
          <w:p w14:paraId="5FF84687"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nil"/>
              <w:right w:val="nil"/>
            </w:tcBorders>
            <w:shd w:val="clear" w:color="auto" w:fill="auto"/>
            <w:noWrap/>
            <w:vAlign w:val="bottom"/>
            <w:hideMark/>
          </w:tcPr>
          <w:p w14:paraId="52B68F2B"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0.08</w:t>
            </w:r>
          </w:p>
        </w:tc>
        <w:tc>
          <w:tcPr>
            <w:tcW w:w="1530" w:type="dxa"/>
            <w:tcBorders>
              <w:top w:val="nil"/>
              <w:left w:val="nil"/>
              <w:bottom w:val="nil"/>
              <w:right w:val="nil"/>
            </w:tcBorders>
            <w:shd w:val="clear" w:color="auto" w:fill="auto"/>
            <w:noWrap/>
            <w:vAlign w:val="bottom"/>
            <w:hideMark/>
          </w:tcPr>
          <w:p w14:paraId="409F5490"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440" w:type="dxa"/>
            <w:tcBorders>
              <w:top w:val="nil"/>
              <w:left w:val="nil"/>
              <w:bottom w:val="nil"/>
              <w:right w:val="nil"/>
            </w:tcBorders>
            <w:shd w:val="clear" w:color="auto" w:fill="auto"/>
            <w:noWrap/>
            <w:vAlign w:val="bottom"/>
            <w:hideMark/>
          </w:tcPr>
          <w:p w14:paraId="3B7C006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0.06</w:t>
            </w:r>
          </w:p>
        </w:tc>
      </w:tr>
      <w:tr w:rsidR="00421FE7" w:rsidRPr="00B10360" w14:paraId="68D08489" w14:textId="77777777" w:rsidTr="0087494D">
        <w:trPr>
          <w:cantSplit/>
          <w:trHeight w:hRule="exact" w:val="302"/>
        </w:trPr>
        <w:tc>
          <w:tcPr>
            <w:tcW w:w="1420" w:type="dxa"/>
            <w:tcBorders>
              <w:top w:val="nil"/>
              <w:left w:val="nil"/>
              <w:bottom w:val="single" w:sz="4" w:space="0" w:color="auto"/>
              <w:right w:val="nil"/>
            </w:tcBorders>
            <w:shd w:val="clear" w:color="auto" w:fill="auto"/>
            <w:noWrap/>
            <w:vAlign w:val="bottom"/>
            <w:hideMark/>
          </w:tcPr>
          <w:p w14:paraId="52480FB8" w14:textId="77777777" w:rsidR="00421FE7" w:rsidRPr="00B10360" w:rsidRDefault="00421FE7" w:rsidP="0068317F">
            <w:pPr>
              <w:rPr>
                <w:rFonts w:ascii="Calibri" w:eastAsia="Times New Roman" w:hAnsi="Calibri" w:cs="Times New Roman"/>
                <w:color w:val="000000"/>
              </w:rPr>
            </w:pPr>
          </w:p>
        </w:tc>
        <w:tc>
          <w:tcPr>
            <w:tcW w:w="1060" w:type="dxa"/>
            <w:vMerge/>
            <w:tcBorders>
              <w:top w:val="nil"/>
              <w:left w:val="nil"/>
              <w:bottom w:val="single" w:sz="4" w:space="0" w:color="auto"/>
              <w:right w:val="nil"/>
            </w:tcBorders>
            <w:vAlign w:val="center"/>
            <w:hideMark/>
          </w:tcPr>
          <w:p w14:paraId="318FF4E4" w14:textId="77777777" w:rsidR="00421FE7" w:rsidRPr="00B10360" w:rsidRDefault="00421FE7" w:rsidP="0068317F">
            <w:pPr>
              <w:rPr>
                <w:rFonts w:ascii="Calibri" w:eastAsia="Times New Roman" w:hAnsi="Calibri" w:cs="Times New Roman"/>
                <w:color w:val="000000"/>
              </w:rPr>
            </w:pPr>
          </w:p>
        </w:tc>
        <w:tc>
          <w:tcPr>
            <w:tcW w:w="1405" w:type="dxa"/>
            <w:tcBorders>
              <w:top w:val="nil"/>
              <w:left w:val="nil"/>
              <w:bottom w:val="single" w:sz="4" w:space="0" w:color="auto"/>
              <w:right w:val="nil"/>
            </w:tcBorders>
            <w:shd w:val="clear" w:color="auto" w:fill="auto"/>
            <w:noWrap/>
            <w:vAlign w:val="bottom"/>
            <w:hideMark/>
          </w:tcPr>
          <w:p w14:paraId="7AB289A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530" w:type="dxa"/>
            <w:tcBorders>
              <w:top w:val="nil"/>
              <w:left w:val="nil"/>
              <w:bottom w:val="single" w:sz="4" w:space="0" w:color="auto"/>
              <w:right w:val="nil"/>
            </w:tcBorders>
            <w:shd w:val="clear" w:color="auto" w:fill="auto"/>
            <w:noWrap/>
            <w:vAlign w:val="bottom"/>
            <w:hideMark/>
          </w:tcPr>
          <w:p w14:paraId="2E576F56"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(0.04, 0.13)</w:t>
            </w:r>
          </w:p>
        </w:tc>
        <w:tc>
          <w:tcPr>
            <w:tcW w:w="1530" w:type="dxa"/>
            <w:tcBorders>
              <w:top w:val="nil"/>
              <w:left w:val="nil"/>
              <w:bottom w:val="single" w:sz="4" w:space="0" w:color="auto"/>
              <w:right w:val="nil"/>
            </w:tcBorders>
            <w:shd w:val="clear" w:color="auto" w:fill="auto"/>
            <w:noWrap/>
            <w:vAlign w:val="bottom"/>
            <w:hideMark/>
          </w:tcPr>
          <w:p w14:paraId="6B56FB66"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w:t>
            </w:r>
          </w:p>
        </w:tc>
        <w:tc>
          <w:tcPr>
            <w:tcW w:w="1440" w:type="dxa"/>
            <w:tcBorders>
              <w:top w:val="nil"/>
              <w:left w:val="nil"/>
              <w:bottom w:val="single" w:sz="4" w:space="0" w:color="auto"/>
              <w:right w:val="nil"/>
            </w:tcBorders>
            <w:shd w:val="clear" w:color="auto" w:fill="auto"/>
            <w:noWrap/>
            <w:vAlign w:val="bottom"/>
            <w:hideMark/>
          </w:tcPr>
          <w:p w14:paraId="02F76B00"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(0.03, 0.11)</w:t>
            </w:r>
          </w:p>
        </w:tc>
      </w:tr>
      <w:tr w:rsidR="000A25EC" w:rsidRPr="00B10360" w14:paraId="607E6FFE" w14:textId="77777777" w:rsidTr="0068317F">
        <w:trPr>
          <w:cantSplit/>
          <w:trHeight w:hRule="exact" w:val="302"/>
        </w:trPr>
        <w:tc>
          <w:tcPr>
            <w:tcW w:w="1420" w:type="dxa"/>
            <w:vMerge w:val="restart"/>
            <w:tcBorders>
              <w:top w:val="single" w:sz="4" w:space="0" w:color="auto"/>
              <w:left w:val="nil"/>
              <w:right w:val="nil"/>
            </w:tcBorders>
            <w:shd w:val="clear" w:color="auto" w:fill="auto"/>
            <w:noWrap/>
            <w:vAlign w:val="bottom"/>
          </w:tcPr>
          <w:p w14:paraId="22797C0D" w14:textId="6448BF93" w:rsidR="000A25EC" w:rsidRPr="0087494D" w:rsidRDefault="000A25EC" w:rsidP="0068317F">
            <w:pPr>
              <w:rPr>
                <w:rFonts w:ascii="Calibri" w:eastAsia="Times New Roman" w:hAnsi="Calibri" w:cs="Times New Roman"/>
                <w:b/>
                <w:color w:val="000000"/>
              </w:rPr>
            </w:pPr>
            <w:r>
              <w:rPr>
                <w:rFonts w:ascii="Calibri" w:eastAsia="Times New Roman" w:hAnsi="Calibri" w:cs="Times New Roman"/>
                <w:b/>
                <w:color w:val="000000"/>
              </w:rPr>
              <w:t>Summary Statistics</w:t>
            </w:r>
          </w:p>
        </w:tc>
        <w:tc>
          <w:tcPr>
            <w:tcW w:w="1060" w:type="dxa"/>
            <w:vMerge w:val="restart"/>
            <w:tcBorders>
              <w:top w:val="single" w:sz="4" w:space="0" w:color="auto"/>
              <w:left w:val="nil"/>
              <w:right w:val="nil"/>
            </w:tcBorders>
            <w:shd w:val="clear" w:color="auto" w:fill="auto"/>
            <w:noWrap/>
            <w:vAlign w:val="bottom"/>
          </w:tcPr>
          <w:p w14:paraId="2998C801" w14:textId="735FCE19" w:rsidR="000A25EC" w:rsidRPr="00B10360" w:rsidRDefault="000A25EC" w:rsidP="008D4FD4">
            <w:pPr>
              <w:jc w:val="center"/>
              <w:rPr>
                <w:rFonts w:ascii="Calibri" w:eastAsia="Times New Roman" w:hAnsi="Calibri" w:cs="Times New Roman"/>
                <w:color w:val="000000"/>
              </w:rPr>
            </w:pPr>
            <m:oMathPara>
              <m:oMath>
                <m:r>
                  <w:rPr>
                    <w:rFonts w:ascii="Cambria Math" w:eastAsia="Times New Roman" w:hAnsi="Cambria Math" w:cs="Times New Roman"/>
                    <w:color w:val="000000"/>
                  </w:rPr>
                  <m:t>θ</m:t>
                </m:r>
              </m:oMath>
            </m:oMathPara>
          </w:p>
        </w:tc>
        <w:tc>
          <w:tcPr>
            <w:tcW w:w="1405" w:type="dxa"/>
            <w:tcBorders>
              <w:top w:val="single" w:sz="4" w:space="0" w:color="auto"/>
              <w:left w:val="nil"/>
              <w:right w:val="nil"/>
            </w:tcBorders>
            <w:shd w:val="clear" w:color="auto" w:fill="auto"/>
            <w:noWrap/>
            <w:vAlign w:val="bottom"/>
          </w:tcPr>
          <w:p w14:paraId="653D9A90" w14:textId="36EFFC96"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4.59</w:t>
            </w:r>
          </w:p>
        </w:tc>
        <w:tc>
          <w:tcPr>
            <w:tcW w:w="1530" w:type="dxa"/>
            <w:tcBorders>
              <w:top w:val="single" w:sz="4" w:space="0" w:color="auto"/>
              <w:left w:val="nil"/>
              <w:right w:val="nil"/>
            </w:tcBorders>
            <w:shd w:val="clear" w:color="auto" w:fill="auto"/>
            <w:noWrap/>
            <w:vAlign w:val="bottom"/>
          </w:tcPr>
          <w:p w14:paraId="075F7C1B" w14:textId="66994D63"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5.56</w:t>
            </w:r>
          </w:p>
        </w:tc>
        <w:tc>
          <w:tcPr>
            <w:tcW w:w="1530" w:type="dxa"/>
            <w:tcBorders>
              <w:top w:val="single" w:sz="4" w:space="0" w:color="auto"/>
              <w:left w:val="nil"/>
              <w:right w:val="nil"/>
            </w:tcBorders>
            <w:shd w:val="clear" w:color="auto" w:fill="auto"/>
            <w:noWrap/>
            <w:vAlign w:val="bottom"/>
          </w:tcPr>
          <w:p w14:paraId="7528B999" w14:textId="4C33313A"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5.22</w:t>
            </w:r>
          </w:p>
        </w:tc>
        <w:tc>
          <w:tcPr>
            <w:tcW w:w="1440" w:type="dxa"/>
            <w:tcBorders>
              <w:top w:val="single" w:sz="4" w:space="0" w:color="auto"/>
              <w:left w:val="nil"/>
              <w:right w:val="nil"/>
            </w:tcBorders>
            <w:shd w:val="clear" w:color="auto" w:fill="auto"/>
            <w:noWrap/>
            <w:vAlign w:val="bottom"/>
          </w:tcPr>
          <w:p w14:paraId="36651FB7" w14:textId="1711CB65"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6.43</w:t>
            </w:r>
          </w:p>
        </w:tc>
      </w:tr>
      <w:tr w:rsidR="000A25EC" w:rsidRPr="00B10360" w14:paraId="239A644B" w14:textId="77777777" w:rsidTr="0068317F">
        <w:trPr>
          <w:cantSplit/>
          <w:trHeight w:hRule="exact" w:val="302"/>
        </w:trPr>
        <w:tc>
          <w:tcPr>
            <w:tcW w:w="1420" w:type="dxa"/>
            <w:vMerge/>
            <w:tcBorders>
              <w:left w:val="nil"/>
              <w:right w:val="nil"/>
            </w:tcBorders>
            <w:shd w:val="clear" w:color="auto" w:fill="auto"/>
            <w:noWrap/>
            <w:vAlign w:val="bottom"/>
          </w:tcPr>
          <w:p w14:paraId="6A970234" w14:textId="77777777" w:rsidR="000A25EC" w:rsidRPr="00B10360" w:rsidRDefault="000A25EC" w:rsidP="0068317F">
            <w:pPr>
              <w:rPr>
                <w:rFonts w:ascii="Calibri" w:eastAsia="Times New Roman" w:hAnsi="Calibri" w:cs="Times New Roman"/>
                <w:color w:val="000000"/>
              </w:rPr>
            </w:pPr>
          </w:p>
        </w:tc>
        <w:tc>
          <w:tcPr>
            <w:tcW w:w="1060" w:type="dxa"/>
            <w:vMerge/>
            <w:tcBorders>
              <w:left w:val="nil"/>
              <w:right w:val="nil"/>
            </w:tcBorders>
            <w:shd w:val="clear" w:color="auto" w:fill="auto"/>
            <w:noWrap/>
            <w:vAlign w:val="bottom"/>
          </w:tcPr>
          <w:p w14:paraId="3E3C6E9D" w14:textId="77777777" w:rsidR="000A25EC" w:rsidRDefault="000A25EC" w:rsidP="0068317F">
            <w:pPr>
              <w:jc w:val="center"/>
              <w:rPr>
                <w:rFonts w:ascii="Calibri" w:eastAsia="Times New Roman" w:hAnsi="Calibri" w:cs="Times New Roman"/>
                <w:color w:val="000000"/>
              </w:rPr>
            </w:pPr>
          </w:p>
        </w:tc>
        <w:tc>
          <w:tcPr>
            <w:tcW w:w="1405" w:type="dxa"/>
            <w:tcBorders>
              <w:left w:val="nil"/>
              <w:right w:val="nil"/>
            </w:tcBorders>
            <w:shd w:val="clear" w:color="auto" w:fill="auto"/>
            <w:noWrap/>
            <w:vAlign w:val="bottom"/>
          </w:tcPr>
          <w:p w14:paraId="2F6C6231" w14:textId="548AA99A"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(4.02, 5.15)</w:t>
            </w:r>
          </w:p>
        </w:tc>
        <w:tc>
          <w:tcPr>
            <w:tcW w:w="1530" w:type="dxa"/>
            <w:tcBorders>
              <w:left w:val="nil"/>
              <w:right w:val="nil"/>
            </w:tcBorders>
            <w:shd w:val="clear" w:color="auto" w:fill="auto"/>
            <w:noWrap/>
            <w:vAlign w:val="bottom"/>
          </w:tcPr>
          <w:p w14:paraId="6BFFAD84" w14:textId="5A0D52ED"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(4.92, 6.23)</w:t>
            </w:r>
          </w:p>
        </w:tc>
        <w:tc>
          <w:tcPr>
            <w:tcW w:w="1530" w:type="dxa"/>
            <w:tcBorders>
              <w:left w:val="nil"/>
              <w:right w:val="nil"/>
            </w:tcBorders>
            <w:shd w:val="clear" w:color="auto" w:fill="auto"/>
            <w:noWrap/>
            <w:vAlign w:val="bottom"/>
          </w:tcPr>
          <w:p w14:paraId="4AB0983D" w14:textId="0E275C6F"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(4.65, 5.85)</w:t>
            </w:r>
          </w:p>
        </w:tc>
        <w:tc>
          <w:tcPr>
            <w:tcW w:w="1440" w:type="dxa"/>
            <w:tcBorders>
              <w:left w:val="nil"/>
              <w:right w:val="nil"/>
            </w:tcBorders>
            <w:shd w:val="clear" w:color="auto" w:fill="auto"/>
            <w:noWrap/>
            <w:vAlign w:val="bottom"/>
          </w:tcPr>
          <w:p w14:paraId="73CD3C97" w14:textId="270D468F" w:rsidR="000A25EC" w:rsidRPr="00B10360" w:rsidRDefault="000A25EC" w:rsidP="0068317F">
            <w:pPr>
              <w:jc w:val="center"/>
              <w:rPr>
                <w:rFonts w:ascii="Calibri" w:eastAsia="Times New Roman" w:hAnsi="Calibri" w:cs="Times New Roman"/>
                <w:color w:val="000000"/>
              </w:rPr>
            </w:pPr>
            <w:r>
              <w:rPr>
                <w:rFonts w:ascii="Calibri" w:eastAsia="Times New Roman" w:hAnsi="Calibri" w:cs="Times New Roman"/>
                <w:color w:val="000000"/>
              </w:rPr>
              <w:t>(5.65, 7.29)</w:t>
            </w:r>
          </w:p>
        </w:tc>
      </w:tr>
      <w:tr w:rsidR="00421FE7" w:rsidRPr="00B10360" w14:paraId="0AEC96B3" w14:textId="77777777" w:rsidTr="0087494D">
        <w:trPr>
          <w:cantSplit/>
          <w:trHeight w:hRule="exact" w:val="302"/>
        </w:trPr>
        <w:tc>
          <w:tcPr>
            <w:tcW w:w="1420" w:type="dxa"/>
            <w:tcBorders>
              <w:left w:val="nil"/>
              <w:right w:val="nil"/>
            </w:tcBorders>
            <w:shd w:val="clear" w:color="auto" w:fill="auto"/>
            <w:noWrap/>
            <w:vAlign w:val="bottom"/>
            <w:hideMark/>
          </w:tcPr>
          <w:p w14:paraId="6D9B4C2C" w14:textId="77777777" w:rsidR="00421FE7" w:rsidRPr="00B10360" w:rsidRDefault="00421FE7" w:rsidP="0068317F">
            <w:pPr>
              <w:rPr>
                <w:rFonts w:ascii="Calibri" w:eastAsia="Times New Roman" w:hAnsi="Calibri" w:cs="Times New Roman"/>
                <w:color w:val="000000"/>
              </w:rPr>
            </w:pPr>
            <w:r w:rsidRPr="00B10360">
              <w:rPr>
                <w:rFonts w:ascii="Calibri" w:eastAsia="Times New Roman" w:hAnsi="Calibri" w:cs="Times New Roman"/>
                <w:color w:val="000000"/>
              </w:rPr>
              <w:t> </w:t>
            </w:r>
          </w:p>
        </w:tc>
        <w:tc>
          <w:tcPr>
            <w:tcW w:w="1060" w:type="dxa"/>
            <w:tcBorders>
              <w:left w:val="nil"/>
              <w:right w:val="nil"/>
            </w:tcBorders>
            <w:shd w:val="clear" w:color="auto" w:fill="auto"/>
            <w:noWrap/>
            <w:vAlign w:val="bottom"/>
            <w:hideMark/>
          </w:tcPr>
          <w:p w14:paraId="79C61936"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DIC</w:t>
            </w:r>
          </w:p>
        </w:tc>
        <w:tc>
          <w:tcPr>
            <w:tcW w:w="1405" w:type="dxa"/>
            <w:tcBorders>
              <w:left w:val="nil"/>
              <w:right w:val="nil"/>
            </w:tcBorders>
            <w:shd w:val="clear" w:color="auto" w:fill="auto"/>
            <w:noWrap/>
            <w:vAlign w:val="bottom"/>
            <w:hideMark/>
          </w:tcPr>
          <w:p w14:paraId="3FC215BE"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13459.5</w:t>
            </w:r>
          </w:p>
        </w:tc>
        <w:tc>
          <w:tcPr>
            <w:tcW w:w="1530" w:type="dxa"/>
            <w:tcBorders>
              <w:left w:val="nil"/>
              <w:right w:val="nil"/>
            </w:tcBorders>
            <w:shd w:val="clear" w:color="auto" w:fill="auto"/>
            <w:noWrap/>
            <w:vAlign w:val="bottom"/>
            <w:hideMark/>
          </w:tcPr>
          <w:p w14:paraId="13C8EDDF"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13373.9</w:t>
            </w:r>
          </w:p>
        </w:tc>
        <w:tc>
          <w:tcPr>
            <w:tcW w:w="1530" w:type="dxa"/>
            <w:tcBorders>
              <w:left w:val="nil"/>
              <w:right w:val="nil"/>
            </w:tcBorders>
            <w:shd w:val="clear" w:color="auto" w:fill="auto"/>
            <w:noWrap/>
            <w:vAlign w:val="bottom"/>
            <w:hideMark/>
          </w:tcPr>
          <w:p w14:paraId="1E5A414E"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13264.9</w:t>
            </w:r>
          </w:p>
        </w:tc>
        <w:tc>
          <w:tcPr>
            <w:tcW w:w="1440" w:type="dxa"/>
            <w:tcBorders>
              <w:left w:val="nil"/>
              <w:right w:val="nil"/>
            </w:tcBorders>
            <w:shd w:val="clear" w:color="auto" w:fill="auto"/>
            <w:noWrap/>
            <w:vAlign w:val="bottom"/>
            <w:hideMark/>
          </w:tcPr>
          <w:p w14:paraId="0788172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13184.8</w:t>
            </w:r>
          </w:p>
        </w:tc>
      </w:tr>
      <w:tr w:rsidR="00421FE7" w:rsidRPr="00B10360" w14:paraId="43029731" w14:textId="77777777" w:rsidTr="0087494D">
        <w:trPr>
          <w:cantSplit/>
          <w:trHeight w:hRule="exact" w:val="302"/>
        </w:trPr>
        <w:tc>
          <w:tcPr>
            <w:tcW w:w="1420" w:type="dxa"/>
            <w:tcBorders>
              <w:top w:val="nil"/>
              <w:left w:val="nil"/>
              <w:bottom w:val="single" w:sz="18" w:space="0" w:color="auto"/>
              <w:right w:val="nil"/>
            </w:tcBorders>
            <w:shd w:val="clear" w:color="auto" w:fill="auto"/>
            <w:noWrap/>
            <w:vAlign w:val="bottom"/>
            <w:hideMark/>
          </w:tcPr>
          <w:p w14:paraId="315E039B" w14:textId="77777777" w:rsidR="00421FE7" w:rsidRPr="00B10360" w:rsidRDefault="00421FE7" w:rsidP="0068317F">
            <w:pPr>
              <w:rPr>
                <w:rFonts w:ascii="Calibri" w:eastAsia="Times New Roman" w:hAnsi="Calibri" w:cs="Times New Roman"/>
                <w:color w:val="000000"/>
              </w:rPr>
            </w:pPr>
            <w:r w:rsidRPr="00B10360">
              <w:rPr>
                <w:rFonts w:ascii="Calibri" w:eastAsia="Times New Roman" w:hAnsi="Calibri" w:cs="Times New Roman"/>
                <w:color w:val="000000"/>
              </w:rPr>
              <w:t> </w:t>
            </w:r>
          </w:p>
        </w:tc>
        <w:tc>
          <w:tcPr>
            <w:tcW w:w="1060" w:type="dxa"/>
            <w:tcBorders>
              <w:top w:val="nil"/>
              <w:left w:val="nil"/>
              <w:bottom w:val="single" w:sz="18" w:space="0" w:color="auto"/>
              <w:right w:val="nil"/>
            </w:tcBorders>
            <w:shd w:val="clear" w:color="auto" w:fill="auto"/>
            <w:noWrap/>
            <w:vAlign w:val="bottom"/>
            <w:hideMark/>
          </w:tcPr>
          <w:p w14:paraId="7EBD1C1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N</w:t>
            </w:r>
          </w:p>
        </w:tc>
        <w:tc>
          <w:tcPr>
            <w:tcW w:w="1405" w:type="dxa"/>
            <w:tcBorders>
              <w:top w:val="nil"/>
              <w:left w:val="nil"/>
              <w:bottom w:val="single" w:sz="18" w:space="0" w:color="auto"/>
              <w:right w:val="nil"/>
            </w:tcBorders>
            <w:shd w:val="clear" w:color="auto" w:fill="auto"/>
            <w:noWrap/>
            <w:vAlign w:val="bottom"/>
            <w:hideMark/>
          </w:tcPr>
          <w:p w14:paraId="37EB5C79"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3159</w:t>
            </w:r>
          </w:p>
        </w:tc>
        <w:tc>
          <w:tcPr>
            <w:tcW w:w="1530" w:type="dxa"/>
            <w:tcBorders>
              <w:top w:val="nil"/>
              <w:left w:val="nil"/>
              <w:bottom w:val="single" w:sz="18" w:space="0" w:color="auto"/>
              <w:right w:val="nil"/>
            </w:tcBorders>
            <w:shd w:val="clear" w:color="auto" w:fill="auto"/>
            <w:noWrap/>
            <w:vAlign w:val="bottom"/>
            <w:hideMark/>
          </w:tcPr>
          <w:p w14:paraId="5B4757C3"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3159</w:t>
            </w:r>
          </w:p>
        </w:tc>
        <w:tc>
          <w:tcPr>
            <w:tcW w:w="1530" w:type="dxa"/>
            <w:tcBorders>
              <w:top w:val="nil"/>
              <w:left w:val="nil"/>
              <w:bottom w:val="single" w:sz="18" w:space="0" w:color="auto"/>
              <w:right w:val="nil"/>
            </w:tcBorders>
            <w:shd w:val="clear" w:color="auto" w:fill="auto"/>
            <w:noWrap/>
            <w:vAlign w:val="bottom"/>
            <w:hideMark/>
          </w:tcPr>
          <w:p w14:paraId="5AFEAA75" w14:textId="77777777" w:rsidR="00421FE7" w:rsidRPr="00B10360" w:rsidRDefault="00421FE7" w:rsidP="0068317F">
            <w:pPr>
              <w:jc w:val="center"/>
              <w:rPr>
                <w:rFonts w:ascii="Calibri" w:eastAsia="Times New Roman" w:hAnsi="Calibri" w:cs="Times New Roman"/>
                <w:color w:val="000000"/>
              </w:rPr>
            </w:pPr>
            <w:r w:rsidRPr="00B10360">
              <w:rPr>
                <w:rFonts w:ascii="Calibri" w:eastAsia="Times New Roman" w:hAnsi="Calibri" w:cs="Times New Roman"/>
                <w:color w:val="000000"/>
              </w:rPr>
              <w:t>3159</w:t>
            </w:r>
          </w:p>
        </w:tc>
        <w:tc>
          <w:tcPr>
            <w:tcW w:w="1440" w:type="dxa"/>
            <w:tcBorders>
              <w:top w:val="nil"/>
              <w:left w:val="nil"/>
              <w:bottom w:val="single" w:sz="18" w:space="0" w:color="auto"/>
              <w:right w:val="nil"/>
            </w:tcBorders>
            <w:shd w:val="clear" w:color="auto" w:fill="auto"/>
            <w:noWrap/>
            <w:vAlign w:val="bottom"/>
            <w:hideMark/>
          </w:tcPr>
          <w:p w14:paraId="76DE2371" w14:textId="77777777" w:rsidR="00421FE7" w:rsidRPr="00B10360" w:rsidRDefault="00421FE7" w:rsidP="0068317F">
            <w:pPr>
              <w:keepNext/>
              <w:jc w:val="center"/>
              <w:rPr>
                <w:rFonts w:ascii="Calibri" w:eastAsia="Times New Roman" w:hAnsi="Calibri" w:cs="Times New Roman"/>
                <w:color w:val="000000"/>
              </w:rPr>
            </w:pPr>
            <w:r w:rsidRPr="00B10360">
              <w:rPr>
                <w:rFonts w:ascii="Calibri" w:eastAsia="Times New Roman" w:hAnsi="Calibri" w:cs="Times New Roman"/>
                <w:color w:val="000000"/>
              </w:rPr>
              <w:t>3159</w:t>
            </w:r>
          </w:p>
        </w:tc>
      </w:tr>
      <w:tr w:rsidR="00D75DEA" w:rsidRPr="00B10360" w14:paraId="279339A7" w14:textId="77777777" w:rsidTr="0087494D">
        <w:trPr>
          <w:cantSplit/>
          <w:trHeight w:hRule="exact" w:val="765"/>
        </w:trPr>
        <w:tc>
          <w:tcPr>
            <w:tcW w:w="5415" w:type="dxa"/>
            <w:gridSpan w:val="4"/>
            <w:tcBorders>
              <w:top w:val="single" w:sz="18" w:space="0" w:color="auto"/>
              <w:left w:val="nil"/>
              <w:right w:val="nil"/>
            </w:tcBorders>
            <w:shd w:val="clear" w:color="auto" w:fill="auto"/>
            <w:noWrap/>
            <w:vAlign w:val="bottom"/>
          </w:tcPr>
          <w:p w14:paraId="758DC3E6" w14:textId="3607C9CF" w:rsidR="00D75DEA" w:rsidRPr="0087494D" w:rsidRDefault="00D75DEA" w:rsidP="0087494D">
            <w:pPr>
              <w:spacing w:after="0" w:line="240" w:lineRule="auto"/>
              <w:rPr>
                <w:sz w:val="20"/>
                <w:szCs w:val="20"/>
              </w:rPr>
            </w:pPr>
          </w:p>
          <w:p w14:paraId="29FD96D0" w14:textId="77777777" w:rsidR="00D75DEA" w:rsidRPr="00D75DEA" w:rsidRDefault="00D75DEA" w:rsidP="0087494D">
            <w:pPr>
              <w:spacing w:line="240" w:lineRule="auto"/>
            </w:pPr>
          </w:p>
          <w:p w14:paraId="5B24B340" w14:textId="77777777" w:rsidR="00D75DEA" w:rsidRPr="0087494D" w:rsidRDefault="00D75DEA" w:rsidP="0087494D">
            <w:pPr>
              <w:spacing w:after="0" w:line="240" w:lineRule="auto"/>
              <w:rPr>
                <w:sz w:val="20"/>
                <w:szCs w:val="20"/>
              </w:rPr>
            </w:pPr>
          </w:p>
          <w:p w14:paraId="428C4F95" w14:textId="77777777" w:rsidR="00D75DEA" w:rsidRPr="00B10360" w:rsidRDefault="00D75DEA" w:rsidP="0087494D">
            <w:pPr>
              <w:spacing w:line="240" w:lineRule="auto"/>
              <w:rPr>
                <w:rFonts w:ascii="Calibri" w:eastAsia="Times New Roman" w:hAnsi="Calibri" w:cs="Times New Roman"/>
                <w:color w:val="000000"/>
              </w:rPr>
            </w:pPr>
          </w:p>
        </w:tc>
        <w:tc>
          <w:tcPr>
            <w:tcW w:w="1530" w:type="dxa"/>
            <w:tcBorders>
              <w:top w:val="single" w:sz="18" w:space="0" w:color="auto"/>
              <w:left w:val="nil"/>
              <w:right w:val="nil"/>
            </w:tcBorders>
            <w:shd w:val="clear" w:color="auto" w:fill="auto"/>
            <w:noWrap/>
            <w:vAlign w:val="bottom"/>
          </w:tcPr>
          <w:p w14:paraId="1BD5DA14" w14:textId="77777777" w:rsidR="00D75DEA" w:rsidRPr="00B10360" w:rsidRDefault="00D75DEA" w:rsidP="0068317F">
            <w:pPr>
              <w:jc w:val="center"/>
              <w:rPr>
                <w:rFonts w:ascii="Calibri" w:eastAsia="Times New Roman" w:hAnsi="Calibri" w:cs="Times New Roman"/>
                <w:color w:val="000000"/>
              </w:rPr>
            </w:pPr>
          </w:p>
        </w:tc>
        <w:tc>
          <w:tcPr>
            <w:tcW w:w="1440" w:type="dxa"/>
            <w:tcBorders>
              <w:top w:val="single" w:sz="18" w:space="0" w:color="auto"/>
              <w:left w:val="nil"/>
              <w:right w:val="nil"/>
            </w:tcBorders>
            <w:shd w:val="clear" w:color="auto" w:fill="auto"/>
            <w:noWrap/>
            <w:vAlign w:val="bottom"/>
          </w:tcPr>
          <w:p w14:paraId="761BE7A9" w14:textId="77777777" w:rsidR="00D75DEA" w:rsidRPr="00B10360" w:rsidRDefault="00D75DEA" w:rsidP="0068317F">
            <w:pPr>
              <w:keepNext/>
              <w:jc w:val="center"/>
              <w:rPr>
                <w:rFonts w:ascii="Calibri" w:eastAsia="Times New Roman" w:hAnsi="Calibri" w:cs="Times New Roman"/>
                <w:color w:val="000000"/>
              </w:rPr>
            </w:pPr>
          </w:p>
        </w:tc>
      </w:tr>
    </w:tbl>
    <w:p w14:paraId="12C25A99" w14:textId="38C9EC82" w:rsidR="00791BE6" w:rsidRDefault="00791BE6">
      <w:pPr>
        <w:pStyle w:val="Heading2"/>
      </w:pPr>
      <w:r>
        <w:t>Northern state campaign effectiveness</w:t>
      </w:r>
    </w:p>
    <w:p w14:paraId="5F5239A1" w14:textId="372D1D42" w:rsidR="000A25EC" w:rsidRDefault="000A25EC" w:rsidP="0087494D">
      <w:pPr>
        <w:rPr>
          <w:noProof/>
        </w:rPr>
      </w:pPr>
      <w:r>
        <w:t xml:space="preserve">Across all states we found </w:t>
      </w:r>
      <w:r w:rsidR="0068317F">
        <w:t xml:space="preserve">that 12-23 month olds had the smallest reduction in campaign effectiveness relative to the youngest cohort (Figure S1). Reduction in campaign effectiveness plateaued in the older </w:t>
      </w:r>
      <w:r w:rsidR="0068317F">
        <w:lastRenderedPageBreak/>
        <w:t>age groups with reduction relative to 6-11 month olds being relatively similar.</w:t>
      </w:r>
      <w:r w:rsidR="00791BE6">
        <w:t xml:space="preserve"> In all states, model fit as measured by DIC was lowest in the full model compared to the other models. For this reason, we used the full model to estimate campaign effectiveness and reconstruct population immunity across northern states.</w:t>
      </w:r>
    </w:p>
    <w:p w14:paraId="4C926896" w14:textId="3F7FFE2C" w:rsidR="000A25EC" w:rsidRDefault="000A25EC" w:rsidP="00CF36B6">
      <w:pPr>
        <w:keepNext/>
      </w:pPr>
      <w:r>
        <w:rPr>
          <w:noProof/>
        </w:rPr>
        <w:drawing>
          <wp:anchor distT="0" distB="0" distL="114300" distR="114300" simplePos="0" relativeHeight="251658240" behindDoc="0" locked="0" layoutInCell="1" allowOverlap="1" wp14:anchorId="3E6F0AA3" wp14:editId="102A5975">
            <wp:simplePos x="0" y="0"/>
            <wp:positionH relativeFrom="column">
              <wp:posOffset>914400</wp:posOffset>
            </wp:positionH>
            <wp:positionV relativeFrom="paragraph">
              <wp:align>top</wp:align>
            </wp:positionV>
            <wp:extent cx="4162425" cy="2774315"/>
            <wp:effectExtent l="0" t="0" r="9525"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_Age_Effects_2015062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62425" cy="2774315"/>
                    </a:xfrm>
                    <a:prstGeom prst="rect">
                      <a:avLst/>
                    </a:prstGeom>
                  </pic:spPr>
                </pic:pic>
              </a:graphicData>
            </a:graphic>
          </wp:anchor>
        </w:drawing>
      </w:r>
      <w:r w:rsidR="008B14C3">
        <w:br w:type="textWrapping" w:clear="all"/>
      </w:r>
    </w:p>
    <w:p w14:paraId="16753E7C" w14:textId="1F4D8DF3" w:rsidR="000A25EC" w:rsidRDefault="000A25EC" w:rsidP="0087494D">
      <w:pPr>
        <w:pStyle w:val="Caption"/>
        <w:rPr>
          <w:b w:val="0"/>
        </w:rPr>
      </w:pPr>
      <w:r>
        <w:t xml:space="preserve">Figure </w:t>
      </w:r>
      <w:r w:rsidR="0068317F">
        <w:t>S</w:t>
      </w:r>
      <w:r w:rsidR="00CF36B6">
        <w:fldChar w:fldCharType="begin"/>
      </w:r>
      <w:r w:rsidR="00CF36B6">
        <w:instrText xml:space="preserve"> SEQ Figure \* ARABIC </w:instrText>
      </w:r>
      <w:r w:rsidR="00CF36B6">
        <w:fldChar w:fldCharType="separate"/>
      </w:r>
      <w:r w:rsidR="001A74CB">
        <w:rPr>
          <w:noProof/>
        </w:rPr>
        <w:t>1</w:t>
      </w:r>
      <w:r w:rsidR="00CF36B6">
        <w:rPr>
          <w:noProof/>
        </w:rPr>
        <w:fldChar w:fldCharType="end"/>
      </w:r>
      <w:r>
        <w:t xml:space="preserve"> - Age effect estimates across all states from the full model, model 4 in Table S1. </w:t>
      </w:r>
      <w:r>
        <w:rPr>
          <w:b w:val="0"/>
        </w:rPr>
        <w:t>Estimates are on the log o</w:t>
      </w:r>
      <w:r w:rsidR="0068317F">
        <w:rPr>
          <w:b w:val="0"/>
        </w:rPr>
        <w:t>dds scale; bars represent posterior 95%</w:t>
      </w:r>
      <w:r w:rsidR="009F3895">
        <w:rPr>
          <w:b w:val="0"/>
        </w:rPr>
        <w:t xml:space="preserve"> credible</w:t>
      </w:r>
      <w:r w:rsidR="0068317F">
        <w:rPr>
          <w:b w:val="0"/>
        </w:rPr>
        <w:t xml:space="preserve"> interval</w:t>
      </w:r>
      <w:r w:rsidR="009F3895">
        <w:rPr>
          <w:b w:val="0"/>
        </w:rPr>
        <w:t>s</w:t>
      </w:r>
      <w:r w:rsidR="0068317F">
        <w:rPr>
          <w:b w:val="0"/>
        </w:rPr>
        <w:t>. Reference group is the 6-11 month age cohort. Age group 1 corresponds to 12-23 month-olds, age group 2 to 24-35 month-olds, age group 3 to 36-47 month olds and age group 4 to 48-59 month olds.</w:t>
      </w:r>
    </w:p>
    <w:p w14:paraId="68C92822" w14:textId="63272BFD" w:rsidR="007400D8" w:rsidRDefault="007400D8" w:rsidP="0087494D">
      <w:pPr>
        <w:spacing w:after="0"/>
      </w:pPr>
      <w:r>
        <w:t>Using district population estimates from the 2006 Nigerian census, we combined district campaign effectiveness estimates into p</w:t>
      </w:r>
      <w:r w:rsidR="00824255">
        <w:t>rovince-level averages (Table S</w:t>
      </w:r>
      <w:r w:rsidR="00E871E6">
        <w:t>3</w:t>
      </w:r>
      <w:r>
        <w:t xml:space="preserve">). The changes between effectiveness in 2014 compared to 2010 were very large in </w:t>
      </w:r>
      <w:proofErr w:type="spellStart"/>
      <w:r>
        <w:t>Jigawa</w:t>
      </w:r>
      <w:proofErr w:type="spellEnd"/>
      <w:r>
        <w:t xml:space="preserve">, Kano, </w:t>
      </w:r>
      <w:proofErr w:type="spellStart"/>
      <w:r>
        <w:t>Katsina</w:t>
      </w:r>
      <w:proofErr w:type="spellEnd"/>
      <w:r>
        <w:t xml:space="preserve">, </w:t>
      </w:r>
      <w:proofErr w:type="spellStart"/>
      <w:r>
        <w:t>Sokoto</w:t>
      </w:r>
      <w:proofErr w:type="spellEnd"/>
      <w:r>
        <w:t xml:space="preserve"> and </w:t>
      </w:r>
      <w:proofErr w:type="spellStart"/>
      <w:r>
        <w:t>Zamfara</w:t>
      </w:r>
      <w:proofErr w:type="spellEnd"/>
      <w:r w:rsidR="00421FE7">
        <w:t xml:space="preserve"> (mean improvement &gt; 40%</w:t>
      </w:r>
      <w:r>
        <w:t xml:space="preserve">). Bauchi and </w:t>
      </w:r>
      <w:proofErr w:type="spellStart"/>
      <w:r>
        <w:t>Borno</w:t>
      </w:r>
      <w:proofErr w:type="spellEnd"/>
      <w:r>
        <w:t xml:space="preserve"> had the smallest estimated improvements in campaign effectiveness over this period (mean improvement </w:t>
      </w:r>
      <w:r w:rsidR="00421FE7">
        <w:t>&lt; 10%</w:t>
      </w:r>
      <w:r>
        <w:t xml:space="preserve">). </w:t>
      </w:r>
      <w:r w:rsidR="00421FE7">
        <w:t xml:space="preserve">Campaign effectiveness remained below 50% in Bauchi, </w:t>
      </w:r>
      <w:proofErr w:type="spellStart"/>
      <w:r w:rsidR="00421FE7">
        <w:t>Borno</w:t>
      </w:r>
      <w:proofErr w:type="spellEnd"/>
      <w:r w:rsidR="00421FE7">
        <w:t xml:space="preserve">, Kaduna and </w:t>
      </w:r>
      <w:proofErr w:type="spellStart"/>
      <w:r w:rsidR="00421FE7">
        <w:t>Yobe</w:t>
      </w:r>
      <w:proofErr w:type="spellEnd"/>
      <w:r w:rsidR="00421FE7">
        <w:t>.</w:t>
      </w:r>
    </w:p>
    <w:p w14:paraId="0A152E06" w14:textId="081589C8" w:rsidR="007400D8" w:rsidRPr="007400D8" w:rsidRDefault="007400D8" w:rsidP="0087494D">
      <w:pPr>
        <w:spacing w:after="0"/>
      </w:pPr>
      <w:r>
        <w:t xml:space="preserve"> </w:t>
      </w:r>
    </w:p>
    <w:p w14:paraId="7180A7EB" w14:textId="70CF7075" w:rsidR="007400D8" w:rsidRPr="0087494D" w:rsidRDefault="00824255" w:rsidP="007400D8">
      <w:pPr>
        <w:pStyle w:val="Caption"/>
        <w:keepNext/>
        <w:rPr>
          <w:sz w:val="22"/>
          <w:szCs w:val="22"/>
        </w:rPr>
      </w:pPr>
      <w:r>
        <w:rPr>
          <w:sz w:val="22"/>
          <w:szCs w:val="22"/>
        </w:rPr>
        <w:t>Table S</w:t>
      </w:r>
      <w:r w:rsidR="00E871E6">
        <w:rPr>
          <w:sz w:val="22"/>
          <w:szCs w:val="22"/>
        </w:rPr>
        <w:t>3</w:t>
      </w:r>
      <w:r w:rsidR="007400D8" w:rsidRPr="0087494D">
        <w:rPr>
          <w:sz w:val="22"/>
          <w:szCs w:val="22"/>
        </w:rPr>
        <w:t xml:space="preserve"> - Estimates of northern state campaign effectiveness.</w:t>
      </w:r>
    </w:p>
    <w:tbl>
      <w:tblPr>
        <w:tblW w:w="5371" w:type="dxa"/>
        <w:jc w:val="center"/>
        <w:tblLook w:val="04A0" w:firstRow="1" w:lastRow="0" w:firstColumn="1" w:lastColumn="0" w:noHBand="0" w:noVBand="1"/>
      </w:tblPr>
      <w:tblGrid>
        <w:gridCol w:w="1018"/>
        <w:gridCol w:w="741"/>
        <w:gridCol w:w="1456"/>
        <w:gridCol w:w="741"/>
        <w:gridCol w:w="1415"/>
      </w:tblGrid>
      <w:tr w:rsidR="007400D8" w:rsidRPr="00D42F99" w14:paraId="401A2005" w14:textId="77777777" w:rsidTr="0087494D">
        <w:trPr>
          <w:cantSplit/>
          <w:trHeight w:hRule="exact" w:val="331"/>
          <w:jc w:val="center"/>
        </w:trPr>
        <w:tc>
          <w:tcPr>
            <w:tcW w:w="1018" w:type="dxa"/>
            <w:tcBorders>
              <w:top w:val="single" w:sz="18" w:space="0" w:color="auto"/>
              <w:left w:val="nil"/>
              <w:bottom w:val="nil"/>
              <w:right w:val="nil"/>
            </w:tcBorders>
            <w:shd w:val="clear" w:color="auto" w:fill="auto"/>
            <w:noWrap/>
            <w:vAlign w:val="bottom"/>
            <w:hideMark/>
          </w:tcPr>
          <w:p w14:paraId="6FB6C726" w14:textId="77777777" w:rsidR="007400D8" w:rsidRPr="00D42F99" w:rsidRDefault="007400D8" w:rsidP="0087494D">
            <w:pPr>
              <w:spacing w:line="240" w:lineRule="auto"/>
              <w:rPr>
                <w:rFonts w:ascii="Calibri" w:eastAsia="Times New Roman" w:hAnsi="Calibri" w:cs="Times New Roman"/>
                <w:b/>
                <w:bCs/>
                <w:color w:val="000000"/>
              </w:rPr>
            </w:pPr>
            <w:r w:rsidRPr="00D42F99">
              <w:rPr>
                <w:rFonts w:ascii="Calibri" w:eastAsia="Times New Roman" w:hAnsi="Calibri" w:cs="Times New Roman"/>
                <w:b/>
                <w:bCs/>
                <w:color w:val="000000"/>
              </w:rPr>
              <w:t>Province</w:t>
            </w:r>
          </w:p>
        </w:tc>
        <w:tc>
          <w:tcPr>
            <w:tcW w:w="2197" w:type="dxa"/>
            <w:gridSpan w:val="2"/>
            <w:tcBorders>
              <w:top w:val="single" w:sz="18" w:space="0" w:color="auto"/>
              <w:left w:val="nil"/>
              <w:bottom w:val="nil"/>
              <w:right w:val="nil"/>
            </w:tcBorders>
            <w:shd w:val="clear" w:color="auto" w:fill="auto"/>
            <w:noWrap/>
            <w:vAlign w:val="bottom"/>
            <w:hideMark/>
          </w:tcPr>
          <w:p w14:paraId="5202E27B" w14:textId="77777777" w:rsidR="007400D8" w:rsidRPr="00D42F99" w:rsidRDefault="007400D8" w:rsidP="0087494D">
            <w:pPr>
              <w:spacing w:line="240" w:lineRule="auto"/>
              <w:jc w:val="center"/>
              <w:rPr>
                <w:rFonts w:ascii="Calibri" w:eastAsia="Times New Roman" w:hAnsi="Calibri" w:cs="Times New Roman"/>
                <w:b/>
                <w:bCs/>
                <w:color w:val="000000"/>
              </w:rPr>
            </w:pPr>
            <w:r w:rsidRPr="00D42F99">
              <w:rPr>
                <w:rFonts w:ascii="Calibri" w:eastAsia="Times New Roman" w:hAnsi="Calibri" w:cs="Times New Roman"/>
                <w:b/>
                <w:bCs/>
                <w:color w:val="000000"/>
              </w:rPr>
              <w:t>2010</w:t>
            </w:r>
          </w:p>
        </w:tc>
        <w:tc>
          <w:tcPr>
            <w:tcW w:w="2156" w:type="dxa"/>
            <w:gridSpan w:val="2"/>
            <w:tcBorders>
              <w:top w:val="single" w:sz="18" w:space="0" w:color="auto"/>
              <w:left w:val="nil"/>
              <w:bottom w:val="nil"/>
              <w:right w:val="nil"/>
            </w:tcBorders>
            <w:shd w:val="clear" w:color="auto" w:fill="auto"/>
            <w:vAlign w:val="bottom"/>
            <w:hideMark/>
          </w:tcPr>
          <w:p w14:paraId="53B77541" w14:textId="77777777" w:rsidR="007400D8" w:rsidRPr="00D42F99" w:rsidRDefault="007400D8" w:rsidP="0087494D">
            <w:pPr>
              <w:spacing w:line="240" w:lineRule="auto"/>
              <w:jc w:val="center"/>
              <w:rPr>
                <w:rFonts w:ascii="Calibri" w:eastAsia="Times New Roman" w:hAnsi="Calibri" w:cs="Times New Roman"/>
                <w:b/>
                <w:bCs/>
                <w:color w:val="000000"/>
              </w:rPr>
            </w:pPr>
            <w:r w:rsidRPr="00D42F99">
              <w:rPr>
                <w:rFonts w:ascii="Calibri" w:eastAsia="Times New Roman" w:hAnsi="Calibri" w:cs="Times New Roman"/>
                <w:b/>
                <w:bCs/>
                <w:color w:val="000000"/>
              </w:rPr>
              <w:t>2014</w:t>
            </w:r>
          </w:p>
        </w:tc>
      </w:tr>
      <w:tr w:rsidR="007400D8" w:rsidRPr="00D42F99" w14:paraId="43F7E511"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454B3EC0" w14:textId="77777777" w:rsidR="007400D8" w:rsidRPr="00D42F99" w:rsidRDefault="007400D8" w:rsidP="0087494D">
            <w:pPr>
              <w:spacing w:line="240" w:lineRule="auto"/>
              <w:rPr>
                <w:rFonts w:ascii="Calibri" w:eastAsia="Times New Roman" w:hAnsi="Calibri" w:cs="Times New Roman"/>
                <w:color w:val="000000"/>
              </w:rPr>
            </w:pPr>
          </w:p>
        </w:tc>
        <w:tc>
          <w:tcPr>
            <w:tcW w:w="741" w:type="dxa"/>
            <w:tcBorders>
              <w:top w:val="single" w:sz="4" w:space="0" w:color="auto"/>
              <w:left w:val="nil"/>
              <w:bottom w:val="single" w:sz="4" w:space="0" w:color="auto"/>
              <w:right w:val="nil"/>
            </w:tcBorders>
            <w:shd w:val="clear" w:color="auto" w:fill="auto"/>
            <w:noWrap/>
            <w:vAlign w:val="bottom"/>
            <w:hideMark/>
          </w:tcPr>
          <w:p w14:paraId="72B32AE8"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Mean</w:t>
            </w:r>
          </w:p>
        </w:tc>
        <w:tc>
          <w:tcPr>
            <w:tcW w:w="1456" w:type="dxa"/>
            <w:tcBorders>
              <w:top w:val="single" w:sz="4" w:space="0" w:color="auto"/>
              <w:left w:val="nil"/>
              <w:bottom w:val="single" w:sz="4" w:space="0" w:color="auto"/>
              <w:right w:val="nil"/>
            </w:tcBorders>
            <w:shd w:val="clear" w:color="auto" w:fill="auto"/>
            <w:noWrap/>
            <w:vAlign w:val="bottom"/>
            <w:hideMark/>
          </w:tcPr>
          <w:p w14:paraId="5E81FA58"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CI</w:t>
            </w:r>
          </w:p>
        </w:tc>
        <w:tc>
          <w:tcPr>
            <w:tcW w:w="741" w:type="dxa"/>
            <w:tcBorders>
              <w:top w:val="single" w:sz="4" w:space="0" w:color="auto"/>
              <w:left w:val="nil"/>
              <w:bottom w:val="single" w:sz="4" w:space="0" w:color="auto"/>
              <w:right w:val="nil"/>
            </w:tcBorders>
            <w:shd w:val="clear" w:color="auto" w:fill="auto"/>
            <w:noWrap/>
            <w:vAlign w:val="bottom"/>
            <w:hideMark/>
          </w:tcPr>
          <w:p w14:paraId="3B6DE9BF"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Mean</w:t>
            </w:r>
          </w:p>
        </w:tc>
        <w:tc>
          <w:tcPr>
            <w:tcW w:w="1414" w:type="dxa"/>
            <w:tcBorders>
              <w:top w:val="single" w:sz="4" w:space="0" w:color="auto"/>
              <w:left w:val="nil"/>
              <w:bottom w:val="single" w:sz="4" w:space="0" w:color="auto"/>
              <w:right w:val="nil"/>
            </w:tcBorders>
            <w:shd w:val="clear" w:color="auto" w:fill="auto"/>
            <w:noWrap/>
            <w:vAlign w:val="bottom"/>
            <w:hideMark/>
          </w:tcPr>
          <w:p w14:paraId="02AD0DD2"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CI</w:t>
            </w:r>
          </w:p>
        </w:tc>
      </w:tr>
      <w:tr w:rsidR="007400D8" w:rsidRPr="00D42F99" w14:paraId="1037502E"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181B845D" w14:textId="77777777" w:rsidR="007400D8" w:rsidRPr="00D42F99" w:rsidRDefault="007400D8" w:rsidP="0087494D">
            <w:pPr>
              <w:spacing w:line="240" w:lineRule="auto"/>
              <w:rPr>
                <w:rFonts w:ascii="Calibri" w:eastAsia="Times New Roman" w:hAnsi="Calibri" w:cs="Times New Roman"/>
                <w:color w:val="000000"/>
              </w:rPr>
            </w:pPr>
            <w:r w:rsidRPr="00D42F99">
              <w:rPr>
                <w:rFonts w:ascii="Calibri" w:eastAsia="Times New Roman" w:hAnsi="Calibri" w:cs="Times New Roman"/>
                <w:color w:val="000000"/>
              </w:rPr>
              <w:t>Bauchi</w:t>
            </w:r>
          </w:p>
        </w:tc>
        <w:tc>
          <w:tcPr>
            <w:tcW w:w="741" w:type="dxa"/>
            <w:tcBorders>
              <w:top w:val="nil"/>
              <w:left w:val="nil"/>
              <w:bottom w:val="nil"/>
              <w:right w:val="nil"/>
            </w:tcBorders>
            <w:shd w:val="clear" w:color="auto" w:fill="auto"/>
            <w:noWrap/>
            <w:vAlign w:val="bottom"/>
            <w:hideMark/>
          </w:tcPr>
          <w:p w14:paraId="72B19D54"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0.27</w:t>
            </w:r>
          </w:p>
        </w:tc>
        <w:tc>
          <w:tcPr>
            <w:tcW w:w="1456" w:type="dxa"/>
            <w:tcBorders>
              <w:top w:val="nil"/>
              <w:left w:val="nil"/>
              <w:bottom w:val="nil"/>
              <w:right w:val="nil"/>
            </w:tcBorders>
            <w:shd w:val="clear" w:color="auto" w:fill="auto"/>
            <w:noWrap/>
            <w:vAlign w:val="bottom"/>
            <w:hideMark/>
          </w:tcPr>
          <w:p w14:paraId="22ED8C8A"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(0.23 - 0.31)</w:t>
            </w:r>
          </w:p>
        </w:tc>
        <w:tc>
          <w:tcPr>
            <w:tcW w:w="741" w:type="dxa"/>
            <w:tcBorders>
              <w:top w:val="nil"/>
              <w:left w:val="nil"/>
              <w:bottom w:val="nil"/>
              <w:right w:val="nil"/>
            </w:tcBorders>
            <w:shd w:val="clear" w:color="auto" w:fill="auto"/>
            <w:noWrap/>
            <w:vAlign w:val="bottom"/>
            <w:hideMark/>
          </w:tcPr>
          <w:p w14:paraId="0E3548B4"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0.34</w:t>
            </w:r>
          </w:p>
        </w:tc>
        <w:tc>
          <w:tcPr>
            <w:tcW w:w="1414" w:type="dxa"/>
            <w:tcBorders>
              <w:top w:val="nil"/>
              <w:left w:val="nil"/>
              <w:bottom w:val="nil"/>
              <w:right w:val="nil"/>
            </w:tcBorders>
            <w:shd w:val="clear" w:color="auto" w:fill="auto"/>
            <w:noWrap/>
            <w:vAlign w:val="bottom"/>
            <w:hideMark/>
          </w:tcPr>
          <w:p w14:paraId="2D32C834"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(0.28 - 0.42)</w:t>
            </w:r>
          </w:p>
        </w:tc>
      </w:tr>
      <w:tr w:rsidR="007400D8" w:rsidRPr="00D42F99" w14:paraId="2E75DD7C"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350BADA8" w14:textId="77777777" w:rsidR="007400D8" w:rsidRPr="00D42F99" w:rsidRDefault="007400D8" w:rsidP="0087494D">
            <w:pPr>
              <w:spacing w:line="240" w:lineRule="auto"/>
              <w:rPr>
                <w:rFonts w:ascii="Calibri" w:eastAsia="Times New Roman" w:hAnsi="Calibri" w:cs="Times New Roman"/>
                <w:color w:val="000000"/>
              </w:rPr>
            </w:pPr>
            <w:proofErr w:type="spellStart"/>
            <w:r w:rsidRPr="00D42F99">
              <w:rPr>
                <w:rFonts w:ascii="Calibri" w:eastAsia="Times New Roman" w:hAnsi="Calibri" w:cs="Times New Roman"/>
                <w:color w:val="000000"/>
              </w:rPr>
              <w:t>Borno</w:t>
            </w:r>
            <w:proofErr w:type="spellEnd"/>
          </w:p>
        </w:tc>
        <w:tc>
          <w:tcPr>
            <w:tcW w:w="741" w:type="dxa"/>
            <w:tcBorders>
              <w:top w:val="nil"/>
              <w:left w:val="nil"/>
              <w:bottom w:val="nil"/>
              <w:right w:val="nil"/>
            </w:tcBorders>
            <w:shd w:val="clear" w:color="auto" w:fill="auto"/>
            <w:noWrap/>
            <w:vAlign w:val="bottom"/>
            <w:hideMark/>
          </w:tcPr>
          <w:p w14:paraId="1C11E1AC"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0.19</w:t>
            </w:r>
          </w:p>
        </w:tc>
        <w:tc>
          <w:tcPr>
            <w:tcW w:w="1456" w:type="dxa"/>
            <w:tcBorders>
              <w:top w:val="nil"/>
              <w:left w:val="nil"/>
              <w:bottom w:val="nil"/>
              <w:right w:val="nil"/>
            </w:tcBorders>
            <w:shd w:val="clear" w:color="auto" w:fill="auto"/>
            <w:noWrap/>
            <w:vAlign w:val="bottom"/>
            <w:hideMark/>
          </w:tcPr>
          <w:p w14:paraId="750B3C94"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(0.16 - 0.22)</w:t>
            </w:r>
          </w:p>
        </w:tc>
        <w:tc>
          <w:tcPr>
            <w:tcW w:w="741" w:type="dxa"/>
            <w:tcBorders>
              <w:top w:val="nil"/>
              <w:left w:val="nil"/>
              <w:bottom w:val="nil"/>
              <w:right w:val="nil"/>
            </w:tcBorders>
            <w:shd w:val="clear" w:color="auto" w:fill="auto"/>
            <w:noWrap/>
            <w:vAlign w:val="bottom"/>
            <w:hideMark/>
          </w:tcPr>
          <w:p w14:paraId="4B1FE357"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0.26</w:t>
            </w:r>
          </w:p>
        </w:tc>
        <w:tc>
          <w:tcPr>
            <w:tcW w:w="1414" w:type="dxa"/>
            <w:tcBorders>
              <w:top w:val="nil"/>
              <w:left w:val="nil"/>
              <w:bottom w:val="nil"/>
              <w:right w:val="nil"/>
            </w:tcBorders>
            <w:shd w:val="clear" w:color="auto" w:fill="auto"/>
            <w:noWrap/>
            <w:vAlign w:val="bottom"/>
            <w:hideMark/>
          </w:tcPr>
          <w:p w14:paraId="216157E6"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(0.20 - 0.33)</w:t>
            </w:r>
          </w:p>
        </w:tc>
      </w:tr>
      <w:tr w:rsidR="007400D8" w:rsidRPr="00D42F99" w14:paraId="13073944"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7ABEAA19" w14:textId="77777777" w:rsidR="007400D8" w:rsidRPr="00D42F99" w:rsidRDefault="007400D8" w:rsidP="0087494D">
            <w:pPr>
              <w:spacing w:line="240" w:lineRule="auto"/>
              <w:rPr>
                <w:rFonts w:ascii="Calibri" w:eastAsia="Times New Roman" w:hAnsi="Calibri" w:cs="Times New Roman"/>
                <w:color w:val="000000"/>
              </w:rPr>
            </w:pPr>
            <w:proofErr w:type="spellStart"/>
            <w:r w:rsidRPr="00D42F99">
              <w:rPr>
                <w:rFonts w:ascii="Calibri" w:eastAsia="Times New Roman" w:hAnsi="Calibri" w:cs="Times New Roman"/>
                <w:color w:val="000000"/>
              </w:rPr>
              <w:t>Jigawa</w:t>
            </w:r>
            <w:proofErr w:type="spellEnd"/>
          </w:p>
        </w:tc>
        <w:tc>
          <w:tcPr>
            <w:tcW w:w="741" w:type="dxa"/>
            <w:tcBorders>
              <w:top w:val="nil"/>
              <w:left w:val="nil"/>
              <w:bottom w:val="nil"/>
              <w:right w:val="nil"/>
            </w:tcBorders>
            <w:shd w:val="clear" w:color="auto" w:fill="auto"/>
            <w:noWrap/>
            <w:vAlign w:val="bottom"/>
            <w:hideMark/>
          </w:tcPr>
          <w:p w14:paraId="7F9068EE"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0.20</w:t>
            </w:r>
          </w:p>
        </w:tc>
        <w:tc>
          <w:tcPr>
            <w:tcW w:w="1456" w:type="dxa"/>
            <w:tcBorders>
              <w:top w:val="nil"/>
              <w:left w:val="nil"/>
              <w:bottom w:val="nil"/>
              <w:right w:val="nil"/>
            </w:tcBorders>
            <w:shd w:val="clear" w:color="auto" w:fill="auto"/>
            <w:noWrap/>
            <w:vAlign w:val="bottom"/>
            <w:hideMark/>
          </w:tcPr>
          <w:p w14:paraId="62166938"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(0.16 - 0.25)</w:t>
            </w:r>
          </w:p>
        </w:tc>
        <w:tc>
          <w:tcPr>
            <w:tcW w:w="741" w:type="dxa"/>
            <w:tcBorders>
              <w:top w:val="nil"/>
              <w:left w:val="nil"/>
              <w:bottom w:val="nil"/>
              <w:right w:val="nil"/>
            </w:tcBorders>
            <w:shd w:val="clear" w:color="auto" w:fill="auto"/>
            <w:noWrap/>
            <w:vAlign w:val="bottom"/>
            <w:hideMark/>
          </w:tcPr>
          <w:p w14:paraId="10CF85CE"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0.84</w:t>
            </w:r>
          </w:p>
        </w:tc>
        <w:tc>
          <w:tcPr>
            <w:tcW w:w="1414" w:type="dxa"/>
            <w:tcBorders>
              <w:top w:val="nil"/>
              <w:left w:val="nil"/>
              <w:bottom w:val="nil"/>
              <w:right w:val="nil"/>
            </w:tcBorders>
            <w:shd w:val="clear" w:color="auto" w:fill="auto"/>
            <w:noWrap/>
            <w:vAlign w:val="bottom"/>
            <w:hideMark/>
          </w:tcPr>
          <w:p w14:paraId="044CD800"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(0.70 - 0.97)</w:t>
            </w:r>
          </w:p>
        </w:tc>
      </w:tr>
      <w:tr w:rsidR="007400D8" w:rsidRPr="00D42F99" w14:paraId="20258395"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172CA133" w14:textId="77777777" w:rsidR="007400D8" w:rsidRPr="00D42F99" w:rsidRDefault="007400D8" w:rsidP="0087494D">
            <w:pPr>
              <w:spacing w:line="240" w:lineRule="auto"/>
              <w:rPr>
                <w:rFonts w:ascii="Calibri" w:eastAsia="Times New Roman" w:hAnsi="Calibri" w:cs="Times New Roman"/>
                <w:color w:val="000000"/>
              </w:rPr>
            </w:pPr>
            <w:r w:rsidRPr="00D42F99">
              <w:rPr>
                <w:rFonts w:ascii="Calibri" w:eastAsia="Times New Roman" w:hAnsi="Calibri" w:cs="Times New Roman"/>
                <w:color w:val="000000"/>
              </w:rPr>
              <w:t>Kaduna</w:t>
            </w:r>
          </w:p>
        </w:tc>
        <w:tc>
          <w:tcPr>
            <w:tcW w:w="741" w:type="dxa"/>
            <w:tcBorders>
              <w:top w:val="nil"/>
              <w:left w:val="nil"/>
              <w:bottom w:val="nil"/>
              <w:right w:val="nil"/>
            </w:tcBorders>
            <w:shd w:val="clear" w:color="auto" w:fill="auto"/>
            <w:noWrap/>
            <w:vAlign w:val="bottom"/>
            <w:hideMark/>
          </w:tcPr>
          <w:p w14:paraId="2630DD8C"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0.29</w:t>
            </w:r>
          </w:p>
        </w:tc>
        <w:tc>
          <w:tcPr>
            <w:tcW w:w="1456" w:type="dxa"/>
            <w:tcBorders>
              <w:top w:val="nil"/>
              <w:left w:val="nil"/>
              <w:bottom w:val="nil"/>
              <w:right w:val="nil"/>
            </w:tcBorders>
            <w:shd w:val="clear" w:color="auto" w:fill="auto"/>
            <w:noWrap/>
            <w:vAlign w:val="bottom"/>
            <w:hideMark/>
          </w:tcPr>
          <w:p w14:paraId="3BB00A4B"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(0.25 - 0.34)</w:t>
            </w:r>
          </w:p>
        </w:tc>
        <w:tc>
          <w:tcPr>
            <w:tcW w:w="741" w:type="dxa"/>
            <w:tcBorders>
              <w:top w:val="nil"/>
              <w:left w:val="nil"/>
              <w:bottom w:val="nil"/>
              <w:right w:val="nil"/>
            </w:tcBorders>
            <w:shd w:val="clear" w:color="auto" w:fill="auto"/>
            <w:noWrap/>
            <w:vAlign w:val="bottom"/>
            <w:hideMark/>
          </w:tcPr>
          <w:p w14:paraId="6B87AF31"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0.41</w:t>
            </w:r>
          </w:p>
        </w:tc>
        <w:tc>
          <w:tcPr>
            <w:tcW w:w="1414" w:type="dxa"/>
            <w:tcBorders>
              <w:top w:val="nil"/>
              <w:left w:val="nil"/>
              <w:bottom w:val="nil"/>
              <w:right w:val="nil"/>
            </w:tcBorders>
            <w:shd w:val="clear" w:color="auto" w:fill="auto"/>
            <w:noWrap/>
            <w:vAlign w:val="bottom"/>
            <w:hideMark/>
          </w:tcPr>
          <w:p w14:paraId="4F58E3BC"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(0.32 - 0.50)</w:t>
            </w:r>
          </w:p>
        </w:tc>
      </w:tr>
      <w:tr w:rsidR="007400D8" w:rsidRPr="00D42F99" w14:paraId="05503DF3"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5A35AE43" w14:textId="77777777" w:rsidR="007400D8" w:rsidRPr="00D42F99" w:rsidRDefault="007400D8" w:rsidP="0087494D">
            <w:pPr>
              <w:spacing w:line="240" w:lineRule="auto"/>
              <w:rPr>
                <w:rFonts w:ascii="Calibri" w:eastAsia="Times New Roman" w:hAnsi="Calibri" w:cs="Times New Roman"/>
                <w:color w:val="000000"/>
              </w:rPr>
            </w:pPr>
            <w:r w:rsidRPr="00D42F99">
              <w:rPr>
                <w:rFonts w:ascii="Calibri" w:eastAsia="Times New Roman" w:hAnsi="Calibri" w:cs="Times New Roman"/>
                <w:color w:val="000000"/>
              </w:rPr>
              <w:t>Kano</w:t>
            </w:r>
          </w:p>
        </w:tc>
        <w:tc>
          <w:tcPr>
            <w:tcW w:w="741" w:type="dxa"/>
            <w:tcBorders>
              <w:top w:val="nil"/>
              <w:left w:val="nil"/>
              <w:bottom w:val="nil"/>
              <w:right w:val="nil"/>
            </w:tcBorders>
            <w:shd w:val="clear" w:color="auto" w:fill="auto"/>
            <w:noWrap/>
            <w:vAlign w:val="bottom"/>
            <w:hideMark/>
          </w:tcPr>
          <w:p w14:paraId="586B36F3"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0.20</w:t>
            </w:r>
          </w:p>
        </w:tc>
        <w:tc>
          <w:tcPr>
            <w:tcW w:w="1456" w:type="dxa"/>
            <w:tcBorders>
              <w:top w:val="nil"/>
              <w:left w:val="nil"/>
              <w:bottom w:val="nil"/>
              <w:right w:val="nil"/>
            </w:tcBorders>
            <w:shd w:val="clear" w:color="auto" w:fill="auto"/>
            <w:noWrap/>
            <w:vAlign w:val="bottom"/>
            <w:hideMark/>
          </w:tcPr>
          <w:p w14:paraId="2427F6B9"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(0.17 - 0.23)</w:t>
            </w:r>
          </w:p>
        </w:tc>
        <w:tc>
          <w:tcPr>
            <w:tcW w:w="741" w:type="dxa"/>
            <w:tcBorders>
              <w:top w:val="nil"/>
              <w:left w:val="nil"/>
              <w:bottom w:val="nil"/>
              <w:right w:val="nil"/>
            </w:tcBorders>
            <w:shd w:val="clear" w:color="auto" w:fill="auto"/>
            <w:noWrap/>
            <w:vAlign w:val="bottom"/>
            <w:hideMark/>
          </w:tcPr>
          <w:p w14:paraId="2C30E702"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0.75</w:t>
            </w:r>
          </w:p>
        </w:tc>
        <w:tc>
          <w:tcPr>
            <w:tcW w:w="1414" w:type="dxa"/>
            <w:tcBorders>
              <w:top w:val="nil"/>
              <w:left w:val="nil"/>
              <w:bottom w:val="nil"/>
              <w:right w:val="nil"/>
            </w:tcBorders>
            <w:shd w:val="clear" w:color="auto" w:fill="auto"/>
            <w:noWrap/>
            <w:vAlign w:val="bottom"/>
            <w:hideMark/>
          </w:tcPr>
          <w:p w14:paraId="6B1AFC5C"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(0.64 - 0.86)</w:t>
            </w:r>
          </w:p>
        </w:tc>
      </w:tr>
      <w:tr w:rsidR="007400D8" w:rsidRPr="00D42F99" w14:paraId="4D2676F8"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726555BC" w14:textId="77777777" w:rsidR="007400D8" w:rsidRPr="00D42F99" w:rsidRDefault="007400D8" w:rsidP="0087494D">
            <w:pPr>
              <w:spacing w:line="240" w:lineRule="auto"/>
              <w:rPr>
                <w:rFonts w:ascii="Calibri" w:eastAsia="Times New Roman" w:hAnsi="Calibri" w:cs="Times New Roman"/>
                <w:color w:val="000000"/>
              </w:rPr>
            </w:pPr>
            <w:proofErr w:type="spellStart"/>
            <w:r w:rsidRPr="00D42F99">
              <w:rPr>
                <w:rFonts w:ascii="Calibri" w:eastAsia="Times New Roman" w:hAnsi="Calibri" w:cs="Times New Roman"/>
                <w:color w:val="000000"/>
              </w:rPr>
              <w:t>Katsina</w:t>
            </w:r>
            <w:proofErr w:type="spellEnd"/>
          </w:p>
        </w:tc>
        <w:tc>
          <w:tcPr>
            <w:tcW w:w="741" w:type="dxa"/>
            <w:tcBorders>
              <w:top w:val="nil"/>
              <w:left w:val="nil"/>
              <w:bottom w:val="nil"/>
              <w:right w:val="nil"/>
            </w:tcBorders>
            <w:shd w:val="clear" w:color="auto" w:fill="auto"/>
            <w:noWrap/>
            <w:vAlign w:val="bottom"/>
            <w:hideMark/>
          </w:tcPr>
          <w:p w14:paraId="349711EC"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0.23</w:t>
            </w:r>
          </w:p>
        </w:tc>
        <w:tc>
          <w:tcPr>
            <w:tcW w:w="1456" w:type="dxa"/>
            <w:tcBorders>
              <w:top w:val="nil"/>
              <w:left w:val="nil"/>
              <w:bottom w:val="nil"/>
              <w:right w:val="nil"/>
            </w:tcBorders>
            <w:shd w:val="clear" w:color="auto" w:fill="auto"/>
            <w:noWrap/>
            <w:vAlign w:val="bottom"/>
            <w:hideMark/>
          </w:tcPr>
          <w:p w14:paraId="2297518B"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(0.18 - 0.28)</w:t>
            </w:r>
          </w:p>
        </w:tc>
        <w:tc>
          <w:tcPr>
            <w:tcW w:w="741" w:type="dxa"/>
            <w:tcBorders>
              <w:top w:val="nil"/>
              <w:left w:val="nil"/>
              <w:bottom w:val="nil"/>
              <w:right w:val="nil"/>
            </w:tcBorders>
            <w:shd w:val="clear" w:color="auto" w:fill="auto"/>
            <w:noWrap/>
            <w:vAlign w:val="bottom"/>
            <w:hideMark/>
          </w:tcPr>
          <w:p w14:paraId="22200DED"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0.81</w:t>
            </w:r>
          </w:p>
        </w:tc>
        <w:tc>
          <w:tcPr>
            <w:tcW w:w="1414" w:type="dxa"/>
            <w:tcBorders>
              <w:top w:val="nil"/>
              <w:left w:val="nil"/>
              <w:bottom w:val="nil"/>
              <w:right w:val="nil"/>
            </w:tcBorders>
            <w:shd w:val="clear" w:color="auto" w:fill="auto"/>
            <w:noWrap/>
            <w:vAlign w:val="bottom"/>
            <w:hideMark/>
          </w:tcPr>
          <w:p w14:paraId="42C2FB10"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(0.70 - 0.91)</w:t>
            </w:r>
          </w:p>
        </w:tc>
      </w:tr>
      <w:tr w:rsidR="007400D8" w:rsidRPr="00D42F99" w14:paraId="4B844197"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57AEDFFC" w14:textId="77777777" w:rsidR="007400D8" w:rsidRPr="00D42F99" w:rsidRDefault="007400D8" w:rsidP="0087494D">
            <w:pPr>
              <w:spacing w:line="240" w:lineRule="auto"/>
              <w:rPr>
                <w:rFonts w:ascii="Calibri" w:eastAsia="Times New Roman" w:hAnsi="Calibri" w:cs="Times New Roman"/>
                <w:color w:val="000000"/>
              </w:rPr>
            </w:pPr>
            <w:proofErr w:type="spellStart"/>
            <w:r w:rsidRPr="00D42F99">
              <w:rPr>
                <w:rFonts w:ascii="Calibri" w:eastAsia="Times New Roman" w:hAnsi="Calibri" w:cs="Times New Roman"/>
                <w:color w:val="000000"/>
              </w:rPr>
              <w:lastRenderedPageBreak/>
              <w:t>Kebbi</w:t>
            </w:r>
            <w:proofErr w:type="spellEnd"/>
          </w:p>
        </w:tc>
        <w:tc>
          <w:tcPr>
            <w:tcW w:w="741" w:type="dxa"/>
            <w:tcBorders>
              <w:top w:val="nil"/>
              <w:left w:val="nil"/>
              <w:bottom w:val="nil"/>
              <w:right w:val="nil"/>
            </w:tcBorders>
            <w:shd w:val="clear" w:color="auto" w:fill="auto"/>
            <w:noWrap/>
            <w:vAlign w:val="bottom"/>
            <w:hideMark/>
          </w:tcPr>
          <w:p w14:paraId="6AD3A2DB"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0.32</w:t>
            </w:r>
          </w:p>
        </w:tc>
        <w:tc>
          <w:tcPr>
            <w:tcW w:w="1456" w:type="dxa"/>
            <w:tcBorders>
              <w:top w:val="nil"/>
              <w:left w:val="nil"/>
              <w:bottom w:val="nil"/>
              <w:right w:val="nil"/>
            </w:tcBorders>
            <w:shd w:val="clear" w:color="auto" w:fill="auto"/>
            <w:noWrap/>
            <w:vAlign w:val="bottom"/>
            <w:hideMark/>
          </w:tcPr>
          <w:p w14:paraId="541BA35E"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(0.26 - 0.40)</w:t>
            </w:r>
          </w:p>
        </w:tc>
        <w:tc>
          <w:tcPr>
            <w:tcW w:w="741" w:type="dxa"/>
            <w:tcBorders>
              <w:top w:val="nil"/>
              <w:left w:val="nil"/>
              <w:bottom w:val="nil"/>
              <w:right w:val="nil"/>
            </w:tcBorders>
            <w:shd w:val="clear" w:color="auto" w:fill="auto"/>
            <w:noWrap/>
            <w:vAlign w:val="bottom"/>
            <w:hideMark/>
          </w:tcPr>
          <w:p w14:paraId="43573812"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0.59</w:t>
            </w:r>
          </w:p>
        </w:tc>
        <w:tc>
          <w:tcPr>
            <w:tcW w:w="1414" w:type="dxa"/>
            <w:tcBorders>
              <w:top w:val="nil"/>
              <w:left w:val="nil"/>
              <w:bottom w:val="nil"/>
              <w:right w:val="nil"/>
            </w:tcBorders>
            <w:shd w:val="clear" w:color="auto" w:fill="auto"/>
            <w:noWrap/>
            <w:vAlign w:val="bottom"/>
            <w:hideMark/>
          </w:tcPr>
          <w:p w14:paraId="040EEC1A"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(0.49 - 0.69)</w:t>
            </w:r>
          </w:p>
        </w:tc>
      </w:tr>
      <w:tr w:rsidR="007400D8" w:rsidRPr="00D42F99" w14:paraId="34744B50"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2BD514C6" w14:textId="77777777" w:rsidR="007400D8" w:rsidRPr="00D42F99" w:rsidRDefault="007400D8" w:rsidP="0087494D">
            <w:pPr>
              <w:spacing w:line="240" w:lineRule="auto"/>
              <w:rPr>
                <w:rFonts w:ascii="Calibri" w:eastAsia="Times New Roman" w:hAnsi="Calibri" w:cs="Times New Roman"/>
                <w:color w:val="000000"/>
              </w:rPr>
            </w:pPr>
            <w:r w:rsidRPr="00D42F99">
              <w:rPr>
                <w:rFonts w:ascii="Calibri" w:eastAsia="Times New Roman" w:hAnsi="Calibri" w:cs="Times New Roman"/>
                <w:color w:val="000000"/>
              </w:rPr>
              <w:t>Niger</w:t>
            </w:r>
          </w:p>
        </w:tc>
        <w:tc>
          <w:tcPr>
            <w:tcW w:w="741" w:type="dxa"/>
            <w:tcBorders>
              <w:top w:val="nil"/>
              <w:left w:val="nil"/>
              <w:bottom w:val="nil"/>
              <w:right w:val="nil"/>
            </w:tcBorders>
            <w:shd w:val="clear" w:color="auto" w:fill="auto"/>
            <w:noWrap/>
            <w:vAlign w:val="bottom"/>
            <w:hideMark/>
          </w:tcPr>
          <w:p w14:paraId="288ABE62"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0.42</w:t>
            </w:r>
          </w:p>
        </w:tc>
        <w:tc>
          <w:tcPr>
            <w:tcW w:w="1456" w:type="dxa"/>
            <w:tcBorders>
              <w:top w:val="nil"/>
              <w:left w:val="nil"/>
              <w:bottom w:val="nil"/>
              <w:right w:val="nil"/>
            </w:tcBorders>
            <w:shd w:val="clear" w:color="auto" w:fill="auto"/>
            <w:noWrap/>
            <w:vAlign w:val="bottom"/>
            <w:hideMark/>
          </w:tcPr>
          <w:p w14:paraId="6DB66FE5"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(0.36 - 0.47)</w:t>
            </w:r>
          </w:p>
        </w:tc>
        <w:tc>
          <w:tcPr>
            <w:tcW w:w="741" w:type="dxa"/>
            <w:tcBorders>
              <w:top w:val="nil"/>
              <w:left w:val="nil"/>
              <w:bottom w:val="nil"/>
              <w:right w:val="nil"/>
            </w:tcBorders>
            <w:shd w:val="clear" w:color="auto" w:fill="auto"/>
            <w:noWrap/>
            <w:vAlign w:val="bottom"/>
            <w:hideMark/>
          </w:tcPr>
          <w:p w14:paraId="0AEF8A2C"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0.59</w:t>
            </w:r>
          </w:p>
        </w:tc>
        <w:tc>
          <w:tcPr>
            <w:tcW w:w="1414" w:type="dxa"/>
            <w:tcBorders>
              <w:top w:val="nil"/>
              <w:left w:val="nil"/>
              <w:bottom w:val="nil"/>
              <w:right w:val="nil"/>
            </w:tcBorders>
            <w:shd w:val="clear" w:color="auto" w:fill="auto"/>
            <w:noWrap/>
            <w:vAlign w:val="bottom"/>
            <w:hideMark/>
          </w:tcPr>
          <w:p w14:paraId="229475B4"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(0.47 - 0.68)</w:t>
            </w:r>
          </w:p>
        </w:tc>
      </w:tr>
      <w:tr w:rsidR="007400D8" w:rsidRPr="00D42F99" w14:paraId="5FA0DFA0" w14:textId="77777777" w:rsidTr="0087494D">
        <w:trPr>
          <w:cantSplit/>
          <w:trHeight w:hRule="exact" w:val="331"/>
          <w:jc w:val="center"/>
        </w:trPr>
        <w:tc>
          <w:tcPr>
            <w:tcW w:w="1018" w:type="dxa"/>
            <w:tcBorders>
              <w:top w:val="nil"/>
              <w:left w:val="nil"/>
              <w:bottom w:val="nil"/>
              <w:right w:val="nil"/>
            </w:tcBorders>
            <w:shd w:val="clear" w:color="auto" w:fill="auto"/>
            <w:noWrap/>
            <w:vAlign w:val="bottom"/>
            <w:hideMark/>
          </w:tcPr>
          <w:p w14:paraId="6C7A1C7E" w14:textId="77777777" w:rsidR="007400D8" w:rsidRPr="00D42F99" w:rsidRDefault="007400D8" w:rsidP="0087494D">
            <w:pPr>
              <w:spacing w:line="240" w:lineRule="auto"/>
              <w:rPr>
                <w:rFonts w:ascii="Calibri" w:eastAsia="Times New Roman" w:hAnsi="Calibri" w:cs="Times New Roman"/>
                <w:color w:val="000000"/>
              </w:rPr>
            </w:pPr>
            <w:proofErr w:type="spellStart"/>
            <w:r w:rsidRPr="00D42F99">
              <w:rPr>
                <w:rFonts w:ascii="Calibri" w:eastAsia="Times New Roman" w:hAnsi="Calibri" w:cs="Times New Roman"/>
                <w:color w:val="000000"/>
              </w:rPr>
              <w:t>Sokoto</w:t>
            </w:r>
            <w:proofErr w:type="spellEnd"/>
          </w:p>
        </w:tc>
        <w:tc>
          <w:tcPr>
            <w:tcW w:w="741" w:type="dxa"/>
            <w:tcBorders>
              <w:top w:val="nil"/>
              <w:left w:val="nil"/>
              <w:bottom w:val="nil"/>
              <w:right w:val="nil"/>
            </w:tcBorders>
            <w:shd w:val="clear" w:color="auto" w:fill="auto"/>
            <w:noWrap/>
            <w:vAlign w:val="bottom"/>
            <w:hideMark/>
          </w:tcPr>
          <w:p w14:paraId="23A40536"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0.21</w:t>
            </w:r>
          </w:p>
        </w:tc>
        <w:tc>
          <w:tcPr>
            <w:tcW w:w="1456" w:type="dxa"/>
            <w:tcBorders>
              <w:top w:val="nil"/>
              <w:left w:val="nil"/>
              <w:bottom w:val="nil"/>
              <w:right w:val="nil"/>
            </w:tcBorders>
            <w:shd w:val="clear" w:color="auto" w:fill="auto"/>
            <w:noWrap/>
            <w:vAlign w:val="bottom"/>
            <w:hideMark/>
          </w:tcPr>
          <w:p w14:paraId="6668B09F"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(0.17 - 0.25)</w:t>
            </w:r>
          </w:p>
        </w:tc>
        <w:tc>
          <w:tcPr>
            <w:tcW w:w="741" w:type="dxa"/>
            <w:tcBorders>
              <w:top w:val="nil"/>
              <w:left w:val="nil"/>
              <w:bottom w:val="nil"/>
              <w:right w:val="nil"/>
            </w:tcBorders>
            <w:shd w:val="clear" w:color="auto" w:fill="auto"/>
            <w:noWrap/>
            <w:vAlign w:val="bottom"/>
            <w:hideMark/>
          </w:tcPr>
          <w:p w14:paraId="594CB2F4"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0.70</w:t>
            </w:r>
          </w:p>
        </w:tc>
        <w:tc>
          <w:tcPr>
            <w:tcW w:w="1414" w:type="dxa"/>
            <w:tcBorders>
              <w:top w:val="nil"/>
              <w:left w:val="nil"/>
              <w:bottom w:val="nil"/>
              <w:right w:val="nil"/>
            </w:tcBorders>
            <w:shd w:val="clear" w:color="auto" w:fill="auto"/>
            <w:noWrap/>
            <w:vAlign w:val="bottom"/>
            <w:hideMark/>
          </w:tcPr>
          <w:p w14:paraId="6E7A29C2"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(0.62 - 0.79)</w:t>
            </w:r>
          </w:p>
        </w:tc>
      </w:tr>
      <w:tr w:rsidR="007400D8" w:rsidRPr="00D42F99" w14:paraId="4C29A6A8" w14:textId="77777777" w:rsidTr="0087494D">
        <w:trPr>
          <w:cantSplit/>
          <w:trHeight w:hRule="exact" w:val="331"/>
          <w:jc w:val="center"/>
        </w:trPr>
        <w:tc>
          <w:tcPr>
            <w:tcW w:w="1018" w:type="dxa"/>
            <w:tcBorders>
              <w:top w:val="nil"/>
              <w:left w:val="nil"/>
              <w:right w:val="nil"/>
            </w:tcBorders>
            <w:shd w:val="clear" w:color="auto" w:fill="auto"/>
            <w:noWrap/>
            <w:vAlign w:val="bottom"/>
            <w:hideMark/>
          </w:tcPr>
          <w:p w14:paraId="39AFE966" w14:textId="77777777" w:rsidR="007400D8" w:rsidRPr="00D42F99" w:rsidRDefault="007400D8" w:rsidP="0087494D">
            <w:pPr>
              <w:spacing w:line="240" w:lineRule="auto"/>
              <w:rPr>
                <w:rFonts w:ascii="Calibri" w:eastAsia="Times New Roman" w:hAnsi="Calibri" w:cs="Times New Roman"/>
                <w:color w:val="000000"/>
              </w:rPr>
            </w:pPr>
            <w:proofErr w:type="spellStart"/>
            <w:r w:rsidRPr="00D42F99">
              <w:rPr>
                <w:rFonts w:ascii="Calibri" w:eastAsia="Times New Roman" w:hAnsi="Calibri" w:cs="Times New Roman"/>
                <w:color w:val="000000"/>
              </w:rPr>
              <w:t>Yobe</w:t>
            </w:r>
            <w:proofErr w:type="spellEnd"/>
          </w:p>
        </w:tc>
        <w:tc>
          <w:tcPr>
            <w:tcW w:w="741" w:type="dxa"/>
            <w:tcBorders>
              <w:top w:val="nil"/>
              <w:left w:val="nil"/>
              <w:right w:val="nil"/>
            </w:tcBorders>
            <w:shd w:val="clear" w:color="auto" w:fill="auto"/>
            <w:noWrap/>
            <w:vAlign w:val="bottom"/>
            <w:hideMark/>
          </w:tcPr>
          <w:p w14:paraId="2C99B397"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0.23</w:t>
            </w:r>
          </w:p>
        </w:tc>
        <w:tc>
          <w:tcPr>
            <w:tcW w:w="1456" w:type="dxa"/>
            <w:tcBorders>
              <w:top w:val="nil"/>
              <w:left w:val="nil"/>
              <w:right w:val="nil"/>
            </w:tcBorders>
            <w:shd w:val="clear" w:color="auto" w:fill="auto"/>
            <w:noWrap/>
            <w:vAlign w:val="bottom"/>
            <w:hideMark/>
          </w:tcPr>
          <w:p w14:paraId="1F8B70EA"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(0.18 - 0.28)</w:t>
            </w:r>
          </w:p>
        </w:tc>
        <w:tc>
          <w:tcPr>
            <w:tcW w:w="741" w:type="dxa"/>
            <w:tcBorders>
              <w:top w:val="nil"/>
              <w:left w:val="nil"/>
              <w:right w:val="nil"/>
            </w:tcBorders>
            <w:shd w:val="clear" w:color="auto" w:fill="auto"/>
            <w:noWrap/>
            <w:vAlign w:val="bottom"/>
            <w:hideMark/>
          </w:tcPr>
          <w:p w14:paraId="4377784E"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0.43</w:t>
            </w:r>
          </w:p>
        </w:tc>
        <w:tc>
          <w:tcPr>
            <w:tcW w:w="1414" w:type="dxa"/>
            <w:tcBorders>
              <w:top w:val="nil"/>
              <w:left w:val="nil"/>
              <w:right w:val="nil"/>
            </w:tcBorders>
            <w:shd w:val="clear" w:color="auto" w:fill="auto"/>
            <w:noWrap/>
            <w:vAlign w:val="bottom"/>
            <w:hideMark/>
          </w:tcPr>
          <w:p w14:paraId="594F241F"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(0.33 - 0.54)</w:t>
            </w:r>
          </w:p>
        </w:tc>
      </w:tr>
      <w:tr w:rsidR="007400D8" w:rsidRPr="00D42F99" w14:paraId="04116E1A" w14:textId="77777777" w:rsidTr="0087494D">
        <w:trPr>
          <w:cantSplit/>
          <w:trHeight w:hRule="exact" w:val="331"/>
          <w:jc w:val="center"/>
        </w:trPr>
        <w:tc>
          <w:tcPr>
            <w:tcW w:w="1018" w:type="dxa"/>
            <w:tcBorders>
              <w:top w:val="nil"/>
              <w:left w:val="nil"/>
              <w:bottom w:val="single" w:sz="18" w:space="0" w:color="auto"/>
              <w:right w:val="nil"/>
            </w:tcBorders>
            <w:shd w:val="clear" w:color="auto" w:fill="auto"/>
            <w:noWrap/>
            <w:vAlign w:val="bottom"/>
            <w:hideMark/>
          </w:tcPr>
          <w:p w14:paraId="74EB5C5C" w14:textId="77777777" w:rsidR="007400D8" w:rsidRPr="00D42F99" w:rsidRDefault="007400D8" w:rsidP="0087494D">
            <w:pPr>
              <w:spacing w:line="240" w:lineRule="auto"/>
              <w:rPr>
                <w:rFonts w:ascii="Calibri" w:eastAsia="Times New Roman" w:hAnsi="Calibri" w:cs="Times New Roman"/>
                <w:color w:val="000000"/>
              </w:rPr>
            </w:pPr>
            <w:proofErr w:type="spellStart"/>
            <w:r w:rsidRPr="00D42F99">
              <w:rPr>
                <w:rFonts w:ascii="Calibri" w:eastAsia="Times New Roman" w:hAnsi="Calibri" w:cs="Times New Roman"/>
                <w:color w:val="000000"/>
              </w:rPr>
              <w:t>Zamfara</w:t>
            </w:r>
            <w:proofErr w:type="spellEnd"/>
          </w:p>
        </w:tc>
        <w:tc>
          <w:tcPr>
            <w:tcW w:w="741" w:type="dxa"/>
            <w:tcBorders>
              <w:top w:val="nil"/>
              <w:left w:val="nil"/>
              <w:bottom w:val="single" w:sz="18" w:space="0" w:color="auto"/>
              <w:right w:val="nil"/>
            </w:tcBorders>
            <w:shd w:val="clear" w:color="auto" w:fill="auto"/>
            <w:noWrap/>
            <w:vAlign w:val="bottom"/>
            <w:hideMark/>
          </w:tcPr>
          <w:p w14:paraId="044333C1"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0.29</w:t>
            </w:r>
          </w:p>
        </w:tc>
        <w:tc>
          <w:tcPr>
            <w:tcW w:w="1456" w:type="dxa"/>
            <w:tcBorders>
              <w:top w:val="nil"/>
              <w:left w:val="nil"/>
              <w:bottom w:val="single" w:sz="18" w:space="0" w:color="auto"/>
              <w:right w:val="nil"/>
            </w:tcBorders>
            <w:shd w:val="clear" w:color="auto" w:fill="auto"/>
            <w:noWrap/>
            <w:vAlign w:val="bottom"/>
            <w:hideMark/>
          </w:tcPr>
          <w:p w14:paraId="21253008"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(0.24 - 0.36)</w:t>
            </w:r>
          </w:p>
        </w:tc>
        <w:tc>
          <w:tcPr>
            <w:tcW w:w="741" w:type="dxa"/>
            <w:tcBorders>
              <w:top w:val="nil"/>
              <w:left w:val="nil"/>
              <w:bottom w:val="single" w:sz="18" w:space="0" w:color="auto"/>
              <w:right w:val="nil"/>
            </w:tcBorders>
            <w:shd w:val="clear" w:color="auto" w:fill="auto"/>
            <w:noWrap/>
            <w:vAlign w:val="bottom"/>
            <w:hideMark/>
          </w:tcPr>
          <w:p w14:paraId="2AB0703C"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0.71</w:t>
            </w:r>
          </w:p>
        </w:tc>
        <w:tc>
          <w:tcPr>
            <w:tcW w:w="1414" w:type="dxa"/>
            <w:tcBorders>
              <w:top w:val="nil"/>
              <w:left w:val="nil"/>
              <w:bottom w:val="single" w:sz="18" w:space="0" w:color="auto"/>
              <w:right w:val="nil"/>
            </w:tcBorders>
            <w:shd w:val="clear" w:color="auto" w:fill="auto"/>
            <w:noWrap/>
            <w:vAlign w:val="bottom"/>
            <w:hideMark/>
          </w:tcPr>
          <w:p w14:paraId="4DCE72A8" w14:textId="77777777" w:rsidR="007400D8" w:rsidRPr="00D42F99" w:rsidRDefault="007400D8" w:rsidP="0087494D">
            <w:pPr>
              <w:spacing w:line="240" w:lineRule="auto"/>
              <w:jc w:val="center"/>
              <w:rPr>
                <w:rFonts w:ascii="Calibri" w:eastAsia="Times New Roman" w:hAnsi="Calibri" w:cs="Times New Roman"/>
                <w:color w:val="000000"/>
              </w:rPr>
            </w:pPr>
            <w:r w:rsidRPr="00D42F99">
              <w:rPr>
                <w:rFonts w:ascii="Calibri" w:eastAsia="Times New Roman" w:hAnsi="Calibri" w:cs="Times New Roman"/>
                <w:color w:val="000000"/>
              </w:rPr>
              <w:t>(0.59 - 0.83)</w:t>
            </w:r>
          </w:p>
        </w:tc>
      </w:tr>
    </w:tbl>
    <w:p w14:paraId="11E0B571" w14:textId="77777777" w:rsidR="007400D8" w:rsidRPr="007400D8" w:rsidRDefault="007400D8" w:rsidP="0087494D"/>
    <w:p w14:paraId="2D8925C7" w14:textId="77777777" w:rsidR="00A839F8" w:rsidRDefault="00A839F8" w:rsidP="00A839F8">
      <w:pPr>
        <w:pStyle w:val="Heading2"/>
      </w:pPr>
      <w:r>
        <w:t>LQAS comparison</w:t>
      </w:r>
    </w:p>
    <w:p w14:paraId="08E0A13C" w14:textId="53C89D4C" w:rsidR="00F96E4B" w:rsidRDefault="00F96E4B" w:rsidP="00085C9C">
      <w:r>
        <w:t>Following a vaccination campaign, independent surveyors go to 6 randomly chosen villages within a district and check the finger-marking of 10 children</w:t>
      </w:r>
      <w:r>
        <w:fldChar w:fldCharType="begin" w:fldLock="1"/>
      </w:r>
      <w:r w:rsidR="00914A52">
        <w:instrText>ADDIN CSL_CITATION { "citationItems" : [ { "id" : "ITEM-1", "itemData" : { "author" : [ { "dropping-particle" : "", "family" : "Organization", "given" : "World Health", "non-dropping-particle" : "", "parse-names" : false, "suffix" : "" } ], "container-title" : "Geneva, Switzerland", "id" : "ITEM-1", "issued" : { "date-parts" : [ [ "2012" ] ] }, "title" : "Assessing vaccination coverage levels using clustered Lot Quality Assurance Sampling: field manual\ufffdversion edited for the Global Polio Eradication Initiative (GPEI)", "type" : "article-journal" }, "uris" : [ "http://www.mendeley.com/documents/?uuid=2fd22905-bee4-4919-83dc-e7fb15ca4e8c" ] } ], "mendeley" : { "formattedCitation" : "[4]", "plainTextFormattedCitation" : "[4]", "previouslyFormattedCitation" : "[4]" }, "properties" : { "noteIndex" : 0 }, "schema" : "https://github.com/citation-style-language/schema/raw/master/csl-citation.json" }</w:instrText>
      </w:r>
      <w:r>
        <w:fldChar w:fldCharType="separate"/>
      </w:r>
      <w:r w:rsidR="008D4FD4" w:rsidRPr="008D4FD4">
        <w:rPr>
          <w:noProof/>
        </w:rPr>
        <w:t>[4]</w:t>
      </w:r>
      <w:r>
        <w:fldChar w:fldCharType="end"/>
      </w:r>
      <w:r>
        <w:t xml:space="preserve">. Only </w:t>
      </w:r>
      <w:proofErr w:type="gramStart"/>
      <w:r>
        <w:t>a subset of districts participating in a vaccination campaign are</w:t>
      </w:r>
      <w:proofErr w:type="gramEnd"/>
      <w:r>
        <w:t xml:space="preserve"> visited by LQAS surveyors. In the course of a year, most districts are visited by surveyors at least one time. We include LQAS surveys from 2009 through 2015 in our analysis.</w:t>
      </w:r>
    </w:p>
    <w:p w14:paraId="31D62AB8" w14:textId="270DB6E2" w:rsidR="003B00E5" w:rsidRPr="003B00E5" w:rsidRDefault="00085C9C" w:rsidP="0087494D">
      <w:r>
        <w:t xml:space="preserve">5770 </w:t>
      </w:r>
      <w:r w:rsidR="00F96E4B">
        <w:t>LQAS surveys were</w:t>
      </w:r>
      <w:r>
        <w:t xml:space="preserve"> matched</w:t>
      </w:r>
      <w:r w:rsidR="00F96E4B">
        <w:t xml:space="preserve"> (by SIA date and by LGA)</w:t>
      </w:r>
      <w:r>
        <w:t xml:space="preserve"> with calculated coverage, spanning years from 2009 to 2015, and </w:t>
      </w:r>
      <w:r w:rsidR="00F96E4B">
        <w:t xml:space="preserve">in </w:t>
      </w:r>
      <w:r>
        <w:t xml:space="preserve">the following states of Nigeria: Bauchi, </w:t>
      </w:r>
      <w:proofErr w:type="spellStart"/>
      <w:r>
        <w:t>Borno</w:t>
      </w:r>
      <w:proofErr w:type="spellEnd"/>
      <w:r>
        <w:t xml:space="preserve">, </w:t>
      </w:r>
      <w:proofErr w:type="spellStart"/>
      <w:r>
        <w:t>Jigawa</w:t>
      </w:r>
      <w:proofErr w:type="spellEnd"/>
      <w:r>
        <w:t xml:space="preserve">, Kaduna, Kano, </w:t>
      </w:r>
      <w:proofErr w:type="spellStart"/>
      <w:r>
        <w:t>Katsina</w:t>
      </w:r>
      <w:proofErr w:type="spellEnd"/>
      <w:r>
        <w:t xml:space="preserve">, </w:t>
      </w:r>
      <w:proofErr w:type="spellStart"/>
      <w:r>
        <w:t>Kebbi</w:t>
      </w:r>
      <w:proofErr w:type="spellEnd"/>
      <w:r>
        <w:t>, N</w:t>
      </w:r>
      <w:r w:rsidR="00F96E4B">
        <w:t xml:space="preserve">iger, </w:t>
      </w:r>
      <w:proofErr w:type="spellStart"/>
      <w:r w:rsidR="00F96E4B">
        <w:t>Sokoto</w:t>
      </w:r>
      <w:proofErr w:type="spellEnd"/>
      <w:r w:rsidR="00F96E4B">
        <w:t xml:space="preserve">, </w:t>
      </w:r>
      <w:proofErr w:type="spellStart"/>
      <w:r w:rsidR="00F96E4B">
        <w:t>Yobe</w:t>
      </w:r>
      <w:proofErr w:type="spellEnd"/>
      <w:r w:rsidR="00F96E4B">
        <w:t xml:space="preserve">, and </w:t>
      </w:r>
      <w:proofErr w:type="spellStart"/>
      <w:r w:rsidR="00F96E4B">
        <w:t>Zamfara</w:t>
      </w:r>
      <w:proofErr w:type="spellEnd"/>
      <w:r w:rsidR="00F96E4B">
        <w:t>.</w:t>
      </w:r>
      <w:r>
        <w:t xml:space="preserve"> </w:t>
      </w:r>
      <w:r w:rsidR="00F96E4B">
        <w:t xml:space="preserve">Since calculated campaign effectiveness is constant in a given year, </w:t>
      </w:r>
      <w:r>
        <w:t>all measurement</w:t>
      </w:r>
      <w:r w:rsidR="00F96E4B">
        <w:t>s</w:t>
      </w:r>
      <w:r>
        <w:t xml:space="preserve"> for a given LGA within a year will be matched to a single calculated coverage. </w:t>
      </w:r>
    </w:p>
    <w:p w14:paraId="15E6FB23" w14:textId="611A39C1" w:rsidR="003B00E5" w:rsidRPr="00617B01" w:rsidRDefault="003B00E5" w:rsidP="003B00E5">
      <w:pPr>
        <w:rPr>
          <w:b/>
        </w:rPr>
      </w:pPr>
      <w:r w:rsidRPr="00617B01">
        <w:rPr>
          <w:b/>
        </w:rPr>
        <w:t>Table</w:t>
      </w:r>
      <w:r w:rsidR="00F96E4B">
        <w:rPr>
          <w:b/>
        </w:rPr>
        <w:t xml:space="preserve"> S</w:t>
      </w:r>
      <w:r w:rsidR="00E871E6">
        <w:rPr>
          <w:b/>
        </w:rPr>
        <w:t>4</w:t>
      </w:r>
      <w:r w:rsidR="00F96E4B">
        <w:rPr>
          <w:b/>
        </w:rPr>
        <w:t xml:space="preserve"> -</w:t>
      </w:r>
      <w:r w:rsidRPr="00617B01">
        <w:rPr>
          <w:b/>
        </w:rPr>
        <w:t xml:space="preserve"> </w:t>
      </w:r>
      <w:r w:rsidR="00F96E4B">
        <w:rPr>
          <w:b/>
        </w:rPr>
        <w:t>A</w:t>
      </w:r>
      <w:r w:rsidRPr="00617B01">
        <w:rPr>
          <w:b/>
        </w:rPr>
        <w:t xml:space="preserve">verage bias and correlation coefficient, by state, </w:t>
      </w:r>
      <w:r w:rsidR="00F96E4B">
        <w:rPr>
          <w:b/>
        </w:rPr>
        <w:t>of matched LQAS surveys and calculate campaign effectiveness</w:t>
      </w:r>
    </w:p>
    <w:tbl>
      <w:tblPr>
        <w:tblStyle w:val="TableGrid"/>
        <w:tblW w:w="59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1260"/>
        <w:gridCol w:w="1700"/>
        <w:gridCol w:w="1260"/>
      </w:tblGrid>
      <w:tr w:rsidR="00B846D1" w:rsidRPr="00E322D5" w14:paraId="58553C57" w14:textId="77777777" w:rsidTr="00C93CCE">
        <w:trPr>
          <w:trHeight w:val="300"/>
          <w:jc w:val="center"/>
        </w:trPr>
        <w:tc>
          <w:tcPr>
            <w:tcW w:w="1700" w:type="dxa"/>
            <w:tcBorders>
              <w:top w:val="single" w:sz="18" w:space="0" w:color="auto"/>
              <w:bottom w:val="single" w:sz="2" w:space="0" w:color="auto"/>
            </w:tcBorders>
            <w:noWrap/>
            <w:hideMark/>
          </w:tcPr>
          <w:p w14:paraId="593D2ED4" w14:textId="77777777" w:rsidR="00B846D1" w:rsidRPr="0087494D" w:rsidRDefault="00B846D1" w:rsidP="00FB506B">
            <w:pPr>
              <w:rPr>
                <w:rFonts w:ascii="Calibri" w:eastAsia="Times New Roman" w:hAnsi="Calibri" w:cs="Times New Roman"/>
                <w:b/>
                <w:color w:val="000000"/>
              </w:rPr>
            </w:pPr>
            <w:r w:rsidRPr="0087494D">
              <w:rPr>
                <w:rFonts w:ascii="Calibri" w:eastAsia="Times New Roman" w:hAnsi="Calibri" w:cs="Times New Roman"/>
                <w:b/>
                <w:color w:val="000000"/>
              </w:rPr>
              <w:t>State</w:t>
            </w:r>
          </w:p>
        </w:tc>
        <w:tc>
          <w:tcPr>
            <w:tcW w:w="1260" w:type="dxa"/>
            <w:tcBorders>
              <w:top w:val="single" w:sz="18" w:space="0" w:color="auto"/>
              <w:bottom w:val="single" w:sz="2" w:space="0" w:color="auto"/>
            </w:tcBorders>
            <w:noWrap/>
            <w:hideMark/>
          </w:tcPr>
          <w:p w14:paraId="1B3A4EF0" w14:textId="77777777" w:rsidR="00B846D1" w:rsidRPr="0087494D" w:rsidRDefault="00B846D1" w:rsidP="00FB506B">
            <w:pPr>
              <w:jc w:val="center"/>
              <w:rPr>
                <w:rFonts w:ascii="Calibri" w:eastAsia="Times New Roman" w:hAnsi="Calibri" w:cs="Times New Roman"/>
                <w:b/>
                <w:color w:val="000000"/>
              </w:rPr>
            </w:pPr>
            <w:r w:rsidRPr="0087494D">
              <w:rPr>
                <w:rFonts w:ascii="Calibri" w:eastAsia="Times New Roman" w:hAnsi="Calibri" w:cs="Times New Roman"/>
                <w:b/>
                <w:color w:val="000000"/>
              </w:rPr>
              <w:t>Average bias</w:t>
            </w:r>
          </w:p>
        </w:tc>
        <w:tc>
          <w:tcPr>
            <w:tcW w:w="1700" w:type="dxa"/>
            <w:tcBorders>
              <w:top w:val="single" w:sz="18" w:space="0" w:color="auto"/>
              <w:bottom w:val="single" w:sz="2" w:space="0" w:color="auto"/>
            </w:tcBorders>
            <w:noWrap/>
            <w:hideMark/>
          </w:tcPr>
          <w:p w14:paraId="26F31173" w14:textId="77777777" w:rsidR="00B846D1" w:rsidRPr="0087494D" w:rsidRDefault="00B846D1" w:rsidP="00FB506B">
            <w:pPr>
              <w:jc w:val="center"/>
              <w:rPr>
                <w:rFonts w:ascii="Calibri" w:eastAsia="Times New Roman" w:hAnsi="Calibri" w:cs="Times New Roman"/>
                <w:b/>
                <w:color w:val="000000"/>
              </w:rPr>
            </w:pPr>
            <w:r w:rsidRPr="0087494D">
              <w:rPr>
                <w:rFonts w:ascii="Calibri" w:eastAsia="Times New Roman" w:hAnsi="Calibri" w:cs="Times New Roman"/>
                <w:b/>
                <w:color w:val="000000"/>
              </w:rPr>
              <w:t>Correlation coefficient</w:t>
            </w:r>
          </w:p>
        </w:tc>
        <w:tc>
          <w:tcPr>
            <w:tcW w:w="1260" w:type="dxa"/>
            <w:tcBorders>
              <w:top w:val="single" w:sz="18" w:space="0" w:color="auto"/>
              <w:bottom w:val="single" w:sz="2" w:space="0" w:color="auto"/>
            </w:tcBorders>
          </w:tcPr>
          <w:p w14:paraId="20903BDC" w14:textId="77777777" w:rsidR="00B846D1" w:rsidRPr="0087494D" w:rsidRDefault="00B846D1" w:rsidP="00FB506B">
            <w:pPr>
              <w:jc w:val="center"/>
              <w:rPr>
                <w:rFonts w:ascii="Calibri" w:eastAsia="Times New Roman" w:hAnsi="Calibri" w:cs="Times New Roman"/>
                <w:b/>
                <w:color w:val="000000"/>
              </w:rPr>
            </w:pPr>
            <w:r w:rsidRPr="0087494D">
              <w:rPr>
                <w:rFonts w:ascii="Calibri" w:eastAsia="Times New Roman" w:hAnsi="Calibri" w:cs="Times New Roman"/>
                <w:b/>
                <w:color w:val="000000"/>
              </w:rPr>
              <w:t># of lots matched</w:t>
            </w:r>
          </w:p>
        </w:tc>
      </w:tr>
      <w:tr w:rsidR="00B846D1" w:rsidRPr="00E322D5" w14:paraId="3C4B822D" w14:textId="77777777" w:rsidTr="00C93CCE">
        <w:trPr>
          <w:trHeight w:val="300"/>
          <w:jc w:val="center"/>
        </w:trPr>
        <w:tc>
          <w:tcPr>
            <w:tcW w:w="1700" w:type="dxa"/>
            <w:tcBorders>
              <w:top w:val="single" w:sz="2" w:space="0" w:color="auto"/>
            </w:tcBorders>
            <w:noWrap/>
            <w:hideMark/>
          </w:tcPr>
          <w:p w14:paraId="58F8B224" w14:textId="77777777" w:rsidR="00B846D1" w:rsidRPr="00E322D5" w:rsidRDefault="00B846D1" w:rsidP="00FB506B">
            <w:pPr>
              <w:rPr>
                <w:rFonts w:ascii="Calibri" w:eastAsia="Times New Roman" w:hAnsi="Calibri" w:cs="Times New Roman"/>
                <w:color w:val="000000"/>
              </w:rPr>
            </w:pPr>
            <w:r w:rsidRPr="00E322D5">
              <w:rPr>
                <w:rFonts w:ascii="Calibri" w:eastAsia="Times New Roman" w:hAnsi="Calibri" w:cs="Times New Roman"/>
                <w:color w:val="000000"/>
              </w:rPr>
              <w:t>Bauchi</w:t>
            </w:r>
          </w:p>
        </w:tc>
        <w:tc>
          <w:tcPr>
            <w:tcW w:w="1260" w:type="dxa"/>
            <w:tcBorders>
              <w:top w:val="single" w:sz="2" w:space="0" w:color="auto"/>
            </w:tcBorders>
            <w:noWrap/>
            <w:hideMark/>
          </w:tcPr>
          <w:p w14:paraId="57D6F56E"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-52%</w:t>
            </w:r>
          </w:p>
        </w:tc>
        <w:tc>
          <w:tcPr>
            <w:tcW w:w="1700" w:type="dxa"/>
            <w:tcBorders>
              <w:top w:val="single" w:sz="2" w:space="0" w:color="auto"/>
            </w:tcBorders>
            <w:noWrap/>
            <w:hideMark/>
          </w:tcPr>
          <w:p w14:paraId="6C925B71"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0.29</w:t>
            </w:r>
          </w:p>
        </w:tc>
        <w:tc>
          <w:tcPr>
            <w:tcW w:w="1260" w:type="dxa"/>
            <w:tcBorders>
              <w:top w:val="single" w:sz="2" w:space="0" w:color="auto"/>
            </w:tcBorders>
          </w:tcPr>
          <w:p w14:paraId="17D0B20E"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368</w:t>
            </w:r>
          </w:p>
        </w:tc>
      </w:tr>
      <w:tr w:rsidR="00B846D1" w:rsidRPr="00E322D5" w14:paraId="2C303E03" w14:textId="77777777" w:rsidTr="00C93CCE">
        <w:trPr>
          <w:trHeight w:val="300"/>
          <w:jc w:val="center"/>
        </w:trPr>
        <w:tc>
          <w:tcPr>
            <w:tcW w:w="1700" w:type="dxa"/>
            <w:noWrap/>
            <w:hideMark/>
          </w:tcPr>
          <w:p w14:paraId="37CDCFF1" w14:textId="77777777" w:rsidR="00B846D1" w:rsidRPr="00E322D5" w:rsidRDefault="00B846D1" w:rsidP="00FB506B">
            <w:pPr>
              <w:rPr>
                <w:rFonts w:ascii="Calibri" w:eastAsia="Times New Roman" w:hAnsi="Calibri" w:cs="Times New Roman"/>
                <w:color w:val="000000"/>
              </w:rPr>
            </w:pPr>
            <w:proofErr w:type="spellStart"/>
            <w:r w:rsidRPr="00E322D5">
              <w:rPr>
                <w:rFonts w:ascii="Calibri" w:eastAsia="Times New Roman" w:hAnsi="Calibri" w:cs="Times New Roman"/>
                <w:color w:val="000000"/>
              </w:rPr>
              <w:t>Borno</w:t>
            </w:r>
            <w:proofErr w:type="spellEnd"/>
          </w:p>
        </w:tc>
        <w:tc>
          <w:tcPr>
            <w:tcW w:w="1260" w:type="dxa"/>
            <w:noWrap/>
            <w:hideMark/>
          </w:tcPr>
          <w:p w14:paraId="6DAF10FD"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-54%</w:t>
            </w:r>
          </w:p>
        </w:tc>
        <w:tc>
          <w:tcPr>
            <w:tcW w:w="1700" w:type="dxa"/>
            <w:noWrap/>
            <w:hideMark/>
          </w:tcPr>
          <w:p w14:paraId="702B9BD7"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0.28</w:t>
            </w:r>
          </w:p>
        </w:tc>
        <w:tc>
          <w:tcPr>
            <w:tcW w:w="1260" w:type="dxa"/>
          </w:tcPr>
          <w:p w14:paraId="1617DAC4"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433</w:t>
            </w:r>
          </w:p>
        </w:tc>
      </w:tr>
      <w:tr w:rsidR="00B846D1" w:rsidRPr="00E322D5" w14:paraId="2ECCB962" w14:textId="77777777" w:rsidTr="00C93CCE">
        <w:trPr>
          <w:trHeight w:val="300"/>
          <w:jc w:val="center"/>
        </w:trPr>
        <w:tc>
          <w:tcPr>
            <w:tcW w:w="1700" w:type="dxa"/>
            <w:noWrap/>
            <w:hideMark/>
          </w:tcPr>
          <w:p w14:paraId="51C7C464" w14:textId="77777777" w:rsidR="00B846D1" w:rsidRPr="00E322D5" w:rsidRDefault="00B846D1" w:rsidP="00FB506B">
            <w:pPr>
              <w:rPr>
                <w:rFonts w:ascii="Calibri" w:eastAsia="Times New Roman" w:hAnsi="Calibri" w:cs="Times New Roman"/>
                <w:color w:val="000000"/>
              </w:rPr>
            </w:pPr>
            <w:proofErr w:type="spellStart"/>
            <w:r w:rsidRPr="00E322D5">
              <w:rPr>
                <w:rFonts w:ascii="Calibri" w:eastAsia="Times New Roman" w:hAnsi="Calibri" w:cs="Times New Roman"/>
                <w:color w:val="000000"/>
              </w:rPr>
              <w:t>Jigawa</w:t>
            </w:r>
            <w:proofErr w:type="spellEnd"/>
          </w:p>
        </w:tc>
        <w:tc>
          <w:tcPr>
            <w:tcW w:w="1260" w:type="dxa"/>
            <w:noWrap/>
            <w:hideMark/>
          </w:tcPr>
          <w:p w14:paraId="77C61F38"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-23%</w:t>
            </w:r>
          </w:p>
        </w:tc>
        <w:tc>
          <w:tcPr>
            <w:tcW w:w="1700" w:type="dxa"/>
            <w:noWrap/>
            <w:hideMark/>
          </w:tcPr>
          <w:p w14:paraId="06A8A0F5"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0.41</w:t>
            </w:r>
          </w:p>
        </w:tc>
        <w:tc>
          <w:tcPr>
            <w:tcW w:w="1260" w:type="dxa"/>
          </w:tcPr>
          <w:p w14:paraId="6934EF49"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562</w:t>
            </w:r>
          </w:p>
        </w:tc>
      </w:tr>
      <w:tr w:rsidR="00B846D1" w:rsidRPr="00E322D5" w14:paraId="505B79F6" w14:textId="77777777" w:rsidTr="00C93CCE">
        <w:trPr>
          <w:trHeight w:val="300"/>
          <w:jc w:val="center"/>
        </w:trPr>
        <w:tc>
          <w:tcPr>
            <w:tcW w:w="1700" w:type="dxa"/>
            <w:noWrap/>
            <w:hideMark/>
          </w:tcPr>
          <w:p w14:paraId="7EF0B3B9" w14:textId="77777777" w:rsidR="00B846D1" w:rsidRPr="00E322D5" w:rsidRDefault="00B846D1" w:rsidP="00FB506B">
            <w:pPr>
              <w:rPr>
                <w:rFonts w:ascii="Calibri" w:eastAsia="Times New Roman" w:hAnsi="Calibri" w:cs="Times New Roman"/>
                <w:color w:val="000000"/>
              </w:rPr>
            </w:pPr>
            <w:r w:rsidRPr="00E322D5">
              <w:rPr>
                <w:rFonts w:ascii="Calibri" w:eastAsia="Times New Roman" w:hAnsi="Calibri" w:cs="Times New Roman"/>
                <w:color w:val="000000"/>
              </w:rPr>
              <w:t>Kaduna</w:t>
            </w:r>
          </w:p>
        </w:tc>
        <w:tc>
          <w:tcPr>
            <w:tcW w:w="1260" w:type="dxa"/>
            <w:noWrap/>
            <w:hideMark/>
          </w:tcPr>
          <w:p w14:paraId="732BB937"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-44%</w:t>
            </w:r>
          </w:p>
        </w:tc>
        <w:tc>
          <w:tcPr>
            <w:tcW w:w="1700" w:type="dxa"/>
            <w:noWrap/>
            <w:hideMark/>
          </w:tcPr>
          <w:p w14:paraId="6F6D5A4E"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0.29</w:t>
            </w:r>
          </w:p>
        </w:tc>
        <w:tc>
          <w:tcPr>
            <w:tcW w:w="1260" w:type="dxa"/>
          </w:tcPr>
          <w:p w14:paraId="78903C05"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458</w:t>
            </w:r>
          </w:p>
        </w:tc>
      </w:tr>
      <w:tr w:rsidR="00B846D1" w:rsidRPr="00E322D5" w14:paraId="4297DF83" w14:textId="77777777" w:rsidTr="00C93CCE">
        <w:trPr>
          <w:trHeight w:val="300"/>
          <w:jc w:val="center"/>
        </w:trPr>
        <w:tc>
          <w:tcPr>
            <w:tcW w:w="1700" w:type="dxa"/>
            <w:noWrap/>
            <w:hideMark/>
          </w:tcPr>
          <w:p w14:paraId="6062ACA7" w14:textId="77777777" w:rsidR="00B846D1" w:rsidRPr="00E322D5" w:rsidRDefault="00B846D1" w:rsidP="00FB506B">
            <w:pPr>
              <w:rPr>
                <w:rFonts w:ascii="Calibri" w:eastAsia="Times New Roman" w:hAnsi="Calibri" w:cs="Times New Roman"/>
                <w:color w:val="000000"/>
              </w:rPr>
            </w:pPr>
            <w:r w:rsidRPr="00E322D5">
              <w:rPr>
                <w:rFonts w:ascii="Calibri" w:eastAsia="Times New Roman" w:hAnsi="Calibri" w:cs="Times New Roman"/>
                <w:color w:val="000000"/>
              </w:rPr>
              <w:t>Kano</w:t>
            </w:r>
          </w:p>
        </w:tc>
        <w:tc>
          <w:tcPr>
            <w:tcW w:w="1260" w:type="dxa"/>
            <w:noWrap/>
            <w:hideMark/>
          </w:tcPr>
          <w:p w14:paraId="44867E26"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-31%</w:t>
            </w:r>
          </w:p>
        </w:tc>
        <w:tc>
          <w:tcPr>
            <w:tcW w:w="1700" w:type="dxa"/>
            <w:noWrap/>
            <w:hideMark/>
          </w:tcPr>
          <w:p w14:paraId="76A25ED4"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0.64</w:t>
            </w:r>
          </w:p>
        </w:tc>
        <w:tc>
          <w:tcPr>
            <w:tcW w:w="1260" w:type="dxa"/>
          </w:tcPr>
          <w:p w14:paraId="4511452E"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977</w:t>
            </w:r>
          </w:p>
        </w:tc>
      </w:tr>
      <w:tr w:rsidR="00B846D1" w:rsidRPr="00E322D5" w14:paraId="1DCDBDEB" w14:textId="77777777" w:rsidTr="00C93CCE">
        <w:trPr>
          <w:trHeight w:val="300"/>
          <w:jc w:val="center"/>
        </w:trPr>
        <w:tc>
          <w:tcPr>
            <w:tcW w:w="1700" w:type="dxa"/>
            <w:noWrap/>
            <w:hideMark/>
          </w:tcPr>
          <w:p w14:paraId="57666A59" w14:textId="77777777" w:rsidR="00B846D1" w:rsidRPr="00E322D5" w:rsidRDefault="00B846D1" w:rsidP="00FB506B">
            <w:pPr>
              <w:rPr>
                <w:rFonts w:ascii="Calibri" w:eastAsia="Times New Roman" w:hAnsi="Calibri" w:cs="Times New Roman"/>
                <w:color w:val="000000"/>
              </w:rPr>
            </w:pPr>
            <w:proofErr w:type="spellStart"/>
            <w:r w:rsidRPr="00E322D5">
              <w:rPr>
                <w:rFonts w:ascii="Calibri" w:eastAsia="Times New Roman" w:hAnsi="Calibri" w:cs="Times New Roman"/>
                <w:color w:val="000000"/>
              </w:rPr>
              <w:t>Katsina</w:t>
            </w:r>
            <w:proofErr w:type="spellEnd"/>
          </w:p>
        </w:tc>
        <w:tc>
          <w:tcPr>
            <w:tcW w:w="1260" w:type="dxa"/>
            <w:noWrap/>
            <w:hideMark/>
          </w:tcPr>
          <w:p w14:paraId="0F0AB64C"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-21%</w:t>
            </w:r>
          </w:p>
        </w:tc>
        <w:tc>
          <w:tcPr>
            <w:tcW w:w="1700" w:type="dxa"/>
            <w:noWrap/>
            <w:hideMark/>
          </w:tcPr>
          <w:p w14:paraId="29002C8C"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0.39</w:t>
            </w:r>
          </w:p>
        </w:tc>
        <w:tc>
          <w:tcPr>
            <w:tcW w:w="1260" w:type="dxa"/>
          </w:tcPr>
          <w:p w14:paraId="1C3E519D"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762</w:t>
            </w:r>
          </w:p>
        </w:tc>
      </w:tr>
      <w:tr w:rsidR="00B846D1" w:rsidRPr="00E322D5" w14:paraId="594E424B" w14:textId="77777777" w:rsidTr="00C93CCE">
        <w:trPr>
          <w:trHeight w:val="300"/>
          <w:jc w:val="center"/>
        </w:trPr>
        <w:tc>
          <w:tcPr>
            <w:tcW w:w="1700" w:type="dxa"/>
            <w:noWrap/>
            <w:hideMark/>
          </w:tcPr>
          <w:p w14:paraId="78FB9797" w14:textId="77777777" w:rsidR="00B846D1" w:rsidRPr="00E322D5" w:rsidRDefault="00B846D1" w:rsidP="00FB506B">
            <w:pPr>
              <w:rPr>
                <w:rFonts w:ascii="Calibri" w:eastAsia="Times New Roman" w:hAnsi="Calibri" w:cs="Times New Roman"/>
                <w:color w:val="000000"/>
              </w:rPr>
            </w:pPr>
            <w:proofErr w:type="spellStart"/>
            <w:r w:rsidRPr="00E322D5">
              <w:rPr>
                <w:rFonts w:ascii="Calibri" w:eastAsia="Times New Roman" w:hAnsi="Calibri" w:cs="Times New Roman"/>
                <w:color w:val="000000"/>
              </w:rPr>
              <w:t>Kebbi</w:t>
            </w:r>
            <w:proofErr w:type="spellEnd"/>
          </w:p>
        </w:tc>
        <w:tc>
          <w:tcPr>
            <w:tcW w:w="1260" w:type="dxa"/>
            <w:noWrap/>
            <w:hideMark/>
          </w:tcPr>
          <w:p w14:paraId="66F37709"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-34%</w:t>
            </w:r>
          </w:p>
        </w:tc>
        <w:tc>
          <w:tcPr>
            <w:tcW w:w="1700" w:type="dxa"/>
            <w:noWrap/>
            <w:hideMark/>
          </w:tcPr>
          <w:p w14:paraId="252A85CA"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0.32</w:t>
            </w:r>
          </w:p>
        </w:tc>
        <w:tc>
          <w:tcPr>
            <w:tcW w:w="1260" w:type="dxa"/>
          </w:tcPr>
          <w:p w14:paraId="293E624F"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438</w:t>
            </w:r>
          </w:p>
        </w:tc>
      </w:tr>
      <w:tr w:rsidR="00B846D1" w:rsidRPr="00E322D5" w14:paraId="4FCFDEBB" w14:textId="77777777" w:rsidTr="00C93CCE">
        <w:trPr>
          <w:trHeight w:val="300"/>
          <w:jc w:val="center"/>
        </w:trPr>
        <w:tc>
          <w:tcPr>
            <w:tcW w:w="1700" w:type="dxa"/>
            <w:noWrap/>
            <w:hideMark/>
          </w:tcPr>
          <w:p w14:paraId="2A523008" w14:textId="77777777" w:rsidR="00B846D1" w:rsidRPr="00E322D5" w:rsidRDefault="00B846D1" w:rsidP="00FB506B">
            <w:pPr>
              <w:rPr>
                <w:rFonts w:ascii="Calibri" w:eastAsia="Times New Roman" w:hAnsi="Calibri" w:cs="Times New Roman"/>
                <w:color w:val="000000"/>
              </w:rPr>
            </w:pPr>
            <w:r w:rsidRPr="00E322D5">
              <w:rPr>
                <w:rFonts w:ascii="Calibri" w:eastAsia="Times New Roman" w:hAnsi="Calibri" w:cs="Times New Roman"/>
                <w:color w:val="000000"/>
              </w:rPr>
              <w:t>Niger</w:t>
            </w:r>
          </w:p>
        </w:tc>
        <w:tc>
          <w:tcPr>
            <w:tcW w:w="1260" w:type="dxa"/>
            <w:noWrap/>
            <w:hideMark/>
          </w:tcPr>
          <w:p w14:paraId="2E097541"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-29%</w:t>
            </w:r>
          </w:p>
        </w:tc>
        <w:tc>
          <w:tcPr>
            <w:tcW w:w="1700" w:type="dxa"/>
            <w:noWrap/>
            <w:hideMark/>
          </w:tcPr>
          <w:p w14:paraId="3BE409FE"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0.24</w:t>
            </w:r>
          </w:p>
        </w:tc>
        <w:tc>
          <w:tcPr>
            <w:tcW w:w="1260" w:type="dxa"/>
          </w:tcPr>
          <w:p w14:paraId="216F8F0E"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452</w:t>
            </w:r>
          </w:p>
        </w:tc>
      </w:tr>
      <w:tr w:rsidR="00B846D1" w:rsidRPr="00E322D5" w14:paraId="0D964DC5" w14:textId="77777777" w:rsidTr="00C93CCE">
        <w:trPr>
          <w:trHeight w:val="300"/>
          <w:jc w:val="center"/>
        </w:trPr>
        <w:tc>
          <w:tcPr>
            <w:tcW w:w="1700" w:type="dxa"/>
            <w:noWrap/>
            <w:hideMark/>
          </w:tcPr>
          <w:p w14:paraId="74A0932F" w14:textId="77777777" w:rsidR="00B846D1" w:rsidRPr="00E322D5" w:rsidRDefault="00B846D1" w:rsidP="00FB506B">
            <w:pPr>
              <w:rPr>
                <w:rFonts w:ascii="Calibri" w:eastAsia="Times New Roman" w:hAnsi="Calibri" w:cs="Times New Roman"/>
                <w:color w:val="000000"/>
              </w:rPr>
            </w:pPr>
            <w:proofErr w:type="spellStart"/>
            <w:r w:rsidRPr="00E322D5">
              <w:rPr>
                <w:rFonts w:ascii="Calibri" w:eastAsia="Times New Roman" w:hAnsi="Calibri" w:cs="Times New Roman"/>
                <w:color w:val="000000"/>
              </w:rPr>
              <w:t>Sokoto</w:t>
            </w:r>
            <w:proofErr w:type="spellEnd"/>
          </w:p>
        </w:tc>
        <w:tc>
          <w:tcPr>
            <w:tcW w:w="1260" w:type="dxa"/>
            <w:noWrap/>
            <w:hideMark/>
          </w:tcPr>
          <w:p w14:paraId="4F3B5774"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-23%</w:t>
            </w:r>
          </w:p>
        </w:tc>
        <w:tc>
          <w:tcPr>
            <w:tcW w:w="1700" w:type="dxa"/>
            <w:noWrap/>
            <w:hideMark/>
          </w:tcPr>
          <w:p w14:paraId="3296CDD7"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0.46</w:t>
            </w:r>
          </w:p>
        </w:tc>
        <w:tc>
          <w:tcPr>
            <w:tcW w:w="1260" w:type="dxa"/>
          </w:tcPr>
          <w:p w14:paraId="29B1304A"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549</w:t>
            </w:r>
          </w:p>
        </w:tc>
      </w:tr>
      <w:tr w:rsidR="00B846D1" w:rsidRPr="00E322D5" w14:paraId="36B3E34F" w14:textId="77777777" w:rsidTr="00C93CCE">
        <w:trPr>
          <w:trHeight w:val="300"/>
          <w:jc w:val="center"/>
        </w:trPr>
        <w:tc>
          <w:tcPr>
            <w:tcW w:w="1700" w:type="dxa"/>
            <w:noWrap/>
            <w:hideMark/>
          </w:tcPr>
          <w:p w14:paraId="5A322B99" w14:textId="77777777" w:rsidR="00B846D1" w:rsidRPr="00E322D5" w:rsidRDefault="00B846D1" w:rsidP="00FB506B">
            <w:pPr>
              <w:rPr>
                <w:rFonts w:ascii="Calibri" w:eastAsia="Times New Roman" w:hAnsi="Calibri" w:cs="Times New Roman"/>
                <w:color w:val="000000"/>
              </w:rPr>
            </w:pPr>
            <w:proofErr w:type="spellStart"/>
            <w:r w:rsidRPr="00E322D5">
              <w:rPr>
                <w:rFonts w:ascii="Calibri" w:eastAsia="Times New Roman" w:hAnsi="Calibri" w:cs="Times New Roman"/>
                <w:color w:val="000000"/>
              </w:rPr>
              <w:t>Yobe</w:t>
            </w:r>
            <w:proofErr w:type="spellEnd"/>
          </w:p>
        </w:tc>
        <w:tc>
          <w:tcPr>
            <w:tcW w:w="1260" w:type="dxa"/>
            <w:noWrap/>
            <w:hideMark/>
          </w:tcPr>
          <w:p w14:paraId="51BF6CCA"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-44%</w:t>
            </w:r>
          </w:p>
        </w:tc>
        <w:tc>
          <w:tcPr>
            <w:tcW w:w="1700" w:type="dxa"/>
            <w:noWrap/>
            <w:hideMark/>
          </w:tcPr>
          <w:p w14:paraId="37BD63EA"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0.48</w:t>
            </w:r>
          </w:p>
        </w:tc>
        <w:tc>
          <w:tcPr>
            <w:tcW w:w="1260" w:type="dxa"/>
          </w:tcPr>
          <w:p w14:paraId="0A493CF3"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407</w:t>
            </w:r>
          </w:p>
        </w:tc>
      </w:tr>
      <w:tr w:rsidR="00B846D1" w:rsidRPr="00E322D5" w14:paraId="159E1ED0" w14:textId="77777777" w:rsidTr="00C93CCE">
        <w:trPr>
          <w:trHeight w:val="300"/>
          <w:jc w:val="center"/>
        </w:trPr>
        <w:tc>
          <w:tcPr>
            <w:tcW w:w="1700" w:type="dxa"/>
            <w:tcBorders>
              <w:bottom w:val="single" w:sz="18" w:space="0" w:color="auto"/>
            </w:tcBorders>
            <w:noWrap/>
            <w:hideMark/>
          </w:tcPr>
          <w:p w14:paraId="2E242DE9" w14:textId="77777777" w:rsidR="00B846D1" w:rsidRPr="00E322D5" w:rsidRDefault="00B846D1" w:rsidP="00FB506B">
            <w:pPr>
              <w:rPr>
                <w:rFonts w:ascii="Calibri" w:eastAsia="Times New Roman" w:hAnsi="Calibri" w:cs="Times New Roman"/>
                <w:color w:val="000000"/>
              </w:rPr>
            </w:pPr>
            <w:proofErr w:type="spellStart"/>
            <w:r w:rsidRPr="00E322D5">
              <w:rPr>
                <w:rFonts w:ascii="Calibri" w:eastAsia="Times New Roman" w:hAnsi="Calibri" w:cs="Times New Roman"/>
                <w:color w:val="000000"/>
              </w:rPr>
              <w:t>Zamfara</w:t>
            </w:r>
            <w:proofErr w:type="spellEnd"/>
          </w:p>
        </w:tc>
        <w:tc>
          <w:tcPr>
            <w:tcW w:w="1260" w:type="dxa"/>
            <w:tcBorders>
              <w:bottom w:val="single" w:sz="18" w:space="0" w:color="auto"/>
            </w:tcBorders>
            <w:noWrap/>
            <w:hideMark/>
          </w:tcPr>
          <w:p w14:paraId="3D01FFD0"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-30%</w:t>
            </w:r>
          </w:p>
        </w:tc>
        <w:tc>
          <w:tcPr>
            <w:tcW w:w="1700" w:type="dxa"/>
            <w:tcBorders>
              <w:bottom w:val="single" w:sz="18" w:space="0" w:color="auto"/>
            </w:tcBorders>
            <w:noWrap/>
            <w:hideMark/>
          </w:tcPr>
          <w:p w14:paraId="10BFA2EF" w14:textId="77777777" w:rsidR="00B846D1" w:rsidRPr="00E322D5" w:rsidRDefault="00B846D1" w:rsidP="00FB506B">
            <w:pPr>
              <w:jc w:val="center"/>
              <w:rPr>
                <w:rFonts w:ascii="Calibri" w:eastAsia="Times New Roman" w:hAnsi="Calibri" w:cs="Times New Roman"/>
                <w:color w:val="000000"/>
              </w:rPr>
            </w:pPr>
            <w:r w:rsidRPr="00E322D5">
              <w:rPr>
                <w:rFonts w:ascii="Calibri" w:eastAsia="Times New Roman" w:hAnsi="Calibri" w:cs="Times New Roman"/>
                <w:color w:val="000000"/>
              </w:rPr>
              <w:t>0.33</w:t>
            </w:r>
          </w:p>
        </w:tc>
        <w:tc>
          <w:tcPr>
            <w:tcW w:w="1260" w:type="dxa"/>
            <w:tcBorders>
              <w:bottom w:val="single" w:sz="18" w:space="0" w:color="auto"/>
            </w:tcBorders>
          </w:tcPr>
          <w:p w14:paraId="31689EBA" w14:textId="77777777" w:rsidR="00B846D1" w:rsidRPr="00E322D5" w:rsidRDefault="00B846D1" w:rsidP="00FB506B">
            <w:pPr>
              <w:jc w:val="center"/>
              <w:rPr>
                <w:rFonts w:ascii="Calibri" w:eastAsia="Times New Roman" w:hAnsi="Calibri" w:cs="Times New Roman"/>
                <w:color w:val="000000"/>
              </w:rPr>
            </w:pPr>
            <w:r>
              <w:rPr>
                <w:rFonts w:ascii="Calibri" w:eastAsia="Times New Roman" w:hAnsi="Calibri" w:cs="Times New Roman"/>
                <w:color w:val="000000"/>
              </w:rPr>
              <w:t>364</w:t>
            </w:r>
          </w:p>
        </w:tc>
      </w:tr>
    </w:tbl>
    <w:p w14:paraId="26347A68" w14:textId="77777777" w:rsidR="00FA5B5F" w:rsidRDefault="00FA5B5F" w:rsidP="003B00E5"/>
    <w:p w14:paraId="767DCCED" w14:textId="4F305E54" w:rsidR="00085C9C" w:rsidRDefault="00085C9C" w:rsidP="003B00E5">
      <w:r>
        <w:t xml:space="preserve">The bias between calculated coverage and LQAS coverage varies from state to state, from -21% in </w:t>
      </w:r>
      <w:proofErr w:type="spellStart"/>
      <w:r>
        <w:t>Katsina</w:t>
      </w:r>
      <w:proofErr w:type="spellEnd"/>
      <w:r>
        <w:t xml:space="preserve"> to -54% in </w:t>
      </w:r>
      <w:proofErr w:type="spellStart"/>
      <w:r>
        <w:t>Borno</w:t>
      </w:r>
      <w:proofErr w:type="spellEnd"/>
      <w:r w:rsidR="00FA5B5F">
        <w:t xml:space="preserve"> (Table S</w:t>
      </w:r>
      <w:r w:rsidR="00E871E6">
        <w:t>4</w:t>
      </w:r>
      <w:r w:rsidR="00FA5B5F">
        <w:t>)</w:t>
      </w:r>
      <w:r>
        <w:t xml:space="preserve">. The correlation coefficient also varies, from 0.24 in Niger state to 0.64 in Kano state. All p-values are less than </w:t>
      </w:r>
      <w:r w:rsidR="00E871E6">
        <w:t>0.001</w:t>
      </w:r>
      <w:r>
        <w:t>.</w:t>
      </w:r>
    </w:p>
    <w:p w14:paraId="164F6C31" w14:textId="0D9F8BDE" w:rsidR="003B00E5" w:rsidRPr="009C56EA" w:rsidRDefault="003B00E5" w:rsidP="003B00E5">
      <w:pPr>
        <w:rPr>
          <w:b/>
        </w:rPr>
      </w:pPr>
      <w:r w:rsidRPr="009C56EA">
        <w:rPr>
          <w:b/>
        </w:rPr>
        <w:t>Table</w:t>
      </w:r>
      <w:r w:rsidR="00F96E4B">
        <w:rPr>
          <w:b/>
        </w:rPr>
        <w:t xml:space="preserve"> S</w:t>
      </w:r>
      <w:r w:rsidR="00E871E6">
        <w:rPr>
          <w:b/>
        </w:rPr>
        <w:t>5</w:t>
      </w:r>
      <w:r w:rsidR="00F96E4B">
        <w:rPr>
          <w:b/>
        </w:rPr>
        <w:t xml:space="preserve"> -A</w:t>
      </w:r>
      <w:r w:rsidRPr="009C56EA">
        <w:rPr>
          <w:b/>
        </w:rPr>
        <w:t>verage bias and correlation coefficient, by age group</w:t>
      </w:r>
      <w:r w:rsidR="00F96E4B">
        <w:rPr>
          <w:b/>
        </w:rPr>
        <w:t>, of matched LQAS surveys and calculate campaign effectiveness</w:t>
      </w:r>
    </w:p>
    <w:tbl>
      <w:tblPr>
        <w:tblStyle w:val="TableGrid"/>
        <w:tblW w:w="7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2"/>
        <w:gridCol w:w="1528"/>
        <w:gridCol w:w="2062"/>
        <w:gridCol w:w="1528"/>
      </w:tblGrid>
      <w:tr w:rsidR="003B00E5" w:rsidRPr="00FA5B5F" w14:paraId="1F3D9801" w14:textId="77777777" w:rsidTr="0087494D">
        <w:trPr>
          <w:trHeight w:val="300"/>
          <w:jc w:val="center"/>
        </w:trPr>
        <w:tc>
          <w:tcPr>
            <w:tcW w:w="2062" w:type="dxa"/>
            <w:tcBorders>
              <w:top w:val="single" w:sz="18" w:space="0" w:color="auto"/>
              <w:bottom w:val="single" w:sz="4" w:space="0" w:color="auto"/>
            </w:tcBorders>
            <w:noWrap/>
            <w:hideMark/>
          </w:tcPr>
          <w:p w14:paraId="7FF65F1A" w14:textId="77777777" w:rsidR="003B00E5" w:rsidRPr="0087494D" w:rsidRDefault="003B00E5" w:rsidP="00FB506B">
            <w:pPr>
              <w:rPr>
                <w:rFonts w:ascii="Calibri" w:eastAsia="Times New Roman" w:hAnsi="Calibri" w:cs="Times New Roman"/>
                <w:b/>
                <w:color w:val="000000"/>
              </w:rPr>
            </w:pPr>
            <w:r w:rsidRPr="0087494D">
              <w:rPr>
                <w:rFonts w:ascii="Calibri" w:eastAsia="Times New Roman" w:hAnsi="Calibri" w:cs="Times New Roman"/>
                <w:b/>
                <w:color w:val="000000"/>
              </w:rPr>
              <w:lastRenderedPageBreak/>
              <w:t>Age group</w:t>
            </w:r>
          </w:p>
        </w:tc>
        <w:tc>
          <w:tcPr>
            <w:tcW w:w="1528" w:type="dxa"/>
            <w:tcBorders>
              <w:top w:val="single" w:sz="18" w:space="0" w:color="auto"/>
              <w:bottom w:val="single" w:sz="4" w:space="0" w:color="auto"/>
            </w:tcBorders>
            <w:noWrap/>
            <w:hideMark/>
          </w:tcPr>
          <w:p w14:paraId="29AB5757" w14:textId="77777777" w:rsidR="003B00E5" w:rsidRPr="0087494D" w:rsidRDefault="003B00E5" w:rsidP="00FB506B">
            <w:pPr>
              <w:jc w:val="center"/>
              <w:rPr>
                <w:rFonts w:ascii="Calibri" w:eastAsia="Times New Roman" w:hAnsi="Calibri" w:cs="Times New Roman"/>
                <w:b/>
                <w:color w:val="000000"/>
              </w:rPr>
            </w:pPr>
            <w:r w:rsidRPr="0087494D">
              <w:rPr>
                <w:rFonts w:ascii="Calibri" w:eastAsia="Times New Roman" w:hAnsi="Calibri" w:cs="Times New Roman"/>
                <w:b/>
                <w:color w:val="000000"/>
              </w:rPr>
              <w:t>Average bias</w:t>
            </w:r>
          </w:p>
        </w:tc>
        <w:tc>
          <w:tcPr>
            <w:tcW w:w="2062" w:type="dxa"/>
            <w:tcBorders>
              <w:top w:val="single" w:sz="18" w:space="0" w:color="auto"/>
              <w:bottom w:val="single" w:sz="4" w:space="0" w:color="auto"/>
            </w:tcBorders>
            <w:noWrap/>
            <w:hideMark/>
          </w:tcPr>
          <w:p w14:paraId="2D4277DA" w14:textId="77777777" w:rsidR="003B00E5" w:rsidRPr="0087494D" w:rsidRDefault="003B00E5" w:rsidP="00FB506B">
            <w:pPr>
              <w:jc w:val="center"/>
              <w:rPr>
                <w:rFonts w:ascii="Calibri" w:eastAsia="Times New Roman" w:hAnsi="Calibri" w:cs="Times New Roman"/>
                <w:b/>
                <w:color w:val="000000"/>
              </w:rPr>
            </w:pPr>
            <w:r w:rsidRPr="0087494D">
              <w:rPr>
                <w:rFonts w:ascii="Calibri" w:eastAsia="Times New Roman" w:hAnsi="Calibri" w:cs="Times New Roman"/>
                <w:b/>
                <w:color w:val="000000"/>
              </w:rPr>
              <w:t>Correlation coefficient</w:t>
            </w:r>
          </w:p>
        </w:tc>
        <w:tc>
          <w:tcPr>
            <w:tcW w:w="1528" w:type="dxa"/>
            <w:tcBorders>
              <w:top w:val="single" w:sz="18" w:space="0" w:color="auto"/>
              <w:bottom w:val="single" w:sz="4" w:space="0" w:color="auto"/>
            </w:tcBorders>
            <w:noWrap/>
            <w:hideMark/>
          </w:tcPr>
          <w:p w14:paraId="69FCB877" w14:textId="77777777" w:rsidR="003B00E5" w:rsidRPr="0087494D" w:rsidRDefault="003B00E5" w:rsidP="00FB506B">
            <w:pPr>
              <w:jc w:val="center"/>
              <w:rPr>
                <w:rFonts w:ascii="Calibri" w:eastAsia="Times New Roman" w:hAnsi="Calibri" w:cs="Times New Roman"/>
                <w:b/>
                <w:color w:val="000000"/>
              </w:rPr>
            </w:pPr>
            <w:r w:rsidRPr="0087494D">
              <w:rPr>
                <w:rFonts w:ascii="Calibri" w:eastAsia="Times New Roman" w:hAnsi="Calibri" w:cs="Times New Roman"/>
                <w:b/>
                <w:color w:val="000000"/>
              </w:rPr>
              <w:t>P-</w:t>
            </w:r>
            <w:proofErr w:type="spellStart"/>
            <w:r w:rsidRPr="0087494D">
              <w:rPr>
                <w:rFonts w:ascii="Calibri" w:eastAsia="Times New Roman" w:hAnsi="Calibri" w:cs="Times New Roman"/>
                <w:b/>
                <w:color w:val="000000"/>
              </w:rPr>
              <w:t>val</w:t>
            </w:r>
            <w:proofErr w:type="spellEnd"/>
          </w:p>
        </w:tc>
      </w:tr>
      <w:tr w:rsidR="003B00E5" w:rsidRPr="00E322D5" w14:paraId="43064986" w14:textId="77777777" w:rsidTr="0087494D">
        <w:trPr>
          <w:trHeight w:val="300"/>
          <w:jc w:val="center"/>
        </w:trPr>
        <w:tc>
          <w:tcPr>
            <w:tcW w:w="2062" w:type="dxa"/>
            <w:tcBorders>
              <w:top w:val="single" w:sz="4" w:space="0" w:color="auto"/>
            </w:tcBorders>
            <w:noWrap/>
            <w:hideMark/>
          </w:tcPr>
          <w:p w14:paraId="18FD31FC" w14:textId="77777777" w:rsidR="003B00E5" w:rsidRPr="00E322D5" w:rsidRDefault="003B00E5" w:rsidP="00FB506B">
            <w:pPr>
              <w:rPr>
                <w:rFonts w:ascii="Calibri" w:eastAsia="Times New Roman" w:hAnsi="Calibri" w:cs="Times New Roman"/>
                <w:color w:val="000000"/>
              </w:rPr>
            </w:pPr>
            <w:r>
              <w:rPr>
                <w:rFonts w:ascii="Calibri" w:eastAsia="Times New Roman" w:hAnsi="Calibri" w:cs="Times New Roman"/>
                <w:color w:val="000000"/>
              </w:rPr>
              <w:t>0-1 year olds</w:t>
            </w:r>
          </w:p>
        </w:tc>
        <w:tc>
          <w:tcPr>
            <w:tcW w:w="1528" w:type="dxa"/>
            <w:tcBorders>
              <w:top w:val="single" w:sz="4" w:space="0" w:color="auto"/>
            </w:tcBorders>
            <w:noWrap/>
            <w:hideMark/>
          </w:tcPr>
          <w:p w14:paraId="44735F4C"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-15</w:t>
            </w:r>
            <w:r w:rsidRPr="00E322D5">
              <w:rPr>
                <w:rFonts w:ascii="Calibri" w:eastAsia="Times New Roman" w:hAnsi="Calibri" w:cs="Times New Roman"/>
                <w:color w:val="000000"/>
              </w:rPr>
              <w:t>%</w:t>
            </w:r>
          </w:p>
        </w:tc>
        <w:tc>
          <w:tcPr>
            <w:tcW w:w="2062" w:type="dxa"/>
            <w:tcBorders>
              <w:top w:val="single" w:sz="4" w:space="0" w:color="auto"/>
            </w:tcBorders>
            <w:noWrap/>
            <w:hideMark/>
          </w:tcPr>
          <w:p w14:paraId="191BBCC8"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0.45</w:t>
            </w:r>
          </w:p>
        </w:tc>
        <w:tc>
          <w:tcPr>
            <w:tcW w:w="1528" w:type="dxa"/>
            <w:tcBorders>
              <w:top w:val="single" w:sz="4" w:space="0" w:color="auto"/>
            </w:tcBorders>
            <w:noWrap/>
            <w:hideMark/>
          </w:tcPr>
          <w:p w14:paraId="5825F3C9" w14:textId="722177E0" w:rsidR="003B00E5" w:rsidRPr="00E322D5" w:rsidRDefault="008B377D" w:rsidP="00FB506B">
            <w:pPr>
              <w:jc w:val="center"/>
              <w:rPr>
                <w:rFonts w:ascii="Calibri" w:eastAsia="Times New Roman" w:hAnsi="Calibri" w:cs="Times New Roman"/>
                <w:color w:val="000000"/>
              </w:rPr>
            </w:pPr>
            <w:r>
              <w:rPr>
                <w:rFonts w:ascii="Calibri" w:eastAsia="Times New Roman" w:hAnsi="Calibri" w:cs="Times New Roman"/>
                <w:color w:val="000000"/>
              </w:rPr>
              <w:t>&lt;0.001</w:t>
            </w:r>
          </w:p>
        </w:tc>
      </w:tr>
      <w:tr w:rsidR="003B00E5" w:rsidRPr="00E322D5" w14:paraId="401A5A9C" w14:textId="77777777" w:rsidTr="0087494D">
        <w:trPr>
          <w:trHeight w:val="300"/>
          <w:jc w:val="center"/>
        </w:trPr>
        <w:tc>
          <w:tcPr>
            <w:tcW w:w="2062" w:type="dxa"/>
            <w:noWrap/>
            <w:hideMark/>
          </w:tcPr>
          <w:p w14:paraId="633F7BE9" w14:textId="77777777" w:rsidR="003B00E5" w:rsidRPr="00E322D5" w:rsidRDefault="003B00E5" w:rsidP="00FB506B">
            <w:pPr>
              <w:rPr>
                <w:rFonts w:ascii="Calibri" w:eastAsia="Times New Roman" w:hAnsi="Calibri" w:cs="Times New Roman"/>
                <w:color w:val="000000"/>
              </w:rPr>
            </w:pPr>
            <w:r>
              <w:rPr>
                <w:rFonts w:ascii="Calibri" w:eastAsia="Times New Roman" w:hAnsi="Calibri" w:cs="Times New Roman"/>
                <w:color w:val="000000"/>
              </w:rPr>
              <w:t>1-2</w:t>
            </w:r>
          </w:p>
        </w:tc>
        <w:tc>
          <w:tcPr>
            <w:tcW w:w="1528" w:type="dxa"/>
            <w:noWrap/>
            <w:hideMark/>
          </w:tcPr>
          <w:p w14:paraId="15817882"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-28</w:t>
            </w:r>
            <w:r w:rsidRPr="00E322D5">
              <w:rPr>
                <w:rFonts w:ascii="Calibri" w:eastAsia="Times New Roman" w:hAnsi="Calibri" w:cs="Times New Roman"/>
                <w:color w:val="000000"/>
              </w:rPr>
              <w:t>%</w:t>
            </w:r>
          </w:p>
        </w:tc>
        <w:tc>
          <w:tcPr>
            <w:tcW w:w="2062" w:type="dxa"/>
            <w:noWrap/>
            <w:hideMark/>
          </w:tcPr>
          <w:p w14:paraId="22F8C50E"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0.43</w:t>
            </w:r>
          </w:p>
        </w:tc>
        <w:tc>
          <w:tcPr>
            <w:tcW w:w="1528" w:type="dxa"/>
            <w:noWrap/>
            <w:hideMark/>
          </w:tcPr>
          <w:p w14:paraId="3CAC7BE8" w14:textId="0900BA26" w:rsidR="003B00E5" w:rsidRPr="00E322D5" w:rsidRDefault="008B377D" w:rsidP="00FB506B">
            <w:pPr>
              <w:jc w:val="center"/>
              <w:rPr>
                <w:rFonts w:ascii="Calibri" w:eastAsia="Times New Roman" w:hAnsi="Calibri" w:cs="Times New Roman"/>
                <w:color w:val="000000"/>
              </w:rPr>
            </w:pPr>
            <w:r>
              <w:rPr>
                <w:rFonts w:ascii="Calibri" w:eastAsia="Times New Roman" w:hAnsi="Calibri" w:cs="Times New Roman"/>
                <w:color w:val="000000"/>
              </w:rPr>
              <w:t>&lt;0.001</w:t>
            </w:r>
          </w:p>
        </w:tc>
      </w:tr>
      <w:tr w:rsidR="003B00E5" w:rsidRPr="00E322D5" w14:paraId="385129F0" w14:textId="77777777" w:rsidTr="0087494D">
        <w:trPr>
          <w:trHeight w:val="300"/>
          <w:jc w:val="center"/>
        </w:trPr>
        <w:tc>
          <w:tcPr>
            <w:tcW w:w="2062" w:type="dxa"/>
            <w:noWrap/>
            <w:hideMark/>
          </w:tcPr>
          <w:p w14:paraId="4E12D8A8" w14:textId="77777777" w:rsidR="003B00E5" w:rsidRPr="00E322D5" w:rsidRDefault="003B00E5" w:rsidP="00FB506B">
            <w:pPr>
              <w:rPr>
                <w:rFonts w:ascii="Calibri" w:eastAsia="Times New Roman" w:hAnsi="Calibri" w:cs="Times New Roman"/>
                <w:color w:val="000000"/>
              </w:rPr>
            </w:pPr>
            <w:r>
              <w:rPr>
                <w:rFonts w:ascii="Calibri" w:eastAsia="Times New Roman" w:hAnsi="Calibri" w:cs="Times New Roman"/>
                <w:color w:val="000000"/>
              </w:rPr>
              <w:t>2-3</w:t>
            </w:r>
          </w:p>
        </w:tc>
        <w:tc>
          <w:tcPr>
            <w:tcW w:w="1528" w:type="dxa"/>
            <w:noWrap/>
            <w:hideMark/>
          </w:tcPr>
          <w:p w14:paraId="440E7188"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-43</w:t>
            </w:r>
            <w:r w:rsidRPr="00E322D5">
              <w:rPr>
                <w:rFonts w:ascii="Calibri" w:eastAsia="Times New Roman" w:hAnsi="Calibri" w:cs="Times New Roman"/>
                <w:color w:val="000000"/>
              </w:rPr>
              <w:t>%</w:t>
            </w:r>
          </w:p>
        </w:tc>
        <w:tc>
          <w:tcPr>
            <w:tcW w:w="2062" w:type="dxa"/>
            <w:noWrap/>
            <w:hideMark/>
          </w:tcPr>
          <w:p w14:paraId="792659B3"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0.38</w:t>
            </w:r>
          </w:p>
        </w:tc>
        <w:tc>
          <w:tcPr>
            <w:tcW w:w="1528" w:type="dxa"/>
            <w:noWrap/>
            <w:hideMark/>
          </w:tcPr>
          <w:p w14:paraId="4F4C2C6D" w14:textId="7BF1FB53" w:rsidR="003B00E5" w:rsidRPr="00E322D5" w:rsidRDefault="008B377D" w:rsidP="00FB506B">
            <w:pPr>
              <w:jc w:val="center"/>
              <w:rPr>
                <w:rFonts w:ascii="Calibri" w:eastAsia="Times New Roman" w:hAnsi="Calibri" w:cs="Times New Roman"/>
                <w:color w:val="000000"/>
              </w:rPr>
            </w:pPr>
            <w:r>
              <w:rPr>
                <w:rFonts w:ascii="Calibri" w:eastAsia="Times New Roman" w:hAnsi="Calibri" w:cs="Times New Roman"/>
                <w:color w:val="000000"/>
              </w:rPr>
              <w:t>&lt;0.001</w:t>
            </w:r>
          </w:p>
        </w:tc>
      </w:tr>
      <w:tr w:rsidR="003B00E5" w:rsidRPr="00E322D5" w14:paraId="6A8A3190" w14:textId="77777777" w:rsidTr="0087494D">
        <w:trPr>
          <w:trHeight w:val="300"/>
          <w:jc w:val="center"/>
        </w:trPr>
        <w:tc>
          <w:tcPr>
            <w:tcW w:w="2062" w:type="dxa"/>
            <w:noWrap/>
            <w:hideMark/>
          </w:tcPr>
          <w:p w14:paraId="1CC2BBF3" w14:textId="77777777" w:rsidR="003B00E5" w:rsidRPr="00E322D5" w:rsidRDefault="003B00E5" w:rsidP="00FB506B">
            <w:pPr>
              <w:rPr>
                <w:rFonts w:ascii="Calibri" w:eastAsia="Times New Roman" w:hAnsi="Calibri" w:cs="Times New Roman"/>
                <w:color w:val="000000"/>
              </w:rPr>
            </w:pPr>
            <w:r>
              <w:rPr>
                <w:rFonts w:ascii="Calibri" w:eastAsia="Times New Roman" w:hAnsi="Calibri" w:cs="Times New Roman"/>
                <w:color w:val="000000"/>
              </w:rPr>
              <w:t>3-4</w:t>
            </w:r>
          </w:p>
        </w:tc>
        <w:tc>
          <w:tcPr>
            <w:tcW w:w="1528" w:type="dxa"/>
            <w:noWrap/>
            <w:hideMark/>
          </w:tcPr>
          <w:p w14:paraId="75B111FF"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-38</w:t>
            </w:r>
            <w:r w:rsidRPr="00E322D5">
              <w:rPr>
                <w:rFonts w:ascii="Calibri" w:eastAsia="Times New Roman" w:hAnsi="Calibri" w:cs="Times New Roman"/>
                <w:color w:val="000000"/>
              </w:rPr>
              <w:t>%</w:t>
            </w:r>
          </w:p>
        </w:tc>
        <w:tc>
          <w:tcPr>
            <w:tcW w:w="2062" w:type="dxa"/>
            <w:noWrap/>
            <w:hideMark/>
          </w:tcPr>
          <w:p w14:paraId="250C50BC"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0.38</w:t>
            </w:r>
          </w:p>
        </w:tc>
        <w:tc>
          <w:tcPr>
            <w:tcW w:w="1528" w:type="dxa"/>
            <w:noWrap/>
            <w:hideMark/>
          </w:tcPr>
          <w:p w14:paraId="648201C1" w14:textId="0D438FD9" w:rsidR="003B00E5" w:rsidRPr="00E322D5" w:rsidRDefault="008B377D" w:rsidP="00FB506B">
            <w:pPr>
              <w:jc w:val="center"/>
              <w:rPr>
                <w:rFonts w:ascii="Calibri" w:eastAsia="Times New Roman" w:hAnsi="Calibri" w:cs="Times New Roman"/>
                <w:color w:val="000000"/>
              </w:rPr>
            </w:pPr>
            <w:r>
              <w:rPr>
                <w:rFonts w:ascii="Calibri" w:eastAsia="Times New Roman" w:hAnsi="Calibri" w:cs="Times New Roman"/>
                <w:color w:val="000000"/>
              </w:rPr>
              <w:t>&lt;0.001</w:t>
            </w:r>
          </w:p>
        </w:tc>
      </w:tr>
      <w:tr w:rsidR="003B00E5" w:rsidRPr="00E322D5" w14:paraId="4CA677A7" w14:textId="77777777" w:rsidTr="0087494D">
        <w:trPr>
          <w:trHeight w:val="300"/>
          <w:jc w:val="center"/>
        </w:trPr>
        <w:tc>
          <w:tcPr>
            <w:tcW w:w="2062" w:type="dxa"/>
            <w:tcBorders>
              <w:bottom w:val="single" w:sz="18" w:space="0" w:color="auto"/>
            </w:tcBorders>
            <w:noWrap/>
            <w:hideMark/>
          </w:tcPr>
          <w:p w14:paraId="529C4318" w14:textId="77777777" w:rsidR="003B00E5" w:rsidRPr="00E322D5" w:rsidRDefault="003B00E5" w:rsidP="00FB506B">
            <w:pPr>
              <w:rPr>
                <w:rFonts w:ascii="Calibri" w:eastAsia="Times New Roman" w:hAnsi="Calibri" w:cs="Times New Roman"/>
                <w:color w:val="000000"/>
              </w:rPr>
            </w:pPr>
            <w:r>
              <w:rPr>
                <w:rFonts w:ascii="Calibri" w:eastAsia="Times New Roman" w:hAnsi="Calibri" w:cs="Times New Roman"/>
                <w:color w:val="000000"/>
              </w:rPr>
              <w:t>4-5</w:t>
            </w:r>
          </w:p>
        </w:tc>
        <w:tc>
          <w:tcPr>
            <w:tcW w:w="1528" w:type="dxa"/>
            <w:tcBorders>
              <w:bottom w:val="single" w:sz="18" w:space="0" w:color="auto"/>
            </w:tcBorders>
            <w:noWrap/>
            <w:hideMark/>
          </w:tcPr>
          <w:p w14:paraId="4FC6CB21"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-37</w:t>
            </w:r>
            <w:r w:rsidRPr="00E322D5">
              <w:rPr>
                <w:rFonts w:ascii="Calibri" w:eastAsia="Times New Roman" w:hAnsi="Calibri" w:cs="Times New Roman"/>
                <w:color w:val="000000"/>
              </w:rPr>
              <w:t>%</w:t>
            </w:r>
          </w:p>
        </w:tc>
        <w:tc>
          <w:tcPr>
            <w:tcW w:w="2062" w:type="dxa"/>
            <w:tcBorders>
              <w:bottom w:val="single" w:sz="18" w:space="0" w:color="auto"/>
            </w:tcBorders>
            <w:noWrap/>
            <w:hideMark/>
          </w:tcPr>
          <w:p w14:paraId="186BA1E8" w14:textId="77777777" w:rsidR="003B00E5" w:rsidRPr="00E322D5" w:rsidRDefault="003B00E5" w:rsidP="00FB506B">
            <w:pPr>
              <w:jc w:val="center"/>
              <w:rPr>
                <w:rFonts w:ascii="Calibri" w:eastAsia="Times New Roman" w:hAnsi="Calibri" w:cs="Times New Roman"/>
                <w:color w:val="000000"/>
              </w:rPr>
            </w:pPr>
            <w:r>
              <w:rPr>
                <w:rFonts w:ascii="Calibri" w:eastAsia="Times New Roman" w:hAnsi="Calibri" w:cs="Times New Roman"/>
                <w:color w:val="000000"/>
              </w:rPr>
              <w:t>0.39</w:t>
            </w:r>
          </w:p>
        </w:tc>
        <w:tc>
          <w:tcPr>
            <w:tcW w:w="1528" w:type="dxa"/>
            <w:tcBorders>
              <w:bottom w:val="single" w:sz="18" w:space="0" w:color="auto"/>
            </w:tcBorders>
            <w:noWrap/>
            <w:hideMark/>
          </w:tcPr>
          <w:p w14:paraId="742F10DA" w14:textId="73F2327F" w:rsidR="003B00E5" w:rsidRPr="00E322D5" w:rsidRDefault="008B377D" w:rsidP="00FB506B">
            <w:pPr>
              <w:jc w:val="center"/>
              <w:rPr>
                <w:rFonts w:ascii="Calibri" w:eastAsia="Times New Roman" w:hAnsi="Calibri" w:cs="Times New Roman"/>
                <w:color w:val="000000"/>
              </w:rPr>
            </w:pPr>
            <w:r>
              <w:rPr>
                <w:rFonts w:ascii="Calibri" w:eastAsia="Times New Roman" w:hAnsi="Calibri" w:cs="Times New Roman"/>
                <w:color w:val="000000"/>
              </w:rPr>
              <w:t>&lt;0.001</w:t>
            </w:r>
          </w:p>
        </w:tc>
      </w:tr>
    </w:tbl>
    <w:p w14:paraId="251BCAC6" w14:textId="77777777" w:rsidR="00FA5B5F" w:rsidRDefault="00FA5B5F" w:rsidP="003B00E5"/>
    <w:p w14:paraId="6A37C81A" w14:textId="3CC584D6" w:rsidR="00085C9C" w:rsidRDefault="00085C9C" w:rsidP="003B00E5">
      <w:r>
        <w:t>When the coverage per age group is compared with the matched LQAS coverage</w:t>
      </w:r>
      <w:r w:rsidR="00FA5B5F">
        <w:t xml:space="preserve"> (Table S</w:t>
      </w:r>
      <w:r w:rsidR="00E871E6">
        <w:t>5</w:t>
      </w:r>
      <w:r w:rsidR="00FA5B5F">
        <w:t>)</w:t>
      </w:r>
      <w:r>
        <w:t>, it is found that the coverage of the 0-1 year old age group has the smallest bias and the greatest correlation coefficient. This could be due to better dose recall in this age group.</w:t>
      </w:r>
    </w:p>
    <w:p w14:paraId="18404359" w14:textId="77777777" w:rsidR="001A74CB" w:rsidRDefault="003B00E5" w:rsidP="00CF36B6">
      <w:pPr>
        <w:keepNext/>
      </w:pPr>
      <w:r>
        <w:rPr>
          <w:noProof/>
        </w:rPr>
        <w:drawing>
          <wp:inline distT="0" distB="0" distL="0" distR="0" wp14:anchorId="6ADE11F9" wp14:editId="372D6D6D">
            <wp:extent cx="5943600" cy="404853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hist_smallmultiple.pn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943600" cy="4048538"/>
                    </a:xfrm>
                    <a:prstGeom prst="rect">
                      <a:avLst/>
                    </a:prstGeom>
                    <a:ln>
                      <a:noFill/>
                    </a:ln>
                    <a:extLst>
                      <a:ext uri="{53640926-AAD7-44D8-BBD7-CCE9431645EC}">
                        <a14:shadowObscured xmlns:a14="http://schemas.microsoft.com/office/drawing/2010/main"/>
                      </a:ext>
                    </a:extLst>
                  </pic:spPr>
                </pic:pic>
              </a:graphicData>
            </a:graphic>
          </wp:inline>
        </w:drawing>
      </w:r>
    </w:p>
    <w:p w14:paraId="2C461459" w14:textId="0F7F0416" w:rsidR="003B00E5" w:rsidRDefault="001A74CB" w:rsidP="00CF36B6">
      <w:pPr>
        <w:pStyle w:val="Caption"/>
      </w:pPr>
      <w:r>
        <w:t>Figure S</w:t>
      </w:r>
      <w:r w:rsidR="00A97DC8">
        <w:fldChar w:fldCharType="begin"/>
      </w:r>
      <w:r w:rsidR="00A97DC8">
        <w:instrText xml:space="preserve"> SEQ Figure \* ARABIC </w:instrText>
      </w:r>
      <w:r w:rsidR="00A97DC8">
        <w:fldChar w:fldCharType="separate"/>
      </w:r>
      <w:r>
        <w:rPr>
          <w:noProof/>
        </w:rPr>
        <w:t>2</w:t>
      </w:r>
      <w:r w:rsidR="00A97DC8">
        <w:rPr>
          <w:noProof/>
        </w:rPr>
        <w:fldChar w:fldCharType="end"/>
      </w:r>
      <w:r>
        <w:t xml:space="preserve"> - </w:t>
      </w:r>
      <w:r w:rsidRPr="00395BF1">
        <w:t>Two-dimensional histogram of LQAS survey results and the matched NP-AFP calculated campaign effectiveness</w:t>
      </w:r>
      <w:r>
        <w:t>.</w:t>
      </w:r>
      <w:r w:rsidR="00FD1B7B">
        <w:t xml:space="preserve"> Each colored square represents a pair of values for LQAS coverage and NP-AFP coverage. The color of each square, from light red to dark red, is the number of matched lots; gray is zero matched lots. If matched lots are distributed along the diagonal, there is good agreement between LQAS and NP-AFP measures of coverage. Matched lots away from the diagonal indicate a bias between the two measures of coverage. The number of lots matched is different in different time periods.</w:t>
      </w:r>
    </w:p>
    <w:p w14:paraId="5D082E65" w14:textId="6068F8A1" w:rsidR="00085C9C" w:rsidRDefault="00FD1B7B" w:rsidP="003B00E5">
      <w:pPr>
        <w:rPr>
          <w:b/>
        </w:rPr>
      </w:pPr>
      <w:r>
        <w:t>In Figure S2, we show t</w:t>
      </w:r>
      <w:r w:rsidR="00085C9C" w:rsidRPr="0087494D">
        <w:t>he</w:t>
      </w:r>
      <w:r w:rsidR="00085C9C" w:rsidRPr="00085C9C">
        <w:t xml:space="preserve"> distribution of matched lots, in the two dimensional space of campaign effectiveness and LQAS coverage, for different time periods. We see that there is significant scatter in the early years, which is reduced in 2014 and 2015.</w:t>
      </w:r>
    </w:p>
    <w:p w14:paraId="349A213C" w14:textId="77777777" w:rsidR="001A74CB" w:rsidRDefault="003B00E5" w:rsidP="00CF36B6">
      <w:pPr>
        <w:keepNext/>
      </w:pPr>
      <w:r>
        <w:rPr>
          <w:noProof/>
        </w:rPr>
        <w:lastRenderedPageBreak/>
        <w:drawing>
          <wp:inline distT="0" distB="0" distL="0" distR="0" wp14:anchorId="7986E3FE" wp14:editId="114EB1D6">
            <wp:extent cx="5943600" cy="309695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tter_comp_by_state.png"/>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43600" cy="3096954"/>
                    </a:xfrm>
                    <a:prstGeom prst="rect">
                      <a:avLst/>
                    </a:prstGeom>
                    <a:ln>
                      <a:noFill/>
                    </a:ln>
                    <a:extLst>
                      <a:ext uri="{53640926-AAD7-44D8-BBD7-CCE9431645EC}">
                        <a14:shadowObscured xmlns:a14="http://schemas.microsoft.com/office/drawing/2010/main"/>
                      </a:ext>
                    </a:extLst>
                  </pic:spPr>
                </pic:pic>
              </a:graphicData>
            </a:graphic>
          </wp:inline>
        </w:drawing>
      </w:r>
    </w:p>
    <w:p w14:paraId="7CF51A47" w14:textId="30E1F3F2" w:rsidR="003B00E5" w:rsidRDefault="001A74CB" w:rsidP="00CF36B6">
      <w:pPr>
        <w:pStyle w:val="Caption"/>
      </w:pPr>
      <w:r>
        <w:t>Figure S</w:t>
      </w:r>
      <w:r w:rsidR="00A97DC8">
        <w:fldChar w:fldCharType="begin"/>
      </w:r>
      <w:r w:rsidR="00A97DC8">
        <w:instrText xml:space="preserve"> SEQ Figure \* ARABIC </w:instrText>
      </w:r>
      <w:r w:rsidR="00A97DC8">
        <w:fldChar w:fldCharType="separate"/>
      </w:r>
      <w:r>
        <w:rPr>
          <w:noProof/>
        </w:rPr>
        <w:t>3</w:t>
      </w:r>
      <w:r w:rsidR="00A97DC8">
        <w:rPr>
          <w:noProof/>
        </w:rPr>
        <w:fldChar w:fldCharType="end"/>
      </w:r>
      <w:r>
        <w:t xml:space="preserve"> -</w:t>
      </w:r>
      <w:r w:rsidRPr="00740298">
        <w:t xml:space="preserve"> Examples of the comparison between NP-AFP coverage (estimated campaign effectiveness) and LQAS survey results for selected states in Northern Nigeria</w:t>
      </w:r>
      <w:r>
        <w:t>.</w:t>
      </w:r>
      <w:r w:rsidR="00FD1B7B">
        <w:t xml:space="preserve"> Each blue dot in the top-row figures </w:t>
      </w:r>
      <w:proofErr w:type="gramStart"/>
      <w:r w:rsidR="00FD1B7B">
        <w:t>represent</w:t>
      </w:r>
      <w:proofErr w:type="gramEnd"/>
      <w:r w:rsidR="00FD1B7B">
        <w:t xml:space="preserve"> one LQAS measurement. These LQAS lots are matched to calculated NP-AFP coverage estimates in the bottom-row figure.</w:t>
      </w:r>
      <w:r w:rsidR="009B499E">
        <w:t xml:space="preserve"> Some blue dots overlap other blue dots.</w:t>
      </w:r>
    </w:p>
    <w:p w14:paraId="61FE10F9" w14:textId="05CD7758" w:rsidR="003B00E5" w:rsidRPr="006C0DB5" w:rsidRDefault="00FD1B7B" w:rsidP="003B00E5">
      <w:r>
        <w:t>In figure S3, we show the t</w:t>
      </w:r>
      <w:r w:rsidR="00085C9C">
        <w:t xml:space="preserve">ime trends of the campaign effectiveness (NP-AFP coverage) and LQAS coverage for four states: Kano, </w:t>
      </w:r>
      <w:proofErr w:type="spellStart"/>
      <w:r w:rsidR="00085C9C">
        <w:t>Jigawa</w:t>
      </w:r>
      <w:proofErr w:type="spellEnd"/>
      <w:r w:rsidR="00085C9C">
        <w:t xml:space="preserve">, </w:t>
      </w:r>
      <w:proofErr w:type="spellStart"/>
      <w:r w:rsidR="00085C9C">
        <w:t>Sokoto</w:t>
      </w:r>
      <w:proofErr w:type="spellEnd"/>
      <w:r w:rsidR="00085C9C">
        <w:t xml:space="preserve">, and </w:t>
      </w:r>
      <w:proofErr w:type="spellStart"/>
      <w:r w:rsidR="00085C9C">
        <w:t>Borno</w:t>
      </w:r>
      <w:proofErr w:type="spellEnd"/>
      <w:r w:rsidR="007925FA">
        <w:t xml:space="preserve"> (Figures S2 and S3)</w:t>
      </w:r>
      <w:r w:rsidR="00085C9C">
        <w:t xml:space="preserve">. </w:t>
      </w:r>
      <w:r w:rsidR="00F96E4B">
        <w:t>Good agreement is found between the trends in LQAS coverage and in NP-AFP coverage (estimated campaign effectiven</w:t>
      </w:r>
      <w:r w:rsidR="00A3627F">
        <w:t>e</w:t>
      </w:r>
      <w:r w:rsidR="00F96E4B">
        <w:t>ss).</w:t>
      </w:r>
      <w:r w:rsidR="00CC7F9A">
        <w:t xml:space="preserve"> NP-AFP coverage is generally less than the LQAS coverage estimates; </w:t>
      </w:r>
      <w:proofErr w:type="spellStart"/>
      <w:r w:rsidR="00CC7F9A">
        <w:t>Borno</w:t>
      </w:r>
      <w:proofErr w:type="spellEnd"/>
      <w:r w:rsidR="00CC7F9A">
        <w:t xml:space="preserve"> is an example where this difference can be clearly seen.</w:t>
      </w:r>
    </w:p>
    <w:p w14:paraId="017B0529" w14:textId="77777777" w:rsidR="00D946F1" w:rsidRDefault="00D946F1" w:rsidP="00B81C56">
      <w:pPr>
        <w:rPr>
          <w:rFonts w:eastAsiaTheme="minorEastAsia"/>
        </w:rPr>
      </w:pPr>
    </w:p>
    <w:p w14:paraId="38AD7AA4" w14:textId="369F013C" w:rsidR="007400D8" w:rsidRDefault="007400D8" w:rsidP="0087494D">
      <w:pPr>
        <w:pStyle w:val="Heading2"/>
        <w:rPr>
          <w:rFonts w:eastAsiaTheme="minorEastAsia"/>
        </w:rPr>
      </w:pPr>
      <w:r>
        <w:rPr>
          <w:rFonts w:eastAsiaTheme="minorEastAsia"/>
        </w:rPr>
        <w:t>Relationship between reconstructed immunity and confirmed cases</w:t>
      </w:r>
    </w:p>
    <w:p w14:paraId="7577B253" w14:textId="0A9214EC" w:rsidR="00421FE7" w:rsidRPr="0087494D" w:rsidRDefault="00421FE7">
      <w:r>
        <w:t xml:space="preserve">Reconstructed population immunity is significantly related to the presence and number of polio (WPV1 and cVDPV2) cases across Nigeria. </w:t>
      </w:r>
      <w:r w:rsidR="008A25FA">
        <w:t>99.</w:t>
      </w:r>
      <w:r w:rsidR="004D00D2">
        <w:t>1</w:t>
      </w:r>
      <w:r>
        <w:t>% of districts in northern Nigeria with greater than 80% type 1 immunity did not report a WPV case in the following six months</w:t>
      </w:r>
      <w:r w:rsidR="00824255">
        <w:t xml:space="preserve"> (Figure S4,</w:t>
      </w:r>
      <w:r w:rsidR="008A25FA">
        <w:t>A)</w:t>
      </w:r>
      <w:r>
        <w:t xml:space="preserve">. </w:t>
      </w:r>
      <w:r w:rsidR="008A25FA">
        <w:t>The average type 1 immunity of districts that reported a case in the following six months was 29%, while the average type 1 immunity in districts that did not report a case was 5</w:t>
      </w:r>
      <w:r w:rsidR="004D00D2">
        <w:t>3</w:t>
      </w:r>
      <w:r w:rsidR="008A25FA">
        <w:t>% (p&lt;</w:t>
      </w:r>
      <w:r w:rsidR="004D772C">
        <w:t>0.001</w:t>
      </w:r>
      <w:r w:rsidR="006A6E35">
        <w:t>, Welch two sample t-test</w:t>
      </w:r>
      <w:r w:rsidR="008A25FA">
        <w:t>). For cVDPV2 cases</w:t>
      </w:r>
      <w:r>
        <w:t>, 99</w:t>
      </w:r>
      <w:r w:rsidR="008A25FA">
        <w:t>.4</w:t>
      </w:r>
      <w:r>
        <w:t>% of districts i</w:t>
      </w:r>
      <w:r w:rsidR="008A25FA">
        <w:t>n the north with greater than 50</w:t>
      </w:r>
      <w:r>
        <w:t xml:space="preserve">% type 2 immunity did not report a case in the subsequent </w:t>
      </w:r>
      <w:r w:rsidR="008A25FA">
        <w:t xml:space="preserve">six-month </w:t>
      </w:r>
      <w:r>
        <w:t>period</w:t>
      </w:r>
      <w:r w:rsidR="00824255">
        <w:t xml:space="preserve"> (Figure S4</w:t>
      </w:r>
      <w:proofErr w:type="gramStart"/>
      <w:r w:rsidR="00824255">
        <w:t>,</w:t>
      </w:r>
      <w:r w:rsidR="008A25FA">
        <w:t>B</w:t>
      </w:r>
      <w:proofErr w:type="gramEnd"/>
      <w:r w:rsidR="008A25FA">
        <w:t>)</w:t>
      </w:r>
      <w:r>
        <w:t>.</w:t>
      </w:r>
      <w:r w:rsidR="008A25FA">
        <w:t xml:space="preserve"> Average type 2 immunity was 2</w:t>
      </w:r>
      <w:r w:rsidR="004D00D2">
        <w:t>7</w:t>
      </w:r>
      <w:r w:rsidR="008A25FA">
        <w:t>% in districts that reported a cVDPV2 case in the following six month, compared to 3</w:t>
      </w:r>
      <w:r w:rsidR="004D00D2">
        <w:t>9</w:t>
      </w:r>
      <w:r w:rsidR="008A25FA">
        <w:t>% in districts that did not report a case (p&lt;</w:t>
      </w:r>
      <w:r w:rsidR="00CB6365">
        <w:t>0.001</w:t>
      </w:r>
      <w:r w:rsidR="008A25FA">
        <w:t>).</w:t>
      </w:r>
    </w:p>
    <w:p w14:paraId="1C84A4DC" w14:textId="77777777" w:rsidR="001E52F0" w:rsidRDefault="001E52F0" w:rsidP="0087494D">
      <w:pPr>
        <w:keepNext/>
        <w:jc w:val="center"/>
      </w:pPr>
      <w:r>
        <w:rPr>
          <w:noProof/>
        </w:rPr>
        <w:lastRenderedPageBreak/>
        <w:drawing>
          <wp:inline distT="0" distB="0" distL="0" distR="0" wp14:anchorId="6B5CB8AA" wp14:editId="6FABD525">
            <wp:extent cx="5411877" cy="23680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_histogram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1877" cy="2368037"/>
                    </a:xfrm>
                    <a:prstGeom prst="rect">
                      <a:avLst/>
                    </a:prstGeom>
                  </pic:spPr>
                </pic:pic>
              </a:graphicData>
            </a:graphic>
          </wp:inline>
        </w:drawing>
      </w:r>
    </w:p>
    <w:p w14:paraId="0CFF1E89" w14:textId="7E224238" w:rsidR="007400D8" w:rsidRDefault="001E52F0" w:rsidP="0087494D">
      <w:pPr>
        <w:pStyle w:val="Caption"/>
      </w:pPr>
      <w:r>
        <w:t xml:space="preserve">Figure </w:t>
      </w:r>
      <w:r w:rsidR="00791BE6">
        <w:t>S</w:t>
      </w:r>
      <w:r w:rsidR="00824255">
        <w:t>4</w:t>
      </w:r>
      <w:r>
        <w:t xml:space="preserve"> - Histograms of district population immunity relative to occurrence of confirmed cases. </w:t>
      </w:r>
      <w:r w:rsidR="00791BE6">
        <w:rPr>
          <w:b w:val="0"/>
        </w:rPr>
        <w:t>Estimated district-level type 1 (</w:t>
      </w:r>
      <w:r w:rsidR="00791BE6" w:rsidRPr="00E416D4">
        <w:t>A</w:t>
      </w:r>
      <w:r w:rsidR="00791BE6">
        <w:rPr>
          <w:b w:val="0"/>
        </w:rPr>
        <w:t>) and type 2 (</w:t>
      </w:r>
      <w:r w:rsidR="00791BE6" w:rsidRPr="00E416D4">
        <w:t>B</w:t>
      </w:r>
      <w:r w:rsidR="00791BE6">
        <w:rPr>
          <w:b w:val="0"/>
        </w:rPr>
        <w:t>) immunity separated by the occurrence of WPV1 or cVDPV2 cases, respectively, in the following six month period. Histograms are overlaid such that red (</w:t>
      </w:r>
      <w:r w:rsidR="00791BE6">
        <w:t>A</w:t>
      </w:r>
      <w:r w:rsidR="00791BE6">
        <w:rPr>
          <w:b w:val="0"/>
        </w:rPr>
        <w:t>) corresponds to the distribution of type 1 immunity in districts reporting a WPV1 case and blue (</w:t>
      </w:r>
      <w:r w:rsidR="00791BE6">
        <w:t>B</w:t>
      </w:r>
      <w:r w:rsidR="00791BE6">
        <w:rPr>
          <w:b w:val="0"/>
        </w:rPr>
        <w:t xml:space="preserve">) corresponds to the distribution of type </w:t>
      </w:r>
      <w:proofErr w:type="gramStart"/>
      <w:r w:rsidR="00791BE6">
        <w:rPr>
          <w:b w:val="0"/>
        </w:rPr>
        <w:t>2 immunity in districts reporting a cVDPV2 case</w:t>
      </w:r>
      <w:proofErr w:type="gramEnd"/>
      <w:r w:rsidR="00791BE6">
        <w:rPr>
          <w:b w:val="0"/>
        </w:rPr>
        <w:t>.</w:t>
      </w:r>
      <w:r w:rsidR="006A6E35">
        <w:rPr>
          <w:b w:val="0"/>
        </w:rPr>
        <w:t xml:space="preserve"> Gray corresponds to the distribution of estimated immunity in districts that did not report any confirmed PV cases.</w:t>
      </w:r>
    </w:p>
    <w:p w14:paraId="5FA6ADB7" w14:textId="3126F6E9" w:rsidR="00914A52" w:rsidRDefault="00750CD7" w:rsidP="00914A52">
      <w:r>
        <w:t xml:space="preserve">Another NP-AFP indicator commonly used by the polio program is the fraction of NP-AFP cases in a district that report receiving no doses of OPV. Those districts with a higher zero-dose fraction are considered to have higher vulnerability and therefore greater risk of polio transmission. For the same provinces used in the campaign effectiveness model, we smoothed NP-AFP zero-dose fractions by district in six-month periods using a Spatial Bayesian binomial model with random effects and random walks for both province and district. The average zero dose fraction was </w:t>
      </w:r>
      <w:r w:rsidR="00697A07">
        <w:t>23</w:t>
      </w:r>
      <w:r>
        <w:t>% in districts that reported at least on WPV1 case</w:t>
      </w:r>
      <w:r w:rsidR="00697A07">
        <w:t xml:space="preserve"> in the six month window and 11</w:t>
      </w:r>
      <w:r>
        <w:t>% in districts that di</w:t>
      </w:r>
      <w:r w:rsidR="00697A07">
        <w:t>d not report a WPV1 case (p&lt;0.001</w:t>
      </w:r>
      <w:r>
        <w:t>). For cVDPV2, the average zero-dose fraction in dis</w:t>
      </w:r>
      <w:r w:rsidR="00697A07">
        <w:t>tricts reporting a cases was 18</w:t>
      </w:r>
      <w:r>
        <w:t xml:space="preserve">%, while it was </w:t>
      </w:r>
      <w:r w:rsidR="00697A07">
        <w:t>13</w:t>
      </w:r>
      <w:r>
        <w:t>% is district</w:t>
      </w:r>
      <w:r w:rsidR="00697A07">
        <w:t>s not reporting any case (p&lt;0.001</w:t>
      </w:r>
      <w:r>
        <w:t>).</w:t>
      </w:r>
    </w:p>
    <w:p w14:paraId="3EDB10E0" w14:textId="00D1533A" w:rsidR="00697A07" w:rsidRDefault="00697A07" w:rsidP="00914A52">
      <w:r>
        <w:t>We compared the relative strength of association between estimated population immunity and smoothed zero-dose fraction by comparing the AIC from logistic regression model</w:t>
      </w:r>
      <w:r w:rsidR="006E5C8B">
        <w:t xml:space="preserve">s with each indicator as the sole predictor of the presence or absence of confirmed cases in a six month window. For WPV1 cases, the AIC for the model with type 1 population immunity was </w:t>
      </w:r>
      <w:r w:rsidR="00112CA3">
        <w:t>4991.1</w:t>
      </w:r>
      <w:r w:rsidR="006E5C8B">
        <w:t xml:space="preserve">, while the model with zero-dose fraction had an AIC of </w:t>
      </w:r>
      <w:r w:rsidR="00112CA3">
        <w:t>5410.7</w:t>
      </w:r>
      <w:r w:rsidR="006E5C8B">
        <w:t xml:space="preserve">. For cVDVP2 cases, the AIC for the model with type 2 population immunity was </w:t>
      </w:r>
      <w:r w:rsidR="00112CA3">
        <w:t>2248.3</w:t>
      </w:r>
      <w:r w:rsidR="006E5C8B">
        <w:t xml:space="preserve">, while the model with zero-dose fraction had an AIC of </w:t>
      </w:r>
      <w:r w:rsidR="00112CA3">
        <w:t>2457.9</w:t>
      </w:r>
      <w:r w:rsidR="006E5C8B">
        <w:t>. In both instances, estimated population immunity was a better predictor of the presence of confirmed cases.</w:t>
      </w:r>
    </w:p>
    <w:p w14:paraId="18632923" w14:textId="2F2DED85" w:rsidR="00914A52" w:rsidRDefault="00914A52" w:rsidP="0087494D">
      <w:pPr>
        <w:pStyle w:val="Heading1"/>
      </w:pPr>
      <w:r>
        <w:t>References</w:t>
      </w:r>
    </w:p>
    <w:p w14:paraId="7E9BB9C9" w14:textId="44950B89" w:rsidR="000A148D" w:rsidRPr="000A148D" w:rsidRDefault="00914A52">
      <w:pPr>
        <w:pStyle w:val="NormalWeb"/>
        <w:divId w:val="1742822950"/>
        <w:rPr>
          <w:rFonts w:ascii="Calibri" w:hAnsi="Calibri"/>
          <w:noProof/>
          <w:sz w:val="22"/>
        </w:rPr>
      </w:pPr>
      <w:r>
        <w:fldChar w:fldCharType="begin" w:fldLock="1"/>
      </w:r>
      <w:r>
        <w:instrText xml:space="preserve">ADDIN Mendeley Bibliography CSL_BIBLIOGRAPHY </w:instrText>
      </w:r>
      <w:r>
        <w:fldChar w:fldCharType="separate"/>
      </w:r>
      <w:r w:rsidR="000A148D" w:rsidRPr="000A148D">
        <w:rPr>
          <w:rFonts w:ascii="Calibri" w:hAnsi="Calibri"/>
          <w:noProof/>
          <w:sz w:val="22"/>
        </w:rPr>
        <w:t xml:space="preserve">1. Hong Y: </w:t>
      </w:r>
      <w:r w:rsidR="000A148D" w:rsidRPr="000A148D">
        <w:rPr>
          <w:rFonts w:ascii="Calibri" w:hAnsi="Calibri"/>
          <w:b/>
          <w:bCs/>
          <w:noProof/>
          <w:sz w:val="22"/>
        </w:rPr>
        <w:t>On computing the distribution function for the Poisson binomial distribution</w:t>
      </w:r>
      <w:r w:rsidR="000A148D" w:rsidRPr="000A148D">
        <w:rPr>
          <w:rFonts w:ascii="Calibri" w:hAnsi="Calibri"/>
          <w:noProof/>
          <w:sz w:val="22"/>
        </w:rPr>
        <w:t xml:space="preserve">. </w:t>
      </w:r>
      <w:r w:rsidR="000A148D" w:rsidRPr="000A148D">
        <w:rPr>
          <w:rFonts w:ascii="Calibri" w:hAnsi="Calibri"/>
          <w:i/>
          <w:iCs/>
          <w:noProof/>
          <w:sz w:val="22"/>
        </w:rPr>
        <w:t>Comput Stat Data Anal</w:t>
      </w:r>
      <w:r w:rsidR="000A148D" w:rsidRPr="000A148D">
        <w:rPr>
          <w:rFonts w:ascii="Calibri" w:hAnsi="Calibri"/>
          <w:noProof/>
          <w:sz w:val="22"/>
        </w:rPr>
        <w:t xml:space="preserve"> 2013, </w:t>
      </w:r>
      <w:r w:rsidR="000A148D" w:rsidRPr="000A148D">
        <w:rPr>
          <w:rFonts w:ascii="Calibri" w:hAnsi="Calibri"/>
          <w:b/>
          <w:bCs/>
          <w:noProof/>
          <w:sz w:val="22"/>
        </w:rPr>
        <w:t>59</w:t>
      </w:r>
      <w:r w:rsidR="000A148D" w:rsidRPr="000A148D">
        <w:rPr>
          <w:rFonts w:ascii="Calibri" w:hAnsi="Calibri"/>
          <w:noProof/>
          <w:sz w:val="22"/>
        </w:rPr>
        <w:t>:41–51.</w:t>
      </w:r>
    </w:p>
    <w:p w14:paraId="37334F5A" w14:textId="77777777" w:rsidR="000A148D" w:rsidRPr="000A148D" w:rsidRDefault="000A148D">
      <w:pPr>
        <w:pStyle w:val="NormalWeb"/>
        <w:divId w:val="1742822950"/>
        <w:rPr>
          <w:rFonts w:ascii="Calibri" w:hAnsi="Calibri"/>
          <w:noProof/>
          <w:sz w:val="22"/>
        </w:rPr>
      </w:pPr>
      <w:r w:rsidRPr="000A148D">
        <w:rPr>
          <w:rFonts w:ascii="Calibri" w:hAnsi="Calibri"/>
          <w:noProof/>
          <w:sz w:val="22"/>
        </w:rPr>
        <w:lastRenderedPageBreak/>
        <w:t xml:space="preserve">2. Stan Development Team: </w:t>
      </w:r>
      <w:r w:rsidRPr="000A148D">
        <w:rPr>
          <w:rFonts w:ascii="Calibri" w:hAnsi="Calibri"/>
          <w:b/>
          <w:bCs/>
          <w:noProof/>
          <w:sz w:val="22"/>
        </w:rPr>
        <w:t>Stan: A C++ Library for Probability and Sampling, Version 2.5.0</w:t>
      </w:r>
      <w:r w:rsidRPr="000A148D">
        <w:rPr>
          <w:rFonts w:ascii="Calibri" w:hAnsi="Calibri"/>
          <w:noProof/>
          <w:sz w:val="22"/>
        </w:rPr>
        <w:t>. 2014.</w:t>
      </w:r>
    </w:p>
    <w:p w14:paraId="467808C9" w14:textId="77777777" w:rsidR="000A148D" w:rsidRPr="000A148D" w:rsidRDefault="000A148D">
      <w:pPr>
        <w:pStyle w:val="NormalWeb"/>
        <w:divId w:val="1742822950"/>
        <w:rPr>
          <w:rFonts w:ascii="Calibri" w:hAnsi="Calibri"/>
          <w:noProof/>
          <w:sz w:val="22"/>
        </w:rPr>
      </w:pPr>
      <w:r w:rsidRPr="000A148D">
        <w:rPr>
          <w:rFonts w:ascii="Calibri" w:hAnsi="Calibri"/>
          <w:noProof/>
          <w:sz w:val="22"/>
        </w:rPr>
        <w:t xml:space="preserve">3. Rue H, Held L: </w:t>
      </w:r>
      <w:r w:rsidRPr="000A148D">
        <w:rPr>
          <w:rFonts w:ascii="Calibri" w:hAnsi="Calibri"/>
          <w:i/>
          <w:iCs/>
          <w:noProof/>
          <w:sz w:val="22"/>
        </w:rPr>
        <w:t>Gaussian Markov Random Fields: Theory and Applications</w:t>
      </w:r>
      <w:r w:rsidRPr="000A148D">
        <w:rPr>
          <w:rFonts w:ascii="Calibri" w:hAnsi="Calibri"/>
          <w:noProof/>
          <w:sz w:val="22"/>
        </w:rPr>
        <w:t>. CRC Press; 2005.</w:t>
      </w:r>
    </w:p>
    <w:p w14:paraId="05F5DFBD" w14:textId="21395237" w:rsidR="000A148D" w:rsidRDefault="000A148D">
      <w:pPr>
        <w:pStyle w:val="NormalWeb"/>
        <w:divId w:val="1742822950"/>
        <w:rPr>
          <w:rFonts w:ascii="Calibri" w:hAnsi="Calibri"/>
          <w:noProof/>
          <w:sz w:val="22"/>
        </w:rPr>
      </w:pPr>
      <w:r w:rsidRPr="000A148D">
        <w:rPr>
          <w:rFonts w:ascii="Calibri" w:hAnsi="Calibri"/>
          <w:noProof/>
          <w:sz w:val="22"/>
        </w:rPr>
        <w:t xml:space="preserve">4. Organization WH: </w:t>
      </w:r>
      <w:r w:rsidRPr="000A148D">
        <w:rPr>
          <w:rFonts w:ascii="Calibri" w:hAnsi="Calibri"/>
          <w:b/>
          <w:bCs/>
          <w:noProof/>
          <w:sz w:val="22"/>
        </w:rPr>
        <w:t>Assessing vaccination coverage levels using clustered Lot Quality Assurance Sampling: field manual</w:t>
      </w:r>
      <w:r w:rsidR="004A1DEB">
        <w:rPr>
          <w:rFonts w:ascii="Tahoma" w:hAnsi="Tahoma" w:cs="Tahoma"/>
          <w:b/>
          <w:bCs/>
          <w:noProof/>
          <w:sz w:val="22"/>
        </w:rPr>
        <w:t xml:space="preserve"> </w:t>
      </w:r>
      <w:r w:rsidRPr="000A148D">
        <w:rPr>
          <w:rFonts w:ascii="Calibri" w:hAnsi="Calibri"/>
          <w:b/>
          <w:bCs/>
          <w:noProof/>
          <w:sz w:val="22"/>
        </w:rPr>
        <w:t>version edited for the Global Polio Eradication Initiative (GPEI)</w:t>
      </w:r>
      <w:r w:rsidRPr="000A148D">
        <w:rPr>
          <w:rFonts w:ascii="Calibri" w:hAnsi="Calibri"/>
          <w:noProof/>
          <w:sz w:val="22"/>
        </w:rPr>
        <w:t xml:space="preserve">. </w:t>
      </w:r>
      <w:r w:rsidRPr="000A148D">
        <w:rPr>
          <w:rFonts w:ascii="Calibri" w:hAnsi="Calibri"/>
          <w:i/>
          <w:iCs/>
          <w:noProof/>
          <w:sz w:val="22"/>
        </w:rPr>
        <w:t>Geneva, Switz</w:t>
      </w:r>
      <w:r w:rsidRPr="000A148D">
        <w:rPr>
          <w:rFonts w:ascii="Calibri" w:hAnsi="Calibri"/>
          <w:noProof/>
          <w:sz w:val="22"/>
        </w:rPr>
        <w:t xml:space="preserve"> 2012. </w:t>
      </w:r>
    </w:p>
    <w:p w14:paraId="60AA5CF4" w14:textId="1A6C57A2" w:rsidR="00A01C99" w:rsidRPr="00C93CCE" w:rsidRDefault="00665D4E" w:rsidP="007717BA">
      <w:pPr>
        <w:pStyle w:val="NormalWeb"/>
        <w:divId w:val="1742822950"/>
        <w:rPr>
          <w:rFonts w:asciiTheme="minorHAnsi" w:hAnsiTheme="minorHAnsi"/>
          <w:noProof/>
          <w:sz w:val="22"/>
          <w:szCs w:val="22"/>
        </w:rPr>
      </w:pPr>
      <w:r w:rsidRPr="00C93CCE">
        <w:rPr>
          <w:rFonts w:asciiTheme="minorHAnsi" w:hAnsiTheme="minorHAnsi"/>
          <w:noProof/>
          <w:sz w:val="22"/>
          <w:szCs w:val="22"/>
        </w:rPr>
        <w:t xml:space="preserve">5. </w:t>
      </w:r>
      <w:r w:rsidR="005B4A76" w:rsidRPr="00C93CCE">
        <w:rPr>
          <w:rFonts w:asciiTheme="minorHAnsi" w:hAnsiTheme="minorHAnsi"/>
          <w:sz w:val="22"/>
          <w:szCs w:val="22"/>
        </w:rPr>
        <w:t>Mangal TD, Aylward RB, Mwanza M, Gasasira A, Abanida E, Pate MA, Grassly NC:</w:t>
      </w:r>
      <w:r w:rsidR="007717BA" w:rsidRPr="00C93CCE">
        <w:rPr>
          <w:rFonts w:asciiTheme="minorHAnsi" w:hAnsiTheme="minorHAnsi"/>
          <w:sz w:val="22"/>
          <w:szCs w:val="22"/>
        </w:rPr>
        <w:t xml:space="preserve"> </w:t>
      </w:r>
      <w:r w:rsidR="00A01C99" w:rsidRPr="00C93CCE">
        <w:rPr>
          <w:rFonts w:asciiTheme="minorHAnsi" w:hAnsiTheme="minorHAnsi"/>
          <w:b/>
          <w:sz w:val="22"/>
          <w:szCs w:val="22"/>
        </w:rPr>
        <w:t>Key issues in the persistence of poliomyelitis in Nigeria: a case-control study.</w:t>
      </w:r>
      <w:r w:rsidR="007717BA" w:rsidRPr="00C93CCE">
        <w:rPr>
          <w:rFonts w:asciiTheme="minorHAnsi" w:hAnsiTheme="minorHAnsi"/>
          <w:sz w:val="22"/>
          <w:szCs w:val="22"/>
        </w:rPr>
        <w:t xml:space="preserve"> </w:t>
      </w:r>
      <w:r w:rsidR="005B4A76" w:rsidRPr="00C93CCE">
        <w:rPr>
          <w:rStyle w:val="jrnl"/>
          <w:rFonts w:asciiTheme="minorHAnsi" w:hAnsiTheme="minorHAnsi"/>
          <w:i/>
          <w:sz w:val="22"/>
          <w:szCs w:val="22"/>
        </w:rPr>
        <w:t>Lancet Glob Health</w:t>
      </w:r>
      <w:r w:rsidR="00A01C99" w:rsidRPr="00C93CCE">
        <w:rPr>
          <w:rFonts w:asciiTheme="minorHAnsi" w:hAnsiTheme="minorHAnsi"/>
          <w:sz w:val="22"/>
          <w:szCs w:val="22"/>
        </w:rPr>
        <w:t xml:space="preserve"> </w:t>
      </w:r>
      <w:r w:rsidR="005B4A76" w:rsidRPr="00C93CCE">
        <w:rPr>
          <w:rFonts w:asciiTheme="minorHAnsi" w:hAnsiTheme="minorHAnsi"/>
          <w:sz w:val="22"/>
          <w:szCs w:val="22"/>
        </w:rPr>
        <w:t>2014</w:t>
      </w:r>
      <w:r w:rsidR="00A01C99" w:rsidRPr="00C93CCE">
        <w:rPr>
          <w:rFonts w:asciiTheme="minorHAnsi" w:hAnsiTheme="minorHAnsi"/>
          <w:sz w:val="22"/>
          <w:szCs w:val="22"/>
        </w:rPr>
        <w:t>,</w:t>
      </w:r>
      <w:r w:rsidR="005B4A76" w:rsidRPr="00C93CCE">
        <w:rPr>
          <w:rFonts w:asciiTheme="minorHAnsi" w:hAnsiTheme="minorHAnsi"/>
          <w:sz w:val="22"/>
          <w:szCs w:val="22"/>
        </w:rPr>
        <w:t xml:space="preserve"> </w:t>
      </w:r>
      <w:r w:rsidR="005B4A76" w:rsidRPr="00C93CCE">
        <w:rPr>
          <w:rFonts w:asciiTheme="minorHAnsi" w:hAnsiTheme="minorHAnsi"/>
          <w:b/>
          <w:sz w:val="22"/>
          <w:szCs w:val="22"/>
        </w:rPr>
        <w:t>2</w:t>
      </w:r>
      <w:r w:rsidR="005B4A76" w:rsidRPr="00C93CCE">
        <w:rPr>
          <w:rFonts w:asciiTheme="minorHAnsi" w:hAnsiTheme="minorHAnsi"/>
          <w:sz w:val="22"/>
          <w:szCs w:val="22"/>
        </w:rPr>
        <w:t>(2):e90-7</w:t>
      </w:r>
      <w:r w:rsidR="00A01C99" w:rsidRPr="00C93CCE">
        <w:rPr>
          <w:rFonts w:asciiTheme="minorHAnsi" w:hAnsiTheme="minorHAnsi"/>
          <w:sz w:val="22"/>
          <w:szCs w:val="22"/>
        </w:rPr>
        <w:t>.</w:t>
      </w:r>
      <w:r w:rsidR="005B4A76" w:rsidRPr="00C93CCE">
        <w:rPr>
          <w:rFonts w:asciiTheme="minorHAnsi" w:hAnsiTheme="minorHAnsi"/>
          <w:noProof/>
          <w:sz w:val="22"/>
          <w:szCs w:val="22"/>
        </w:rPr>
        <w:t xml:space="preserve"> </w:t>
      </w:r>
    </w:p>
    <w:p w14:paraId="0981AA29" w14:textId="6CBD9D7C" w:rsidR="007717BA" w:rsidRDefault="007717BA" w:rsidP="007717BA">
      <w:pPr>
        <w:pStyle w:val="NormalWeb"/>
        <w:divId w:val="1742822950"/>
      </w:pPr>
      <w:r>
        <w:rPr>
          <w:rFonts w:ascii="Calibri" w:hAnsi="Calibri"/>
          <w:noProof/>
          <w:sz w:val="22"/>
        </w:rPr>
        <w:t>6.</w:t>
      </w:r>
      <w:r w:rsidRPr="007717BA">
        <w:rPr>
          <w:rFonts w:hAnsi="Symbol"/>
        </w:rPr>
        <w:t xml:space="preserve"> </w:t>
      </w:r>
      <w:r>
        <w:t xml:space="preserve"> </w:t>
      </w:r>
      <w:r w:rsidR="00A01C99" w:rsidRPr="00C93CCE">
        <w:rPr>
          <w:rFonts w:asciiTheme="minorHAnsi" w:hAnsiTheme="minorHAnsi"/>
          <w:sz w:val="22"/>
          <w:szCs w:val="22"/>
        </w:rPr>
        <w:t>Resik S, Tejeda A, Sutter RW, Diaz M, Sarmiento L, Alemañi N, Garcia G, Fonseca M, Hung LH, Kahn AL, Burton A, Landaverde JM, Aylward RB:</w:t>
      </w:r>
      <w:r w:rsidRPr="00C93CCE">
        <w:rPr>
          <w:rFonts w:asciiTheme="minorHAnsi" w:hAnsiTheme="minorHAnsi"/>
          <w:sz w:val="22"/>
          <w:szCs w:val="22"/>
        </w:rPr>
        <w:t xml:space="preserve"> </w:t>
      </w:r>
      <w:r w:rsidR="00A01C99" w:rsidRPr="00C93CCE">
        <w:rPr>
          <w:rFonts w:asciiTheme="minorHAnsi" w:hAnsiTheme="minorHAnsi"/>
          <w:b/>
          <w:sz w:val="22"/>
          <w:szCs w:val="22"/>
        </w:rPr>
        <w:t>Priming after a fractional dose of inactivated poliovirus vaccine</w:t>
      </w:r>
      <w:r w:rsidR="00A01C99" w:rsidRPr="00C93CCE">
        <w:rPr>
          <w:rFonts w:asciiTheme="minorHAnsi" w:hAnsiTheme="minorHAnsi"/>
          <w:sz w:val="22"/>
          <w:szCs w:val="22"/>
        </w:rPr>
        <w:t>.</w:t>
      </w:r>
      <w:r w:rsidRPr="00C93CCE">
        <w:rPr>
          <w:rFonts w:asciiTheme="minorHAnsi" w:hAnsiTheme="minorHAnsi"/>
          <w:sz w:val="22"/>
          <w:szCs w:val="22"/>
        </w:rPr>
        <w:t xml:space="preserve"> </w:t>
      </w:r>
      <w:r w:rsidR="00A01C99" w:rsidRPr="00C93CCE">
        <w:rPr>
          <w:rStyle w:val="jrnl"/>
          <w:rFonts w:asciiTheme="minorHAnsi" w:hAnsiTheme="minorHAnsi"/>
          <w:i/>
          <w:sz w:val="22"/>
          <w:szCs w:val="22"/>
        </w:rPr>
        <w:t>N Engl J Med</w:t>
      </w:r>
      <w:r w:rsidR="00A01C99" w:rsidRPr="00C93CCE">
        <w:rPr>
          <w:rFonts w:asciiTheme="minorHAnsi" w:hAnsiTheme="minorHAnsi"/>
          <w:sz w:val="22"/>
          <w:szCs w:val="22"/>
        </w:rPr>
        <w:t xml:space="preserve"> 2013, </w:t>
      </w:r>
      <w:r w:rsidR="00A01C99" w:rsidRPr="00C93CCE">
        <w:rPr>
          <w:rFonts w:asciiTheme="minorHAnsi" w:hAnsiTheme="minorHAnsi"/>
          <w:b/>
          <w:sz w:val="22"/>
          <w:szCs w:val="22"/>
        </w:rPr>
        <w:t>368</w:t>
      </w:r>
      <w:r w:rsidR="00A01C99" w:rsidRPr="00C93CCE">
        <w:rPr>
          <w:rFonts w:asciiTheme="minorHAnsi" w:hAnsiTheme="minorHAnsi"/>
          <w:sz w:val="22"/>
          <w:szCs w:val="22"/>
        </w:rPr>
        <w:t>(5):416-24.</w:t>
      </w:r>
    </w:p>
    <w:p w14:paraId="4E69A8D5" w14:textId="6DE1F2FD" w:rsidR="007717BA" w:rsidRPr="00C93CCE" w:rsidRDefault="00A01C99" w:rsidP="007717BA">
      <w:pPr>
        <w:pStyle w:val="NormalWeb"/>
        <w:divId w:val="1742822950"/>
        <w:rPr>
          <w:rFonts w:asciiTheme="minorHAnsi" w:hAnsiTheme="minorHAnsi"/>
          <w:sz w:val="22"/>
          <w:szCs w:val="22"/>
        </w:rPr>
      </w:pPr>
      <w:r w:rsidRPr="00C93CCE">
        <w:rPr>
          <w:rFonts w:asciiTheme="minorHAnsi" w:hAnsiTheme="minorHAnsi"/>
          <w:sz w:val="22"/>
          <w:szCs w:val="22"/>
        </w:rPr>
        <w:t>7.</w:t>
      </w:r>
      <w:r w:rsidR="007717BA" w:rsidRPr="00C93CCE">
        <w:rPr>
          <w:rFonts w:asciiTheme="minorHAnsi" w:hAnsiTheme="minorHAnsi"/>
          <w:sz w:val="22"/>
          <w:szCs w:val="22"/>
        </w:rPr>
        <w:t xml:space="preserve">  </w:t>
      </w:r>
      <w:r w:rsidRPr="00C93CCE">
        <w:rPr>
          <w:rFonts w:asciiTheme="minorHAnsi" w:hAnsiTheme="minorHAnsi"/>
          <w:sz w:val="22"/>
          <w:szCs w:val="22"/>
        </w:rPr>
        <w:t>Grassly NC:</w:t>
      </w:r>
      <w:r w:rsidR="007717BA" w:rsidRPr="00C93CCE">
        <w:rPr>
          <w:rFonts w:asciiTheme="minorHAnsi" w:hAnsiTheme="minorHAnsi"/>
          <w:sz w:val="22"/>
          <w:szCs w:val="22"/>
        </w:rPr>
        <w:t xml:space="preserve"> </w:t>
      </w:r>
      <w:r w:rsidRPr="00C93CCE">
        <w:rPr>
          <w:rFonts w:asciiTheme="minorHAnsi" w:hAnsiTheme="minorHAnsi"/>
          <w:b/>
          <w:sz w:val="22"/>
          <w:szCs w:val="22"/>
        </w:rPr>
        <w:t>Immunogenicity and effectiveness of routine immunization with 1 or 2 doses of inactivated poliovirus vaccine: systematic review and meta-analysis.</w:t>
      </w:r>
      <w:r w:rsidR="007717BA" w:rsidRPr="00C93CCE">
        <w:rPr>
          <w:rFonts w:asciiTheme="minorHAnsi" w:hAnsiTheme="minorHAnsi"/>
          <w:b/>
          <w:sz w:val="22"/>
          <w:szCs w:val="22"/>
        </w:rPr>
        <w:t xml:space="preserve"> </w:t>
      </w:r>
      <w:r w:rsidRPr="00C93CCE">
        <w:rPr>
          <w:rStyle w:val="jrnl"/>
          <w:rFonts w:asciiTheme="minorHAnsi" w:hAnsiTheme="minorHAnsi"/>
          <w:i/>
          <w:sz w:val="22"/>
          <w:szCs w:val="22"/>
        </w:rPr>
        <w:t>J Infect Dis</w:t>
      </w:r>
      <w:r w:rsidRPr="00C93CCE">
        <w:rPr>
          <w:rFonts w:asciiTheme="minorHAnsi" w:hAnsiTheme="minorHAnsi"/>
          <w:sz w:val="22"/>
          <w:szCs w:val="22"/>
        </w:rPr>
        <w:t xml:space="preserve"> 2014, </w:t>
      </w:r>
      <w:r w:rsidRPr="00C93CCE">
        <w:rPr>
          <w:rFonts w:asciiTheme="minorHAnsi" w:hAnsiTheme="minorHAnsi"/>
          <w:b/>
          <w:sz w:val="22"/>
          <w:szCs w:val="22"/>
        </w:rPr>
        <w:t xml:space="preserve">210 Suppl </w:t>
      </w:r>
      <w:r w:rsidRPr="00C93CCE">
        <w:rPr>
          <w:rFonts w:asciiTheme="minorHAnsi" w:hAnsiTheme="minorHAnsi"/>
          <w:b/>
          <w:bCs/>
          <w:sz w:val="22"/>
          <w:szCs w:val="22"/>
        </w:rPr>
        <w:t>1</w:t>
      </w:r>
      <w:r w:rsidRPr="00C93CCE">
        <w:rPr>
          <w:rFonts w:asciiTheme="minorHAnsi" w:hAnsiTheme="minorHAnsi"/>
          <w:sz w:val="22"/>
          <w:szCs w:val="22"/>
        </w:rPr>
        <w:t>:S439-46.</w:t>
      </w:r>
    </w:p>
    <w:p w14:paraId="467EC739" w14:textId="78302DA3" w:rsidR="007717BA" w:rsidRPr="00C93CCE" w:rsidRDefault="004A1DEB" w:rsidP="007717BA">
      <w:pPr>
        <w:pStyle w:val="NormalWeb"/>
        <w:divId w:val="1742822950"/>
        <w:rPr>
          <w:rFonts w:asciiTheme="minorHAnsi" w:hAnsiTheme="minorHAnsi"/>
          <w:sz w:val="22"/>
          <w:szCs w:val="22"/>
        </w:rPr>
      </w:pPr>
      <w:r w:rsidRPr="00C93CCE">
        <w:rPr>
          <w:rFonts w:asciiTheme="minorHAnsi" w:hAnsiTheme="minorHAnsi"/>
          <w:sz w:val="22"/>
          <w:szCs w:val="22"/>
        </w:rPr>
        <w:t>8.</w:t>
      </w:r>
      <w:r w:rsidR="007717BA" w:rsidRPr="00C93CCE">
        <w:rPr>
          <w:rFonts w:asciiTheme="minorHAnsi" w:hAnsiTheme="minorHAnsi"/>
          <w:sz w:val="22"/>
          <w:szCs w:val="22"/>
        </w:rPr>
        <w:t xml:space="preserve">  </w:t>
      </w:r>
      <w:r w:rsidR="00A01C99" w:rsidRPr="00C93CCE">
        <w:rPr>
          <w:rFonts w:asciiTheme="minorHAnsi" w:hAnsiTheme="minorHAnsi"/>
          <w:sz w:val="22"/>
          <w:szCs w:val="22"/>
        </w:rPr>
        <w:t>Moriniere BJ, van Loon FP, Rhodes PH, Klein-Zabban ML, Frank-Senat B, Herrington JE, Pallansch MA, Patriarca PA:</w:t>
      </w:r>
      <w:r w:rsidR="007717BA" w:rsidRPr="00C93CCE">
        <w:rPr>
          <w:rFonts w:asciiTheme="minorHAnsi" w:hAnsiTheme="minorHAnsi"/>
          <w:sz w:val="22"/>
          <w:szCs w:val="22"/>
        </w:rPr>
        <w:t xml:space="preserve"> </w:t>
      </w:r>
      <w:r w:rsidR="00A01C99" w:rsidRPr="00C93CCE">
        <w:rPr>
          <w:rFonts w:asciiTheme="minorHAnsi" w:hAnsiTheme="minorHAnsi"/>
          <w:b/>
          <w:sz w:val="22"/>
          <w:szCs w:val="22"/>
        </w:rPr>
        <w:t>Immunogenicity of a supplemental dose of oral versus inactivated poliovirus vaccine.</w:t>
      </w:r>
      <w:r w:rsidR="007717BA" w:rsidRPr="00C93CCE">
        <w:rPr>
          <w:rFonts w:asciiTheme="minorHAnsi" w:hAnsiTheme="minorHAnsi"/>
          <w:sz w:val="22"/>
          <w:szCs w:val="22"/>
        </w:rPr>
        <w:t xml:space="preserve"> </w:t>
      </w:r>
      <w:r w:rsidR="00A01C99" w:rsidRPr="00C93CCE">
        <w:rPr>
          <w:rStyle w:val="jrnl"/>
          <w:rFonts w:asciiTheme="minorHAnsi" w:hAnsiTheme="minorHAnsi"/>
          <w:i/>
          <w:sz w:val="22"/>
          <w:szCs w:val="22"/>
        </w:rPr>
        <w:t>Lancet</w:t>
      </w:r>
      <w:r w:rsidR="00A01C99" w:rsidRPr="00C93CCE">
        <w:rPr>
          <w:rFonts w:asciiTheme="minorHAnsi" w:hAnsiTheme="minorHAnsi"/>
          <w:i/>
          <w:sz w:val="22"/>
          <w:szCs w:val="22"/>
        </w:rPr>
        <w:t xml:space="preserve"> </w:t>
      </w:r>
      <w:r w:rsidR="00A01C99" w:rsidRPr="00C93CCE">
        <w:rPr>
          <w:rFonts w:asciiTheme="minorHAnsi" w:hAnsiTheme="minorHAnsi"/>
          <w:sz w:val="22"/>
          <w:szCs w:val="22"/>
        </w:rPr>
        <w:t xml:space="preserve">1993, </w:t>
      </w:r>
      <w:r w:rsidR="00A01C99" w:rsidRPr="00C93CCE">
        <w:rPr>
          <w:rFonts w:asciiTheme="minorHAnsi" w:hAnsiTheme="minorHAnsi"/>
          <w:b/>
          <w:sz w:val="22"/>
          <w:szCs w:val="22"/>
        </w:rPr>
        <w:t>341</w:t>
      </w:r>
      <w:r w:rsidR="00A01C99" w:rsidRPr="00C93CCE">
        <w:rPr>
          <w:rFonts w:asciiTheme="minorHAnsi" w:hAnsiTheme="minorHAnsi"/>
          <w:sz w:val="22"/>
          <w:szCs w:val="22"/>
        </w:rPr>
        <w:t>(8860):1545-50.</w:t>
      </w:r>
    </w:p>
    <w:p w14:paraId="08ADB95E" w14:textId="28462E46" w:rsidR="007717BA" w:rsidRPr="00C93CCE" w:rsidRDefault="004A1DEB" w:rsidP="007717BA">
      <w:pPr>
        <w:pStyle w:val="NormalWeb"/>
        <w:divId w:val="1742822950"/>
        <w:rPr>
          <w:rFonts w:asciiTheme="minorHAnsi" w:hAnsiTheme="minorHAnsi"/>
          <w:sz w:val="22"/>
          <w:szCs w:val="22"/>
        </w:rPr>
      </w:pPr>
      <w:r w:rsidRPr="00C93CCE">
        <w:rPr>
          <w:rFonts w:asciiTheme="minorHAnsi" w:hAnsiTheme="minorHAnsi"/>
          <w:sz w:val="22"/>
          <w:szCs w:val="22"/>
        </w:rPr>
        <w:t>9.</w:t>
      </w:r>
      <w:r w:rsidR="007717BA" w:rsidRPr="00C93CCE">
        <w:rPr>
          <w:rFonts w:asciiTheme="minorHAnsi" w:hAnsiTheme="minorHAnsi"/>
          <w:sz w:val="22"/>
          <w:szCs w:val="22"/>
        </w:rPr>
        <w:t xml:space="preserve">  </w:t>
      </w:r>
      <w:r w:rsidRPr="00C93CCE">
        <w:rPr>
          <w:rFonts w:asciiTheme="minorHAnsi" w:hAnsiTheme="minorHAnsi"/>
          <w:sz w:val="22"/>
          <w:szCs w:val="22"/>
        </w:rPr>
        <w:t>Estívariz CF, Jafari H, Sutter RW, John TJ, Jain V, Agarwal A, Verma H, Pallansch MA, Singh AP, Guirguis S, Awale J, Burton A, Bahl S, Chatterjee A, Aylward RB:</w:t>
      </w:r>
      <w:r w:rsidR="007717BA" w:rsidRPr="00C93CCE">
        <w:rPr>
          <w:rFonts w:asciiTheme="minorHAnsi" w:hAnsiTheme="minorHAnsi"/>
          <w:sz w:val="22"/>
          <w:szCs w:val="22"/>
        </w:rPr>
        <w:t xml:space="preserve"> </w:t>
      </w:r>
      <w:r w:rsidRPr="00C93CCE">
        <w:rPr>
          <w:rFonts w:asciiTheme="minorHAnsi" w:hAnsiTheme="minorHAnsi"/>
          <w:b/>
          <w:sz w:val="22"/>
          <w:szCs w:val="22"/>
        </w:rPr>
        <w:t>Immunogenicity of supplemental doses of poliovirus vaccine for children aged 6-9 months in Moradabad, India: a community-based, randomised controlled trial.</w:t>
      </w:r>
      <w:r w:rsidRPr="00C93CCE">
        <w:rPr>
          <w:rStyle w:val="jrnl"/>
          <w:rFonts w:asciiTheme="minorHAnsi" w:hAnsiTheme="minorHAnsi"/>
          <w:b/>
          <w:sz w:val="22"/>
          <w:szCs w:val="22"/>
        </w:rPr>
        <w:t xml:space="preserve"> </w:t>
      </w:r>
      <w:r w:rsidRPr="00C93CCE">
        <w:rPr>
          <w:rStyle w:val="jrnl"/>
          <w:rFonts w:asciiTheme="minorHAnsi" w:hAnsiTheme="minorHAnsi"/>
          <w:i/>
          <w:sz w:val="22"/>
          <w:szCs w:val="22"/>
        </w:rPr>
        <w:t>Lancet Infect Dis</w:t>
      </w:r>
      <w:r w:rsidRPr="00C93CCE">
        <w:rPr>
          <w:rFonts w:asciiTheme="minorHAnsi" w:hAnsiTheme="minorHAnsi"/>
          <w:sz w:val="22"/>
          <w:szCs w:val="22"/>
        </w:rPr>
        <w:t xml:space="preserve"> 2012, </w:t>
      </w:r>
      <w:r w:rsidRPr="00C93CCE">
        <w:rPr>
          <w:rFonts w:asciiTheme="minorHAnsi" w:hAnsiTheme="minorHAnsi"/>
          <w:b/>
          <w:sz w:val="22"/>
          <w:szCs w:val="22"/>
        </w:rPr>
        <w:t>12</w:t>
      </w:r>
      <w:r w:rsidRPr="00C93CCE">
        <w:rPr>
          <w:rFonts w:asciiTheme="minorHAnsi" w:hAnsiTheme="minorHAnsi"/>
          <w:sz w:val="22"/>
          <w:szCs w:val="22"/>
        </w:rPr>
        <w:t>(2):128-35.</w:t>
      </w:r>
    </w:p>
    <w:p w14:paraId="0BACEE98" w14:textId="1EF4DB33" w:rsidR="007717BA" w:rsidRPr="00C93CCE" w:rsidRDefault="004A1DEB" w:rsidP="007717BA">
      <w:pPr>
        <w:pStyle w:val="NormalWeb"/>
        <w:divId w:val="1742822950"/>
        <w:rPr>
          <w:rFonts w:asciiTheme="minorHAnsi" w:hAnsiTheme="minorHAnsi"/>
          <w:sz w:val="22"/>
          <w:szCs w:val="22"/>
        </w:rPr>
      </w:pPr>
      <w:r w:rsidRPr="00C93CCE">
        <w:rPr>
          <w:rFonts w:asciiTheme="minorHAnsi" w:hAnsiTheme="minorHAnsi"/>
          <w:sz w:val="22"/>
          <w:szCs w:val="22"/>
        </w:rPr>
        <w:t>10.</w:t>
      </w:r>
      <w:r w:rsidR="007717BA" w:rsidRPr="00C93CCE">
        <w:rPr>
          <w:rFonts w:asciiTheme="minorHAnsi" w:hAnsiTheme="minorHAnsi"/>
          <w:sz w:val="22"/>
          <w:szCs w:val="22"/>
        </w:rPr>
        <w:t xml:space="preserve">  </w:t>
      </w:r>
      <w:r w:rsidRPr="00C93CCE">
        <w:rPr>
          <w:rFonts w:asciiTheme="minorHAnsi" w:hAnsiTheme="minorHAnsi"/>
          <w:sz w:val="22"/>
          <w:szCs w:val="22"/>
        </w:rPr>
        <w:t xml:space="preserve">Jafari H, Deshpande JM, Sutter RW, Bahl S, Verma H, Ahmad M, Kunwar A, Vishwakarma R, Agarwal A, Jain S, Estivariz C, Sethi R, Molodecky NA, Grassly NC, Pallansch MA, Chatterjee A, Aylward RB: </w:t>
      </w:r>
      <w:r w:rsidR="007717BA" w:rsidRPr="00C93CCE">
        <w:rPr>
          <w:rFonts w:asciiTheme="minorHAnsi" w:hAnsiTheme="minorHAnsi"/>
          <w:b/>
          <w:sz w:val="22"/>
          <w:szCs w:val="22"/>
        </w:rPr>
        <w:t xml:space="preserve">Efficacy of inactivated poliovirus vaccine in India. </w:t>
      </w:r>
      <w:r w:rsidRPr="00C93CCE">
        <w:rPr>
          <w:rStyle w:val="jrnl"/>
          <w:rFonts w:asciiTheme="minorHAnsi" w:hAnsiTheme="minorHAnsi"/>
          <w:i/>
          <w:sz w:val="22"/>
          <w:szCs w:val="22"/>
        </w:rPr>
        <w:t>Science</w:t>
      </w:r>
      <w:r w:rsidRPr="00C93CCE">
        <w:rPr>
          <w:rFonts w:asciiTheme="minorHAnsi" w:hAnsiTheme="minorHAnsi"/>
          <w:sz w:val="22"/>
          <w:szCs w:val="22"/>
        </w:rPr>
        <w:t xml:space="preserve"> 2014, </w:t>
      </w:r>
      <w:r w:rsidRPr="00C93CCE">
        <w:rPr>
          <w:rFonts w:asciiTheme="minorHAnsi" w:hAnsiTheme="minorHAnsi"/>
          <w:b/>
          <w:sz w:val="22"/>
          <w:szCs w:val="22"/>
        </w:rPr>
        <w:t>345</w:t>
      </w:r>
      <w:r w:rsidRPr="00C93CCE">
        <w:rPr>
          <w:rFonts w:asciiTheme="minorHAnsi" w:hAnsiTheme="minorHAnsi"/>
          <w:sz w:val="22"/>
          <w:szCs w:val="22"/>
        </w:rPr>
        <w:t>(6199):922-5.</w:t>
      </w:r>
    </w:p>
    <w:p w14:paraId="72B34D27" w14:textId="63A3C89A" w:rsidR="007717BA" w:rsidRPr="000A148D" w:rsidRDefault="007717BA">
      <w:pPr>
        <w:pStyle w:val="NormalWeb"/>
        <w:divId w:val="1742822950"/>
        <w:rPr>
          <w:rFonts w:ascii="Calibri" w:hAnsi="Calibri"/>
          <w:noProof/>
          <w:sz w:val="22"/>
        </w:rPr>
      </w:pPr>
    </w:p>
    <w:p w14:paraId="0FFDDDF0" w14:textId="590F8D6E" w:rsidR="00914A52" w:rsidRPr="00914A52" w:rsidRDefault="00914A52" w:rsidP="000A148D">
      <w:pPr>
        <w:pStyle w:val="NormalWeb"/>
        <w:divId w:val="1380324935"/>
      </w:pPr>
      <w:r>
        <w:fldChar w:fldCharType="end"/>
      </w:r>
    </w:p>
    <w:sectPr w:rsidR="00914A52" w:rsidRPr="00914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F378D"/>
    <w:multiLevelType w:val="hybridMultilevel"/>
    <w:tmpl w:val="5F50E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128C8"/>
    <w:multiLevelType w:val="hybridMultilevel"/>
    <w:tmpl w:val="02945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il Lyons">
    <w15:presenceInfo w15:providerId="AD" w15:userId="S-1-5-21-2745946910-598402113-219853104-27275"/>
  </w15:person>
  <w15:person w15:author="Guillaume Chabot-Couture">
    <w15:presenceInfo w15:providerId="AD" w15:userId="S-1-5-21-2745946910-598402113-219853104-155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DDA"/>
    <w:rsid w:val="00063A4B"/>
    <w:rsid w:val="00075A36"/>
    <w:rsid w:val="00085C9C"/>
    <w:rsid w:val="000957F9"/>
    <w:rsid w:val="000A0443"/>
    <w:rsid w:val="000A148D"/>
    <w:rsid w:val="000A25EC"/>
    <w:rsid w:val="000D51CC"/>
    <w:rsid w:val="000F1097"/>
    <w:rsid w:val="000F6C6C"/>
    <w:rsid w:val="001019D0"/>
    <w:rsid w:val="00103239"/>
    <w:rsid w:val="00112CA3"/>
    <w:rsid w:val="00131A47"/>
    <w:rsid w:val="00190878"/>
    <w:rsid w:val="001A74CB"/>
    <w:rsid w:val="001E1DDA"/>
    <w:rsid w:val="001E52F0"/>
    <w:rsid w:val="00222067"/>
    <w:rsid w:val="00224750"/>
    <w:rsid w:val="0023567B"/>
    <w:rsid w:val="00235DB7"/>
    <w:rsid w:val="002701C2"/>
    <w:rsid w:val="0027650C"/>
    <w:rsid w:val="00297906"/>
    <w:rsid w:val="002D54FC"/>
    <w:rsid w:val="002F1838"/>
    <w:rsid w:val="002F1BD7"/>
    <w:rsid w:val="00314E91"/>
    <w:rsid w:val="003B00E5"/>
    <w:rsid w:val="003C2318"/>
    <w:rsid w:val="003D44AE"/>
    <w:rsid w:val="003E48DA"/>
    <w:rsid w:val="004050A3"/>
    <w:rsid w:val="00421FE7"/>
    <w:rsid w:val="00445AEF"/>
    <w:rsid w:val="004A1DEB"/>
    <w:rsid w:val="004B2192"/>
    <w:rsid w:val="004C1F73"/>
    <w:rsid w:val="004D00D2"/>
    <w:rsid w:val="004D772C"/>
    <w:rsid w:val="004F0DE3"/>
    <w:rsid w:val="004F363C"/>
    <w:rsid w:val="005031F4"/>
    <w:rsid w:val="00512FB3"/>
    <w:rsid w:val="00562FE6"/>
    <w:rsid w:val="005B4A76"/>
    <w:rsid w:val="005D3A30"/>
    <w:rsid w:val="005F3982"/>
    <w:rsid w:val="00635061"/>
    <w:rsid w:val="0064578E"/>
    <w:rsid w:val="00661963"/>
    <w:rsid w:val="00665D4E"/>
    <w:rsid w:val="0068317F"/>
    <w:rsid w:val="0069115E"/>
    <w:rsid w:val="00697A07"/>
    <w:rsid w:val="006A6E35"/>
    <w:rsid w:val="006B032B"/>
    <w:rsid w:val="006E2305"/>
    <w:rsid w:val="006E5C8B"/>
    <w:rsid w:val="007400D8"/>
    <w:rsid w:val="00740738"/>
    <w:rsid w:val="00750CD7"/>
    <w:rsid w:val="007717BA"/>
    <w:rsid w:val="00782C75"/>
    <w:rsid w:val="00791BE6"/>
    <w:rsid w:val="007925FA"/>
    <w:rsid w:val="007B3F74"/>
    <w:rsid w:val="007C2269"/>
    <w:rsid w:val="007F2396"/>
    <w:rsid w:val="00821694"/>
    <w:rsid w:val="00824255"/>
    <w:rsid w:val="0087494D"/>
    <w:rsid w:val="008A25FA"/>
    <w:rsid w:val="008B14C3"/>
    <w:rsid w:val="008B377D"/>
    <w:rsid w:val="008B6165"/>
    <w:rsid w:val="008D4FD4"/>
    <w:rsid w:val="0090037A"/>
    <w:rsid w:val="009053D8"/>
    <w:rsid w:val="00914A52"/>
    <w:rsid w:val="00922968"/>
    <w:rsid w:val="00935B02"/>
    <w:rsid w:val="009B499E"/>
    <w:rsid w:val="009F2489"/>
    <w:rsid w:val="009F2CDC"/>
    <w:rsid w:val="009F3895"/>
    <w:rsid w:val="00A01C99"/>
    <w:rsid w:val="00A20580"/>
    <w:rsid w:val="00A3627F"/>
    <w:rsid w:val="00A62DAF"/>
    <w:rsid w:val="00A67ED6"/>
    <w:rsid w:val="00A83855"/>
    <w:rsid w:val="00A839F8"/>
    <w:rsid w:val="00A97DC8"/>
    <w:rsid w:val="00AC4200"/>
    <w:rsid w:val="00AD74F4"/>
    <w:rsid w:val="00B370D6"/>
    <w:rsid w:val="00B768EE"/>
    <w:rsid w:val="00B81C56"/>
    <w:rsid w:val="00B846D1"/>
    <w:rsid w:val="00B84873"/>
    <w:rsid w:val="00BE55E5"/>
    <w:rsid w:val="00BE69E8"/>
    <w:rsid w:val="00C07CAF"/>
    <w:rsid w:val="00C10806"/>
    <w:rsid w:val="00C26A07"/>
    <w:rsid w:val="00C32454"/>
    <w:rsid w:val="00C40928"/>
    <w:rsid w:val="00C62CD6"/>
    <w:rsid w:val="00C93CCE"/>
    <w:rsid w:val="00CA084B"/>
    <w:rsid w:val="00CB6365"/>
    <w:rsid w:val="00CC7F9A"/>
    <w:rsid w:val="00CD4E15"/>
    <w:rsid w:val="00CF36B6"/>
    <w:rsid w:val="00D4077E"/>
    <w:rsid w:val="00D75DEA"/>
    <w:rsid w:val="00D83078"/>
    <w:rsid w:val="00D946F1"/>
    <w:rsid w:val="00DA2B8F"/>
    <w:rsid w:val="00DB71AA"/>
    <w:rsid w:val="00E416D4"/>
    <w:rsid w:val="00E871E6"/>
    <w:rsid w:val="00E91AB1"/>
    <w:rsid w:val="00EC386E"/>
    <w:rsid w:val="00EF68B9"/>
    <w:rsid w:val="00F12356"/>
    <w:rsid w:val="00F52AB6"/>
    <w:rsid w:val="00F95868"/>
    <w:rsid w:val="00F96E4B"/>
    <w:rsid w:val="00FA5B5F"/>
    <w:rsid w:val="00FB506B"/>
    <w:rsid w:val="00FD1B7B"/>
    <w:rsid w:val="00FE0363"/>
    <w:rsid w:val="00FF20DF"/>
    <w:rsid w:val="00FF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0A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3855"/>
    <w:pPr>
      <w:keepNext/>
      <w:keepLines/>
      <w:spacing w:before="480" w:after="0"/>
      <w:outlineLvl w:val="0"/>
    </w:pPr>
    <w:rPr>
      <w:rFonts w:asciiTheme="majorHAnsi" w:eastAsiaTheme="majorEastAsia" w:hAnsiTheme="majorHAnsi" w:cstheme="majorBidi"/>
      <w:b/>
      <w:bCs/>
      <w:color w:val="0D0D0D" w:themeColor="text1" w:themeTint="F2"/>
      <w:sz w:val="28"/>
      <w:szCs w:val="28"/>
    </w:rPr>
  </w:style>
  <w:style w:type="paragraph" w:styleId="Heading2">
    <w:name w:val="heading 2"/>
    <w:basedOn w:val="Normal"/>
    <w:next w:val="Normal"/>
    <w:link w:val="Heading2Char"/>
    <w:uiPriority w:val="9"/>
    <w:unhideWhenUsed/>
    <w:qFormat/>
    <w:rsid w:val="00A83855"/>
    <w:pPr>
      <w:keepNext/>
      <w:keepLines/>
      <w:spacing w:before="200" w:after="0"/>
      <w:outlineLvl w:val="1"/>
    </w:pPr>
    <w:rPr>
      <w:rFonts w:asciiTheme="majorHAnsi" w:eastAsiaTheme="majorEastAsia" w:hAnsiTheme="majorHAnsi" w:cstheme="majorBidi"/>
      <w:b/>
      <w:bCs/>
      <w:color w:val="595959" w:themeColor="text1" w:themeTint="A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077E"/>
    <w:rPr>
      <w:color w:val="808080"/>
    </w:rPr>
  </w:style>
  <w:style w:type="paragraph" w:styleId="BalloonText">
    <w:name w:val="Balloon Text"/>
    <w:basedOn w:val="Normal"/>
    <w:link w:val="BalloonTextChar"/>
    <w:uiPriority w:val="99"/>
    <w:semiHidden/>
    <w:unhideWhenUsed/>
    <w:rsid w:val="00D407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77E"/>
    <w:rPr>
      <w:rFonts w:ascii="Tahoma" w:hAnsi="Tahoma" w:cs="Tahoma"/>
      <w:sz w:val="16"/>
      <w:szCs w:val="16"/>
    </w:rPr>
  </w:style>
  <w:style w:type="character" w:styleId="CommentReference">
    <w:name w:val="annotation reference"/>
    <w:basedOn w:val="DefaultParagraphFont"/>
    <w:uiPriority w:val="99"/>
    <w:semiHidden/>
    <w:unhideWhenUsed/>
    <w:rsid w:val="00D946F1"/>
    <w:rPr>
      <w:sz w:val="16"/>
      <w:szCs w:val="16"/>
    </w:rPr>
  </w:style>
  <w:style w:type="paragraph" w:styleId="CommentText">
    <w:name w:val="annotation text"/>
    <w:basedOn w:val="Normal"/>
    <w:link w:val="CommentTextChar"/>
    <w:uiPriority w:val="99"/>
    <w:semiHidden/>
    <w:unhideWhenUsed/>
    <w:rsid w:val="00D946F1"/>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D946F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A0443"/>
    <w:pPr>
      <w:spacing w:after="200"/>
    </w:pPr>
    <w:rPr>
      <w:rFonts w:eastAsiaTheme="minorHAnsi"/>
      <w:b/>
      <w:bCs/>
    </w:rPr>
  </w:style>
  <w:style w:type="character" w:customStyle="1" w:styleId="CommentSubjectChar">
    <w:name w:val="Comment Subject Char"/>
    <w:basedOn w:val="CommentTextChar"/>
    <w:link w:val="CommentSubject"/>
    <w:uiPriority w:val="99"/>
    <w:semiHidden/>
    <w:rsid w:val="000A0443"/>
    <w:rPr>
      <w:rFonts w:eastAsiaTheme="minorEastAsia"/>
      <w:b/>
      <w:bCs/>
      <w:sz w:val="20"/>
      <w:szCs w:val="20"/>
    </w:rPr>
  </w:style>
  <w:style w:type="character" w:customStyle="1" w:styleId="Heading1Char">
    <w:name w:val="Heading 1 Char"/>
    <w:basedOn w:val="DefaultParagraphFont"/>
    <w:link w:val="Heading1"/>
    <w:uiPriority w:val="9"/>
    <w:rsid w:val="00A83855"/>
    <w:rPr>
      <w:rFonts w:asciiTheme="majorHAnsi" w:eastAsiaTheme="majorEastAsia" w:hAnsiTheme="majorHAnsi" w:cstheme="majorBidi"/>
      <w:b/>
      <w:bCs/>
      <w:color w:val="0D0D0D" w:themeColor="text1" w:themeTint="F2"/>
      <w:sz w:val="28"/>
      <w:szCs w:val="28"/>
    </w:rPr>
  </w:style>
  <w:style w:type="character" w:customStyle="1" w:styleId="Heading2Char">
    <w:name w:val="Heading 2 Char"/>
    <w:basedOn w:val="DefaultParagraphFont"/>
    <w:link w:val="Heading2"/>
    <w:uiPriority w:val="9"/>
    <w:rsid w:val="00A83855"/>
    <w:rPr>
      <w:rFonts w:asciiTheme="majorHAnsi" w:eastAsiaTheme="majorEastAsia" w:hAnsiTheme="majorHAnsi" w:cstheme="majorBidi"/>
      <w:b/>
      <w:bCs/>
      <w:color w:val="595959" w:themeColor="text1" w:themeTint="A6"/>
      <w:sz w:val="26"/>
      <w:szCs w:val="26"/>
    </w:rPr>
  </w:style>
  <w:style w:type="paragraph" w:styleId="Title">
    <w:name w:val="Title"/>
    <w:basedOn w:val="Normal"/>
    <w:next w:val="Normal"/>
    <w:link w:val="TitleChar"/>
    <w:uiPriority w:val="10"/>
    <w:qFormat/>
    <w:rsid w:val="00A83855"/>
    <w:pPr>
      <w:spacing w:after="3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A83855"/>
    <w:rPr>
      <w:rFonts w:asciiTheme="majorHAnsi" w:eastAsiaTheme="majorEastAsia" w:hAnsiTheme="majorHAnsi" w:cstheme="majorBidi"/>
      <w:b/>
      <w:spacing w:val="5"/>
      <w:kern w:val="28"/>
      <w:sz w:val="40"/>
      <w:szCs w:val="52"/>
    </w:rPr>
  </w:style>
  <w:style w:type="table" w:styleId="LightShading-Accent1">
    <w:name w:val="Light Shading Accent 1"/>
    <w:basedOn w:val="TableNormal"/>
    <w:uiPriority w:val="60"/>
    <w:rsid w:val="003B00E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mmentText1">
    <w:name w:val="Comment Text1"/>
    <w:basedOn w:val="Normal"/>
    <w:next w:val="CommentText"/>
    <w:uiPriority w:val="99"/>
    <w:semiHidden/>
    <w:unhideWhenUsed/>
    <w:rsid w:val="0027650C"/>
    <w:pPr>
      <w:spacing w:after="0" w:line="240" w:lineRule="auto"/>
    </w:pPr>
    <w:rPr>
      <w:rFonts w:eastAsia="Times New Roman"/>
      <w:sz w:val="20"/>
      <w:szCs w:val="20"/>
    </w:rPr>
  </w:style>
  <w:style w:type="paragraph" w:styleId="Caption">
    <w:name w:val="caption"/>
    <w:basedOn w:val="Normal"/>
    <w:next w:val="Normal"/>
    <w:uiPriority w:val="35"/>
    <w:unhideWhenUsed/>
    <w:qFormat/>
    <w:rsid w:val="007400D8"/>
    <w:pPr>
      <w:spacing w:line="240" w:lineRule="auto"/>
    </w:pPr>
    <w:rPr>
      <w:rFonts w:eastAsiaTheme="minorEastAsia"/>
      <w:b/>
      <w:bCs/>
      <w:sz w:val="20"/>
      <w:szCs w:val="18"/>
    </w:rPr>
  </w:style>
  <w:style w:type="paragraph" w:styleId="ListParagraph">
    <w:name w:val="List Paragraph"/>
    <w:basedOn w:val="Normal"/>
    <w:uiPriority w:val="34"/>
    <w:qFormat/>
    <w:rsid w:val="00D75DEA"/>
    <w:pPr>
      <w:ind w:left="720"/>
      <w:contextualSpacing/>
    </w:pPr>
  </w:style>
  <w:style w:type="table" w:styleId="TableGrid">
    <w:name w:val="Table Grid"/>
    <w:basedOn w:val="TableNormal"/>
    <w:uiPriority w:val="59"/>
    <w:rsid w:val="00FA5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4A52"/>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914A52"/>
    <w:rPr>
      <w:color w:val="0000FF" w:themeColor="hyperlink"/>
      <w:u w:val="single"/>
    </w:rPr>
  </w:style>
  <w:style w:type="table" w:styleId="LightShading">
    <w:name w:val="Light Shading"/>
    <w:basedOn w:val="TableNormal"/>
    <w:uiPriority w:val="60"/>
    <w:rsid w:val="009F2CD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9F2CDC"/>
    <w:rPr>
      <w:i/>
      <w:iCs/>
    </w:rPr>
  </w:style>
  <w:style w:type="character" w:customStyle="1" w:styleId="jrnl">
    <w:name w:val="jrnl"/>
    <w:basedOn w:val="DefaultParagraphFont"/>
    <w:rsid w:val="005B4A76"/>
  </w:style>
  <w:style w:type="character" w:customStyle="1" w:styleId="author">
    <w:name w:val="author"/>
    <w:basedOn w:val="DefaultParagraphFont"/>
    <w:rsid w:val="00C93C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3855"/>
    <w:pPr>
      <w:keepNext/>
      <w:keepLines/>
      <w:spacing w:before="480" w:after="0"/>
      <w:outlineLvl w:val="0"/>
    </w:pPr>
    <w:rPr>
      <w:rFonts w:asciiTheme="majorHAnsi" w:eastAsiaTheme="majorEastAsia" w:hAnsiTheme="majorHAnsi" w:cstheme="majorBidi"/>
      <w:b/>
      <w:bCs/>
      <w:color w:val="0D0D0D" w:themeColor="text1" w:themeTint="F2"/>
      <w:sz w:val="28"/>
      <w:szCs w:val="28"/>
    </w:rPr>
  </w:style>
  <w:style w:type="paragraph" w:styleId="Heading2">
    <w:name w:val="heading 2"/>
    <w:basedOn w:val="Normal"/>
    <w:next w:val="Normal"/>
    <w:link w:val="Heading2Char"/>
    <w:uiPriority w:val="9"/>
    <w:unhideWhenUsed/>
    <w:qFormat/>
    <w:rsid w:val="00A83855"/>
    <w:pPr>
      <w:keepNext/>
      <w:keepLines/>
      <w:spacing w:before="200" w:after="0"/>
      <w:outlineLvl w:val="1"/>
    </w:pPr>
    <w:rPr>
      <w:rFonts w:asciiTheme="majorHAnsi" w:eastAsiaTheme="majorEastAsia" w:hAnsiTheme="majorHAnsi" w:cstheme="majorBidi"/>
      <w:b/>
      <w:bCs/>
      <w:color w:val="595959" w:themeColor="text1" w:themeTint="A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077E"/>
    <w:rPr>
      <w:color w:val="808080"/>
    </w:rPr>
  </w:style>
  <w:style w:type="paragraph" w:styleId="BalloonText">
    <w:name w:val="Balloon Text"/>
    <w:basedOn w:val="Normal"/>
    <w:link w:val="BalloonTextChar"/>
    <w:uiPriority w:val="99"/>
    <w:semiHidden/>
    <w:unhideWhenUsed/>
    <w:rsid w:val="00D407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77E"/>
    <w:rPr>
      <w:rFonts w:ascii="Tahoma" w:hAnsi="Tahoma" w:cs="Tahoma"/>
      <w:sz w:val="16"/>
      <w:szCs w:val="16"/>
    </w:rPr>
  </w:style>
  <w:style w:type="character" w:styleId="CommentReference">
    <w:name w:val="annotation reference"/>
    <w:basedOn w:val="DefaultParagraphFont"/>
    <w:uiPriority w:val="99"/>
    <w:semiHidden/>
    <w:unhideWhenUsed/>
    <w:rsid w:val="00D946F1"/>
    <w:rPr>
      <w:sz w:val="16"/>
      <w:szCs w:val="16"/>
    </w:rPr>
  </w:style>
  <w:style w:type="paragraph" w:styleId="CommentText">
    <w:name w:val="annotation text"/>
    <w:basedOn w:val="Normal"/>
    <w:link w:val="CommentTextChar"/>
    <w:uiPriority w:val="99"/>
    <w:semiHidden/>
    <w:unhideWhenUsed/>
    <w:rsid w:val="00D946F1"/>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D946F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A0443"/>
    <w:pPr>
      <w:spacing w:after="200"/>
    </w:pPr>
    <w:rPr>
      <w:rFonts w:eastAsiaTheme="minorHAnsi"/>
      <w:b/>
      <w:bCs/>
    </w:rPr>
  </w:style>
  <w:style w:type="character" w:customStyle="1" w:styleId="CommentSubjectChar">
    <w:name w:val="Comment Subject Char"/>
    <w:basedOn w:val="CommentTextChar"/>
    <w:link w:val="CommentSubject"/>
    <w:uiPriority w:val="99"/>
    <w:semiHidden/>
    <w:rsid w:val="000A0443"/>
    <w:rPr>
      <w:rFonts w:eastAsiaTheme="minorEastAsia"/>
      <w:b/>
      <w:bCs/>
      <w:sz w:val="20"/>
      <w:szCs w:val="20"/>
    </w:rPr>
  </w:style>
  <w:style w:type="character" w:customStyle="1" w:styleId="Heading1Char">
    <w:name w:val="Heading 1 Char"/>
    <w:basedOn w:val="DefaultParagraphFont"/>
    <w:link w:val="Heading1"/>
    <w:uiPriority w:val="9"/>
    <w:rsid w:val="00A83855"/>
    <w:rPr>
      <w:rFonts w:asciiTheme="majorHAnsi" w:eastAsiaTheme="majorEastAsia" w:hAnsiTheme="majorHAnsi" w:cstheme="majorBidi"/>
      <w:b/>
      <w:bCs/>
      <w:color w:val="0D0D0D" w:themeColor="text1" w:themeTint="F2"/>
      <w:sz w:val="28"/>
      <w:szCs w:val="28"/>
    </w:rPr>
  </w:style>
  <w:style w:type="character" w:customStyle="1" w:styleId="Heading2Char">
    <w:name w:val="Heading 2 Char"/>
    <w:basedOn w:val="DefaultParagraphFont"/>
    <w:link w:val="Heading2"/>
    <w:uiPriority w:val="9"/>
    <w:rsid w:val="00A83855"/>
    <w:rPr>
      <w:rFonts w:asciiTheme="majorHAnsi" w:eastAsiaTheme="majorEastAsia" w:hAnsiTheme="majorHAnsi" w:cstheme="majorBidi"/>
      <w:b/>
      <w:bCs/>
      <w:color w:val="595959" w:themeColor="text1" w:themeTint="A6"/>
      <w:sz w:val="26"/>
      <w:szCs w:val="26"/>
    </w:rPr>
  </w:style>
  <w:style w:type="paragraph" w:styleId="Title">
    <w:name w:val="Title"/>
    <w:basedOn w:val="Normal"/>
    <w:next w:val="Normal"/>
    <w:link w:val="TitleChar"/>
    <w:uiPriority w:val="10"/>
    <w:qFormat/>
    <w:rsid w:val="00A83855"/>
    <w:pPr>
      <w:spacing w:after="3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A83855"/>
    <w:rPr>
      <w:rFonts w:asciiTheme="majorHAnsi" w:eastAsiaTheme="majorEastAsia" w:hAnsiTheme="majorHAnsi" w:cstheme="majorBidi"/>
      <w:b/>
      <w:spacing w:val="5"/>
      <w:kern w:val="28"/>
      <w:sz w:val="40"/>
      <w:szCs w:val="52"/>
    </w:rPr>
  </w:style>
  <w:style w:type="table" w:styleId="LightShading-Accent1">
    <w:name w:val="Light Shading Accent 1"/>
    <w:basedOn w:val="TableNormal"/>
    <w:uiPriority w:val="60"/>
    <w:rsid w:val="003B00E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mmentText1">
    <w:name w:val="Comment Text1"/>
    <w:basedOn w:val="Normal"/>
    <w:next w:val="CommentText"/>
    <w:uiPriority w:val="99"/>
    <w:semiHidden/>
    <w:unhideWhenUsed/>
    <w:rsid w:val="0027650C"/>
    <w:pPr>
      <w:spacing w:after="0" w:line="240" w:lineRule="auto"/>
    </w:pPr>
    <w:rPr>
      <w:rFonts w:eastAsia="Times New Roman"/>
      <w:sz w:val="20"/>
      <w:szCs w:val="20"/>
    </w:rPr>
  </w:style>
  <w:style w:type="paragraph" w:styleId="Caption">
    <w:name w:val="caption"/>
    <w:basedOn w:val="Normal"/>
    <w:next w:val="Normal"/>
    <w:uiPriority w:val="35"/>
    <w:unhideWhenUsed/>
    <w:qFormat/>
    <w:rsid w:val="007400D8"/>
    <w:pPr>
      <w:spacing w:line="240" w:lineRule="auto"/>
    </w:pPr>
    <w:rPr>
      <w:rFonts w:eastAsiaTheme="minorEastAsia"/>
      <w:b/>
      <w:bCs/>
      <w:sz w:val="20"/>
      <w:szCs w:val="18"/>
    </w:rPr>
  </w:style>
  <w:style w:type="paragraph" w:styleId="ListParagraph">
    <w:name w:val="List Paragraph"/>
    <w:basedOn w:val="Normal"/>
    <w:uiPriority w:val="34"/>
    <w:qFormat/>
    <w:rsid w:val="00D75DEA"/>
    <w:pPr>
      <w:ind w:left="720"/>
      <w:contextualSpacing/>
    </w:pPr>
  </w:style>
  <w:style w:type="table" w:styleId="TableGrid">
    <w:name w:val="Table Grid"/>
    <w:basedOn w:val="TableNormal"/>
    <w:uiPriority w:val="59"/>
    <w:rsid w:val="00FA5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4A52"/>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914A52"/>
    <w:rPr>
      <w:color w:val="0000FF" w:themeColor="hyperlink"/>
      <w:u w:val="single"/>
    </w:rPr>
  </w:style>
  <w:style w:type="table" w:styleId="LightShading">
    <w:name w:val="Light Shading"/>
    <w:basedOn w:val="TableNormal"/>
    <w:uiPriority w:val="60"/>
    <w:rsid w:val="009F2CD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9F2CDC"/>
    <w:rPr>
      <w:i/>
      <w:iCs/>
    </w:rPr>
  </w:style>
  <w:style w:type="character" w:customStyle="1" w:styleId="jrnl">
    <w:name w:val="jrnl"/>
    <w:basedOn w:val="DefaultParagraphFont"/>
    <w:rsid w:val="005B4A76"/>
  </w:style>
  <w:style w:type="character" w:customStyle="1" w:styleId="author">
    <w:name w:val="author"/>
    <w:basedOn w:val="DefaultParagraphFont"/>
    <w:rsid w:val="00C9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324935">
      <w:bodyDiv w:val="1"/>
      <w:marLeft w:val="0"/>
      <w:marRight w:val="0"/>
      <w:marTop w:val="0"/>
      <w:marBottom w:val="0"/>
      <w:divBdr>
        <w:top w:val="none" w:sz="0" w:space="0" w:color="auto"/>
        <w:left w:val="none" w:sz="0" w:space="0" w:color="auto"/>
        <w:bottom w:val="none" w:sz="0" w:space="0" w:color="auto"/>
        <w:right w:val="none" w:sz="0" w:space="0" w:color="auto"/>
      </w:divBdr>
      <w:divsChild>
        <w:div w:id="1655984044">
          <w:marLeft w:val="0"/>
          <w:marRight w:val="0"/>
          <w:marTop w:val="0"/>
          <w:marBottom w:val="0"/>
          <w:divBdr>
            <w:top w:val="none" w:sz="0" w:space="0" w:color="auto"/>
            <w:left w:val="none" w:sz="0" w:space="0" w:color="auto"/>
            <w:bottom w:val="none" w:sz="0" w:space="0" w:color="auto"/>
            <w:right w:val="none" w:sz="0" w:space="0" w:color="auto"/>
          </w:divBdr>
        </w:div>
        <w:div w:id="1742822950">
          <w:marLeft w:val="0"/>
          <w:marRight w:val="0"/>
          <w:marTop w:val="0"/>
          <w:marBottom w:val="0"/>
          <w:divBdr>
            <w:top w:val="none" w:sz="0" w:space="0" w:color="auto"/>
            <w:left w:val="none" w:sz="0" w:space="0" w:color="auto"/>
            <w:bottom w:val="none" w:sz="0" w:space="0" w:color="auto"/>
            <w:right w:val="none" w:sz="0" w:space="0" w:color="auto"/>
          </w:divBdr>
          <w:divsChild>
            <w:div w:id="1197350445">
              <w:marLeft w:val="0"/>
              <w:marRight w:val="0"/>
              <w:marTop w:val="0"/>
              <w:marBottom w:val="0"/>
              <w:divBdr>
                <w:top w:val="none" w:sz="0" w:space="0" w:color="auto"/>
                <w:left w:val="none" w:sz="0" w:space="0" w:color="auto"/>
                <w:bottom w:val="none" w:sz="0" w:space="0" w:color="auto"/>
                <w:right w:val="none" w:sz="0" w:space="0" w:color="auto"/>
              </w:divBdr>
            </w:div>
            <w:div w:id="216934089">
              <w:marLeft w:val="0"/>
              <w:marRight w:val="0"/>
              <w:marTop w:val="0"/>
              <w:marBottom w:val="0"/>
              <w:divBdr>
                <w:top w:val="none" w:sz="0" w:space="0" w:color="auto"/>
                <w:left w:val="none" w:sz="0" w:space="0" w:color="auto"/>
                <w:bottom w:val="none" w:sz="0" w:space="0" w:color="auto"/>
                <w:right w:val="none" w:sz="0" w:space="0" w:color="auto"/>
              </w:divBdr>
            </w:div>
            <w:div w:id="1398819979">
              <w:marLeft w:val="0"/>
              <w:marRight w:val="0"/>
              <w:marTop w:val="0"/>
              <w:marBottom w:val="0"/>
              <w:divBdr>
                <w:top w:val="none" w:sz="0" w:space="0" w:color="auto"/>
                <w:left w:val="none" w:sz="0" w:space="0" w:color="auto"/>
                <w:bottom w:val="none" w:sz="0" w:space="0" w:color="auto"/>
                <w:right w:val="none" w:sz="0" w:space="0" w:color="auto"/>
              </w:divBdr>
            </w:div>
            <w:div w:id="233705787">
              <w:marLeft w:val="0"/>
              <w:marRight w:val="0"/>
              <w:marTop w:val="0"/>
              <w:marBottom w:val="0"/>
              <w:divBdr>
                <w:top w:val="none" w:sz="0" w:space="0" w:color="auto"/>
                <w:left w:val="none" w:sz="0" w:space="0" w:color="auto"/>
                <w:bottom w:val="none" w:sz="0" w:space="0" w:color="auto"/>
                <w:right w:val="none" w:sz="0" w:space="0" w:color="auto"/>
              </w:divBdr>
            </w:div>
            <w:div w:id="2098399893">
              <w:marLeft w:val="0"/>
              <w:marRight w:val="0"/>
              <w:marTop w:val="0"/>
              <w:marBottom w:val="0"/>
              <w:divBdr>
                <w:top w:val="none" w:sz="0" w:space="0" w:color="auto"/>
                <w:left w:val="none" w:sz="0" w:space="0" w:color="auto"/>
                <w:bottom w:val="none" w:sz="0" w:space="0" w:color="auto"/>
                <w:right w:val="none" w:sz="0" w:space="0" w:color="auto"/>
              </w:divBdr>
            </w:div>
            <w:div w:id="204374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0D103-001E-4CBC-BE92-AE3E0CFEC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4546</Words>
  <Characters>25916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Intellectual Ventures</Company>
  <LinksUpToDate>false</LinksUpToDate>
  <CharactersWithSpaces>30402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Lyons</dc:creator>
  <cp:lastModifiedBy>Real, Francis Frank</cp:lastModifiedBy>
  <cp:revision>12</cp:revision>
  <dcterms:created xsi:type="dcterms:W3CDTF">2016-02-16T17:59:00Z</dcterms:created>
  <dcterms:modified xsi:type="dcterms:W3CDTF">2016-03-28T23:32:00Z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h.lyons@comcast.net@www.mendeley.com</vt:lpwstr>
  </property>
  <property fmtid="{D5CDD505-2E9C-101B-9397-08002B2CF9AE}" pid="4" name="Mendeley Citation Style_1">
    <vt:lpwstr>http://www.zotero.org/styles/bmc-medicine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http://www.zotero.org/styles/bmc-infectious-diseases</vt:lpwstr>
  </property>
  <property fmtid="{D5CDD505-2E9C-101B-9397-08002B2CF9AE}" pid="12" name="Mendeley Recent Style Name 3_1">
    <vt:lpwstr>BMC Infectious Diseases</vt:lpwstr>
  </property>
  <property fmtid="{D5CDD505-2E9C-101B-9397-08002B2CF9AE}" pid="13" name="Mendeley Recent Style Id 4_1">
    <vt:lpwstr>http://www.zotero.org/styles/bmc-medicine</vt:lpwstr>
  </property>
  <property fmtid="{D5CDD505-2E9C-101B-9397-08002B2CF9AE}" pid="14" name="Mendeley Recent Style Name 4_1">
    <vt:lpwstr>BMC Medicine</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16th edition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