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DC3" w:rsidRDefault="009B1DC3" w:rsidP="00C77F8F">
      <w:pPr>
        <w:rPr>
          <w:b/>
          <w:lang w:val="en-US"/>
        </w:rPr>
      </w:pPr>
      <w:r>
        <w:rPr>
          <w:b/>
          <w:lang w:val="en-US"/>
        </w:rPr>
        <w:t>Additional file</w:t>
      </w:r>
    </w:p>
    <w:p w:rsidR="00C77F8F" w:rsidRPr="00C77F8F" w:rsidRDefault="009B1DC3" w:rsidP="00C77F8F">
      <w:pPr>
        <w:rPr>
          <w:b/>
          <w:lang w:val="en-US"/>
        </w:rPr>
      </w:pPr>
      <w:proofErr w:type="gramStart"/>
      <w:r>
        <w:rPr>
          <w:b/>
          <w:lang w:val="en-US"/>
        </w:rPr>
        <w:t xml:space="preserve">Appendix </w:t>
      </w:r>
      <w:r w:rsidR="00C77F8F">
        <w:rPr>
          <w:b/>
          <w:lang w:val="en-US"/>
        </w:rPr>
        <w:t xml:space="preserve"> 1</w:t>
      </w:r>
      <w:proofErr w:type="gramEnd"/>
      <w:r w:rsidR="00C77F8F">
        <w:rPr>
          <w:b/>
          <w:lang w:val="en-US"/>
        </w:rPr>
        <w:t xml:space="preserve">. </w:t>
      </w:r>
      <w:proofErr w:type="gramStart"/>
      <w:r w:rsidR="00C77F8F">
        <w:rPr>
          <w:b/>
          <w:lang w:val="en-US"/>
        </w:rPr>
        <w:t>prioritization</w:t>
      </w:r>
      <w:proofErr w:type="gramEnd"/>
      <w:r w:rsidR="00C77F8F">
        <w:rPr>
          <w:b/>
          <w:lang w:val="en-US"/>
        </w:rPr>
        <w:t xml:space="preserve"> methodology</w:t>
      </w:r>
    </w:p>
    <w:p w:rsidR="00C77F8F" w:rsidRDefault="00C77F8F" w:rsidP="00C77F8F">
      <w:pPr>
        <w:rPr>
          <w:u w:val="single"/>
          <w:lang w:val="en-US"/>
        </w:rPr>
      </w:pPr>
    </w:p>
    <w:p w:rsidR="00C77F8F" w:rsidRPr="00CF0CC8" w:rsidRDefault="00C77F8F" w:rsidP="00C77F8F">
      <w:pPr>
        <w:rPr>
          <w:u w:val="single"/>
          <w:lang w:val="en-US"/>
        </w:rPr>
      </w:pPr>
      <w:r>
        <w:rPr>
          <w:u w:val="single"/>
          <w:lang w:val="en-US"/>
        </w:rPr>
        <w:t>4</w:t>
      </w:r>
      <w:r w:rsidRPr="00CF0CC8">
        <w:rPr>
          <w:u w:val="single"/>
          <w:lang w:val="en-US"/>
        </w:rPr>
        <w:t>a. Connection with Global Burden of Disease</w:t>
      </w:r>
    </w:p>
    <w:p w:rsidR="00C77F8F" w:rsidRPr="00793253" w:rsidRDefault="00C77F8F" w:rsidP="00C77F8F">
      <w:pPr>
        <w:spacing w:line="480" w:lineRule="auto"/>
        <w:rPr>
          <w:sz w:val="24"/>
          <w:szCs w:val="24"/>
          <w:lang w:val="en-US"/>
        </w:rPr>
      </w:pPr>
      <w:r w:rsidRPr="00793253">
        <w:rPr>
          <w:sz w:val="24"/>
          <w:szCs w:val="24"/>
          <w:lang w:val="en-US"/>
        </w:rPr>
        <w:t>Since information on prevale</w:t>
      </w:r>
      <w:r w:rsidR="007B34EA">
        <w:rPr>
          <w:sz w:val="24"/>
          <w:szCs w:val="24"/>
          <w:lang w:val="en-US"/>
        </w:rPr>
        <w:t>nce and disease burden by ICD10-</w:t>
      </w:r>
      <w:r w:rsidRPr="00793253">
        <w:rPr>
          <w:sz w:val="24"/>
          <w:szCs w:val="24"/>
          <w:lang w:val="en-US"/>
        </w:rPr>
        <w:t xml:space="preserve">code is not systematically available in the Netherlands, it was decided to use the Global Burden of Disease (GBD) classification. The GBD is a global classification of disease categories including prevalence, disability adjusted life years (DALYs), years of life lost (YLL) and </w:t>
      </w:r>
      <w:proofErr w:type="gramStart"/>
      <w:r w:rsidRPr="00793253">
        <w:rPr>
          <w:sz w:val="24"/>
          <w:szCs w:val="24"/>
          <w:lang w:val="en-US"/>
        </w:rPr>
        <w:t xml:space="preserve">years lost </w:t>
      </w:r>
      <w:r w:rsidRPr="00002143">
        <w:rPr>
          <w:sz w:val="24"/>
          <w:szCs w:val="24"/>
          <w:lang w:val="en-US"/>
        </w:rPr>
        <w:t>due to disability (YLD) for each disease category, and is</w:t>
      </w:r>
      <w:proofErr w:type="gramEnd"/>
      <w:r w:rsidRPr="00002143">
        <w:rPr>
          <w:sz w:val="24"/>
          <w:szCs w:val="24"/>
          <w:lang w:val="en-US"/>
        </w:rPr>
        <w:t xml:space="preserve"> regularly renewed, most recently in 2015</w:t>
      </w:r>
      <w:r w:rsidRPr="00002143">
        <w:rPr>
          <w:rStyle w:val="FootnoteReference"/>
          <w:sz w:val="24"/>
          <w:szCs w:val="24"/>
          <w:lang w:val="en-US"/>
        </w:rPr>
        <w:footnoteReference w:id="1"/>
      </w:r>
      <w:r w:rsidRPr="00002143">
        <w:rPr>
          <w:sz w:val="24"/>
          <w:szCs w:val="24"/>
          <w:lang w:val="en-US"/>
        </w:rPr>
        <w:t xml:space="preserve"> with 2013 data. Many of the GBD parameters are available online and by country. Also, information</w:t>
      </w:r>
      <w:r w:rsidRPr="00793253">
        <w:rPr>
          <w:sz w:val="24"/>
          <w:szCs w:val="24"/>
          <w:lang w:val="en-US"/>
        </w:rPr>
        <w:t xml:space="preserve"> was available which ICD</w:t>
      </w:r>
      <w:r>
        <w:rPr>
          <w:sz w:val="24"/>
          <w:szCs w:val="24"/>
          <w:lang w:val="en-US"/>
        </w:rPr>
        <w:t>10-</w:t>
      </w:r>
      <w:r w:rsidR="00DE3D6D">
        <w:rPr>
          <w:sz w:val="24"/>
          <w:szCs w:val="24"/>
          <w:lang w:val="en-US"/>
        </w:rPr>
        <w:t>codes are covered by each GBD-category. A GBD-</w:t>
      </w:r>
      <w:r w:rsidRPr="00793253">
        <w:rPr>
          <w:sz w:val="24"/>
          <w:szCs w:val="24"/>
          <w:lang w:val="en-US"/>
        </w:rPr>
        <w:t>category often covers a range of ICD</w:t>
      </w:r>
      <w:r>
        <w:rPr>
          <w:sz w:val="24"/>
          <w:szCs w:val="24"/>
          <w:lang w:val="en-US"/>
        </w:rPr>
        <w:t>10-</w:t>
      </w:r>
      <w:r w:rsidRPr="00793253">
        <w:rPr>
          <w:sz w:val="24"/>
          <w:szCs w:val="24"/>
          <w:lang w:val="en-US"/>
        </w:rPr>
        <w:t>codes. For example, the GBD-category "low back pa</w:t>
      </w:r>
      <w:r>
        <w:rPr>
          <w:sz w:val="24"/>
          <w:szCs w:val="24"/>
          <w:lang w:val="en-US"/>
        </w:rPr>
        <w:t>in" consists of a number of ICD</w:t>
      </w:r>
      <w:r w:rsidRPr="00793253">
        <w:rPr>
          <w:sz w:val="24"/>
          <w:szCs w:val="24"/>
          <w:lang w:val="en-US"/>
        </w:rPr>
        <w:t>10</w:t>
      </w:r>
      <w:r>
        <w:rPr>
          <w:sz w:val="24"/>
          <w:szCs w:val="24"/>
          <w:lang w:val="en-US"/>
        </w:rPr>
        <w:t>-</w:t>
      </w:r>
      <w:r w:rsidRPr="00793253">
        <w:rPr>
          <w:sz w:val="24"/>
          <w:szCs w:val="24"/>
          <w:lang w:val="en-US"/>
        </w:rPr>
        <w:t xml:space="preserve">codes from Chapter VI - Diseases of the nervous system (including disorders of </w:t>
      </w:r>
      <w:proofErr w:type="spellStart"/>
      <w:r w:rsidRPr="00793253">
        <w:rPr>
          <w:sz w:val="24"/>
          <w:szCs w:val="24"/>
          <w:lang w:val="en-US"/>
        </w:rPr>
        <w:t>lumbosacral</w:t>
      </w:r>
      <w:proofErr w:type="spellEnd"/>
      <w:r w:rsidRPr="00793253">
        <w:rPr>
          <w:sz w:val="24"/>
          <w:szCs w:val="24"/>
          <w:lang w:val="en-US"/>
        </w:rPr>
        <w:t xml:space="preserve"> plexus), but also from Chapter XIII - Illnesses of the musculoskeletal system and connective tissue (including instability of spine).</w:t>
      </w:r>
    </w:p>
    <w:p w:rsidR="00C77F8F" w:rsidRPr="00793253" w:rsidRDefault="00C77F8F" w:rsidP="00C77F8F">
      <w:pPr>
        <w:spacing w:line="480" w:lineRule="auto"/>
        <w:rPr>
          <w:sz w:val="24"/>
          <w:szCs w:val="24"/>
          <w:lang w:val="en-US"/>
        </w:rPr>
      </w:pPr>
      <w:r>
        <w:rPr>
          <w:sz w:val="24"/>
          <w:szCs w:val="24"/>
          <w:lang w:val="en-US"/>
        </w:rPr>
        <w:t>The ICD</w:t>
      </w:r>
      <w:r w:rsidRPr="00793253">
        <w:rPr>
          <w:sz w:val="24"/>
          <w:szCs w:val="24"/>
          <w:lang w:val="en-US"/>
        </w:rPr>
        <w:t>10</w:t>
      </w:r>
      <w:r>
        <w:rPr>
          <w:sz w:val="24"/>
          <w:szCs w:val="24"/>
          <w:lang w:val="en-US"/>
        </w:rPr>
        <w:t>-</w:t>
      </w:r>
      <w:r w:rsidRPr="00793253">
        <w:rPr>
          <w:sz w:val="24"/>
          <w:szCs w:val="24"/>
          <w:lang w:val="en-US"/>
        </w:rPr>
        <w:t>code</w:t>
      </w:r>
      <w:r>
        <w:rPr>
          <w:sz w:val="24"/>
          <w:szCs w:val="24"/>
          <w:lang w:val="en-US"/>
        </w:rPr>
        <w:t>s</w:t>
      </w:r>
      <w:r w:rsidRPr="00793253">
        <w:rPr>
          <w:sz w:val="24"/>
          <w:szCs w:val="24"/>
          <w:lang w:val="en-US"/>
        </w:rPr>
        <w:t xml:space="preserve"> </w:t>
      </w:r>
      <w:r>
        <w:rPr>
          <w:sz w:val="24"/>
          <w:szCs w:val="24"/>
          <w:lang w:val="en-US"/>
        </w:rPr>
        <w:t>were assigned to GBD-categories. If an ICD</w:t>
      </w:r>
      <w:r w:rsidRPr="00793253">
        <w:rPr>
          <w:sz w:val="24"/>
          <w:szCs w:val="24"/>
          <w:lang w:val="en-US"/>
        </w:rPr>
        <w:t>10</w:t>
      </w:r>
      <w:r>
        <w:rPr>
          <w:sz w:val="24"/>
          <w:szCs w:val="24"/>
          <w:lang w:val="en-US"/>
        </w:rPr>
        <w:t>-</w:t>
      </w:r>
      <w:r w:rsidRPr="00793253">
        <w:rPr>
          <w:sz w:val="24"/>
          <w:szCs w:val="24"/>
          <w:lang w:val="en-US"/>
        </w:rPr>
        <w:t>code fitted in more than one GBD category, the category covering the smallest range of ICD</w:t>
      </w:r>
      <w:r>
        <w:rPr>
          <w:sz w:val="24"/>
          <w:szCs w:val="24"/>
          <w:lang w:val="en-US"/>
        </w:rPr>
        <w:t>10-</w:t>
      </w:r>
      <w:r w:rsidRPr="00793253">
        <w:rPr>
          <w:sz w:val="24"/>
          <w:szCs w:val="24"/>
          <w:lang w:val="en-US"/>
        </w:rPr>
        <w:t>code</w:t>
      </w:r>
      <w:r>
        <w:rPr>
          <w:sz w:val="24"/>
          <w:szCs w:val="24"/>
          <w:lang w:val="en-US"/>
        </w:rPr>
        <w:t>s was chosen. Part of the ICD10-</w:t>
      </w:r>
      <w:r w:rsidRPr="00793253">
        <w:rPr>
          <w:sz w:val="24"/>
          <w:szCs w:val="24"/>
          <w:lang w:val="en-US"/>
        </w:rPr>
        <w:t xml:space="preserve">codes only fitted in the 'garbage code' </w:t>
      </w:r>
      <w:r w:rsidRPr="00002143">
        <w:rPr>
          <w:sz w:val="24"/>
          <w:szCs w:val="24"/>
          <w:lang w:val="en-US"/>
        </w:rPr>
        <w:t xml:space="preserve">category, which is a very broad group. </w:t>
      </w:r>
      <w:r>
        <w:rPr>
          <w:sz w:val="24"/>
          <w:szCs w:val="24"/>
          <w:lang w:val="en-US"/>
        </w:rPr>
        <w:t xml:space="preserve">Therefore, </w:t>
      </w:r>
      <w:r w:rsidRPr="00002143">
        <w:rPr>
          <w:sz w:val="24"/>
          <w:szCs w:val="24"/>
          <w:lang w:val="en-US"/>
        </w:rPr>
        <w:t xml:space="preserve">for those ICD-10 codes that were assigned to the rest category ‘garbage code’, an </w:t>
      </w:r>
      <w:proofErr w:type="gramStart"/>
      <w:r w:rsidRPr="00002143">
        <w:rPr>
          <w:sz w:val="24"/>
          <w:szCs w:val="24"/>
          <w:lang w:val="en-US"/>
        </w:rPr>
        <w:t>alternative</w:t>
      </w:r>
      <w:proofErr w:type="gramEnd"/>
      <w:r w:rsidRPr="00002143">
        <w:rPr>
          <w:sz w:val="24"/>
          <w:szCs w:val="24"/>
          <w:lang w:val="en-US"/>
        </w:rPr>
        <w:t xml:space="preserve"> GBD-c</w:t>
      </w:r>
      <w:r>
        <w:rPr>
          <w:sz w:val="24"/>
          <w:szCs w:val="24"/>
          <w:lang w:val="en-US"/>
        </w:rPr>
        <w:t>ategory was sought, if possible</w:t>
      </w:r>
      <w:r w:rsidRPr="00002143">
        <w:rPr>
          <w:sz w:val="24"/>
          <w:szCs w:val="24"/>
          <w:lang w:val="en-US"/>
        </w:rPr>
        <w:t xml:space="preserve">. </w:t>
      </w:r>
      <w:r w:rsidRPr="00793253">
        <w:rPr>
          <w:sz w:val="24"/>
          <w:szCs w:val="24"/>
          <w:lang w:val="en-US"/>
        </w:rPr>
        <w:t>If no ICD10</w:t>
      </w:r>
      <w:r>
        <w:rPr>
          <w:sz w:val="24"/>
          <w:szCs w:val="24"/>
          <w:lang w:val="en-US"/>
        </w:rPr>
        <w:t>-</w:t>
      </w:r>
      <w:r w:rsidRPr="00793253">
        <w:rPr>
          <w:sz w:val="24"/>
          <w:szCs w:val="24"/>
          <w:lang w:val="en-US"/>
        </w:rPr>
        <w:t>code was assigned to a</w:t>
      </w:r>
      <w:r>
        <w:rPr>
          <w:sz w:val="24"/>
          <w:szCs w:val="24"/>
          <w:lang w:val="en-US"/>
        </w:rPr>
        <w:t xml:space="preserve"> lower value service but an ICD10-</w:t>
      </w:r>
      <w:r w:rsidRPr="00793253">
        <w:rPr>
          <w:sz w:val="24"/>
          <w:szCs w:val="24"/>
          <w:lang w:val="en-US"/>
        </w:rPr>
        <w:t xml:space="preserve">group or specialism was known, this information was used to find </w:t>
      </w:r>
      <w:r w:rsidR="00DE3D6D">
        <w:rPr>
          <w:sz w:val="24"/>
          <w:szCs w:val="24"/>
          <w:lang w:val="en-US"/>
        </w:rPr>
        <w:lastRenderedPageBreak/>
        <w:t>an appropriate GBD-</w:t>
      </w:r>
      <w:r w:rsidRPr="00793253">
        <w:rPr>
          <w:sz w:val="24"/>
          <w:szCs w:val="24"/>
          <w:lang w:val="en-US"/>
        </w:rPr>
        <w:t xml:space="preserve">category for the lower value service. Four researchers (MEAM, EV, JW, </w:t>
      </w:r>
      <w:proofErr w:type="gramStart"/>
      <w:r w:rsidRPr="00793253">
        <w:rPr>
          <w:sz w:val="24"/>
          <w:szCs w:val="24"/>
          <w:lang w:val="en-US"/>
        </w:rPr>
        <w:t>TA</w:t>
      </w:r>
      <w:proofErr w:type="gramEnd"/>
      <w:r w:rsidRPr="00793253">
        <w:rPr>
          <w:sz w:val="24"/>
          <w:szCs w:val="24"/>
          <w:lang w:val="en-US"/>
        </w:rPr>
        <w:t>) each took a randomly selected</w:t>
      </w:r>
      <w:r>
        <w:rPr>
          <w:sz w:val="24"/>
          <w:szCs w:val="24"/>
          <w:lang w:val="en-US"/>
        </w:rPr>
        <w:t xml:space="preserve"> part of the list to assign</w:t>
      </w:r>
      <w:r w:rsidR="00DE3D6D">
        <w:rPr>
          <w:sz w:val="24"/>
          <w:szCs w:val="24"/>
          <w:lang w:val="en-US"/>
        </w:rPr>
        <w:t xml:space="preserve"> GBD-</w:t>
      </w:r>
      <w:r w:rsidRPr="00793253">
        <w:rPr>
          <w:sz w:val="24"/>
          <w:szCs w:val="24"/>
          <w:lang w:val="en-US"/>
        </w:rPr>
        <w:t>categories</w:t>
      </w:r>
      <w:r>
        <w:rPr>
          <w:sz w:val="24"/>
          <w:szCs w:val="24"/>
          <w:lang w:val="en-US"/>
        </w:rPr>
        <w:t xml:space="preserve"> to ICD10-codes</w:t>
      </w:r>
      <w:r w:rsidRPr="00793253">
        <w:rPr>
          <w:sz w:val="24"/>
          <w:szCs w:val="24"/>
          <w:lang w:val="en-US"/>
        </w:rPr>
        <w:t xml:space="preserve">. Equivocal cases were discussed with another researcher until consensus was </w:t>
      </w:r>
      <w:r w:rsidRPr="00B14BEE">
        <w:rPr>
          <w:sz w:val="24"/>
          <w:szCs w:val="24"/>
          <w:lang w:val="en-US"/>
        </w:rPr>
        <w:t xml:space="preserve">reached. </w:t>
      </w:r>
      <w:proofErr w:type="gramStart"/>
      <w:r w:rsidRPr="00B14BEE">
        <w:rPr>
          <w:sz w:val="24"/>
          <w:szCs w:val="24"/>
          <w:lang w:val="en-US"/>
        </w:rPr>
        <w:t>Not</w:t>
      </w:r>
      <w:r w:rsidR="00DE3D6D">
        <w:rPr>
          <w:sz w:val="24"/>
          <w:szCs w:val="24"/>
          <w:lang w:val="en-US"/>
        </w:rPr>
        <w:t xml:space="preserve"> for each GBD-</w:t>
      </w:r>
      <w:r w:rsidRPr="00793253">
        <w:rPr>
          <w:sz w:val="24"/>
          <w:szCs w:val="24"/>
          <w:lang w:val="en-US"/>
        </w:rPr>
        <w:t>category prevalence</w:t>
      </w:r>
      <w:proofErr w:type="gramEnd"/>
      <w:r w:rsidRPr="00793253">
        <w:rPr>
          <w:sz w:val="24"/>
          <w:szCs w:val="24"/>
          <w:lang w:val="en-US"/>
        </w:rPr>
        <w:t xml:space="preserve"> figures were known, and to a lesser extent, DALYs and YLDs were missing. </w:t>
      </w:r>
    </w:p>
    <w:p w:rsidR="00C77F8F" w:rsidRPr="00C47586" w:rsidRDefault="00C77F8F" w:rsidP="00C77F8F">
      <w:pPr>
        <w:rPr>
          <w:u w:val="single"/>
          <w:lang w:val="en-US"/>
        </w:rPr>
      </w:pPr>
      <w:r w:rsidRPr="00C47586">
        <w:rPr>
          <w:u w:val="single"/>
          <w:lang w:val="en-US"/>
        </w:rPr>
        <w:t>4b. Prioritization of ICD10-codes</w:t>
      </w:r>
    </w:p>
    <w:p w:rsidR="00C77F8F" w:rsidRPr="00793253" w:rsidRDefault="00C77F8F" w:rsidP="00C77F8F">
      <w:pPr>
        <w:spacing w:line="480" w:lineRule="auto"/>
        <w:rPr>
          <w:sz w:val="24"/>
          <w:szCs w:val="24"/>
          <w:lang w:val="en-US"/>
        </w:rPr>
      </w:pPr>
      <w:r w:rsidRPr="00793253">
        <w:rPr>
          <w:sz w:val="24"/>
          <w:szCs w:val="24"/>
          <w:lang w:val="en-US"/>
        </w:rPr>
        <w:t xml:space="preserve">To apply a prioritization in the extensive list of lower value services, the following criteria were defined per ICD code: </w:t>
      </w:r>
      <w:r w:rsidRPr="00B14BEE">
        <w:rPr>
          <w:sz w:val="24"/>
          <w:szCs w:val="24"/>
          <w:lang w:val="en-US"/>
        </w:rPr>
        <w:t>number of lower value services, prevalence, LYD and DALYs. For each criterion four groups were made that were given a priority score. The classification into four groups aimed at having a comparable</w:t>
      </w:r>
      <w:r w:rsidR="00DE3D6D">
        <w:rPr>
          <w:sz w:val="24"/>
          <w:szCs w:val="24"/>
          <w:lang w:val="en-US"/>
        </w:rPr>
        <w:t xml:space="preserve"> number of ICD10-</w:t>
      </w:r>
      <w:r w:rsidRPr="00793253">
        <w:rPr>
          <w:sz w:val="24"/>
          <w:szCs w:val="24"/>
          <w:lang w:val="en-US"/>
        </w:rPr>
        <w:t>codes in each group, as well as obtaining rounded categories (i.e. 500-1000 instead of 439-768). This resulted in the following classification:</w:t>
      </w:r>
    </w:p>
    <w:p w:rsidR="00C77F8F" w:rsidRPr="00793253" w:rsidRDefault="00C77F8F" w:rsidP="00C77F8F">
      <w:pPr>
        <w:spacing w:line="480" w:lineRule="auto"/>
        <w:rPr>
          <w:sz w:val="24"/>
          <w:szCs w:val="24"/>
          <w:lang w:val="en-US"/>
        </w:rPr>
      </w:pPr>
      <w:r w:rsidRPr="00793253">
        <w:rPr>
          <w:sz w:val="24"/>
          <w:szCs w:val="24"/>
          <w:lang w:val="en-US"/>
        </w:rPr>
        <w:t>Number of lower value services per ICD</w:t>
      </w:r>
      <w:r w:rsidR="00DE3D6D">
        <w:rPr>
          <w:sz w:val="24"/>
          <w:szCs w:val="24"/>
          <w:lang w:val="en-US"/>
        </w:rPr>
        <w:t>10</w:t>
      </w:r>
      <w:r w:rsidRPr="00793253">
        <w:rPr>
          <w:sz w:val="24"/>
          <w:szCs w:val="24"/>
          <w:lang w:val="en-US"/>
        </w:rPr>
        <w:t>-code: &gt;10 (4 points), 5-10 (3 points), 2-5 (2 points), 1 (1 point);</w:t>
      </w:r>
    </w:p>
    <w:p w:rsidR="00C77F8F" w:rsidRPr="00793253" w:rsidRDefault="00C77F8F" w:rsidP="00C77F8F">
      <w:pPr>
        <w:spacing w:line="480" w:lineRule="auto"/>
        <w:rPr>
          <w:sz w:val="24"/>
          <w:szCs w:val="24"/>
          <w:lang w:val="en-US"/>
        </w:rPr>
      </w:pPr>
      <w:r w:rsidRPr="00793253">
        <w:rPr>
          <w:sz w:val="24"/>
          <w:szCs w:val="24"/>
          <w:lang w:val="en-US"/>
        </w:rPr>
        <w:t>Prevalence (Netherlands 2013;*1000</w:t>
      </w:r>
      <w:proofErr w:type="gramStart"/>
      <w:r w:rsidRPr="00793253">
        <w:rPr>
          <w:sz w:val="24"/>
          <w:szCs w:val="24"/>
          <w:lang w:val="en-US"/>
        </w:rPr>
        <w:t>):</w:t>
      </w:r>
      <w:proofErr w:type="gramEnd"/>
      <w:r w:rsidRPr="00793253">
        <w:rPr>
          <w:sz w:val="24"/>
          <w:szCs w:val="24"/>
          <w:lang w:val="en-US"/>
        </w:rPr>
        <w:t xml:space="preserve"> &gt;1000 (4 points), 500-1000 (3 points), 100-500 (2 points) , &lt;= 100 (1 point);</w:t>
      </w:r>
    </w:p>
    <w:p w:rsidR="00C77F8F" w:rsidRPr="00793253" w:rsidRDefault="00C77F8F" w:rsidP="00C77F8F">
      <w:pPr>
        <w:spacing w:line="480" w:lineRule="auto"/>
        <w:rPr>
          <w:sz w:val="24"/>
          <w:szCs w:val="24"/>
          <w:lang w:val="en-US"/>
        </w:rPr>
      </w:pPr>
      <w:r w:rsidRPr="00793253">
        <w:rPr>
          <w:sz w:val="24"/>
          <w:szCs w:val="24"/>
          <w:lang w:val="en-US"/>
        </w:rPr>
        <w:t>YLD (Netherlands 2013;*1000</w:t>
      </w:r>
      <w:proofErr w:type="gramStart"/>
      <w:r w:rsidRPr="00793253">
        <w:rPr>
          <w:sz w:val="24"/>
          <w:szCs w:val="24"/>
          <w:lang w:val="en-US"/>
        </w:rPr>
        <w:t>):</w:t>
      </w:r>
      <w:proofErr w:type="gramEnd"/>
      <w:r w:rsidRPr="00793253">
        <w:rPr>
          <w:sz w:val="24"/>
          <w:szCs w:val="24"/>
          <w:lang w:val="en-US"/>
        </w:rPr>
        <w:t xml:space="preserve"> &gt;10 (4 points), 5-10 (3 points), 1-5 (2 points), &lt;=1 (1 point);</w:t>
      </w:r>
    </w:p>
    <w:p w:rsidR="00C77F8F" w:rsidRPr="00793253" w:rsidRDefault="00C77F8F" w:rsidP="00C77F8F">
      <w:pPr>
        <w:spacing w:line="480" w:lineRule="auto"/>
        <w:rPr>
          <w:sz w:val="24"/>
          <w:szCs w:val="24"/>
          <w:lang w:val="en-US"/>
        </w:rPr>
      </w:pPr>
      <w:r w:rsidRPr="00793253">
        <w:rPr>
          <w:sz w:val="24"/>
          <w:szCs w:val="24"/>
          <w:lang w:val="en-US"/>
        </w:rPr>
        <w:t>DALY (Netherlands 2013;*1000</w:t>
      </w:r>
      <w:proofErr w:type="gramStart"/>
      <w:r w:rsidRPr="00793253">
        <w:rPr>
          <w:sz w:val="24"/>
          <w:szCs w:val="24"/>
          <w:lang w:val="en-US"/>
        </w:rPr>
        <w:t>):</w:t>
      </w:r>
      <w:proofErr w:type="gramEnd"/>
      <w:r w:rsidRPr="00793253">
        <w:rPr>
          <w:sz w:val="24"/>
          <w:szCs w:val="24"/>
          <w:lang w:val="en-US"/>
        </w:rPr>
        <w:t xml:space="preserve"> &gt;100 (4 points), 50-100 (3 points), 10-50 (2 points), &lt;=10 (1 point).</w:t>
      </w:r>
    </w:p>
    <w:p w:rsidR="00C77F8F" w:rsidRPr="00793253" w:rsidRDefault="00C77F8F" w:rsidP="00C77F8F">
      <w:pPr>
        <w:spacing w:line="480" w:lineRule="auto"/>
        <w:rPr>
          <w:sz w:val="24"/>
          <w:szCs w:val="24"/>
          <w:lang w:val="en-US"/>
        </w:rPr>
      </w:pPr>
      <w:r w:rsidRPr="00793253">
        <w:rPr>
          <w:sz w:val="24"/>
          <w:szCs w:val="24"/>
          <w:lang w:val="en-US"/>
        </w:rPr>
        <w:t xml:space="preserve">Subsequently, the </w:t>
      </w:r>
      <w:r>
        <w:rPr>
          <w:sz w:val="24"/>
          <w:szCs w:val="24"/>
          <w:lang w:val="en-US"/>
        </w:rPr>
        <w:t xml:space="preserve">ICD10-codes </w:t>
      </w:r>
      <w:r w:rsidRPr="00793253">
        <w:rPr>
          <w:sz w:val="24"/>
          <w:szCs w:val="24"/>
          <w:lang w:val="en-US"/>
        </w:rPr>
        <w:t xml:space="preserve">were prioritized by the sum of the number of lower value services, prevalence, LYD and DALY (Method 1), the highest score (up to 16) indicating the highest priority. As YLD is part of the DALY, </w:t>
      </w:r>
      <w:r w:rsidRPr="00B14BEE">
        <w:rPr>
          <w:sz w:val="24"/>
          <w:szCs w:val="24"/>
          <w:lang w:val="en-US"/>
        </w:rPr>
        <w:t xml:space="preserve">this provides a high priority for ICD10-codes with </w:t>
      </w:r>
      <w:r w:rsidRPr="00B14BEE">
        <w:rPr>
          <w:sz w:val="24"/>
          <w:szCs w:val="24"/>
          <w:lang w:val="en-US"/>
        </w:rPr>
        <w:lastRenderedPageBreak/>
        <w:t>a high number of YLD. Therefore, the prioritization was repeated for the sum of the number of lower value services and DALYs (Method 2; maximum score 8).</w:t>
      </w:r>
    </w:p>
    <w:p w:rsidR="007C15E6" w:rsidRDefault="007C15E6">
      <w:pPr>
        <w:rPr>
          <w:lang w:val="en-US"/>
        </w:rPr>
      </w:pPr>
      <w:r>
        <w:rPr>
          <w:lang w:val="en-US"/>
        </w:rPr>
        <w:br w:type="page"/>
      </w:r>
    </w:p>
    <w:p w:rsidR="00422520" w:rsidRPr="007C15E6" w:rsidRDefault="007C15E6">
      <w:pPr>
        <w:rPr>
          <w:b/>
          <w:lang w:val="en-US"/>
        </w:rPr>
      </w:pPr>
      <w:r w:rsidRPr="007C15E6">
        <w:rPr>
          <w:b/>
          <w:lang w:val="en-US"/>
        </w:rPr>
        <w:lastRenderedPageBreak/>
        <w:t xml:space="preserve">Appendix 2: </w:t>
      </w:r>
      <w:r>
        <w:rPr>
          <w:b/>
          <w:lang w:val="en-US"/>
        </w:rPr>
        <w:t xml:space="preserve">UK prioritization results. </w:t>
      </w:r>
    </w:p>
    <w:p w:rsidR="007C15E6" w:rsidRDefault="007C15E6">
      <w:pPr>
        <w:rPr>
          <w:lang w:val="en-US"/>
        </w:rPr>
      </w:pPr>
    </w:p>
    <w:p w:rsidR="007C15E6" w:rsidRDefault="00B522EC">
      <w:pPr>
        <w:rPr>
          <w:lang w:val="en-US"/>
        </w:rPr>
      </w:pPr>
      <w:bookmarkStart w:id="0" w:name="_GoBack"/>
      <w:r w:rsidRPr="00B522EC">
        <w:rPr>
          <w:noProof/>
          <w:lang w:val="en-US"/>
        </w:rPr>
        <w:drawing>
          <wp:inline distT="0" distB="0" distL="0" distR="0">
            <wp:extent cx="5760720" cy="3761910"/>
            <wp:effectExtent l="1905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761910"/>
                    </a:xfrm>
                    <a:prstGeom prst="rect">
                      <a:avLst/>
                    </a:prstGeom>
                    <a:noFill/>
                  </pic:spPr>
                </pic:pic>
              </a:graphicData>
            </a:graphic>
          </wp:inline>
        </w:drawing>
      </w:r>
      <w:bookmarkEnd w:id="0"/>
    </w:p>
    <w:p w:rsidR="007C15E6" w:rsidRDefault="007C15E6">
      <w:pPr>
        <w:rPr>
          <w:lang w:val="en-US"/>
        </w:rPr>
      </w:pPr>
      <w:r>
        <w:rPr>
          <w:lang w:val="en-US"/>
        </w:rPr>
        <w:br w:type="page"/>
      </w:r>
    </w:p>
    <w:p w:rsidR="007C15E6" w:rsidRDefault="007C15E6">
      <w:pPr>
        <w:rPr>
          <w:lang w:val="en-US"/>
        </w:rPr>
      </w:pPr>
    </w:p>
    <w:p w:rsidR="007C15E6" w:rsidRPr="00C77F8F" w:rsidRDefault="00B522EC">
      <w:pPr>
        <w:rPr>
          <w:lang w:val="en-US"/>
        </w:rPr>
      </w:pPr>
      <w:r w:rsidRPr="00B522EC">
        <w:rPr>
          <w:noProof/>
          <w:lang w:val="en-US"/>
        </w:rPr>
        <w:drawing>
          <wp:inline distT="0" distB="0" distL="0" distR="0">
            <wp:extent cx="5760720" cy="3763356"/>
            <wp:effectExtent l="1905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763356"/>
                    </a:xfrm>
                    <a:prstGeom prst="rect">
                      <a:avLst/>
                    </a:prstGeom>
                    <a:noFill/>
                  </pic:spPr>
                </pic:pic>
              </a:graphicData>
            </a:graphic>
          </wp:inline>
        </w:drawing>
      </w:r>
    </w:p>
    <w:sectPr w:rsidR="007C15E6" w:rsidRPr="00C77F8F" w:rsidSect="004225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A68" w:rsidRDefault="00500A68" w:rsidP="00C77F8F">
      <w:pPr>
        <w:spacing w:after="0" w:line="240" w:lineRule="auto"/>
      </w:pPr>
      <w:r>
        <w:separator/>
      </w:r>
    </w:p>
  </w:endnote>
  <w:endnote w:type="continuationSeparator" w:id="0">
    <w:p w:rsidR="00500A68" w:rsidRDefault="00500A68" w:rsidP="00C77F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A68" w:rsidRDefault="00500A68" w:rsidP="00C77F8F">
      <w:pPr>
        <w:spacing w:after="0" w:line="240" w:lineRule="auto"/>
      </w:pPr>
      <w:r>
        <w:separator/>
      </w:r>
    </w:p>
  </w:footnote>
  <w:footnote w:type="continuationSeparator" w:id="0">
    <w:p w:rsidR="00500A68" w:rsidRDefault="00500A68" w:rsidP="00C77F8F">
      <w:pPr>
        <w:spacing w:after="0" w:line="240" w:lineRule="auto"/>
      </w:pPr>
      <w:r>
        <w:continuationSeparator/>
      </w:r>
    </w:p>
  </w:footnote>
  <w:footnote w:id="1">
    <w:p w:rsidR="007B34EA" w:rsidRPr="009E4801" w:rsidRDefault="007B34EA" w:rsidP="00C77F8F">
      <w:pPr>
        <w:spacing w:line="360" w:lineRule="auto"/>
        <w:jc w:val="both"/>
        <w:rPr>
          <w:sz w:val="20"/>
          <w:szCs w:val="20"/>
          <w:lang w:val="en-US"/>
        </w:rPr>
      </w:pPr>
      <w:r>
        <w:rPr>
          <w:rStyle w:val="FootnoteReference"/>
        </w:rPr>
        <w:footnoteRef/>
      </w:r>
      <w:r w:rsidRPr="00C47586">
        <w:rPr>
          <w:lang w:val="en-US"/>
        </w:rPr>
        <w:t xml:space="preserve"> </w:t>
      </w:r>
      <w:proofErr w:type="gramStart"/>
      <w:r w:rsidRPr="00793253">
        <w:rPr>
          <w:sz w:val="24"/>
          <w:szCs w:val="24"/>
          <w:lang w:val="en-US"/>
        </w:rPr>
        <w:t xml:space="preserve">Global Burden of disease Study Collaborators 2013; </w:t>
      </w:r>
      <w:hyperlink r:id="rId1" w:history="1">
        <w:r w:rsidRPr="00E35F51">
          <w:rPr>
            <w:rStyle w:val="Hyperlink"/>
            <w:sz w:val="24"/>
            <w:szCs w:val="24"/>
            <w:lang w:val="en-US"/>
          </w:rPr>
          <w:t>http://ghdx.healthdata.org/global-burden-disease-study-2013-gbd-2013-data-downloads</w:t>
        </w:r>
      </w:hyperlink>
      <w:r>
        <w:rPr>
          <w:sz w:val="24"/>
          <w:szCs w:val="24"/>
          <w:lang w:val="en-US"/>
        </w:rPr>
        <w:t xml:space="preserve"> </w:t>
      </w:r>
      <w:r w:rsidRPr="00236CEE">
        <w:rPr>
          <w:sz w:val="20"/>
          <w:szCs w:val="20"/>
          <w:lang w:val="en-US"/>
        </w:rPr>
        <w:t>Global Burden of Disease Study 2013.</w:t>
      </w:r>
      <w:proofErr w:type="gramEnd"/>
      <w:r w:rsidRPr="00236CEE">
        <w:rPr>
          <w:sz w:val="20"/>
          <w:szCs w:val="20"/>
          <w:lang w:val="en-US"/>
        </w:rPr>
        <w:t xml:space="preserve"> Global Burden of Disease Study 2013 (GBD 2013) Incidence, Prevalence, and Years Lived with Disability 1990-2013. Seattle, United States: Institute for Health Metri</w:t>
      </w:r>
      <w:r>
        <w:rPr>
          <w:sz w:val="20"/>
          <w:szCs w:val="20"/>
          <w:lang w:val="en-US"/>
        </w:rPr>
        <w:t>cs and Evaluation (IHME), 2015.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77F8F"/>
    <w:rsid w:val="000F0FB1"/>
    <w:rsid w:val="00180B9C"/>
    <w:rsid w:val="00193488"/>
    <w:rsid w:val="0031319E"/>
    <w:rsid w:val="00380FFE"/>
    <w:rsid w:val="00422520"/>
    <w:rsid w:val="00427960"/>
    <w:rsid w:val="00500A68"/>
    <w:rsid w:val="00523890"/>
    <w:rsid w:val="0057204F"/>
    <w:rsid w:val="006443E2"/>
    <w:rsid w:val="006767CB"/>
    <w:rsid w:val="007522E6"/>
    <w:rsid w:val="00794EDB"/>
    <w:rsid w:val="007B34EA"/>
    <w:rsid w:val="007C15E6"/>
    <w:rsid w:val="007E62BC"/>
    <w:rsid w:val="009743CA"/>
    <w:rsid w:val="009B1DC3"/>
    <w:rsid w:val="00B522EC"/>
    <w:rsid w:val="00B83768"/>
    <w:rsid w:val="00BE3947"/>
    <w:rsid w:val="00C77F8F"/>
    <w:rsid w:val="00D65890"/>
    <w:rsid w:val="00DE3D6D"/>
    <w:rsid w:val="00E23DF2"/>
    <w:rsid w:val="00F37076"/>
    <w:rsid w:val="00FA1E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F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C77F8F"/>
    <w:rPr>
      <w:vertAlign w:val="superscript"/>
    </w:rPr>
  </w:style>
  <w:style w:type="character" w:styleId="Hyperlink">
    <w:name w:val="Hyperlink"/>
    <w:basedOn w:val="DefaultParagraphFont"/>
    <w:uiPriority w:val="99"/>
    <w:unhideWhenUsed/>
    <w:rsid w:val="00C77F8F"/>
    <w:rPr>
      <w:color w:val="0000FF" w:themeColor="hyperlink"/>
      <w:u w:val="single"/>
    </w:rPr>
  </w:style>
  <w:style w:type="paragraph" w:styleId="BalloonText">
    <w:name w:val="Balloon Text"/>
    <w:basedOn w:val="Normal"/>
    <w:link w:val="BalloonTextChar"/>
    <w:uiPriority w:val="99"/>
    <w:semiHidden/>
    <w:unhideWhenUsed/>
    <w:rsid w:val="007C15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5E6"/>
    <w:rPr>
      <w:rFonts w:ascii="Tahoma" w:hAnsi="Tahoma" w:cs="Tahoma"/>
      <w:sz w:val="16"/>
      <w:szCs w:val="16"/>
    </w:rPr>
  </w:style>
  <w:style w:type="character" w:styleId="CommentReference">
    <w:name w:val="annotation reference"/>
    <w:basedOn w:val="DefaultParagraphFont"/>
    <w:uiPriority w:val="99"/>
    <w:semiHidden/>
    <w:unhideWhenUsed/>
    <w:rsid w:val="007C15E6"/>
    <w:rPr>
      <w:sz w:val="16"/>
      <w:szCs w:val="16"/>
    </w:rPr>
  </w:style>
  <w:style w:type="paragraph" w:styleId="CommentText">
    <w:name w:val="annotation text"/>
    <w:basedOn w:val="Normal"/>
    <w:link w:val="CommentTextChar"/>
    <w:uiPriority w:val="99"/>
    <w:semiHidden/>
    <w:unhideWhenUsed/>
    <w:rsid w:val="007C15E6"/>
    <w:pPr>
      <w:spacing w:line="240" w:lineRule="auto"/>
    </w:pPr>
    <w:rPr>
      <w:sz w:val="20"/>
      <w:szCs w:val="20"/>
    </w:rPr>
  </w:style>
  <w:style w:type="character" w:customStyle="1" w:styleId="CommentTextChar">
    <w:name w:val="Comment Text Char"/>
    <w:basedOn w:val="DefaultParagraphFont"/>
    <w:link w:val="CommentText"/>
    <w:uiPriority w:val="99"/>
    <w:semiHidden/>
    <w:rsid w:val="007C15E6"/>
    <w:rPr>
      <w:sz w:val="20"/>
      <w:szCs w:val="20"/>
    </w:rPr>
  </w:style>
  <w:style w:type="paragraph" w:styleId="CommentSubject">
    <w:name w:val="annotation subject"/>
    <w:basedOn w:val="CommentText"/>
    <w:next w:val="CommentText"/>
    <w:link w:val="CommentSubjectChar"/>
    <w:uiPriority w:val="99"/>
    <w:semiHidden/>
    <w:unhideWhenUsed/>
    <w:rsid w:val="007C15E6"/>
    <w:rPr>
      <w:b/>
      <w:bCs/>
    </w:rPr>
  </w:style>
  <w:style w:type="character" w:customStyle="1" w:styleId="CommentSubjectChar">
    <w:name w:val="Comment Subject Char"/>
    <w:basedOn w:val="CommentTextChar"/>
    <w:link w:val="CommentSubject"/>
    <w:uiPriority w:val="99"/>
    <w:semiHidden/>
    <w:rsid w:val="007C15E6"/>
    <w:rPr>
      <w:b/>
      <w:bCs/>
    </w:rPr>
  </w:style>
</w:styles>
</file>

<file path=word/webSettings.xml><?xml version="1.0" encoding="utf-8"?>
<w:webSettings xmlns:r="http://schemas.openxmlformats.org/officeDocument/2006/relationships" xmlns:w="http://schemas.openxmlformats.org/wordprocessingml/2006/main">
  <w:divs>
    <w:div w:id="30600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ghdx.healthdata.org/global-burden-disease-study-2013-gbd-2013-data-downloads"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507</Words>
  <Characters>2896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Wammes</dc:creator>
  <cp:lastModifiedBy>jepartosa</cp:lastModifiedBy>
  <cp:revision>5</cp:revision>
  <dcterms:created xsi:type="dcterms:W3CDTF">2016-05-31T10:46:00Z</dcterms:created>
  <dcterms:modified xsi:type="dcterms:W3CDTF">2016-11-11T11:14:00Z</dcterms:modified>
</cp:coreProperties>
</file>