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2F8" w:rsidRDefault="002422F8" w:rsidP="00E91F9C">
      <w:pPr>
        <w:pStyle w:val="Heading1"/>
      </w:pPr>
      <w:r>
        <w:t>Appendix 1. Study protocol</w:t>
      </w:r>
    </w:p>
    <w:p w:rsidR="00FE4BC2" w:rsidRPr="009802A6" w:rsidRDefault="00FE4BC2" w:rsidP="009802A6">
      <w:pPr>
        <w:rPr>
          <w:rFonts w:ascii="Times New Roman" w:hAnsi="Times New Roman" w:cs="Times New Roman"/>
          <w:b/>
        </w:rPr>
      </w:pPr>
      <w:r w:rsidRPr="009802A6">
        <w:rPr>
          <w:rFonts w:ascii="Times New Roman" w:hAnsi="Times New Roman" w:cs="Times New Roman"/>
          <w:b/>
        </w:rPr>
        <w:t>Type of Review:</w:t>
      </w:r>
    </w:p>
    <w:p w:rsidR="00FE4BC2" w:rsidRPr="00F94503" w:rsidRDefault="00FE4BC2" w:rsidP="00FE4BC2">
      <w:pPr>
        <w:rPr>
          <w:rFonts w:ascii="Times New Roman" w:hAnsi="Times New Roman" w:cs="Times New Roman"/>
        </w:rPr>
      </w:pPr>
      <w:r w:rsidRPr="00F94503">
        <w:rPr>
          <w:rFonts w:ascii="Times New Roman" w:hAnsi="Times New Roman" w:cs="Times New Roman"/>
        </w:rPr>
        <w:t>Scoping review</w:t>
      </w:r>
    </w:p>
    <w:p w:rsidR="00F94503" w:rsidRPr="009802A6" w:rsidRDefault="00F94503" w:rsidP="009802A6">
      <w:pPr>
        <w:rPr>
          <w:rFonts w:ascii="Times New Roman" w:hAnsi="Times New Roman" w:cs="Times New Roman"/>
          <w:b/>
        </w:rPr>
      </w:pPr>
      <w:r w:rsidRPr="009802A6">
        <w:rPr>
          <w:rFonts w:ascii="Times New Roman" w:hAnsi="Times New Roman" w:cs="Times New Roman"/>
          <w:b/>
        </w:rPr>
        <w:t>Search:</w:t>
      </w:r>
    </w:p>
    <w:p w:rsidR="00F94503" w:rsidRPr="00F94503" w:rsidRDefault="00F94503" w:rsidP="00F94503">
      <w:pPr>
        <w:rPr>
          <w:rFonts w:ascii="Times New Roman" w:hAnsi="Times New Roman" w:cs="Times New Roman"/>
        </w:rPr>
      </w:pPr>
      <w:r w:rsidRPr="00F94503">
        <w:rPr>
          <w:rFonts w:ascii="Times New Roman" w:hAnsi="Times New Roman" w:cs="Times New Roman"/>
        </w:rPr>
        <w:t>We will use a pre-existing sample of 186 published NMAs that was used to examine statistical methods of NMA in a previous paper.</w:t>
      </w:r>
      <w:r w:rsidRPr="00F94503">
        <w:rPr>
          <w:rStyle w:val="FootnoteReference"/>
          <w:rFonts w:ascii="Times New Roman" w:hAnsi="Times New Roman" w:cs="Times New Roman"/>
        </w:rPr>
        <w:footnoteReference w:id="1"/>
      </w:r>
    </w:p>
    <w:p w:rsidR="00FE4BC2" w:rsidRPr="009802A6" w:rsidRDefault="00FE4BC2" w:rsidP="009802A6">
      <w:pPr>
        <w:rPr>
          <w:rFonts w:ascii="Times New Roman" w:hAnsi="Times New Roman" w:cs="Times New Roman"/>
          <w:b/>
        </w:rPr>
      </w:pPr>
      <w:r w:rsidRPr="009802A6">
        <w:rPr>
          <w:rFonts w:ascii="Times New Roman" w:hAnsi="Times New Roman" w:cs="Times New Roman"/>
          <w:b/>
        </w:rPr>
        <w:t>Study selection:</w:t>
      </w:r>
    </w:p>
    <w:p w:rsidR="008E4A10" w:rsidRPr="009802A6" w:rsidRDefault="008E4A10" w:rsidP="009802A6">
      <w:pPr>
        <w:rPr>
          <w:rFonts w:ascii="Times New Roman" w:hAnsi="Times New Roman" w:cs="Times New Roman"/>
        </w:rPr>
      </w:pPr>
      <w:r w:rsidRPr="009802A6">
        <w:rPr>
          <w:rFonts w:ascii="Times New Roman" w:hAnsi="Times New Roman" w:cs="Times New Roman"/>
        </w:rPr>
        <w:t>Inclusion/Exclusion criteria for the NMA database</w:t>
      </w:r>
    </w:p>
    <w:p w:rsidR="008E4A10" w:rsidRPr="00F94503" w:rsidRDefault="008E4A10" w:rsidP="008E4A10">
      <w:pPr>
        <w:pStyle w:val="ListParagraph"/>
        <w:numPr>
          <w:ilvl w:val="0"/>
          <w:numId w:val="2"/>
        </w:numPr>
        <w:spacing w:line="240" w:lineRule="auto"/>
        <w:rPr>
          <w:rFonts w:ascii="Times New Roman" w:hAnsi="Times New Roman" w:cs="Times New Roman"/>
        </w:rPr>
      </w:pPr>
      <w:r w:rsidRPr="00F94503">
        <w:rPr>
          <w:rFonts w:ascii="Times New Roman" w:hAnsi="Times New Roman" w:cs="Times New Roman"/>
        </w:rPr>
        <w:t>Include networks that include only RCTs (not observational studies)</w:t>
      </w:r>
    </w:p>
    <w:p w:rsidR="008E4A10" w:rsidRPr="00F94503" w:rsidRDefault="008E4A10" w:rsidP="008E4A10">
      <w:pPr>
        <w:pStyle w:val="ListParagraph"/>
        <w:numPr>
          <w:ilvl w:val="0"/>
          <w:numId w:val="2"/>
        </w:numPr>
        <w:spacing w:line="240" w:lineRule="auto"/>
        <w:rPr>
          <w:rFonts w:ascii="Times New Roman" w:hAnsi="Times New Roman" w:cs="Times New Roman"/>
        </w:rPr>
      </w:pPr>
      <w:r w:rsidRPr="00F94503">
        <w:rPr>
          <w:rFonts w:ascii="Times New Roman" w:hAnsi="Times New Roman" w:cs="Times New Roman"/>
        </w:rPr>
        <w:t>Include only networks comparing at least 4 treatments (including no treatment, placebo, etc.)</w:t>
      </w:r>
    </w:p>
    <w:p w:rsidR="008E4A10" w:rsidRPr="00F94503" w:rsidRDefault="008E4A10" w:rsidP="008E4A10">
      <w:pPr>
        <w:pStyle w:val="ListParagraph"/>
        <w:numPr>
          <w:ilvl w:val="0"/>
          <w:numId w:val="2"/>
        </w:numPr>
        <w:spacing w:line="240" w:lineRule="auto"/>
        <w:rPr>
          <w:rFonts w:ascii="Times New Roman" w:hAnsi="Times New Roman" w:cs="Times New Roman"/>
        </w:rPr>
      </w:pPr>
      <w:r w:rsidRPr="00F94503">
        <w:rPr>
          <w:rFonts w:ascii="Times New Roman" w:hAnsi="Times New Roman" w:cs="Times New Roman"/>
        </w:rPr>
        <w:t xml:space="preserve">Include only networks in which the number of included studies is larger than the number of competing treatments </w:t>
      </w:r>
    </w:p>
    <w:p w:rsidR="008E4A10" w:rsidRPr="00F94503" w:rsidRDefault="008E4A10" w:rsidP="008E4A10">
      <w:pPr>
        <w:pStyle w:val="ListParagraph"/>
        <w:numPr>
          <w:ilvl w:val="0"/>
          <w:numId w:val="2"/>
        </w:numPr>
        <w:spacing w:line="240" w:lineRule="auto"/>
        <w:rPr>
          <w:rFonts w:ascii="Times New Roman" w:hAnsi="Times New Roman" w:cs="Times New Roman"/>
        </w:rPr>
      </w:pPr>
      <w:r w:rsidRPr="00F94503">
        <w:rPr>
          <w:rFonts w:ascii="Times New Roman" w:hAnsi="Times New Roman" w:cs="Times New Roman"/>
        </w:rPr>
        <w:t>Include only networks that used a valid method for network meta-analysis (e.g. adjusted indirect comparison, hierarchical models, meta-regression models, multivariate meta- analysis model, linear models with 2 stages); for example we excluded networks that used a naive approach like pooling the arms across studies</w:t>
      </w:r>
    </w:p>
    <w:p w:rsidR="008E4A10" w:rsidRPr="00F94503" w:rsidRDefault="008E4A10" w:rsidP="008E4A10">
      <w:pPr>
        <w:pStyle w:val="ListParagraph"/>
        <w:numPr>
          <w:ilvl w:val="0"/>
          <w:numId w:val="2"/>
        </w:numPr>
        <w:spacing w:line="240" w:lineRule="auto"/>
        <w:rPr>
          <w:rFonts w:ascii="Times New Roman" w:hAnsi="Times New Roman" w:cs="Times New Roman"/>
        </w:rPr>
      </w:pPr>
      <w:r w:rsidRPr="00F94503">
        <w:rPr>
          <w:rFonts w:ascii="Times New Roman" w:hAnsi="Times New Roman" w:cs="Times New Roman"/>
        </w:rPr>
        <w:t>Exclude diagnostic test accuracy studies [i.e., eligible are only networks of treatments/interventions]</w:t>
      </w:r>
    </w:p>
    <w:p w:rsidR="008E4A10" w:rsidRPr="00F94503" w:rsidRDefault="008E4A10" w:rsidP="008E4A10">
      <w:pPr>
        <w:pStyle w:val="ListParagraph"/>
        <w:numPr>
          <w:ilvl w:val="0"/>
          <w:numId w:val="2"/>
        </w:numPr>
        <w:spacing w:line="240" w:lineRule="auto"/>
        <w:rPr>
          <w:rFonts w:ascii="Times New Roman" w:hAnsi="Times New Roman" w:cs="Times New Roman"/>
        </w:rPr>
      </w:pPr>
      <w:r w:rsidRPr="00F94503">
        <w:rPr>
          <w:rFonts w:ascii="Times New Roman" w:hAnsi="Times New Roman" w:cs="Times New Roman"/>
        </w:rPr>
        <w:t>Exclude animal studies</w:t>
      </w:r>
    </w:p>
    <w:p w:rsidR="008E4A10" w:rsidRPr="00F94503" w:rsidRDefault="008E4A10" w:rsidP="008E4A10">
      <w:pPr>
        <w:pStyle w:val="ListParagraph"/>
        <w:numPr>
          <w:ilvl w:val="0"/>
          <w:numId w:val="2"/>
        </w:numPr>
        <w:spacing w:line="240" w:lineRule="auto"/>
        <w:rPr>
          <w:rFonts w:ascii="Times New Roman" w:hAnsi="Times New Roman" w:cs="Times New Roman"/>
        </w:rPr>
      </w:pPr>
      <w:r w:rsidRPr="00F94503">
        <w:rPr>
          <w:rFonts w:ascii="Times New Roman" w:hAnsi="Times New Roman" w:cs="Times New Roman"/>
        </w:rPr>
        <w:t>Exclude commentaries</w:t>
      </w:r>
    </w:p>
    <w:p w:rsidR="008E4A10" w:rsidRPr="00F94503" w:rsidRDefault="008E4A10" w:rsidP="008E4A10">
      <w:pPr>
        <w:pStyle w:val="ListParagraph"/>
        <w:numPr>
          <w:ilvl w:val="0"/>
          <w:numId w:val="2"/>
        </w:numPr>
        <w:spacing w:line="240" w:lineRule="auto"/>
        <w:rPr>
          <w:rFonts w:ascii="Times New Roman" w:hAnsi="Times New Roman" w:cs="Times New Roman"/>
        </w:rPr>
      </w:pPr>
      <w:r w:rsidRPr="00F94503">
        <w:rPr>
          <w:rFonts w:ascii="Times New Roman" w:hAnsi="Times New Roman" w:cs="Times New Roman"/>
        </w:rPr>
        <w:t>Include methodological papers - all examples are eligible and entered as separate NMAs</w:t>
      </w:r>
    </w:p>
    <w:p w:rsidR="008E4A10" w:rsidRPr="00F94503" w:rsidRDefault="008E4A10" w:rsidP="008E4A10">
      <w:pPr>
        <w:spacing w:after="0" w:line="240" w:lineRule="auto"/>
        <w:rPr>
          <w:rFonts w:ascii="Times New Roman" w:hAnsi="Times New Roman" w:cs="Times New Roman"/>
        </w:rPr>
      </w:pPr>
    </w:p>
    <w:p w:rsidR="0013775C" w:rsidRPr="00F94503" w:rsidRDefault="0013775C" w:rsidP="0013775C">
      <w:pPr>
        <w:rPr>
          <w:rFonts w:ascii="Times New Roman" w:hAnsi="Times New Roman" w:cs="Times New Roman"/>
          <w:b/>
        </w:rPr>
      </w:pPr>
      <w:r w:rsidRPr="00F94503">
        <w:rPr>
          <w:rFonts w:ascii="Times New Roman" w:hAnsi="Times New Roman" w:cs="Times New Roman"/>
          <w:b/>
        </w:rPr>
        <w:t>Data abstraction:</w:t>
      </w:r>
    </w:p>
    <w:p w:rsidR="0013775C" w:rsidRPr="00F94503" w:rsidRDefault="0013775C" w:rsidP="0013775C">
      <w:pPr>
        <w:rPr>
          <w:rFonts w:ascii="Times New Roman" w:hAnsi="Times New Roman" w:cs="Times New Roman"/>
        </w:rPr>
      </w:pPr>
      <w:r w:rsidRPr="00F94503">
        <w:rPr>
          <w:rFonts w:ascii="Times New Roman" w:hAnsi="Times New Roman" w:cs="Times New Roman"/>
        </w:rPr>
        <w:t>We will chart the types of review methods identified and will note the number of NMAs that relied on previously conducted systematic reviews to identify studies for inclusion.</w:t>
      </w:r>
    </w:p>
    <w:p w:rsidR="00FE4BC2" w:rsidRPr="002E11C2" w:rsidRDefault="00FE4BC2" w:rsidP="0013775C">
      <w:pPr>
        <w:rPr>
          <w:rFonts w:ascii="Times New Roman" w:hAnsi="Times New Roman" w:cs="Times New Roman"/>
          <w:b/>
        </w:rPr>
      </w:pPr>
      <w:r w:rsidRPr="002E11C2">
        <w:rPr>
          <w:rFonts w:ascii="Times New Roman" w:hAnsi="Times New Roman" w:cs="Times New Roman"/>
          <w:b/>
        </w:rPr>
        <w:t>Data items</w:t>
      </w:r>
      <w:r w:rsidR="002E11C2">
        <w:rPr>
          <w:rFonts w:ascii="Times New Roman" w:hAnsi="Times New Roman" w:cs="Times New Roman"/>
          <w:b/>
        </w:rPr>
        <w:t>:</w:t>
      </w:r>
    </w:p>
    <w:p w:rsidR="00FE4BC2" w:rsidRPr="00021C43" w:rsidRDefault="00F94503" w:rsidP="00FE4BC2">
      <w:pPr>
        <w:pStyle w:val="ListParagraph"/>
        <w:numPr>
          <w:ilvl w:val="0"/>
          <w:numId w:val="3"/>
        </w:numPr>
        <w:rPr>
          <w:rFonts w:ascii="Times New Roman" w:hAnsi="Times New Roman" w:cs="Times New Roman"/>
        </w:rPr>
      </w:pPr>
      <w:r w:rsidRPr="00021C43">
        <w:rPr>
          <w:rFonts w:ascii="Times New Roman" w:hAnsi="Times New Roman" w:cs="Times New Roman"/>
        </w:rPr>
        <w:t>Terminology used to describe the review method and the NMA method.</w:t>
      </w:r>
    </w:p>
    <w:p w:rsidR="00FE4BC2" w:rsidRPr="00021C43" w:rsidRDefault="00FE4BC2" w:rsidP="00FE4BC2">
      <w:pPr>
        <w:pStyle w:val="ListParagraph"/>
        <w:numPr>
          <w:ilvl w:val="0"/>
          <w:numId w:val="3"/>
        </w:numPr>
        <w:rPr>
          <w:rFonts w:ascii="Times New Roman" w:hAnsi="Times New Roman" w:cs="Times New Roman"/>
        </w:rPr>
      </w:pPr>
      <w:r w:rsidRPr="00021C43">
        <w:rPr>
          <w:rFonts w:ascii="Times New Roman" w:hAnsi="Times New Roman" w:cs="Times New Roman"/>
        </w:rPr>
        <w:t>Is there a protocol available? Where can it be accessed (e.g., Web address, registration information including registration number)?</w:t>
      </w:r>
    </w:p>
    <w:p w:rsidR="00FE4BC2" w:rsidRPr="00021C43" w:rsidRDefault="00FE4BC2" w:rsidP="00FE4BC2">
      <w:pPr>
        <w:pStyle w:val="ListParagraph"/>
        <w:numPr>
          <w:ilvl w:val="0"/>
          <w:numId w:val="3"/>
        </w:numPr>
        <w:rPr>
          <w:rFonts w:ascii="Times New Roman" w:hAnsi="Times New Roman" w:cs="Times New Roman"/>
        </w:rPr>
      </w:pPr>
      <w:r w:rsidRPr="00021C43">
        <w:rPr>
          <w:rFonts w:ascii="Times New Roman" w:hAnsi="Times New Roman" w:cs="Times New Roman"/>
        </w:rPr>
        <w:t xml:space="preserve">Information sources described in the search (e.g., </w:t>
      </w:r>
      <w:r w:rsidR="00F94503" w:rsidRPr="00021C43">
        <w:rPr>
          <w:rFonts w:ascii="Times New Roman" w:hAnsi="Times New Roman" w:cs="Times New Roman"/>
        </w:rPr>
        <w:t>number of databases searched</w:t>
      </w:r>
      <w:r w:rsidRPr="00021C43">
        <w:rPr>
          <w:rFonts w:ascii="Times New Roman" w:hAnsi="Times New Roman" w:cs="Times New Roman"/>
        </w:rPr>
        <w:t xml:space="preserve">, contact with study authors </w:t>
      </w:r>
      <w:r w:rsidR="00F94503" w:rsidRPr="00021C43">
        <w:rPr>
          <w:rFonts w:ascii="Times New Roman" w:hAnsi="Times New Roman" w:cs="Times New Roman"/>
        </w:rPr>
        <w:t xml:space="preserve">to identify additional studies, </w:t>
      </w:r>
      <w:r w:rsidRPr="00021C43">
        <w:rPr>
          <w:rFonts w:ascii="Times New Roman" w:hAnsi="Times New Roman" w:cs="Times New Roman"/>
        </w:rPr>
        <w:t>and date last searched</w:t>
      </w:r>
      <w:r w:rsidR="00F94503" w:rsidRPr="00021C43">
        <w:rPr>
          <w:rFonts w:ascii="Times New Roman" w:hAnsi="Times New Roman" w:cs="Times New Roman"/>
        </w:rPr>
        <w:t>)</w:t>
      </w:r>
      <w:r w:rsidRPr="00021C43">
        <w:rPr>
          <w:rFonts w:ascii="Times New Roman" w:hAnsi="Times New Roman" w:cs="Times New Roman"/>
        </w:rPr>
        <w:t>.</w:t>
      </w:r>
    </w:p>
    <w:p w:rsidR="00FE4BC2" w:rsidRPr="00021C43" w:rsidRDefault="00FE4BC2" w:rsidP="00FE4BC2">
      <w:pPr>
        <w:pStyle w:val="ListParagraph"/>
        <w:numPr>
          <w:ilvl w:val="0"/>
          <w:numId w:val="3"/>
        </w:numPr>
        <w:rPr>
          <w:rFonts w:ascii="Times New Roman" w:hAnsi="Times New Roman" w:cs="Times New Roman"/>
        </w:rPr>
      </w:pPr>
      <w:r w:rsidRPr="00021C43">
        <w:rPr>
          <w:rFonts w:ascii="Times New Roman" w:hAnsi="Times New Roman" w:cs="Times New Roman"/>
        </w:rPr>
        <w:t>P</w:t>
      </w:r>
      <w:r w:rsidR="00F94503" w:rsidRPr="00021C43">
        <w:rPr>
          <w:rFonts w:ascii="Times New Roman" w:hAnsi="Times New Roman" w:cs="Times New Roman"/>
        </w:rPr>
        <w:t xml:space="preserve">rocess for selecting studies (e.g., </w:t>
      </w:r>
      <w:r w:rsidRPr="00021C43">
        <w:rPr>
          <w:rFonts w:ascii="Times New Roman" w:hAnsi="Times New Roman" w:cs="Times New Roman"/>
        </w:rPr>
        <w:t># of independent reviewers who conducted the screening)</w:t>
      </w:r>
    </w:p>
    <w:p w:rsidR="00FE4BC2" w:rsidRPr="00021C43" w:rsidRDefault="00FE4BC2" w:rsidP="00FE4BC2">
      <w:pPr>
        <w:pStyle w:val="ListParagraph"/>
        <w:numPr>
          <w:ilvl w:val="0"/>
          <w:numId w:val="3"/>
        </w:numPr>
        <w:rPr>
          <w:rFonts w:ascii="Times New Roman" w:hAnsi="Times New Roman" w:cs="Times New Roman"/>
        </w:rPr>
      </w:pPr>
      <w:r w:rsidRPr="00021C43">
        <w:rPr>
          <w:rFonts w:ascii="Times New Roman" w:hAnsi="Times New Roman" w:cs="Times New Roman"/>
        </w:rPr>
        <w:t>Method of data extraction from reports (e.g</w:t>
      </w:r>
      <w:r w:rsidR="00F94503" w:rsidRPr="00021C43">
        <w:rPr>
          <w:rFonts w:ascii="Times New Roman" w:hAnsi="Times New Roman" w:cs="Times New Roman"/>
        </w:rPr>
        <w:t xml:space="preserve">., # </w:t>
      </w:r>
      <w:r w:rsidRPr="00021C43">
        <w:rPr>
          <w:rFonts w:ascii="Times New Roman" w:hAnsi="Times New Roman" w:cs="Times New Roman"/>
        </w:rPr>
        <w:t>of independent reviewers who con</w:t>
      </w:r>
      <w:r w:rsidR="00F94503" w:rsidRPr="00021C43">
        <w:rPr>
          <w:rFonts w:ascii="Times New Roman" w:hAnsi="Times New Roman" w:cs="Times New Roman"/>
        </w:rPr>
        <w:t>ducted the data abstraction</w:t>
      </w:r>
      <w:r w:rsidRPr="00021C43">
        <w:rPr>
          <w:rFonts w:ascii="Times New Roman" w:hAnsi="Times New Roman" w:cs="Times New Roman"/>
        </w:rPr>
        <w:t>)</w:t>
      </w:r>
    </w:p>
    <w:p w:rsidR="00FE4BC2" w:rsidRPr="00021C43" w:rsidRDefault="00FE4BC2" w:rsidP="00FE4BC2">
      <w:pPr>
        <w:pStyle w:val="ListParagraph"/>
        <w:numPr>
          <w:ilvl w:val="0"/>
          <w:numId w:val="3"/>
        </w:numPr>
        <w:rPr>
          <w:rFonts w:ascii="Times New Roman" w:hAnsi="Times New Roman" w:cs="Times New Roman"/>
        </w:rPr>
      </w:pPr>
      <w:r w:rsidRPr="00021C43">
        <w:rPr>
          <w:rFonts w:ascii="Times New Roman" w:hAnsi="Times New Roman" w:cs="Times New Roman"/>
        </w:rPr>
        <w:t>Duration of review (literature search date to publication date used as a proxy if not reported)</w:t>
      </w:r>
    </w:p>
    <w:p w:rsidR="00FE4BC2" w:rsidRPr="00021C43" w:rsidRDefault="00FE4BC2" w:rsidP="00FE4BC2">
      <w:pPr>
        <w:pStyle w:val="ListParagraph"/>
        <w:numPr>
          <w:ilvl w:val="0"/>
          <w:numId w:val="3"/>
        </w:numPr>
        <w:rPr>
          <w:rFonts w:ascii="Times New Roman" w:hAnsi="Times New Roman" w:cs="Times New Roman"/>
        </w:rPr>
      </w:pPr>
      <w:r w:rsidRPr="00021C43">
        <w:rPr>
          <w:rFonts w:ascii="Times New Roman" w:hAnsi="Times New Roman" w:cs="Times New Roman"/>
        </w:rPr>
        <w:lastRenderedPageBreak/>
        <w:t>Do the authors list and define the variables for which data were sought (e.g., PICOS, funding sources)?</w:t>
      </w:r>
    </w:p>
    <w:p w:rsidR="00FE4BC2" w:rsidRPr="00021C43" w:rsidRDefault="00FE4BC2" w:rsidP="00FE4BC2">
      <w:pPr>
        <w:pStyle w:val="ListParagraph"/>
        <w:numPr>
          <w:ilvl w:val="0"/>
          <w:numId w:val="3"/>
        </w:numPr>
        <w:rPr>
          <w:rFonts w:ascii="Times New Roman" w:hAnsi="Times New Roman" w:cs="Times New Roman"/>
        </w:rPr>
      </w:pPr>
      <w:r w:rsidRPr="00021C43">
        <w:rPr>
          <w:rFonts w:ascii="Times New Roman" w:hAnsi="Times New Roman" w:cs="Times New Roman"/>
        </w:rPr>
        <w:t>Which are the methods used for assessing risk of bias of individual studies and how was this information used in the NMA?</w:t>
      </w:r>
    </w:p>
    <w:p w:rsidR="00FE4BC2" w:rsidRPr="00021C43" w:rsidRDefault="00FE4BC2" w:rsidP="00FE4BC2">
      <w:pPr>
        <w:pStyle w:val="ListParagraph"/>
        <w:numPr>
          <w:ilvl w:val="0"/>
          <w:numId w:val="3"/>
        </w:numPr>
        <w:rPr>
          <w:rFonts w:ascii="Times New Roman" w:hAnsi="Times New Roman" w:cs="Times New Roman"/>
          <w:b/>
        </w:rPr>
      </w:pPr>
      <w:r w:rsidRPr="00021C43">
        <w:rPr>
          <w:rFonts w:ascii="Times New Roman" w:hAnsi="Times New Roman" w:cs="Times New Roman"/>
        </w:rPr>
        <w:t>Method of quality appraisal of included studies (</w:t>
      </w:r>
      <w:r w:rsidR="00F94503" w:rsidRPr="00021C43">
        <w:rPr>
          <w:rFonts w:ascii="Times New Roman" w:hAnsi="Times New Roman" w:cs="Times New Roman"/>
        </w:rPr>
        <w:t>e.g.,</w:t>
      </w:r>
      <w:r w:rsidRPr="00021C43">
        <w:rPr>
          <w:rFonts w:ascii="Times New Roman" w:hAnsi="Times New Roman" w:cs="Times New Roman"/>
        </w:rPr>
        <w:t xml:space="preserve"> # of independent reviewers who conducted </w:t>
      </w:r>
      <w:r w:rsidR="00F94503" w:rsidRPr="00021C43">
        <w:rPr>
          <w:rFonts w:ascii="Times New Roman" w:hAnsi="Times New Roman" w:cs="Times New Roman"/>
        </w:rPr>
        <w:t>the appraisal</w:t>
      </w:r>
      <w:r w:rsidRPr="00021C43">
        <w:rPr>
          <w:rFonts w:ascii="Times New Roman" w:hAnsi="Times New Roman" w:cs="Times New Roman"/>
        </w:rPr>
        <w:t>)</w:t>
      </w:r>
    </w:p>
    <w:p w:rsidR="0013775C" w:rsidRPr="00F94503" w:rsidRDefault="0013775C" w:rsidP="0013775C">
      <w:pPr>
        <w:rPr>
          <w:rFonts w:ascii="Times New Roman" w:hAnsi="Times New Roman" w:cs="Times New Roman"/>
          <w:b/>
        </w:rPr>
      </w:pPr>
      <w:r w:rsidRPr="00F94503">
        <w:rPr>
          <w:rFonts w:ascii="Times New Roman" w:hAnsi="Times New Roman" w:cs="Times New Roman"/>
          <w:b/>
        </w:rPr>
        <w:t>Risk of bias (quality) assessment:</w:t>
      </w:r>
    </w:p>
    <w:p w:rsidR="008E4A10" w:rsidRPr="00F94503" w:rsidRDefault="0013775C" w:rsidP="0013775C">
      <w:pPr>
        <w:rPr>
          <w:rFonts w:ascii="Times New Roman" w:hAnsi="Times New Roman" w:cs="Times New Roman"/>
        </w:rPr>
      </w:pPr>
      <w:r w:rsidRPr="00F94503">
        <w:rPr>
          <w:rFonts w:ascii="Times New Roman" w:hAnsi="Times New Roman" w:cs="Times New Roman"/>
        </w:rPr>
        <w:t>T</w:t>
      </w:r>
      <w:r w:rsidR="008E4A10" w:rsidRPr="00F94503">
        <w:rPr>
          <w:rFonts w:ascii="Times New Roman" w:hAnsi="Times New Roman" w:cs="Times New Roman"/>
        </w:rPr>
        <w:t xml:space="preserve">he quality of </w:t>
      </w:r>
      <w:r w:rsidRPr="00F94503">
        <w:rPr>
          <w:rFonts w:ascii="Times New Roman" w:hAnsi="Times New Roman" w:cs="Times New Roman"/>
        </w:rPr>
        <w:t>included</w:t>
      </w:r>
      <w:r w:rsidR="008E4A10" w:rsidRPr="00F94503">
        <w:rPr>
          <w:rFonts w:ascii="Times New Roman" w:hAnsi="Times New Roman" w:cs="Times New Roman"/>
        </w:rPr>
        <w:t xml:space="preserve"> NMAs will be appraised using the AMSTAR (A </w:t>
      </w:r>
      <w:proofErr w:type="spellStart"/>
      <w:r w:rsidR="008E4A10" w:rsidRPr="00F94503">
        <w:rPr>
          <w:rFonts w:ascii="Times New Roman" w:hAnsi="Times New Roman" w:cs="Times New Roman"/>
        </w:rPr>
        <w:t>MeaSurement</w:t>
      </w:r>
      <w:proofErr w:type="spellEnd"/>
      <w:r w:rsidR="008E4A10" w:rsidRPr="00F94503">
        <w:rPr>
          <w:rFonts w:ascii="Times New Roman" w:hAnsi="Times New Roman" w:cs="Times New Roman"/>
        </w:rPr>
        <w:t xml:space="preserve"> Tool to Assess Reviews) tool, which provides an overall quality rating on a scale of 0 to 11. A rating of 8 or higher is considered high quality, 4 to 7 is moderate quality and 0 to 3 is low quality. We will also appraise the NMAs using the International Society of </w:t>
      </w:r>
      <w:proofErr w:type="spellStart"/>
      <w:r w:rsidR="008E4A10" w:rsidRPr="00F94503">
        <w:rPr>
          <w:rFonts w:ascii="Times New Roman" w:hAnsi="Times New Roman" w:cs="Times New Roman"/>
        </w:rPr>
        <w:t>Pharmacoeconomics</w:t>
      </w:r>
      <w:proofErr w:type="spellEnd"/>
      <w:r w:rsidR="008E4A10" w:rsidRPr="00F94503">
        <w:rPr>
          <w:rFonts w:ascii="Times New Roman" w:hAnsi="Times New Roman" w:cs="Times New Roman"/>
        </w:rPr>
        <w:t xml:space="preserve"> and Outcomes Research (ISPOR) checklist for appraising NMA</w:t>
      </w:r>
      <w:r w:rsidR="00FE4BC2" w:rsidRPr="00F94503">
        <w:rPr>
          <w:rFonts w:ascii="Times New Roman" w:hAnsi="Times New Roman" w:cs="Times New Roman"/>
          <w:vertAlign w:val="superscript"/>
        </w:rPr>
        <w:t xml:space="preserve"> </w:t>
      </w:r>
      <w:r w:rsidR="008E4A10" w:rsidRPr="00F94503">
        <w:rPr>
          <w:rFonts w:ascii="Times New Roman" w:hAnsi="Times New Roman" w:cs="Times New Roman"/>
        </w:rPr>
        <w:t>and a framework for statistical considerations in NMA. All data abstraction and quality appraisal will be conducted by 2 team members, independently.</w:t>
      </w:r>
    </w:p>
    <w:p w:rsidR="00F94503" w:rsidRPr="00F94503" w:rsidRDefault="00F94503" w:rsidP="0013775C">
      <w:pPr>
        <w:rPr>
          <w:rFonts w:ascii="Times New Roman" w:hAnsi="Times New Roman" w:cs="Times New Roman"/>
          <w:b/>
        </w:rPr>
      </w:pPr>
      <w:r w:rsidRPr="00F94503">
        <w:rPr>
          <w:rFonts w:ascii="Times New Roman" w:hAnsi="Times New Roman" w:cs="Times New Roman"/>
          <w:b/>
        </w:rPr>
        <w:t>Data synthesis:</w:t>
      </w:r>
    </w:p>
    <w:p w:rsidR="00F94503" w:rsidRPr="00F94503" w:rsidRDefault="00F94503" w:rsidP="0013775C">
      <w:pPr>
        <w:rPr>
          <w:rFonts w:ascii="Times New Roman" w:hAnsi="Times New Roman" w:cs="Times New Roman"/>
          <w:b/>
        </w:rPr>
      </w:pPr>
      <w:r w:rsidRPr="00F94503">
        <w:rPr>
          <w:rFonts w:ascii="Times New Roman" w:hAnsi="Times New Roman" w:cs="Times New Roman"/>
        </w:rPr>
        <w:t>We will use</w:t>
      </w:r>
      <w:r w:rsidRPr="00F94503">
        <w:rPr>
          <w:rFonts w:ascii="Times New Roman" w:hAnsi="Times New Roman" w:cs="Times New Roman"/>
          <w:b/>
        </w:rPr>
        <w:t xml:space="preserve"> </w:t>
      </w:r>
      <w:r w:rsidRPr="007952E4">
        <w:rPr>
          <w:rFonts w:ascii="Times New Roman" w:hAnsi="Times New Roman" w:cs="Times New Roman"/>
        </w:rPr>
        <w:t xml:space="preserve">quantitative (frequencies) and qualitative (content analysis) methods to summarize the charted data. </w:t>
      </w:r>
    </w:p>
    <w:p w:rsidR="00F94503" w:rsidRPr="00F94503" w:rsidRDefault="00F94503" w:rsidP="0013775C">
      <w:pPr>
        <w:rPr>
          <w:rFonts w:ascii="Times New Roman" w:hAnsi="Times New Roman" w:cs="Times New Roman"/>
          <w:b/>
        </w:rPr>
      </w:pPr>
      <w:r w:rsidRPr="00F94503">
        <w:rPr>
          <w:rFonts w:ascii="Times New Roman" w:hAnsi="Times New Roman" w:cs="Times New Roman"/>
          <w:b/>
        </w:rPr>
        <w:t>Changes to the Protocol:</w:t>
      </w:r>
    </w:p>
    <w:p w:rsidR="00F94503" w:rsidRPr="00F94503" w:rsidRDefault="00F94503" w:rsidP="0013775C">
      <w:pPr>
        <w:rPr>
          <w:rFonts w:ascii="Times New Roman" w:hAnsi="Times New Roman" w:cs="Times New Roman"/>
        </w:rPr>
      </w:pPr>
      <w:r w:rsidRPr="00F94503">
        <w:rPr>
          <w:rFonts w:ascii="Times New Roman" w:hAnsi="Times New Roman" w:cs="Times New Roman"/>
        </w:rPr>
        <w:t xml:space="preserve">In addition to the existing database, comprehensive literature searches were conducted in MEDLINE, PubMed, EMBASE, and Cochrane Database of Systematic Reviews from inception until April 14, 2015 and references of </w:t>
      </w:r>
      <w:r w:rsidRPr="007952E4">
        <w:rPr>
          <w:rFonts w:ascii="Times New Roman" w:hAnsi="Times New Roman" w:cs="Times New Roman"/>
        </w:rPr>
        <w:t>relevant reviews were scanned.</w:t>
      </w:r>
      <w:r w:rsidR="0064180D">
        <w:rPr>
          <w:rFonts w:ascii="Times New Roman" w:hAnsi="Times New Roman" w:cs="Times New Roman"/>
        </w:rPr>
        <w:t xml:space="preserve"> Also, since there were 456 NMAs that met the eligibility criteria, we had to perform data abstraction and quality appraisal for half (n=241) of the studies using one reviewer and one verifier as opposed to two reviewers independently in order to make the workload more manageable. </w:t>
      </w:r>
    </w:p>
    <w:p w:rsidR="00F94503" w:rsidRPr="00F94503" w:rsidRDefault="00F94503" w:rsidP="0013775C">
      <w:pPr>
        <w:rPr>
          <w:rFonts w:ascii="Times New Roman" w:hAnsi="Times New Roman" w:cs="Times New Roman"/>
        </w:rPr>
      </w:pPr>
    </w:p>
    <w:p w:rsidR="002422F8" w:rsidRDefault="002422F8">
      <w:pPr>
        <w:rPr>
          <w:rFonts w:ascii="Times New Roman" w:eastAsiaTheme="majorEastAsia" w:hAnsi="Times New Roman" w:cs="Times New Roman"/>
          <w:b/>
          <w:bCs/>
          <w:sz w:val="28"/>
          <w:szCs w:val="28"/>
        </w:rPr>
      </w:pPr>
    </w:p>
    <w:p w:rsidR="00671C75" w:rsidRDefault="00671C75">
      <w:pPr>
        <w:rPr>
          <w:rFonts w:ascii="Times New Roman" w:eastAsiaTheme="majorEastAsia" w:hAnsi="Times New Roman" w:cs="Times New Roman"/>
          <w:b/>
          <w:bCs/>
          <w:sz w:val="28"/>
          <w:szCs w:val="28"/>
        </w:rPr>
        <w:sectPr w:rsidR="00671C75">
          <w:pgSz w:w="12240" w:h="15840"/>
          <w:pgMar w:top="1440" w:right="1440" w:bottom="1440" w:left="1440" w:header="720" w:footer="720" w:gutter="0"/>
          <w:cols w:space="720"/>
          <w:docGrid w:linePitch="360"/>
        </w:sectPr>
      </w:pPr>
    </w:p>
    <w:p w:rsidR="00E91F9C" w:rsidRPr="00C1780A" w:rsidRDefault="00E91F9C" w:rsidP="00E91F9C">
      <w:pPr>
        <w:pStyle w:val="Heading1"/>
      </w:pPr>
      <w:r w:rsidRPr="00C1780A">
        <w:lastRenderedPageBreak/>
        <w:t xml:space="preserve">Appendix </w:t>
      </w:r>
      <w:r w:rsidR="00E80AE8">
        <w:t>2</w:t>
      </w:r>
      <w:r w:rsidRPr="00C1780A">
        <w:t>. MEDLINE search strategy</w:t>
      </w:r>
    </w:p>
    <w:p w:rsidR="00E91F9C" w:rsidRPr="00C1780A" w:rsidRDefault="00E91F9C" w:rsidP="00E91F9C">
      <w:pPr>
        <w:rPr>
          <w:rFonts w:ascii="Times New Roman" w:hAnsi="Times New Roman" w:cs="Times New Roman"/>
        </w:rPr>
      </w:pPr>
      <w:r w:rsidRPr="00C1780A">
        <w:rPr>
          <w:rFonts w:ascii="Times New Roman" w:hAnsi="Times New Roman" w:cs="Times New Roman"/>
          <w:b/>
        </w:rPr>
        <w:t>Search Date:</w:t>
      </w:r>
      <w:r w:rsidRPr="00C1780A">
        <w:rPr>
          <w:rFonts w:ascii="Times New Roman" w:hAnsi="Times New Roman" w:cs="Times New Roman"/>
        </w:rPr>
        <w:t xml:space="preserve"> April 14, 2015</w:t>
      </w:r>
    </w:p>
    <w:p w:rsidR="00E91F9C" w:rsidRPr="00C1780A" w:rsidRDefault="00E91F9C" w:rsidP="00E91F9C">
      <w:pPr>
        <w:pStyle w:val="PlainText"/>
        <w:rPr>
          <w:rFonts w:ascii="Times New Roman" w:hAnsi="Times New Roman"/>
          <w:color w:val="000000"/>
        </w:rPr>
      </w:pPr>
      <w:r w:rsidRPr="00C1780A">
        <w:rPr>
          <w:rFonts w:ascii="Times New Roman" w:hAnsi="Times New Roman"/>
          <w:b/>
          <w:color w:val="000000"/>
        </w:rPr>
        <w:t>Database:</w:t>
      </w:r>
      <w:r w:rsidRPr="00C1780A">
        <w:rPr>
          <w:rFonts w:ascii="Times New Roman" w:hAnsi="Times New Roman"/>
          <w:color w:val="000000"/>
        </w:rPr>
        <w:t xml:space="preserve"> Ovid MEDLINE(R) In-Process &amp; Other Non-Indexed Citations and Ovid MEDLINE(R) &lt;1946 to Present&gt;</w:t>
      </w:r>
    </w:p>
    <w:p w:rsidR="00E91F9C" w:rsidRPr="00C1780A" w:rsidRDefault="00E91F9C" w:rsidP="00E91F9C">
      <w:pPr>
        <w:pStyle w:val="PlainText"/>
        <w:rPr>
          <w:rFonts w:ascii="Times New Roman" w:hAnsi="Times New Roman"/>
          <w:color w:val="000000"/>
        </w:rPr>
      </w:pPr>
      <w:r w:rsidRPr="00C1780A">
        <w:rPr>
          <w:rFonts w:ascii="Times New Roman" w:hAnsi="Times New Roman"/>
          <w:color w:val="000000"/>
        </w:rPr>
        <w:t>--------------------------------------------------------------------------------</w:t>
      </w:r>
    </w:p>
    <w:p w:rsidR="00E91F9C" w:rsidRPr="00C1780A" w:rsidRDefault="00E91F9C" w:rsidP="00E91F9C">
      <w:pPr>
        <w:pStyle w:val="PlainText"/>
        <w:rPr>
          <w:rFonts w:ascii="Times New Roman" w:hAnsi="Times New Roman"/>
          <w:color w:val="000000"/>
        </w:rPr>
      </w:pPr>
      <w:r w:rsidRPr="00C1780A">
        <w:rPr>
          <w:rFonts w:ascii="Times New Roman" w:hAnsi="Times New Roman"/>
          <w:color w:val="000000"/>
        </w:rPr>
        <w:t>1     (network* adj3 (meta-</w:t>
      </w:r>
      <w:proofErr w:type="spellStart"/>
      <w:r w:rsidRPr="00C1780A">
        <w:rPr>
          <w:rFonts w:ascii="Times New Roman" w:hAnsi="Times New Roman"/>
          <w:color w:val="000000"/>
        </w:rPr>
        <w:t>analy</w:t>
      </w:r>
      <w:proofErr w:type="spellEnd"/>
      <w:r w:rsidRPr="00C1780A">
        <w:rPr>
          <w:rFonts w:ascii="Times New Roman" w:hAnsi="Times New Roman"/>
          <w:color w:val="000000"/>
        </w:rPr>
        <w:t xml:space="preserve">* or </w:t>
      </w:r>
      <w:proofErr w:type="spellStart"/>
      <w:r w:rsidRPr="00C1780A">
        <w:rPr>
          <w:rFonts w:ascii="Times New Roman" w:hAnsi="Times New Roman"/>
          <w:color w:val="000000"/>
        </w:rPr>
        <w:t>metanaly</w:t>
      </w:r>
      <w:proofErr w:type="spellEnd"/>
      <w:r w:rsidRPr="00C1780A">
        <w:rPr>
          <w:rFonts w:ascii="Times New Roman" w:hAnsi="Times New Roman"/>
          <w:color w:val="000000"/>
        </w:rPr>
        <w:t xml:space="preserve">* or </w:t>
      </w:r>
      <w:proofErr w:type="spellStart"/>
      <w:r w:rsidRPr="00C1780A">
        <w:rPr>
          <w:rFonts w:ascii="Times New Roman" w:hAnsi="Times New Roman"/>
          <w:color w:val="000000"/>
        </w:rPr>
        <w:t>meta</w:t>
      </w:r>
      <w:r w:rsidR="00797239" w:rsidRPr="00C1780A">
        <w:rPr>
          <w:rFonts w:ascii="Times New Roman" w:hAnsi="Times New Roman"/>
          <w:color w:val="000000"/>
        </w:rPr>
        <w:t>analy</w:t>
      </w:r>
      <w:proofErr w:type="spellEnd"/>
      <w:r w:rsidR="00797239" w:rsidRPr="00C1780A">
        <w:rPr>
          <w:rFonts w:ascii="Times New Roman" w:hAnsi="Times New Roman"/>
          <w:color w:val="000000"/>
        </w:rPr>
        <w:t xml:space="preserve">* or met </w:t>
      </w:r>
      <w:proofErr w:type="spellStart"/>
      <w:r w:rsidR="00797239" w:rsidRPr="00C1780A">
        <w:rPr>
          <w:rFonts w:ascii="Times New Roman" w:hAnsi="Times New Roman"/>
          <w:color w:val="000000"/>
        </w:rPr>
        <w:t>analy</w:t>
      </w:r>
      <w:proofErr w:type="spellEnd"/>
      <w:r w:rsidR="00797239" w:rsidRPr="00C1780A">
        <w:rPr>
          <w:rFonts w:ascii="Times New Roman" w:hAnsi="Times New Roman"/>
          <w:color w:val="000000"/>
        </w:rPr>
        <w:t>*)).</w:t>
      </w:r>
      <w:proofErr w:type="spellStart"/>
      <w:r w:rsidR="00797239" w:rsidRPr="00C1780A">
        <w:rPr>
          <w:rFonts w:ascii="Times New Roman" w:hAnsi="Times New Roman"/>
          <w:color w:val="000000"/>
        </w:rPr>
        <w:t>mp</w:t>
      </w:r>
      <w:proofErr w:type="spellEnd"/>
      <w:r w:rsidR="00797239" w:rsidRPr="00C1780A">
        <w:rPr>
          <w:rFonts w:ascii="Times New Roman" w:hAnsi="Times New Roman"/>
          <w:color w:val="000000"/>
        </w:rPr>
        <w:t>.</w:t>
      </w:r>
    </w:p>
    <w:p w:rsidR="00E91F9C" w:rsidRPr="00C1780A" w:rsidRDefault="00E91F9C" w:rsidP="00E91F9C">
      <w:pPr>
        <w:pStyle w:val="PlainText"/>
        <w:rPr>
          <w:rFonts w:ascii="Times New Roman" w:hAnsi="Times New Roman"/>
          <w:color w:val="000000"/>
        </w:rPr>
      </w:pPr>
      <w:r w:rsidRPr="00C1780A">
        <w:rPr>
          <w:rFonts w:ascii="Times New Roman" w:hAnsi="Times New Roman"/>
          <w:color w:val="000000"/>
        </w:rPr>
        <w:t>2     (MTC adj3 (meta-</w:t>
      </w:r>
      <w:proofErr w:type="spellStart"/>
      <w:r w:rsidRPr="00C1780A">
        <w:rPr>
          <w:rFonts w:ascii="Times New Roman" w:hAnsi="Times New Roman"/>
          <w:color w:val="000000"/>
        </w:rPr>
        <w:t>analy</w:t>
      </w:r>
      <w:proofErr w:type="spellEnd"/>
      <w:r w:rsidRPr="00C1780A">
        <w:rPr>
          <w:rFonts w:ascii="Times New Roman" w:hAnsi="Times New Roman"/>
          <w:color w:val="000000"/>
        </w:rPr>
        <w:t xml:space="preserve">* or </w:t>
      </w:r>
      <w:proofErr w:type="spellStart"/>
      <w:r w:rsidRPr="00C1780A">
        <w:rPr>
          <w:rFonts w:ascii="Times New Roman" w:hAnsi="Times New Roman"/>
          <w:color w:val="000000"/>
        </w:rPr>
        <w:t>metanaly</w:t>
      </w:r>
      <w:proofErr w:type="spellEnd"/>
      <w:r w:rsidRPr="00C1780A">
        <w:rPr>
          <w:rFonts w:ascii="Times New Roman" w:hAnsi="Times New Roman"/>
          <w:color w:val="000000"/>
        </w:rPr>
        <w:t xml:space="preserve">* or </w:t>
      </w:r>
      <w:proofErr w:type="spellStart"/>
      <w:r w:rsidRPr="00C1780A">
        <w:rPr>
          <w:rFonts w:ascii="Times New Roman" w:hAnsi="Times New Roman"/>
          <w:color w:val="000000"/>
        </w:rPr>
        <w:t>met</w:t>
      </w:r>
      <w:r w:rsidR="00797239" w:rsidRPr="00C1780A">
        <w:rPr>
          <w:rFonts w:ascii="Times New Roman" w:hAnsi="Times New Roman"/>
          <w:color w:val="000000"/>
        </w:rPr>
        <w:t>aanaly</w:t>
      </w:r>
      <w:proofErr w:type="spellEnd"/>
      <w:r w:rsidR="00797239" w:rsidRPr="00C1780A">
        <w:rPr>
          <w:rFonts w:ascii="Times New Roman" w:hAnsi="Times New Roman"/>
          <w:color w:val="000000"/>
        </w:rPr>
        <w:t xml:space="preserve">* or met </w:t>
      </w:r>
      <w:proofErr w:type="spellStart"/>
      <w:r w:rsidR="00797239" w:rsidRPr="00C1780A">
        <w:rPr>
          <w:rFonts w:ascii="Times New Roman" w:hAnsi="Times New Roman"/>
          <w:color w:val="000000"/>
        </w:rPr>
        <w:t>analy</w:t>
      </w:r>
      <w:proofErr w:type="spellEnd"/>
      <w:r w:rsidR="00797239" w:rsidRPr="00C1780A">
        <w:rPr>
          <w:rFonts w:ascii="Times New Roman" w:hAnsi="Times New Roman"/>
          <w:color w:val="000000"/>
        </w:rPr>
        <w:t>*)).</w:t>
      </w:r>
      <w:proofErr w:type="spellStart"/>
      <w:r w:rsidR="00797239" w:rsidRPr="00C1780A">
        <w:rPr>
          <w:rFonts w:ascii="Times New Roman" w:hAnsi="Times New Roman"/>
          <w:color w:val="000000"/>
        </w:rPr>
        <w:t>mp</w:t>
      </w:r>
      <w:proofErr w:type="spellEnd"/>
      <w:r w:rsidR="00797239" w:rsidRPr="00C1780A">
        <w:rPr>
          <w:rFonts w:ascii="Times New Roman" w:hAnsi="Times New Roman"/>
          <w:color w:val="000000"/>
        </w:rPr>
        <w:t>.</w:t>
      </w:r>
    </w:p>
    <w:p w:rsidR="00E91F9C" w:rsidRPr="00C1780A" w:rsidRDefault="00E91F9C" w:rsidP="00E91F9C">
      <w:pPr>
        <w:pStyle w:val="PlainText"/>
        <w:rPr>
          <w:rFonts w:ascii="Times New Roman" w:hAnsi="Times New Roman"/>
          <w:color w:val="000000"/>
        </w:rPr>
      </w:pPr>
      <w:r w:rsidRPr="00C1780A">
        <w:rPr>
          <w:rFonts w:ascii="Times New Roman" w:hAnsi="Times New Roman"/>
          <w:color w:val="000000"/>
        </w:rPr>
        <w:t>3     (indi</w:t>
      </w:r>
      <w:r w:rsidR="00797239" w:rsidRPr="00C1780A">
        <w:rPr>
          <w:rFonts w:ascii="Times New Roman" w:hAnsi="Times New Roman"/>
          <w:color w:val="000000"/>
        </w:rPr>
        <w:t xml:space="preserve">rect* </w:t>
      </w:r>
      <w:proofErr w:type="spellStart"/>
      <w:r w:rsidR="00797239" w:rsidRPr="00C1780A">
        <w:rPr>
          <w:rFonts w:ascii="Times New Roman" w:hAnsi="Times New Roman"/>
          <w:color w:val="000000"/>
        </w:rPr>
        <w:t>adj</w:t>
      </w:r>
      <w:proofErr w:type="spellEnd"/>
      <w:r w:rsidR="00797239" w:rsidRPr="00C1780A">
        <w:rPr>
          <w:rFonts w:ascii="Times New Roman" w:hAnsi="Times New Roman"/>
          <w:color w:val="000000"/>
        </w:rPr>
        <w:t xml:space="preserve"> comparison*).</w:t>
      </w:r>
      <w:proofErr w:type="spellStart"/>
      <w:r w:rsidR="00797239" w:rsidRPr="00C1780A">
        <w:rPr>
          <w:rFonts w:ascii="Times New Roman" w:hAnsi="Times New Roman"/>
          <w:color w:val="000000"/>
        </w:rPr>
        <w:t>mp</w:t>
      </w:r>
      <w:proofErr w:type="spellEnd"/>
      <w:r w:rsidR="00797239" w:rsidRPr="00C1780A">
        <w:rPr>
          <w:rFonts w:ascii="Times New Roman" w:hAnsi="Times New Roman"/>
          <w:color w:val="000000"/>
        </w:rPr>
        <w:t>.</w:t>
      </w:r>
    </w:p>
    <w:p w:rsidR="00E91F9C" w:rsidRPr="00C1780A" w:rsidRDefault="00E91F9C" w:rsidP="00E91F9C">
      <w:pPr>
        <w:pStyle w:val="PlainText"/>
        <w:rPr>
          <w:rFonts w:ascii="Times New Roman" w:hAnsi="Times New Roman"/>
          <w:color w:val="000000"/>
        </w:rPr>
      </w:pPr>
      <w:r w:rsidRPr="00C1780A">
        <w:rPr>
          <w:rFonts w:ascii="Times New Roman" w:hAnsi="Times New Roman"/>
          <w:color w:val="000000"/>
        </w:rPr>
        <w:t>4     (mixed trea</w:t>
      </w:r>
      <w:r w:rsidR="00797239" w:rsidRPr="00C1780A">
        <w:rPr>
          <w:rFonts w:ascii="Times New Roman" w:hAnsi="Times New Roman"/>
          <w:color w:val="000000"/>
        </w:rPr>
        <w:t xml:space="preserve">tment* </w:t>
      </w:r>
      <w:proofErr w:type="spellStart"/>
      <w:r w:rsidR="00797239" w:rsidRPr="00C1780A">
        <w:rPr>
          <w:rFonts w:ascii="Times New Roman" w:hAnsi="Times New Roman"/>
          <w:color w:val="000000"/>
        </w:rPr>
        <w:t>adj</w:t>
      </w:r>
      <w:proofErr w:type="spellEnd"/>
      <w:r w:rsidR="00797239" w:rsidRPr="00C1780A">
        <w:rPr>
          <w:rFonts w:ascii="Times New Roman" w:hAnsi="Times New Roman"/>
          <w:color w:val="000000"/>
        </w:rPr>
        <w:t xml:space="preserve"> comparison*).</w:t>
      </w:r>
      <w:proofErr w:type="spellStart"/>
      <w:r w:rsidR="00797239" w:rsidRPr="00C1780A">
        <w:rPr>
          <w:rFonts w:ascii="Times New Roman" w:hAnsi="Times New Roman"/>
          <w:color w:val="000000"/>
        </w:rPr>
        <w:t>mp</w:t>
      </w:r>
      <w:proofErr w:type="spellEnd"/>
      <w:r w:rsidR="00797239" w:rsidRPr="00C1780A">
        <w:rPr>
          <w:rFonts w:ascii="Times New Roman" w:hAnsi="Times New Roman"/>
          <w:color w:val="000000"/>
        </w:rPr>
        <w:t>.</w:t>
      </w:r>
    </w:p>
    <w:p w:rsidR="00E91F9C" w:rsidRPr="00C1780A" w:rsidRDefault="00E91F9C" w:rsidP="00E91F9C">
      <w:pPr>
        <w:pStyle w:val="PlainText"/>
        <w:rPr>
          <w:rFonts w:ascii="Times New Roman" w:hAnsi="Times New Roman"/>
          <w:color w:val="000000"/>
        </w:rPr>
      </w:pPr>
      <w:r w:rsidRPr="00C1780A">
        <w:rPr>
          <w:rFonts w:ascii="Times New Roman" w:hAnsi="Times New Roman"/>
          <w:color w:val="000000"/>
        </w:rPr>
        <w:t>5     (multiple trea</w:t>
      </w:r>
      <w:r w:rsidR="00797239" w:rsidRPr="00C1780A">
        <w:rPr>
          <w:rFonts w:ascii="Times New Roman" w:hAnsi="Times New Roman"/>
          <w:color w:val="000000"/>
        </w:rPr>
        <w:t xml:space="preserve">tment* </w:t>
      </w:r>
      <w:proofErr w:type="spellStart"/>
      <w:r w:rsidR="00797239" w:rsidRPr="00C1780A">
        <w:rPr>
          <w:rFonts w:ascii="Times New Roman" w:hAnsi="Times New Roman"/>
          <w:color w:val="000000"/>
        </w:rPr>
        <w:t>adj</w:t>
      </w:r>
      <w:proofErr w:type="spellEnd"/>
      <w:r w:rsidR="00797239" w:rsidRPr="00C1780A">
        <w:rPr>
          <w:rFonts w:ascii="Times New Roman" w:hAnsi="Times New Roman"/>
          <w:color w:val="000000"/>
        </w:rPr>
        <w:t xml:space="preserve"> comparison*).</w:t>
      </w:r>
      <w:proofErr w:type="spellStart"/>
      <w:r w:rsidR="00797239" w:rsidRPr="00C1780A">
        <w:rPr>
          <w:rFonts w:ascii="Times New Roman" w:hAnsi="Times New Roman"/>
          <w:color w:val="000000"/>
        </w:rPr>
        <w:t>mp</w:t>
      </w:r>
      <w:proofErr w:type="spellEnd"/>
      <w:r w:rsidR="00797239" w:rsidRPr="00C1780A">
        <w:rPr>
          <w:rFonts w:ascii="Times New Roman" w:hAnsi="Times New Roman"/>
          <w:color w:val="000000"/>
        </w:rPr>
        <w:t>.</w:t>
      </w:r>
    </w:p>
    <w:p w:rsidR="00E91F9C" w:rsidRPr="00C1780A" w:rsidRDefault="00E91F9C" w:rsidP="00E91F9C">
      <w:pPr>
        <w:pStyle w:val="PlainText"/>
        <w:rPr>
          <w:rFonts w:ascii="Times New Roman" w:hAnsi="Times New Roman"/>
          <w:color w:val="000000"/>
        </w:rPr>
      </w:pPr>
      <w:r w:rsidRPr="00C1780A">
        <w:rPr>
          <w:rFonts w:ascii="Times New Roman" w:hAnsi="Times New Roman"/>
          <w:color w:val="000000"/>
        </w:rPr>
        <w:t>6     (multi-tre</w:t>
      </w:r>
      <w:r w:rsidR="00797239" w:rsidRPr="00C1780A">
        <w:rPr>
          <w:rFonts w:ascii="Times New Roman" w:hAnsi="Times New Roman"/>
          <w:color w:val="000000"/>
        </w:rPr>
        <w:t xml:space="preserve">atment* </w:t>
      </w:r>
      <w:proofErr w:type="spellStart"/>
      <w:r w:rsidR="00797239" w:rsidRPr="00C1780A">
        <w:rPr>
          <w:rFonts w:ascii="Times New Roman" w:hAnsi="Times New Roman"/>
          <w:color w:val="000000"/>
        </w:rPr>
        <w:t>adj</w:t>
      </w:r>
      <w:proofErr w:type="spellEnd"/>
      <w:r w:rsidR="00797239" w:rsidRPr="00C1780A">
        <w:rPr>
          <w:rFonts w:ascii="Times New Roman" w:hAnsi="Times New Roman"/>
          <w:color w:val="000000"/>
        </w:rPr>
        <w:t xml:space="preserve"> comparison*).</w:t>
      </w:r>
      <w:proofErr w:type="spellStart"/>
      <w:r w:rsidR="00797239" w:rsidRPr="00C1780A">
        <w:rPr>
          <w:rFonts w:ascii="Times New Roman" w:hAnsi="Times New Roman"/>
          <w:color w:val="000000"/>
        </w:rPr>
        <w:t>mp</w:t>
      </w:r>
      <w:proofErr w:type="spellEnd"/>
      <w:r w:rsidR="00797239" w:rsidRPr="00C1780A">
        <w:rPr>
          <w:rFonts w:ascii="Times New Roman" w:hAnsi="Times New Roman"/>
          <w:color w:val="000000"/>
        </w:rPr>
        <w:t>.</w:t>
      </w:r>
    </w:p>
    <w:p w:rsidR="00E91F9C" w:rsidRPr="00C1780A" w:rsidRDefault="00E91F9C" w:rsidP="00E91F9C">
      <w:pPr>
        <w:pStyle w:val="PlainText"/>
        <w:rPr>
          <w:rFonts w:ascii="Times New Roman" w:hAnsi="Times New Roman"/>
          <w:color w:val="000000"/>
        </w:rPr>
      </w:pPr>
      <w:r w:rsidRPr="00C1780A">
        <w:rPr>
          <w:rFonts w:ascii="Times New Roman" w:hAnsi="Times New Roman"/>
          <w:color w:val="000000"/>
        </w:rPr>
        <w:t>7     (simultan</w:t>
      </w:r>
      <w:r w:rsidR="00797239" w:rsidRPr="00C1780A">
        <w:rPr>
          <w:rFonts w:ascii="Times New Roman" w:hAnsi="Times New Roman"/>
          <w:color w:val="000000"/>
        </w:rPr>
        <w:t xml:space="preserve">eous* </w:t>
      </w:r>
      <w:proofErr w:type="spellStart"/>
      <w:r w:rsidR="00797239" w:rsidRPr="00C1780A">
        <w:rPr>
          <w:rFonts w:ascii="Times New Roman" w:hAnsi="Times New Roman"/>
          <w:color w:val="000000"/>
        </w:rPr>
        <w:t>adj</w:t>
      </w:r>
      <w:proofErr w:type="spellEnd"/>
      <w:r w:rsidR="00797239" w:rsidRPr="00C1780A">
        <w:rPr>
          <w:rFonts w:ascii="Times New Roman" w:hAnsi="Times New Roman"/>
          <w:color w:val="000000"/>
        </w:rPr>
        <w:t xml:space="preserve"> comparison*).</w:t>
      </w:r>
      <w:proofErr w:type="spellStart"/>
      <w:r w:rsidR="00797239" w:rsidRPr="00C1780A">
        <w:rPr>
          <w:rFonts w:ascii="Times New Roman" w:hAnsi="Times New Roman"/>
          <w:color w:val="000000"/>
        </w:rPr>
        <w:t>mp</w:t>
      </w:r>
      <w:proofErr w:type="spellEnd"/>
      <w:r w:rsidR="00797239" w:rsidRPr="00C1780A">
        <w:rPr>
          <w:rFonts w:ascii="Times New Roman" w:hAnsi="Times New Roman"/>
          <w:color w:val="000000"/>
        </w:rPr>
        <w:t>.</w:t>
      </w:r>
    </w:p>
    <w:p w:rsidR="00E91F9C" w:rsidRPr="00C1780A" w:rsidRDefault="00E91F9C" w:rsidP="00E91F9C">
      <w:pPr>
        <w:pStyle w:val="PlainText"/>
        <w:rPr>
          <w:rFonts w:ascii="Times New Roman" w:hAnsi="Times New Roman"/>
          <w:color w:val="000000"/>
        </w:rPr>
      </w:pPr>
      <w:r w:rsidRPr="00C1780A">
        <w:rPr>
          <w:rFonts w:ascii="Times New Roman" w:hAnsi="Times New Roman"/>
          <w:color w:val="000000"/>
        </w:rPr>
        <w:t>8     mixed comparison*.</w:t>
      </w:r>
      <w:proofErr w:type="spellStart"/>
      <w:r w:rsidRPr="00C1780A">
        <w:rPr>
          <w:rFonts w:ascii="Times New Roman" w:hAnsi="Times New Roman"/>
          <w:color w:val="000000"/>
        </w:rPr>
        <w:t>mp</w:t>
      </w:r>
      <w:proofErr w:type="spellEnd"/>
      <w:r w:rsidRPr="00C1780A">
        <w:rPr>
          <w:rFonts w:ascii="Times New Roman" w:hAnsi="Times New Roman"/>
          <w:color w:val="000000"/>
        </w:rPr>
        <w:t>. (10)</w:t>
      </w:r>
    </w:p>
    <w:p w:rsidR="00E91F9C" w:rsidRPr="00C1780A" w:rsidRDefault="00E91F9C" w:rsidP="00E91F9C">
      <w:pPr>
        <w:pStyle w:val="PlainText"/>
        <w:rPr>
          <w:rFonts w:ascii="Times New Roman" w:hAnsi="Times New Roman"/>
          <w:color w:val="000000"/>
        </w:rPr>
      </w:pPr>
      <w:r w:rsidRPr="00C1780A">
        <w:rPr>
          <w:rFonts w:ascii="Times New Roman" w:hAnsi="Times New Roman"/>
          <w:color w:val="000000"/>
        </w:rPr>
        <w:t>9     (umbrella adj3 (meta-</w:t>
      </w:r>
      <w:proofErr w:type="spellStart"/>
      <w:r w:rsidRPr="00C1780A">
        <w:rPr>
          <w:rFonts w:ascii="Times New Roman" w:hAnsi="Times New Roman"/>
          <w:color w:val="000000"/>
        </w:rPr>
        <w:t>analy</w:t>
      </w:r>
      <w:proofErr w:type="spellEnd"/>
      <w:r w:rsidRPr="00C1780A">
        <w:rPr>
          <w:rFonts w:ascii="Times New Roman" w:hAnsi="Times New Roman"/>
          <w:color w:val="000000"/>
        </w:rPr>
        <w:t xml:space="preserve">* or </w:t>
      </w:r>
      <w:proofErr w:type="spellStart"/>
      <w:r w:rsidRPr="00C1780A">
        <w:rPr>
          <w:rFonts w:ascii="Times New Roman" w:hAnsi="Times New Roman"/>
          <w:color w:val="000000"/>
        </w:rPr>
        <w:t>metanaly</w:t>
      </w:r>
      <w:proofErr w:type="spellEnd"/>
      <w:r w:rsidRPr="00C1780A">
        <w:rPr>
          <w:rFonts w:ascii="Times New Roman" w:hAnsi="Times New Roman"/>
          <w:color w:val="000000"/>
        </w:rPr>
        <w:t xml:space="preserve">* or </w:t>
      </w:r>
      <w:proofErr w:type="spellStart"/>
      <w:r w:rsidRPr="00C1780A">
        <w:rPr>
          <w:rFonts w:ascii="Times New Roman" w:hAnsi="Times New Roman"/>
          <w:color w:val="000000"/>
        </w:rPr>
        <w:t>metaanaly</w:t>
      </w:r>
      <w:proofErr w:type="spellEnd"/>
      <w:r w:rsidRPr="00C1780A">
        <w:rPr>
          <w:rFonts w:ascii="Times New Roman" w:hAnsi="Times New Roman"/>
          <w:color w:val="000000"/>
        </w:rPr>
        <w:t xml:space="preserve">* or met </w:t>
      </w:r>
      <w:proofErr w:type="spellStart"/>
      <w:r w:rsidRPr="00C1780A">
        <w:rPr>
          <w:rFonts w:ascii="Times New Roman" w:hAnsi="Times New Roman"/>
          <w:color w:val="000000"/>
        </w:rPr>
        <w:t>ana</w:t>
      </w:r>
      <w:r w:rsidR="00797239" w:rsidRPr="00C1780A">
        <w:rPr>
          <w:rFonts w:ascii="Times New Roman" w:hAnsi="Times New Roman"/>
          <w:color w:val="000000"/>
        </w:rPr>
        <w:t>ly</w:t>
      </w:r>
      <w:proofErr w:type="spellEnd"/>
      <w:r w:rsidR="00797239" w:rsidRPr="00C1780A">
        <w:rPr>
          <w:rFonts w:ascii="Times New Roman" w:hAnsi="Times New Roman"/>
          <w:color w:val="000000"/>
        </w:rPr>
        <w:t>*)).</w:t>
      </w:r>
      <w:proofErr w:type="spellStart"/>
      <w:r w:rsidR="00797239" w:rsidRPr="00C1780A">
        <w:rPr>
          <w:rFonts w:ascii="Times New Roman" w:hAnsi="Times New Roman"/>
          <w:color w:val="000000"/>
        </w:rPr>
        <w:t>mp</w:t>
      </w:r>
      <w:proofErr w:type="spellEnd"/>
      <w:r w:rsidR="00797239" w:rsidRPr="00C1780A">
        <w:rPr>
          <w:rFonts w:ascii="Times New Roman" w:hAnsi="Times New Roman"/>
          <w:color w:val="000000"/>
        </w:rPr>
        <w:t>.</w:t>
      </w:r>
    </w:p>
    <w:p w:rsidR="00E91F9C" w:rsidRPr="00C1780A" w:rsidRDefault="00797239" w:rsidP="00E91F9C">
      <w:pPr>
        <w:pStyle w:val="PlainText"/>
        <w:rPr>
          <w:rFonts w:ascii="Times New Roman" w:hAnsi="Times New Roman"/>
          <w:color w:val="000000"/>
        </w:rPr>
      </w:pPr>
      <w:r w:rsidRPr="00C1780A">
        <w:rPr>
          <w:rFonts w:ascii="Times New Roman" w:hAnsi="Times New Roman"/>
          <w:color w:val="000000"/>
        </w:rPr>
        <w:t>10     or/1-9</w:t>
      </w:r>
    </w:p>
    <w:p w:rsidR="00F45EA8" w:rsidRPr="00C1780A" w:rsidRDefault="00F45EA8">
      <w:pPr>
        <w:rPr>
          <w:rFonts w:ascii="Times New Roman" w:hAnsi="Times New Roman" w:cs="Times New Roman"/>
        </w:rPr>
        <w:sectPr w:rsidR="00F45EA8" w:rsidRPr="00C1780A">
          <w:pgSz w:w="12240" w:h="15840"/>
          <w:pgMar w:top="1440" w:right="1440" w:bottom="1440" w:left="1440" w:header="720" w:footer="720" w:gutter="0"/>
          <w:cols w:space="720"/>
          <w:docGrid w:linePitch="360"/>
        </w:sectPr>
      </w:pPr>
    </w:p>
    <w:p w:rsidR="00541841" w:rsidRDefault="00F45EA8" w:rsidP="00541841">
      <w:pPr>
        <w:pStyle w:val="Heading1"/>
      </w:pPr>
      <w:r w:rsidRPr="00C1780A">
        <w:lastRenderedPageBreak/>
        <w:t xml:space="preserve">Appendix </w:t>
      </w:r>
      <w:r w:rsidR="00D05024">
        <w:t>3</w:t>
      </w:r>
      <w:r w:rsidRPr="00C1780A">
        <w:t xml:space="preserve">. List of included studies </w:t>
      </w:r>
      <w:r w:rsidR="00541841">
        <w:t>(n=456)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fldChar w:fldCharType="begin"/>
      </w:r>
      <w:r w:rsidRPr="00A913F4">
        <w:rPr>
          <w:rFonts w:ascii="Times New Roman" w:hAnsi="Times New Roman"/>
        </w:rPr>
        <w:instrText xml:space="preserve"> ADDIN EN.REFLIST </w:instrText>
      </w:r>
      <w:r w:rsidRPr="00A913F4">
        <w:rPr>
          <w:rFonts w:ascii="Times New Roman" w:hAnsi="Times New Roman"/>
        </w:rPr>
        <w:fldChar w:fldCharType="separate"/>
      </w:r>
      <w:r w:rsidRPr="00A913F4">
        <w:rPr>
          <w:rFonts w:ascii="Times New Roman" w:hAnsi="Times New Roman"/>
        </w:rPr>
        <w:t>1.</w:t>
      </w:r>
      <w:r w:rsidRPr="00A913F4">
        <w:rPr>
          <w:rFonts w:ascii="Times New Roman" w:hAnsi="Times New Roman"/>
        </w:rPr>
        <w:tab/>
        <w:t>Psaty BM, Smith NL, Siscovick DS, Koepsell TD, Weiss NS, Heckbert SR, et al. Health outcomes associated with antihypertensive therapies used as first-line agents. A systematic review and meta-analysis. JAMA. 1997;277(9):739-45.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w:t>
      </w:r>
      <w:r w:rsidRPr="00A913F4">
        <w:rPr>
          <w:rFonts w:ascii="Times New Roman" w:hAnsi="Times New Roman"/>
        </w:rPr>
        <w:tab/>
        <w:t>Djavan B, Marberger M. A meta-analysis on the efficacy and tolerability of alpha1-adrenoceptor antagonists in patients with lower urinary tract symptoms suggestive of benign prostatic obstruction. Eur Urol. 1999;36(1):1-13.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w:t>
      </w:r>
      <w:r w:rsidRPr="00A913F4">
        <w:rPr>
          <w:rFonts w:ascii="Times New Roman" w:hAnsi="Times New Roman"/>
        </w:rPr>
        <w:tab/>
        <w:t>Picard P, Tramer MR. Prevention of pain on injection with propofol: a quantitative systematic review. Anesth Analg. 2000;90(4):963-9.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w:t>
      </w:r>
      <w:r w:rsidRPr="00A913F4">
        <w:rPr>
          <w:rFonts w:ascii="Times New Roman" w:hAnsi="Times New Roman"/>
        </w:rPr>
        <w:tab/>
        <w:t>Wilhelmus KR. The treatment of herpes simplex virus epithelial keratitis. Trans Am Ophthalmol Soc. 2000;98:505-32.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5.</w:t>
      </w:r>
      <w:r w:rsidRPr="00A913F4">
        <w:rPr>
          <w:rFonts w:ascii="Times New Roman" w:hAnsi="Times New Roman"/>
        </w:rPr>
        <w:tab/>
        <w:t>Mason L, Moore RA, Edwards JE, Derry S, McQuay HJ. Topical NSAIDs for acute pain: a meta-analysis. BMC Fam Pract. 2004;5:10.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6.</w:t>
      </w:r>
      <w:r w:rsidRPr="00A913F4">
        <w:rPr>
          <w:rFonts w:ascii="Times New Roman" w:hAnsi="Times New Roman"/>
        </w:rPr>
        <w:tab/>
        <w:t>Playford EG, Webster AC, Sorell TC, Craig JC. Antifungal agents for preventing fungal infections in solid organ transplant recipients. Cochrane Database Syst Rev. 2004(3):Cd004291.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7.</w:t>
      </w:r>
      <w:r w:rsidRPr="00A913F4">
        <w:rPr>
          <w:rFonts w:ascii="Times New Roman" w:hAnsi="Times New Roman"/>
        </w:rPr>
        <w:tab/>
        <w:t>Wehren LE, Hosking D, Hochberg MC. Putting evidence-based medicine into clinical practice: comparing anti-resorptive agents for the treatment of osteoporosis. Curr Med Res Opin. 2004;20(4):525-31.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8.</w:t>
      </w:r>
      <w:r w:rsidRPr="00A913F4">
        <w:rPr>
          <w:rFonts w:ascii="Times New Roman" w:hAnsi="Times New Roman"/>
        </w:rPr>
        <w:tab/>
        <w:t>Biondi-Zoccai GG, Agostoni P, Abbate A, Testa L, Burzotta F, Lotrionte M, et al. Adjusted indirect comparison of intracoronary drug-eluting stents: evidence from a metaanalysis of randomized bare-metal-stent-controlled trials. Int J Cardiol. 2005;100(1):119-23.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9.</w:t>
      </w:r>
      <w:r w:rsidRPr="00A913F4">
        <w:rPr>
          <w:rFonts w:ascii="Times New Roman" w:hAnsi="Times New Roman"/>
        </w:rPr>
        <w:tab/>
        <w:t>Brophy JM, Joseph L. Medical decision making with incomplete evidence--choosing a platelet glycoprotein IIbIIIa receptor inhibitor for percutaneous coronary interventions. Med Decis Making. 2005;25(2):222-8.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10.</w:t>
      </w:r>
      <w:r w:rsidRPr="00A913F4">
        <w:rPr>
          <w:rFonts w:ascii="Times New Roman" w:hAnsi="Times New Roman"/>
        </w:rPr>
        <w:tab/>
        <w:t>Gafter-Gvili A, Fraser A, Paul M, Leibovici L. Meta-analysis: antibiotic prophylaxis reduces mortality in neutropenic patients. Ann Intern Med. 2005;142(12 Pt 1):979-95.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11.</w:t>
      </w:r>
      <w:r w:rsidRPr="00A913F4">
        <w:rPr>
          <w:rFonts w:ascii="Times New Roman" w:hAnsi="Times New Roman"/>
        </w:rPr>
        <w:tab/>
        <w:t>Lapitan MC, Cody DJ, Grant AM. Open retropubic colposuspension for urinary incontinence in women. Cochrane Database Syst Rev. 2005(3):Cd002912.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12.</w:t>
      </w:r>
      <w:r w:rsidRPr="00A913F4">
        <w:rPr>
          <w:rFonts w:ascii="Times New Roman" w:hAnsi="Times New Roman"/>
        </w:rPr>
        <w:tab/>
        <w:t>Macfadyen CA, Acuin JM, Gamble C. Topical antibiotics without steroids for chronically discharging ears with underlying eardrum perforations. Cochrane Database Syst Rev. 2005(4):Cd004618.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13.</w:t>
      </w:r>
      <w:r w:rsidRPr="00A913F4">
        <w:rPr>
          <w:rFonts w:ascii="Times New Roman" w:hAnsi="Times New Roman"/>
        </w:rPr>
        <w:tab/>
        <w:t>Moore RA, Derry S, McQuay HJ. Indirect comparison of interventions using published randomised trials: systematic review of PDE-5 inhibitors for erectile dysfunction. BMC Urol. 2005;5:18.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14.</w:t>
      </w:r>
      <w:r w:rsidRPr="00A913F4">
        <w:rPr>
          <w:rFonts w:ascii="Times New Roman" w:hAnsi="Times New Roman"/>
        </w:rPr>
        <w:tab/>
        <w:t>Richy F, Schacht E, Bruyere O, Ethgen O, Gourlay M, Reginster JY. Vitamin D analogs versus native vitamin D in preventing bone loss and osteoporosis-related fractures: a comparative meta-analysis. Calcif Tissue Int. 2005;76(3):176-86.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15.</w:t>
      </w:r>
      <w:r w:rsidRPr="00A913F4">
        <w:rPr>
          <w:rFonts w:ascii="Times New Roman" w:hAnsi="Times New Roman"/>
        </w:rPr>
        <w:tab/>
        <w:t>Berner MM, Kriston L, Harms A. Efficacy of PDE-5-inhibitors for erectile dysfunction. A comparative meta-analysis of fixed-dose regimen randomized controlled trials administering the International Index of Erectile Function in broad-spectrum populations. Int J Impot Res. 2006;18(3):229-35.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16.</w:t>
      </w:r>
      <w:r w:rsidRPr="00A913F4">
        <w:rPr>
          <w:rFonts w:ascii="Times New Roman" w:hAnsi="Times New Roman"/>
        </w:rPr>
        <w:tab/>
        <w:t>Brown TJ, Hooper L, Elliott RA, Payne K, Webb R, Roberts C, et al. A comparison of the cost-effectiveness of five strategies for the prevention of non-steroidal anti-inflammatory drug-induced gastrointestinal toxicity: a systematic review with economic modelling. Health Technol Assess. 2006;10(38):iii-iv, xi-xiii, 1-183.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17.</w:t>
      </w:r>
      <w:r w:rsidRPr="00A913F4">
        <w:rPr>
          <w:rFonts w:ascii="Times New Roman" w:hAnsi="Times New Roman"/>
        </w:rPr>
        <w:tab/>
        <w:t>Cooper NJ, Sutton AJ, Lu G, Khunti K. Mixed comparison of stroke prevention treatments in individuals with nonrheumatic atrial fibrillation. Arch Intern Med. 2006;166(12):1269-75.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18.</w:t>
      </w:r>
      <w:r w:rsidRPr="00A913F4">
        <w:rPr>
          <w:rFonts w:ascii="Times New Roman" w:hAnsi="Times New Roman"/>
        </w:rPr>
        <w:tab/>
        <w:t>Davies L, Brown TJ, Haynes S, Payne K, Elliott RA, McCollum C. Cost-effectiveness of cell salvage and alternative methods of minimising perioperative allogeneic blood transfusion: a systematic review and economic model. Health Technol Assess. 2006;10(44):iii-iv, ix-x, 1-210.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19.</w:t>
      </w:r>
      <w:r w:rsidRPr="00A913F4">
        <w:rPr>
          <w:rFonts w:ascii="Times New Roman" w:hAnsi="Times New Roman"/>
        </w:rPr>
        <w:tab/>
        <w:t>Eckert L, Lancon C. Duloxetine compared with fluoxetine and venlafaxine: use of meta-regression analysis for indirect comparisons. BMC Psychiatry. 2006;6:30.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20.</w:t>
      </w:r>
      <w:r w:rsidRPr="00A913F4">
        <w:rPr>
          <w:rFonts w:ascii="Times New Roman" w:hAnsi="Times New Roman"/>
        </w:rPr>
        <w:tab/>
        <w:t>Gartlehner G, Hansen RA, Jonas BL, Thieda P, Lohr KN. The comparative efficacy and safety of biologics for the treatment of rheumatoid arthritis: a systematic review and metaanalysis. J Rheumatol. 2006;33(12):2398-408.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21.</w:t>
      </w:r>
      <w:r w:rsidRPr="00A913F4">
        <w:rPr>
          <w:rFonts w:ascii="Times New Roman" w:hAnsi="Times New Roman"/>
        </w:rPr>
        <w:tab/>
        <w:t>Jansen JP. Self-monitoring of glucose in type 2 diabetes mellitus: a Bayesian meta-analysis of direct and indirect comparisons. Curr Med Res Opin. 2006;22(4):671-81.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22.</w:t>
      </w:r>
      <w:r w:rsidRPr="00A913F4">
        <w:rPr>
          <w:rFonts w:ascii="Times New Roman" w:hAnsi="Times New Roman"/>
        </w:rPr>
        <w:tab/>
        <w:t>Kyrgiou M, Salanti G, Pavlidis N, Paraskevaidis E, Ioannidis JP. Survival benefits with diverse chemotherapy regimens for ovarian cancer: meta-analysis of multiple treatments. J Natl Cancer Inst. 2006;98(22):1655-63.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23.</w:t>
      </w:r>
      <w:r w:rsidRPr="00A913F4">
        <w:rPr>
          <w:rFonts w:ascii="Times New Roman" w:hAnsi="Times New Roman"/>
        </w:rPr>
        <w:tab/>
        <w:t>Nelson HD, Vesco KK, Haney E, Fu R, Nedrow A, Miller J, et al. Nonhormonal therapies for menopausal hot flashes: systematic review and meta-analysis. JAMA. 2006;295(17):2057-71.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24.</w:t>
      </w:r>
      <w:r w:rsidRPr="00A913F4">
        <w:rPr>
          <w:rFonts w:ascii="Times New Roman" w:hAnsi="Times New Roman"/>
        </w:rPr>
        <w:tab/>
        <w:t>Playford EG, Webster AC, Sorrell TC, Craig JC. Systematic review and meta-analysis of antifungal agents for preventing fungal infections in liver transplant recipients. Eur J Clin Microbiol Infect Dis. 2006;25(9):549-61.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25.</w:t>
      </w:r>
      <w:r w:rsidRPr="00A913F4">
        <w:rPr>
          <w:rFonts w:ascii="Times New Roman" w:hAnsi="Times New Roman"/>
        </w:rPr>
        <w:tab/>
        <w:t>Wu P, Wilson K, Dimoulas P, Mills EJ. Effectiveness of smoking cessation therapies: a systematic review and meta-analysis. BMC Public Health. 2006;6:300.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26.</w:t>
      </w:r>
      <w:r w:rsidRPr="00A913F4">
        <w:rPr>
          <w:rFonts w:ascii="Times New Roman" w:hAnsi="Times New Roman"/>
        </w:rPr>
        <w:tab/>
        <w:t>Yu CH, Beattie WS. The effects of volatile anesthetics on cardiac ischemic complications and mortality in CABG: a meta-analysis. Can J Anaesth. 2006;53(9):906-18.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27.</w:t>
      </w:r>
      <w:r w:rsidRPr="00A913F4">
        <w:rPr>
          <w:rFonts w:ascii="Times New Roman" w:hAnsi="Times New Roman"/>
        </w:rPr>
        <w:tab/>
        <w:t>Zhou Z, Rahme E, Pilote L. Are statins created equal? Evidence from randomized trials of pravastatin, simvastatin, and atorvastatin for cardiovascular disease prevention. Am Heart J. 2006;151(2):273-81.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28.</w:t>
      </w:r>
      <w:r w:rsidRPr="00A913F4">
        <w:rPr>
          <w:rFonts w:ascii="Times New Roman" w:hAnsi="Times New Roman"/>
        </w:rPr>
        <w:tab/>
        <w:t>Buscemi N, Vandermeer B, Friesen C, Bialy L, Tubman M, Ospina M, et al. The efficacy and safety of drug treatments for chronic insomnia in adults: a meta-analysis of RCTs. J Gen Intern Med. 2007;22(9):1335-50.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29.</w:t>
      </w:r>
      <w:r w:rsidRPr="00A913F4">
        <w:rPr>
          <w:rFonts w:ascii="Times New Roman" w:hAnsi="Times New Roman"/>
        </w:rPr>
        <w:tab/>
        <w:t>Elliott WJ, Meyer PM. Incident diabetes in clinical trials of antihypertensive drugs: a network meta-analysis. Lancet. 2007;369(9557):201-7.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30.</w:t>
      </w:r>
      <w:r w:rsidRPr="00A913F4">
        <w:rPr>
          <w:rFonts w:ascii="Times New Roman" w:hAnsi="Times New Roman"/>
        </w:rPr>
        <w:tab/>
        <w:t>Golfinopoulos V, Salanti G, Pavlidis N, Ioannidis JP. Survival and disease-progression benefits with treatment regimens for advanced colorectal cancer: a meta-analysis. Lancet Oncol. 2007;8(10):898-911.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31.</w:t>
      </w:r>
      <w:r w:rsidRPr="00A913F4">
        <w:rPr>
          <w:rFonts w:ascii="Times New Roman" w:hAnsi="Times New Roman"/>
        </w:rPr>
        <w:tab/>
        <w:t>Lam SK, Owen A. Combined resynchronisation and implantable defibrillator therapy in left ventricular dysfunction: Bayesian network meta-analysis of randomised controlled trials. BMJ. 2007;335(7626):925.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32.</w:t>
      </w:r>
      <w:r w:rsidRPr="00A913F4">
        <w:rPr>
          <w:rFonts w:ascii="Times New Roman" w:hAnsi="Times New Roman"/>
        </w:rPr>
        <w:tab/>
        <w:t>McLeod C, Bagust A, Boland A, Dagenais P, Dickson R, Dundar Y, et al. Adalimumab, etanercept and infliximab for the treatment of ankylosing spondylitis: a systematic review and economic evaluation. Health Technol Assess. 2007;11(28):1-158, iii-iv.</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33.</w:t>
      </w:r>
      <w:r w:rsidRPr="00A913F4">
        <w:rPr>
          <w:rFonts w:ascii="Times New Roman" w:hAnsi="Times New Roman"/>
        </w:rPr>
        <w:tab/>
        <w:t>Nixon R, Bansback N, Brennan A. The efficacy of inhibiting tumour necrosis factor alpha and interleukin 1 in patients with rheumatoid arthritis: a meta-analysis and adjusted indirect comparisons. Rheumatology (Oxford). 2007;46(7):1140-7.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34.</w:t>
      </w:r>
      <w:r w:rsidRPr="00A913F4">
        <w:rPr>
          <w:rFonts w:ascii="Times New Roman" w:hAnsi="Times New Roman"/>
        </w:rPr>
        <w:tab/>
        <w:t>Pollock A, Baer G, Pomeroy V, Langhorne P. Physiotherapy treatment approaches for the recovery of postural control and lower limb function following stroke. Cochrane Database Syst Rev. 2007(1):Cd001920.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35.</w:t>
      </w:r>
      <w:r w:rsidRPr="00A913F4">
        <w:rPr>
          <w:rFonts w:ascii="Times New Roman" w:hAnsi="Times New Roman"/>
        </w:rPr>
        <w:tab/>
        <w:t>Soares-Weiser K, Bravo Vergel Y, Beynon S, Dunn G, Barbieri M, Duffy S, et al. A systematic review and economic model of the clinical effectiveness and cost-effectiveness of interventions for preventing relapse in people with bipolar disorder. Health Technol Assess. 2007;11(39):iii-iv, ix-206.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36.</w:t>
      </w:r>
      <w:r w:rsidRPr="00A913F4">
        <w:rPr>
          <w:rFonts w:ascii="Times New Roman" w:hAnsi="Times New Roman"/>
        </w:rPr>
        <w:tab/>
        <w:t>Tudur Smith C, Marson AG, Chadwick DW, Williamson PR. Multiple treatment comparisons in epilepsy monotherapy trials. Trials. 2007;8:34.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37.</w:t>
      </w:r>
      <w:r w:rsidRPr="00A913F4">
        <w:rPr>
          <w:rFonts w:ascii="Times New Roman" w:hAnsi="Times New Roman"/>
        </w:rPr>
        <w:tab/>
        <w:t>Vestergaard P, Jorgensen NR, Mosekilde L, Schwarz P. Effects of parathyroid hormone alone or in combination with antiresorptive therapy on bone mineral density and fracture risk--a meta-analysis. Osteoporos Int. 2007;18(1):45-57.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38.</w:t>
      </w:r>
      <w:r w:rsidRPr="00A913F4">
        <w:rPr>
          <w:rFonts w:ascii="Times New Roman" w:hAnsi="Times New Roman"/>
        </w:rPr>
        <w:tab/>
        <w:t>Abdullah AK, Khan S. Relative oral corticosteroid-sparing effect of 7 inhaled corticosteroids in chronic asthma: a meta-analysis. Ann Allergy Asthma Immunol. 2008;101(1):74-81.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39.</w:t>
      </w:r>
      <w:r w:rsidRPr="00A913F4">
        <w:rPr>
          <w:rFonts w:ascii="Times New Roman" w:hAnsi="Times New Roman"/>
        </w:rPr>
        <w:tab/>
        <w:t>Chou R, Carson S, Chan BK. Pegylated interferons for chronic hepatitis C virus infection: an indirect analysis of randomized trials. J Viral Hepat. 2008;15(8):551-70.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40.</w:t>
      </w:r>
      <w:r w:rsidRPr="00A913F4">
        <w:rPr>
          <w:rFonts w:ascii="Times New Roman" w:hAnsi="Times New Roman"/>
        </w:rPr>
        <w:tab/>
        <w:t>Coleman CI, Baker WL, Kluger J, White CM. Antihypertensive medication and their impact on cancer incidence: a mixed treatment comparison meta-analysis of randomized controlled trials. J Hypertens. 2008;26(4):622-9.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41.</w:t>
      </w:r>
      <w:r w:rsidRPr="00A913F4">
        <w:rPr>
          <w:rFonts w:ascii="Times New Roman" w:hAnsi="Times New Roman"/>
        </w:rPr>
        <w:tab/>
        <w:t>Eisenberg MJ, Filion KB, Yavin D, Belisle P, Mottillo S, Joseph L, et al. Pharmacotherapies for smoking cessation: a meta-analysis of randomized controlled trials. CMAJ. 2008;179(2):135-44.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42.</w:t>
      </w:r>
      <w:r w:rsidRPr="00A913F4">
        <w:rPr>
          <w:rFonts w:ascii="Times New Roman" w:hAnsi="Times New Roman"/>
        </w:rPr>
        <w:tab/>
        <w:t>Hansen RA, Gartlehner G, Webb AP, Morgan LC, Moore CG, Jonas DE. Efficacy and safety of donepezil, galantamine, and rivastigmine for the treatment of Alzheimer's disease: a systematic review and meta-analysis. Clin Interv Aging. 2008;3(2):211-25.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43.</w:t>
      </w:r>
      <w:r w:rsidRPr="00A913F4">
        <w:rPr>
          <w:rFonts w:ascii="Times New Roman" w:hAnsi="Times New Roman"/>
        </w:rPr>
        <w:tab/>
        <w:t>Hansen RA, Gaynes BN, Gartlehner G, Moore CG, Tiwari R, Lohr KN. Efficacy and tolerability of second-generation antidepressants in social anxiety disorder. Int Clin Psychopharmacol. 2008;23(3):170-9.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44.</w:t>
      </w:r>
      <w:r w:rsidRPr="00A913F4">
        <w:rPr>
          <w:rFonts w:ascii="Times New Roman" w:hAnsi="Times New Roman"/>
        </w:rPr>
        <w:tab/>
        <w:t>Hofmeyr GJ, Gulmezoglu AM. Misoprostol for the prevention and treatment of postpartum haemorrhage. Best Pract Res Clin Obstet Gynaecol. 2008;22(6):1025-41.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45.</w:t>
      </w:r>
      <w:r w:rsidRPr="00A913F4">
        <w:rPr>
          <w:rFonts w:ascii="Times New Roman" w:hAnsi="Times New Roman"/>
        </w:rPr>
        <w:tab/>
        <w:t>Mauri D, Polyzos NP, Salanti G, Pavlidis N, Ioannidis JP. Multiple-treatments meta-analysis of chemotherapy and targeted therapies in advanced breast cancer. J Natl Cancer Inst. 2008;100(24):1780-91.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46.</w:t>
      </w:r>
      <w:r w:rsidRPr="00A913F4">
        <w:rPr>
          <w:rFonts w:ascii="Times New Roman" w:hAnsi="Times New Roman"/>
        </w:rPr>
        <w:tab/>
        <w:t>Mills EJ, Rachlis B, Wu P, Devereaux PJ, Arora P, Perri D. Primary prevention of cardiovascular mortality and events with statin treatments: a network meta-analysis involving more than 65,000 patients. J Am Coll Cardiol. 2008;52(22):1769-81.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47.</w:t>
      </w:r>
      <w:r w:rsidRPr="00A913F4">
        <w:rPr>
          <w:rFonts w:ascii="Times New Roman" w:hAnsi="Times New Roman"/>
        </w:rPr>
        <w:tab/>
        <w:t>Peterson K, McDonagh MS, Fu R. Comparative benefits and harms of competing medications for adults with attention-deficit hyperactivity disorder: a systematic review and indirect comparison meta-analysis. Psychopharmacology (Berl). 2008;197(1):1-11.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48.</w:t>
      </w:r>
      <w:r w:rsidRPr="00A913F4">
        <w:rPr>
          <w:rFonts w:ascii="Times New Roman" w:hAnsi="Times New Roman"/>
        </w:rPr>
        <w:tab/>
        <w:t>Sultana A, Ghaneh P, Cunningham D, Starling N, Neoptolemos JP, Smith CT. Gemcitabine based combination chemotherapy in advanced pancreatic cancer-indirect comparison. BMC Cancer. 2008;8:192.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49.</w:t>
      </w:r>
      <w:r w:rsidRPr="00A913F4">
        <w:rPr>
          <w:rFonts w:ascii="Times New Roman" w:hAnsi="Times New Roman"/>
        </w:rPr>
        <w:tab/>
        <w:t>Thijs V, Lemmens R, Fieuws S. Network meta-analysis: simultaneous meta-analysis of common antiplatelet regimens after transient ischaemic attack or stroke. Eur Heart J. 2008;29(9):1086-92.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50.</w:t>
      </w:r>
      <w:r w:rsidRPr="00A913F4">
        <w:rPr>
          <w:rFonts w:ascii="Times New Roman" w:hAnsi="Times New Roman"/>
        </w:rPr>
        <w:tab/>
        <w:t>Ara R, Pandor A, Stevens J, Rees A, Rafia R. Early high-dose lipid-lowering therapy to avoid cardiac events: a systematic review and economic evaluation. Health Technol Assess. 2009;13(34):1-74, 5-118.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51.</w:t>
      </w:r>
      <w:r w:rsidRPr="00A913F4">
        <w:rPr>
          <w:rFonts w:ascii="Times New Roman" w:hAnsi="Times New Roman"/>
        </w:rPr>
        <w:tab/>
        <w:t>Baker WL, Baker EL, Coleman CI. Pharmacologic treatments for chronic obstructive pulmonary disease: a mixed-treatment comparison meta-analysis. Pharmacotherapy. 2009;29(8):891-905.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52.</w:t>
      </w:r>
      <w:r w:rsidRPr="00A913F4">
        <w:rPr>
          <w:rFonts w:ascii="Times New Roman" w:hAnsi="Times New Roman"/>
        </w:rPr>
        <w:tab/>
        <w:t>Bansback N, Sizto S, Sun H, Feldman S, Willian MK, Anis A. Efficacy of systemic treatments for moderate to severe plaque psoriasis: systematic review and meta-analysis. Dermatology. 2009;219(3):209-18.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53.</w:t>
      </w:r>
      <w:r w:rsidRPr="00A913F4">
        <w:rPr>
          <w:rFonts w:ascii="Times New Roman" w:hAnsi="Times New Roman"/>
        </w:rPr>
        <w:tab/>
        <w:t>Cipriani A, Furukawa TA, Salanti G, Geddes JR, Higgins JP, Churchill R, et al. Comparative efficacy and acceptability of 12 new-generation antidepressants: a multiple-treatments meta-analysis. Lancet. 2009;373(9665):746-58.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54.</w:t>
      </w:r>
      <w:r w:rsidRPr="00A913F4">
        <w:rPr>
          <w:rFonts w:ascii="Times New Roman" w:hAnsi="Times New Roman"/>
        </w:rPr>
        <w:tab/>
        <w:t>Edwards SJ, Clarke MJ, Wordsworth S, Welton NJ. Carbapenems versus other beta-lactams in the treatment of hospitalised patients with infection: a mixed treatment comparison. Curr Med Res Opin. 2009;25(1):251-61.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55.</w:t>
      </w:r>
      <w:r w:rsidRPr="00A913F4">
        <w:rPr>
          <w:rFonts w:ascii="Times New Roman" w:hAnsi="Times New Roman"/>
        </w:rPr>
        <w:tab/>
        <w:t>Edwards SJ, Lind T, Lundell L, Das R. Systematic review: standard- and double-dose proton pump inhibitors for the healing of severe erosive oesophagitis -- a mixed treatment comparison of randomized controlled trials. Aliment Pharmacol Ther. 2009;30(6):547-56.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56.</w:t>
      </w:r>
      <w:r w:rsidRPr="00A913F4">
        <w:rPr>
          <w:rFonts w:ascii="Times New Roman" w:hAnsi="Times New Roman"/>
        </w:rPr>
        <w:tab/>
        <w:t>Edwards SJ, Smith CJ. Tolerability of atypical antipsychotics in the treatment of adults with schizophrenia or bipolar disorder: a mixed treatment comparison of randomized controlled trials. Clin Ther. 2009;31 Pt 1:1345-59.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57.</w:t>
      </w:r>
      <w:r w:rsidRPr="00A913F4">
        <w:rPr>
          <w:rFonts w:ascii="Times New Roman" w:hAnsi="Times New Roman"/>
        </w:rPr>
        <w:tab/>
        <w:t>Golfinopoulos V, Pentheroudakis G, Salanti G, Nearchou AD, Ioannidis JP, Pavlidis N. Comparative survival with diverse chemotherapy regimens for cancer of unknown primary site: multiple-treatments meta-analysis. Cancer Treat Rev. 2009;35(7):570-3.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58.</w:t>
      </w:r>
      <w:r w:rsidRPr="00A913F4">
        <w:rPr>
          <w:rFonts w:ascii="Times New Roman" w:hAnsi="Times New Roman"/>
        </w:rPr>
        <w:tab/>
        <w:t>Goudswaard AN, Furlong NJ, Rutten GE, Stolk RP, Valk GD. Insulin monotherapy versus combinations of insulin with oral hypoglycaemic agents in patients with type 2 diabetes mellitus. Cochrane Database Syst Rev. 2009(4):Cd003418.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59.</w:t>
      </w:r>
      <w:r w:rsidRPr="00A913F4">
        <w:rPr>
          <w:rFonts w:ascii="Times New Roman" w:hAnsi="Times New Roman"/>
        </w:rPr>
        <w:tab/>
        <w:t>Hawkins N, Scott DA, Woods BS, Thatcher N. No study left behind: a network meta-analysis in non-small-cell lung cancer demonstrating the importance of considering all relevant data. Value Health. 2009;12(6):996-1003.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60.</w:t>
      </w:r>
      <w:r w:rsidRPr="00A913F4">
        <w:rPr>
          <w:rFonts w:ascii="Times New Roman" w:hAnsi="Times New Roman"/>
        </w:rPr>
        <w:tab/>
        <w:t>Hofmeyr GJ, Gulmezoglu AM, Novikova N, Linder V, Ferreira S, Piaggio G. Misoprostol to prevent and treat postpartum haemorrhage: a systematic review and meta-analysis of maternal deaths and dose-related effects. Bull World Health Organ. 2009;87(9):666-77.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61.</w:t>
      </w:r>
      <w:r w:rsidRPr="00A913F4">
        <w:rPr>
          <w:rFonts w:ascii="Times New Roman" w:hAnsi="Times New Roman"/>
        </w:rPr>
        <w:tab/>
        <w:t>Jansen JP, Bergman GJ, Huels J, Olson M. Prevention of vertebral fractures in osteoporosis: mixed treatment comparison of bisphosphonate therapies. Curr Med Res Opin. 2009;25(8):1861-8.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62.</w:t>
      </w:r>
      <w:r w:rsidRPr="00A913F4">
        <w:rPr>
          <w:rFonts w:ascii="Times New Roman" w:hAnsi="Times New Roman"/>
        </w:rPr>
        <w:tab/>
        <w:t>Kotze A, Scally A, Howell S. Efficacy and safety of different techniques of paravertebral block for analgesia after thoracotomy: a systematic review and metaregression. Br J Anaesth. 2009;103(5):626-36.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63.</w:t>
      </w:r>
      <w:r w:rsidRPr="00A913F4">
        <w:rPr>
          <w:rFonts w:ascii="Times New Roman" w:hAnsi="Times New Roman"/>
        </w:rPr>
        <w:tab/>
        <w:t>Mills EJ, Perri D, Cooper C, Nachega JB, Wu P, Tleyjeh I, et al. Antifungal treatment for invasive Candida infections: a mixed treatment comparison meta-analysis. Ann Clin Microbiol Antimicrob. 2009;8:23.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64.</w:t>
      </w:r>
      <w:r w:rsidRPr="00A913F4">
        <w:rPr>
          <w:rFonts w:ascii="Times New Roman" w:hAnsi="Times New Roman"/>
        </w:rPr>
        <w:tab/>
        <w:t>Mills EJ, Rachlis B, O'Regan C, Thabane L, Perri D. Metastatic renal cell cancer treatments: an indirect comparison meta-analysis. BMC Cancer. 2009;9:34.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65.</w:t>
      </w:r>
      <w:r w:rsidRPr="00A913F4">
        <w:rPr>
          <w:rFonts w:ascii="Times New Roman" w:hAnsi="Times New Roman"/>
        </w:rPr>
        <w:tab/>
        <w:t>Mills EJ, Wu P, Spurden D, Ebbert JO, Wilson K. Efficacy of pharmacotherapies for short-term smoking abstinance: a systematic review and meta-analysis. Harm Reduct J. 2009;6:25.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66.</w:t>
      </w:r>
      <w:r w:rsidRPr="00A913F4">
        <w:rPr>
          <w:rFonts w:ascii="Times New Roman" w:hAnsi="Times New Roman"/>
        </w:rPr>
        <w:tab/>
        <w:t>Puhan MA, Bachmann LM, Kleijnen J, Ter Riet G, Kessels AG. Inhaled drugs to reduce exacerbations in patients with chronic obstructive pulmonary disease: a network meta-analysis. BMC Med. 2009;7:2.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67.</w:t>
      </w:r>
      <w:r w:rsidRPr="00A913F4">
        <w:rPr>
          <w:rFonts w:ascii="Times New Roman" w:hAnsi="Times New Roman"/>
        </w:rPr>
        <w:tab/>
        <w:t>Quilici S, Chancellor J, Lothgren M, Simon D, Said G, Le TK, et al. Meta-analysis of duloxetine vs. pregabalin and gabapentin in the treatment of diabetic peripheral neuropathic pain. BMC Neurol. 2009;9:6.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68.</w:t>
      </w:r>
      <w:r w:rsidRPr="00A913F4">
        <w:rPr>
          <w:rFonts w:ascii="Times New Roman" w:hAnsi="Times New Roman"/>
        </w:rPr>
        <w:tab/>
        <w:t>Singh JA, Christensen R, Wells GA, Suarez-Almazor ME, Buchbinder R, Lopez-Olivo MA, et al. A network meta-analysis of randomized controlled trials of biologics for rheumatoid arthritis: a Cochrane overview. CMAJ. 2009;181(11):787-96.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69.</w:t>
      </w:r>
      <w:r w:rsidRPr="00A913F4">
        <w:rPr>
          <w:rFonts w:ascii="Times New Roman" w:hAnsi="Times New Roman"/>
        </w:rPr>
        <w:tab/>
        <w:t>Singh JA, Christensen R, Wells GA, Suarez-Almazor ME, Buchbinder R, Lopez-Olivo MA, et al. Biologics for rheumatoid arthritis: an overview of Cochrane reviews. Cochrane Database Syst Rev. 2009(4):Cd007848.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70.</w:t>
      </w:r>
      <w:r w:rsidRPr="00A913F4">
        <w:rPr>
          <w:rFonts w:ascii="Times New Roman" w:hAnsi="Times New Roman"/>
        </w:rPr>
        <w:tab/>
        <w:t>Strassmann R, Bausch B, Spaar A, Kleijnen J, Braendli O, Puhan MA. Smoking cessation interventions in COPD: a network meta-analysis of randomised trials. Eur Respir J. 2009;34(3):634-40.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71.</w:t>
      </w:r>
      <w:r w:rsidRPr="00A913F4">
        <w:rPr>
          <w:rFonts w:ascii="Times New Roman" w:hAnsi="Times New Roman"/>
        </w:rPr>
        <w:tab/>
        <w:t>Trikalinos TA, Alsheikh-Ali AA, Tatsioni A, Nallamothu BK, Kent DM. Percutaneous coronary interventions for non-acute coronary artery disease: a quantitative 20-year synopsis and a network meta-analysis. Lancet. 2009;373(9667):911-8.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72.</w:t>
      </w:r>
      <w:r w:rsidRPr="00A913F4">
        <w:rPr>
          <w:rFonts w:ascii="Times New Roman" w:hAnsi="Times New Roman"/>
        </w:rPr>
        <w:tab/>
        <w:t>van der Valk R, Webers CA, Lumley T, Hendrikse F, Prins MH, Schouten JS. A network meta-analysis combined direct and indirect comparisons between glaucoma drugs to rank effectiveness in lowering intraocular pressure. J Clin Epidemiol. 2009;62(12):1279-83.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73.</w:t>
      </w:r>
      <w:r w:rsidRPr="00A913F4">
        <w:rPr>
          <w:rFonts w:ascii="Times New Roman" w:hAnsi="Times New Roman"/>
        </w:rPr>
        <w:tab/>
        <w:t>Welton NJ, Caldwell DM, Adamopoulos E, Vedhara K. Mixed treatment comparison meta-analysis of complex interventions: psychological interventions in coronary heart disease. Am J Epidemiol. 2009;169(9):1158-65.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74.</w:t>
      </w:r>
      <w:r w:rsidRPr="00A913F4">
        <w:rPr>
          <w:rFonts w:ascii="Times New Roman" w:hAnsi="Times New Roman"/>
        </w:rPr>
        <w:tab/>
        <w:t>Bergman GJ, Hochberg MC, Boers M, Wintfeld N, Kielhorn A, Jansen JP. Indirect comparison of tocilizumab and other biologic agents in patients with rheumatoid arthritis and inadequate response to disease-modifying antirheumatic drugs. Semin Arthritis Rheum. 2010;39(6):425-41.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75.</w:t>
      </w:r>
      <w:r w:rsidRPr="00A913F4">
        <w:rPr>
          <w:rFonts w:ascii="Times New Roman" w:hAnsi="Times New Roman"/>
        </w:rPr>
        <w:tab/>
        <w:t>Dakin H, Fidler C, Harper C. Mixed treatment comparison meta-analysis evaluating the relative efficacy of nucleos(t)ides for treatment of nucleos(t)ide-naive patients with chronic hepatitis B. Value Health. 2010;13(8):934-45.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76.</w:t>
      </w:r>
      <w:r w:rsidRPr="00A913F4">
        <w:rPr>
          <w:rFonts w:ascii="Times New Roman" w:hAnsi="Times New Roman"/>
        </w:rPr>
        <w:tab/>
        <w:t>Delahoy P, Thompson S, Marschner IC. Pregabalin versus gabapentin in partial epilepsy: a meta-analysis of dose-response relationships. BMC Neurol. 2010;10:104.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77.</w:t>
      </w:r>
      <w:r w:rsidRPr="00A913F4">
        <w:rPr>
          <w:rFonts w:ascii="Times New Roman" w:hAnsi="Times New Roman"/>
        </w:rPr>
        <w:tab/>
        <w:t>Hauser W, Petzke F, Sommer C. Comparative efficacy and harms of duloxetine, milnacipran, and pregabalin in fibromyalgia syndrome. J Pain. 2010;11(6):505-21.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78.</w:t>
      </w:r>
      <w:r w:rsidRPr="00A913F4">
        <w:rPr>
          <w:rFonts w:ascii="Times New Roman" w:hAnsi="Times New Roman"/>
        </w:rPr>
        <w:tab/>
        <w:t>Imamura M, Abrams P, Bain C, Buckley B, Cardozo L, Cody J, et al. Systematic review and economic modelling of the effectiveness and cost-effectiveness of non-surgical treatments for women with stress urinary incontinence. Health Technol Assess. 2010;14(40):1-188, iii-iv.</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79.</w:t>
      </w:r>
      <w:r w:rsidRPr="00A913F4">
        <w:rPr>
          <w:rFonts w:ascii="Times New Roman" w:hAnsi="Times New Roman"/>
        </w:rPr>
        <w:tab/>
        <w:t>McDaid C, Maund E, Rice S, Wright K, Jenkins B, Woolacott N. Paracetamol and selective and non-selective non-steroidal anti-inflammatory drugs (NSAIDs) for the reduction of morphine-related side effects after major surgery: a systematic review. Health Technol Assess. 2010;14(17):1-153, iii-iv.</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80.</w:t>
      </w:r>
      <w:r w:rsidRPr="00A913F4">
        <w:rPr>
          <w:rFonts w:ascii="Times New Roman" w:hAnsi="Times New Roman"/>
        </w:rPr>
        <w:tab/>
        <w:t>Meader N. A comparison of methadone, buprenorphine and alpha(2) adrenergic agonists for opioid detoxification: a mixed treatment comparison meta-analysis. Drug Alcohol Depend. 2010;108(1-2):110-4.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81.</w:t>
      </w:r>
      <w:r w:rsidRPr="00A913F4">
        <w:rPr>
          <w:rFonts w:ascii="Times New Roman" w:hAnsi="Times New Roman"/>
        </w:rPr>
        <w:tab/>
        <w:t>Middleton LJ, Champaneria R, Daniels JP, Bhattacharya S, Cooper KG, Hilken NH, et al. Hysterectomy, endometrial destruction, and levonorgestrel releasing intrauterine system (Mirena) for heavy menstrual bleeding: systematic review and meta-analysis of data from individual patients. BMJ. 2010;341:c3929.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82.</w:t>
      </w:r>
      <w:r w:rsidRPr="00A913F4">
        <w:rPr>
          <w:rFonts w:ascii="Times New Roman" w:hAnsi="Times New Roman"/>
        </w:rPr>
        <w:tab/>
        <w:t>Orme M, Collins S, Dakin H, Kelly S, Loftus J. Mixed treatment comparison and meta-regression of the efficacy and safety of prostaglandin analogues and comparators for primary open-angle glaucoma and ocular hypertension. Curr Med Res Opin. 2010;26(3):511-28.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83.</w:t>
      </w:r>
      <w:r w:rsidRPr="00A913F4">
        <w:rPr>
          <w:rFonts w:ascii="Times New Roman" w:hAnsi="Times New Roman"/>
        </w:rPr>
        <w:tab/>
        <w:t>Owen A. Antithrombotic treatment for the primary prevention of stroke in patients with non valvular atrial fibrillation: a reappraisal of the evidence and network meta analysis. Int J Cardiol. 2010;142(3):218-23.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84.</w:t>
      </w:r>
      <w:r w:rsidRPr="00A913F4">
        <w:rPr>
          <w:rFonts w:ascii="Times New Roman" w:hAnsi="Times New Roman"/>
        </w:rPr>
        <w:tab/>
        <w:t>Phung OJ, Scholle JM, Talwar M, Coleman CI. Effect of noninsulin antidiabetic drugs added to metformin therapy on glycemic control, weight gain, and hypoglycemia in type 2 diabetes. JAMA. 2010;303(14):1410-8.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85.</w:t>
      </w:r>
      <w:r w:rsidRPr="00A913F4">
        <w:rPr>
          <w:rFonts w:ascii="Times New Roman" w:hAnsi="Times New Roman"/>
        </w:rPr>
        <w:tab/>
        <w:t>Piscione F, Piccolo R, Cassese S, Galasso G, De Rosa R, D'Andrea C, et al. Effect of drug-eluting stents in patients with acute ST-segment elevation myocardial infarction undergoing percutaneous coronary intervention: a meta-analysis of randomised trials and an adjusted indirect comparison. EuroIntervention. 2010;5(7):853-60.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86.</w:t>
      </w:r>
      <w:r w:rsidRPr="00A913F4">
        <w:rPr>
          <w:rFonts w:ascii="Times New Roman" w:hAnsi="Times New Roman"/>
        </w:rPr>
        <w:tab/>
        <w:t>Roskell NS, Lip GY, Noack H, Clemens A, Plumb JM. Treatments for stroke prevention in atrial fibrillation: a network meta-analysis and indirect comparisons versus dabigatran etexilate. Thromb Haemost. 2010;104(6):1106-15.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87.</w:t>
      </w:r>
      <w:r w:rsidRPr="00A913F4">
        <w:rPr>
          <w:rFonts w:ascii="Times New Roman" w:hAnsi="Times New Roman"/>
        </w:rPr>
        <w:tab/>
        <w:t>Stowe R, Ives N, Clarke CE, Deane K, Wheatley K, Gray R, et al. Evaluation of the efficacy and safety of adjuvant treatment to levodopa therapy in Parkinson s disease patients with motor complications. Cochrane Database Syst Rev. 2010(7):Cd007166.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88.</w:t>
      </w:r>
      <w:r w:rsidRPr="00A913F4">
        <w:rPr>
          <w:rFonts w:ascii="Times New Roman" w:hAnsi="Times New Roman"/>
        </w:rPr>
        <w:tab/>
        <w:t>Tu YK, Woolston A, Faggion CM, Jr. Do bone grafts or barrier membranes provide additional treatment effects for infrabony lesions treated with enamel matrix derivatives? A network meta-analysis of randomized-controlled trials. J Clin Periodontol. 2010;37(1):59-79.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89.</w:t>
      </w:r>
      <w:r w:rsidRPr="00A913F4">
        <w:rPr>
          <w:rFonts w:ascii="Times New Roman" w:hAnsi="Times New Roman"/>
        </w:rPr>
        <w:tab/>
        <w:t>Uthman OA, Abdulmalik J. Comparative efficacy and acceptability of pharmacotherapeutic agents for anxiety disorders in children and adolescents: a mixed treatment comparison meta-analysis. Curr Med Res Opin. 2010;26(1):53-9.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90.</w:t>
      </w:r>
      <w:r w:rsidRPr="00A913F4">
        <w:rPr>
          <w:rFonts w:ascii="Times New Roman" w:hAnsi="Times New Roman"/>
        </w:rPr>
        <w:tab/>
        <w:t>Vissers D, Stam W, Nolte T, Lenre M, Jansen J. Efficacy of intranasal fentanyl spray versus other opioids for breakthrough pain in cancer. Curr Med Res Opin. 2010;26(5):1037-45.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91.</w:t>
      </w:r>
      <w:r w:rsidRPr="00A913F4">
        <w:rPr>
          <w:rFonts w:ascii="Times New Roman" w:hAnsi="Times New Roman"/>
        </w:rPr>
        <w:tab/>
        <w:t>Wandel S, Juni P, Tendal B, Nuesch E, Villiger PM, Welton NJ, et al. Effects of glucosamine, chondroitin, or placebo in patients with osteoarthritis of hip or knee: network meta-analysis. BMJ. 2010;341:c4675.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92.</w:t>
      </w:r>
      <w:r w:rsidRPr="00A913F4">
        <w:rPr>
          <w:rFonts w:ascii="Times New Roman" w:hAnsi="Times New Roman"/>
        </w:rPr>
        <w:tab/>
        <w:t>Wang H, Huang T, Jing J, Jin J, Wang P, Yang M, et al. Effectiveness of different central venous catheters for catheter-related infections: a network meta-analysis. J Hosp Infect. 2010;76(1):1-11.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93.</w:t>
      </w:r>
      <w:r w:rsidRPr="00A913F4">
        <w:rPr>
          <w:rFonts w:ascii="Times New Roman" w:hAnsi="Times New Roman"/>
        </w:rPr>
        <w:tab/>
        <w:t>Woo G, Tomlinson G, Nishikawa Y, Kowgier M, Sherman M, Wong DK, et al. Tenofovir and entecavir are the most effective antiviral agents for chronic hepatitis B: a systematic review and Bayesian meta-analyses. Gastroenterology. 2010;139(4):1218-29.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94.</w:t>
      </w:r>
      <w:r w:rsidRPr="00A913F4">
        <w:rPr>
          <w:rFonts w:ascii="Times New Roman" w:hAnsi="Times New Roman"/>
        </w:rPr>
        <w:tab/>
        <w:t>Anothaisintawee T, Attia J, Nickel JC, Thammakraisorn S, Numthavaj P, McEvoy M, et al. Management of chronic prostatitis/chronic pelvic pain syndrome: a systematic review and network meta-analysis. JAMA. 2011;305(1):78-86.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95.</w:t>
      </w:r>
      <w:r w:rsidRPr="00A913F4">
        <w:rPr>
          <w:rFonts w:ascii="Times New Roman" w:hAnsi="Times New Roman"/>
        </w:rPr>
        <w:tab/>
        <w:t>Baldwin D, Woods R, Lawson R, Taylor D. Efficacy of drug treatments for generalised anxiety disorder: systematic review and meta-analysis. BMJ. 2011;342:d1199.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96.</w:t>
      </w:r>
      <w:r w:rsidRPr="00A913F4">
        <w:rPr>
          <w:rFonts w:ascii="Times New Roman" w:hAnsi="Times New Roman"/>
        </w:rPr>
        <w:tab/>
        <w:t>Bangalore S, Kumar S, Kjeldsen SE, Makani H, Grossman E, Wetterslev J, et al. Antihypertensive drugs and risk of cancer: network meta-analyses and trial sequential analyses of 324,168 participants from randomised trials. Lancet Oncol. 2011;12(1):65-82.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97.</w:t>
      </w:r>
      <w:r w:rsidRPr="00A913F4">
        <w:rPr>
          <w:rFonts w:ascii="Times New Roman" w:hAnsi="Times New Roman"/>
        </w:rPr>
        <w:tab/>
        <w:t>Bekkering GE, Soares-Weiser K, Reid K, Kessels AG, Dahan A, Treede RD, et al. Can morphine still be considered to be the standard for treating chronic pain? A systematic review including pair-wise and network meta-analyses. Curr Med Res Opin. 2011;27(7):1477-91.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98.</w:t>
      </w:r>
      <w:r w:rsidRPr="00A913F4">
        <w:rPr>
          <w:rFonts w:ascii="Times New Roman" w:hAnsi="Times New Roman"/>
        </w:rPr>
        <w:tab/>
        <w:t>Blanchard P, Hill C, Guihenneuc-Jouyaux C, Baey C, Bourhis J, Pignon JP. Mixed treatment comparison meta-analysis of altered fractionated radiotherapy and chemotherapy in head and neck cancer. J Clin Epidemiol. 2011;64(9):985-92.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99.</w:t>
      </w:r>
      <w:r w:rsidRPr="00A913F4">
        <w:rPr>
          <w:rFonts w:ascii="Times New Roman" w:hAnsi="Times New Roman"/>
        </w:rPr>
        <w:tab/>
        <w:t>Bottomley JM, Taylor RS, Ryttov J. The effectiveness of two-compound formulation calcipotriol and betamethasone dipropionate gel in the treatment of moderately severe scalp psoriasis: a systematic review of direct and indirect evidence. Curr Med Res Opin. 2011;27(1):251-68.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100.</w:t>
      </w:r>
      <w:r w:rsidRPr="00A913F4">
        <w:rPr>
          <w:rFonts w:ascii="Times New Roman" w:hAnsi="Times New Roman"/>
        </w:rPr>
        <w:tab/>
        <w:t>Brodszky V. Effectiveness of biological treatments based on ACR70 response in rheumatoid arthritis: indirect comparison and meta-regression using Bayes-model. Orv Hetil. 2011;152(23):919-28.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101.</w:t>
      </w:r>
      <w:r w:rsidRPr="00A913F4">
        <w:rPr>
          <w:rFonts w:ascii="Times New Roman" w:hAnsi="Times New Roman"/>
        </w:rPr>
        <w:tab/>
        <w:t>Choy E, Marshall D, Gabriel ZL, Mitchell SA, Gylee E, Dakin HA. A systematic review and mixed treatment comparison of the efficacy of pharmacological treatments for fibromyalgia. Semin Arthritis Rheum. 2011;41(3):335-45.e6.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102.</w:t>
      </w:r>
      <w:r w:rsidRPr="00A913F4">
        <w:rPr>
          <w:rFonts w:ascii="Times New Roman" w:hAnsi="Times New Roman"/>
        </w:rPr>
        <w:tab/>
        <w:t>Cipriani A, Barbui C, Salanti G, Rendell J, Brown R, Stockton S, et al. Comparative efficacy and acceptability of antimanic drugs in acute mania: a multiple-treatments meta-analysis. Lancet. 2011;378(9799):1306-15.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103.</w:t>
      </w:r>
      <w:r w:rsidRPr="00A913F4">
        <w:rPr>
          <w:rFonts w:ascii="Times New Roman" w:hAnsi="Times New Roman"/>
        </w:rPr>
        <w:tab/>
        <w:t>Costa J, Fareleira F, Ascencao R, Borges M, Sampaio C, Vaz-Carneiro A. Clinical comparability of the new antiepileptic drugs in refractory partial epilepsy: a systematic review and meta-analysis. Epilepsia. 2011;52(7):1280-91.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104.</w:t>
      </w:r>
      <w:r w:rsidRPr="00A913F4">
        <w:rPr>
          <w:rFonts w:ascii="Times New Roman" w:hAnsi="Times New Roman"/>
        </w:rPr>
        <w:tab/>
        <w:t>Dakin HA, Welton NJ, Ades AE, Collins S, Orme M, Kelly S. Mixed treatment comparison of repeated measurements of a continuous endpoint: an example using topical treatments for primary open-angle glaucoma and ocular hypertension. Stat Med. 2011;30(20):2511-35.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105.</w:t>
      </w:r>
      <w:r w:rsidRPr="00A913F4">
        <w:rPr>
          <w:rFonts w:ascii="Times New Roman" w:hAnsi="Times New Roman"/>
        </w:rPr>
        <w:tab/>
        <w:t>Danchin N, Marzilli M, Parkhomenko A, Ribeiro JP. Efficacy comparison of trimetazidine with therapeutic alternatives in stable angina pectoris: a network meta-analysis. Cardiology. 2011;120(2):59-72.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106.</w:t>
      </w:r>
      <w:r w:rsidRPr="00A913F4">
        <w:rPr>
          <w:rFonts w:ascii="Times New Roman" w:hAnsi="Times New Roman"/>
        </w:rPr>
        <w:tab/>
        <w:t>Devine EB, Alfonso-Cristancho R, Sullivan SD. Effectiveness of biologic therapies for rheumatoid arthritis: an indirect comparisons approach. Pharmacotherapy. 2011;31(1):39-51.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107.</w:t>
      </w:r>
      <w:r w:rsidRPr="00A913F4">
        <w:rPr>
          <w:rFonts w:ascii="Times New Roman" w:hAnsi="Times New Roman"/>
        </w:rPr>
        <w:tab/>
        <w:t>Freemantle N, Lafuente-Lafuente C, Mitchell S, Eckert L, Reynolds M. Mixed treatment comparison of dronedarone, amiodarone, sotalol, flecainide, and propafenone, for the management of atrial fibrillation. Europace. 2011;13(3):329-45.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108.</w:t>
      </w:r>
      <w:r w:rsidRPr="00A913F4">
        <w:rPr>
          <w:rFonts w:ascii="Times New Roman" w:hAnsi="Times New Roman"/>
        </w:rPr>
        <w:tab/>
        <w:t>Freemantle N, Tharmanathan P, Herbrecht R. Systematic review and mixed treatment comparison of randomized evidence for empirical, pre-emptive and directed treatment strategies for invasive mould disease. J Antimicrob Chemother. 2011;66 Suppl 1:i25-35.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109.</w:t>
      </w:r>
      <w:r w:rsidRPr="00A913F4">
        <w:rPr>
          <w:rFonts w:ascii="Times New Roman" w:hAnsi="Times New Roman"/>
        </w:rPr>
        <w:tab/>
        <w:t>Gartlehner G, Hansen RA, Morgan LC, Thaler K, Lux L, Van Noord M, et al. Comparative benefits and harms of second-generation antidepressants for treating major depressive disorder: an updated meta-analysis. Ann Intern Med. 2011;155(11):772-85.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110.</w:t>
      </w:r>
      <w:r w:rsidRPr="00A913F4">
        <w:rPr>
          <w:rFonts w:ascii="Times New Roman" w:hAnsi="Times New Roman"/>
        </w:rPr>
        <w:tab/>
        <w:t>Gross JL, Kramer CK, Leitao CB, Hawkins N, Viana LV, Schaan BD, et al. Effect of antihyperglycemic agents added to metformin and a sulfonylurea on glycemic control and weight gain in type 2 diabetes: a network meta-analysis. Ann Intern Med. 2011;154(10):672-9.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111.</w:t>
      </w:r>
      <w:r w:rsidRPr="00A913F4">
        <w:rPr>
          <w:rFonts w:ascii="Times New Roman" w:hAnsi="Times New Roman"/>
        </w:rPr>
        <w:tab/>
        <w:t>Gurusamy KS, Pissanou T, Pikhart H, Vaughan J, Burroughs AK, Davidson BR. Methods to decrease blood loss and transfusion requirements for liver transplantation. Cochrane Database Syst Rev. 2011(12):Cd009052.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112.</w:t>
      </w:r>
      <w:r w:rsidRPr="00A913F4">
        <w:rPr>
          <w:rFonts w:ascii="Times New Roman" w:hAnsi="Times New Roman"/>
        </w:rPr>
        <w:tab/>
        <w:t>Guyot P, Taylor P, Christensen R, Pericleous L, Poncet C, Lebmeier M, et al. Abatacept with methotrexate versus other biologic agents in treatment of patients with active rheumatoid arthritis despite methotrexate: a network meta-analysis. Arthritis Res Ther. 2011;13(6):R204.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113.</w:t>
      </w:r>
      <w:r w:rsidRPr="00A913F4">
        <w:rPr>
          <w:rFonts w:ascii="Times New Roman" w:hAnsi="Times New Roman"/>
        </w:rPr>
        <w:tab/>
        <w:t>Hartling L, Fernandes RM, Bialy L, Milne A, Johnson D, Plint A, et al. Steroids and bronchodilators for acute bronchiolitis in the first two years of life: systematic review and meta-analysis. BMJ. 2011;342:d1714.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114.</w:t>
      </w:r>
      <w:r w:rsidRPr="00A913F4">
        <w:rPr>
          <w:rFonts w:ascii="Times New Roman" w:hAnsi="Times New Roman"/>
        </w:rPr>
        <w:tab/>
        <w:t>Hauser W, Petzke F, Uceyler N, Sommer C. Comparative efficacy and acceptability of amitriptyline, duloxetine and milnacipran in fibromyalgia syndrome: a systematic review with meta-analysis. Rheumatology (Oxford). 2011;50(3):532-43.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115.</w:t>
      </w:r>
      <w:r w:rsidRPr="00A913F4">
        <w:rPr>
          <w:rFonts w:ascii="Times New Roman" w:hAnsi="Times New Roman"/>
        </w:rPr>
        <w:tab/>
        <w:t>Hopkins RB, Goeree R, Pullenayegum E, Adachi JD, Papaioannou A, Xie F, et al. The relative efficacy of nine osteoporosis medications for reducing the rate of fractures in post-menopausal women. BMC Musculoskelet Disord. 2011;12:209.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116.</w:t>
      </w:r>
      <w:r w:rsidRPr="00A913F4">
        <w:rPr>
          <w:rFonts w:ascii="Times New Roman" w:hAnsi="Times New Roman"/>
        </w:rPr>
        <w:tab/>
        <w:t>Ibrahim T, Qureshi A, Sutton AJ, Dias JJ. Surgical versus nonsurgical treatment of acute minimally displaced and undisplaced scaphoid waist fractures: pairwise and network meta-analyses of randomized controlled trials. J Hand Surg Am. 2011;36(11):1759-68.e1.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117.</w:t>
      </w:r>
      <w:r w:rsidRPr="00A913F4">
        <w:rPr>
          <w:rFonts w:ascii="Times New Roman" w:hAnsi="Times New Roman"/>
        </w:rPr>
        <w:tab/>
        <w:t>Jalota L, Kalira V, George E, Shi YY, Hornuss C, Radke O, et al. Prevention of pain on injection of propofol: systematic review and meta-analysis. BMJ. 2011;342:d1110.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118.</w:t>
      </w:r>
      <w:r w:rsidRPr="00A913F4">
        <w:rPr>
          <w:rFonts w:ascii="Times New Roman" w:hAnsi="Times New Roman"/>
        </w:rPr>
        <w:tab/>
        <w:t>Jansen JP, Bergman GJ, Huels J, Olson M. The efficacy of bisphosphonates in the prevention of vertebral, hip, and nonvertebral-nonhip fractures in osteoporosis: a network meta-analysis. Semin Arthritis Rheum. 2011;40(4):275-84.e1-2.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119.</w:t>
      </w:r>
      <w:r w:rsidRPr="00A913F4">
        <w:rPr>
          <w:rFonts w:ascii="Times New Roman" w:hAnsi="Times New Roman"/>
        </w:rPr>
        <w:tab/>
        <w:t>Kessler TM, Bachmann LM, Minder C, Lohrer D, Umbehr M, Schunemann HJ, et al. Adverse event assessment of antimuscarinics for treating overactive bladder: a network meta-analytic approach. PLoS One. 2011;6(2):e16718.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120.</w:t>
      </w:r>
      <w:r w:rsidRPr="00A913F4">
        <w:rPr>
          <w:rFonts w:ascii="Times New Roman" w:hAnsi="Times New Roman"/>
        </w:rPr>
        <w:tab/>
        <w:t>Klemp M, Tvete IF, Skomedal T, Gaasemyr J, Natvig B, Aursnes I. A review and Bayesian meta-analysis of clinical efficacy and adverse effects of 4 atypical neuroleptic drugs compared with haloperidol and placebo. J Clin Psychopharmacol. 2011;31(6):698-704.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121.</w:t>
      </w:r>
      <w:r w:rsidRPr="00A913F4">
        <w:rPr>
          <w:rFonts w:ascii="Times New Roman" w:hAnsi="Times New Roman"/>
        </w:rPr>
        <w:tab/>
        <w:t>Launois R, Avouac B, Berenbaum F, Blin O, Bru I, Fautrel B, et al. Comparison of certolizumab pegol with other anticytokine agents for treatment of rheumatoid arthritis: a multiple-treatment Bayesian metaanalysis. J Rheumatol. 2011;38(5):835-45.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122.</w:t>
      </w:r>
      <w:r w:rsidRPr="00A913F4">
        <w:rPr>
          <w:rFonts w:ascii="Times New Roman" w:hAnsi="Times New Roman"/>
        </w:rPr>
        <w:tab/>
        <w:t>Makani H, Bangalore S, Romero J, Wever-Pinzon O, Messerli FH. Effect of renin-angiotensin system blockade on calcium channel blocker-associated peripheral edema. Am J Med. 2011;124(2):128-35.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123.</w:t>
      </w:r>
      <w:r w:rsidRPr="00A913F4">
        <w:rPr>
          <w:rFonts w:ascii="Times New Roman" w:hAnsi="Times New Roman"/>
        </w:rPr>
        <w:tab/>
        <w:t>Maratea D, Fadda V, Trippoli S, Messori A. Prevention of venous thromboembolism after major orthopedic surgery: indirect comparison of three new oral anticoagulants. J Thromb Haemost. 2011;9(9):1868-70.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124.</w:t>
      </w:r>
      <w:r w:rsidRPr="00A913F4">
        <w:rPr>
          <w:rFonts w:ascii="Times New Roman" w:hAnsi="Times New Roman"/>
        </w:rPr>
        <w:tab/>
        <w:t>Maund E, McDaid C, Rice S, Wright K, Jenkins B, Woolacott N. Paracetamol and selective and non-selective non-steroidal anti-inflammatory drugs for the reduction in morphine-related side-effects after major surgery: a systematic review. Br J Anaesth. 2011;106(3):292-7.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125.</w:t>
      </w:r>
      <w:r w:rsidRPr="00A913F4">
        <w:rPr>
          <w:rFonts w:ascii="Times New Roman" w:hAnsi="Times New Roman"/>
        </w:rPr>
        <w:tab/>
        <w:t>McIntosh B, Cameron C, Singh SR, Yu C, Ahuja T, Welton NJ, et al. Second-line therapy in patients with type 2 diabetes inadequately controlled with metformin monotherapy: a systematic review and mixed-treatment comparison meta-analysis. Open Med. 2011;5(1):e35-48.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126.</w:t>
      </w:r>
      <w:r w:rsidRPr="00A913F4">
        <w:rPr>
          <w:rFonts w:ascii="Times New Roman" w:hAnsi="Times New Roman"/>
        </w:rPr>
        <w:tab/>
        <w:t>Mills EJ, Druyts E, Ghement I, Puhan MA. Pharmacotherapies for chronic obstructive pulmonary disease: a multiple treatment comparison meta-analysis. Clin Epidemiol. 2011;3:107-29.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127.</w:t>
      </w:r>
      <w:r w:rsidRPr="00A913F4">
        <w:rPr>
          <w:rFonts w:ascii="Times New Roman" w:hAnsi="Times New Roman"/>
        </w:rPr>
        <w:tab/>
        <w:t>Mills EJ, Wu P, Chong G, Ghement I, Singh S, Akl EA, et al. Efficacy and safety of statin treatment for cardiovascular disease: a network meta-analysis of 170,255 patients from 76 randomized trials. QJM. 2011;104(2):109-24.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128.</w:t>
      </w:r>
      <w:r w:rsidRPr="00A913F4">
        <w:rPr>
          <w:rFonts w:ascii="Times New Roman" w:hAnsi="Times New Roman"/>
        </w:rPr>
        <w:tab/>
        <w:t>Padwal R, Klarenbach S, Wiebe N, Birch D, Karmali S, Manns B, et al. Bariatric surgery: a systematic review and network meta-analysis of randomized trials. Obes Rev. 2011;12(8):602-21.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129.</w:t>
      </w:r>
      <w:r w:rsidRPr="00A913F4">
        <w:rPr>
          <w:rFonts w:ascii="Times New Roman" w:hAnsi="Times New Roman"/>
        </w:rPr>
        <w:tab/>
        <w:t>Phung OJ, Kahn SR, Cook DJ, Murad MH. Dosing frequency of unfractionated heparin thromboprophylaxis: a meta-analysis. Chest. 2011;140(2):374-81.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130.</w:t>
      </w:r>
      <w:r w:rsidRPr="00A913F4">
        <w:rPr>
          <w:rFonts w:ascii="Times New Roman" w:hAnsi="Times New Roman"/>
        </w:rPr>
        <w:tab/>
        <w:t>Phung OJ, Sood NA, Sill BE, Coleman CI. Oral anti-diabetic drugs for the prevention of Type 2 diabetes. Diabet Med. 2011;28(8):948-64.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131.</w:t>
      </w:r>
      <w:r w:rsidRPr="00A913F4">
        <w:rPr>
          <w:rFonts w:ascii="Times New Roman" w:hAnsi="Times New Roman"/>
        </w:rPr>
        <w:tab/>
        <w:t>Rheims S, Perucca E, Cucherat M, Ryvlin P. Factors determining response to antiepileptic drugs in randomized controlled trials. A systematic review and meta-analysis. Epilepsia. 2011;52(2):219-33.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132.</w:t>
      </w:r>
      <w:r w:rsidRPr="00A913F4">
        <w:rPr>
          <w:rFonts w:ascii="Times New Roman" w:hAnsi="Times New Roman"/>
        </w:rPr>
        <w:tab/>
        <w:t>Riemsma R, Forbes C, Harker J, Worthy G, Misso K, Schafer M, et al. Systematic review of tapentadol in chronic severe pain. Curr Med Res Opin. 2011;27(10):1907-30.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133.</w:t>
      </w:r>
      <w:r w:rsidRPr="00A913F4">
        <w:rPr>
          <w:rFonts w:ascii="Times New Roman" w:hAnsi="Times New Roman"/>
        </w:rPr>
        <w:tab/>
        <w:t>Roskell NS, Beard SM, Zhao Y, Le TK. A meta-analysis of pain response in the treatment of fibromyalgia. Pain Pract. 2011;11(6):516-27.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134.</w:t>
      </w:r>
      <w:r w:rsidRPr="00A913F4">
        <w:rPr>
          <w:rFonts w:ascii="Times New Roman" w:hAnsi="Times New Roman"/>
        </w:rPr>
        <w:tab/>
        <w:t>Salliot C, Finckh A, Katchamart W, Lu Y, Sun Y, Bombardier C, et al. Indirect comparisons of the efficacy of biological antirheumatic agents in rheumatoid arthritis in patients with an inadequate response to conventional disease-modifying antirheumatic drugs or to an anti-tumour necrosis factor agent: a meta-analysis. Ann Rheum Dis. 2011;70(2):266-71.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135.</w:t>
      </w:r>
      <w:r w:rsidRPr="00A913F4">
        <w:rPr>
          <w:rFonts w:ascii="Times New Roman" w:hAnsi="Times New Roman"/>
        </w:rPr>
        <w:tab/>
        <w:t>Sciarretta S, Palano F, Tocci G, Baldini R, Volpe M. Antihypertensive treatment and development of heart failure in hypertension: a Bayesian network meta-analysis of studies in patients with hypertension and high cardiovascular risk. Arch Intern Med. 2011;171(5):384-94.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136.</w:t>
      </w:r>
      <w:r w:rsidRPr="00A913F4">
        <w:rPr>
          <w:rFonts w:ascii="Times New Roman" w:hAnsi="Times New Roman"/>
        </w:rPr>
        <w:tab/>
        <w:t>Selph S, Carson S, Fu R, Thakurta S, Low A, McDonagh M. Drug Class Reviews.  Drug Class Review: Neuropathic Pain: Final Update 1 Report. Portland (OR): Oregon Health &amp; Science University; 2011.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137.</w:t>
      </w:r>
      <w:r w:rsidRPr="00A913F4">
        <w:rPr>
          <w:rFonts w:ascii="Times New Roman" w:hAnsi="Times New Roman"/>
        </w:rPr>
        <w:tab/>
        <w:t>Singh JA, Wells GA, Christensen R, Tanjong Ghogomu E, Maxwell L, Macdonald JK, et al. Adverse effects of biologics: a network meta-analysis and Cochrane overview. Cochrane Database Syst Rev. 2011(2):Cd008794.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138.</w:t>
      </w:r>
      <w:r w:rsidRPr="00A913F4">
        <w:rPr>
          <w:rFonts w:ascii="Times New Roman" w:hAnsi="Times New Roman"/>
        </w:rPr>
        <w:tab/>
        <w:t>Smith B, Peterson K, Fu R, McDonagh M, Thakurta S. Drug Class Reviews.  Drug Class Review: Drugs for Fibromyalgia: Final Original Report. Portland (OR): Oregon Health &amp; Science University; 2011.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139.</w:t>
      </w:r>
      <w:r w:rsidRPr="00A913F4">
        <w:rPr>
          <w:rFonts w:ascii="Times New Roman" w:hAnsi="Times New Roman"/>
        </w:rPr>
        <w:tab/>
        <w:t>Squires H, Simpson E, Meng Y, Harnan S, Stevens J, Wong R, et al. A systematic review and economic evaluation of cilostazol, naftidrofuryl oxalate, pentoxifylline and inositol nicotinate for the treatment of intermittent claudication in people with peripheral arterial disease. Health Technol Assess. 2011;15(40):1-210.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140.</w:t>
      </w:r>
      <w:r w:rsidRPr="00A913F4">
        <w:rPr>
          <w:rFonts w:ascii="Times New Roman" w:hAnsi="Times New Roman"/>
        </w:rPr>
        <w:tab/>
        <w:t>Stowe R, Ives N, Clarke CE, Handley K, Furmston A, Deane K, et al. Meta-analysis of the comparative efficacy and safety of adjuvant treatment to levodopa in later Parkinson's disease. Mov Disord. 2011;26(4):587-98.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141.</w:t>
      </w:r>
      <w:r w:rsidRPr="00A913F4">
        <w:rPr>
          <w:rFonts w:ascii="Times New Roman" w:hAnsi="Times New Roman"/>
        </w:rPr>
        <w:tab/>
        <w:t>Trelle S, Reichenbach S, Wandel S, Hildebrand P, Tschannen B, Villiger PM, et al. Cardiovascular safety of non-steroidal anti-inflammatory drugs: network meta-analysis. BMJ. 2011;342:c7086.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142.</w:t>
      </w:r>
      <w:r w:rsidRPr="00A913F4">
        <w:rPr>
          <w:rFonts w:ascii="Times New Roman" w:hAnsi="Times New Roman"/>
        </w:rPr>
        <w:tab/>
        <w:t>Tropeano AI, Saleh N, Hawajri N, Macquin-Mavier I, Maison P. Do all antihypertensive drugs improve carotid intima-media thickness? A network meta-analysis of randomized controlled trials. Fundam Clin Pharmacol. 2011;25(3):395-404.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143.</w:t>
      </w:r>
      <w:r w:rsidRPr="00A913F4">
        <w:rPr>
          <w:rFonts w:ascii="Times New Roman" w:hAnsi="Times New Roman"/>
        </w:rPr>
        <w:tab/>
        <w:t>Turkstra E, Ng SK, Scuffham PA. A mixed treatment comparison of the short-term efficacy of biologic disease modifying anti-rheumatic drugs in established rheumatoid arthritis. Curr Med Res Opin. 2011;27(10):1885-97.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144.</w:t>
      </w:r>
      <w:r w:rsidRPr="00A913F4">
        <w:rPr>
          <w:rFonts w:ascii="Times New Roman" w:hAnsi="Times New Roman"/>
        </w:rPr>
        <w:tab/>
        <w:t>Van den Bruel A, Gailly J, Devriese S, Welton NJ, Shortt AJ, Vrijens F. The protective effect of ophthalmic viscoelastic devices on endothelial cell loss during cataract surgery: a meta-analysis using mixed treatment comparisons. Br J Ophthalmol. 2011;95(1):5-10.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145.</w:t>
      </w:r>
      <w:r w:rsidRPr="00A913F4">
        <w:rPr>
          <w:rFonts w:ascii="Times New Roman" w:hAnsi="Times New Roman"/>
        </w:rPr>
        <w:tab/>
        <w:t>Vieira MC, Kumar RN, Jansen JP. Comparative effectiveness of efavirenz, protease inhibitors, and raltegravir-based regimens as first-line treatment for HIV-infected adults: a mixed treatment comparison. HIV Clin Trials. 2011;12(4):175-89.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146.</w:t>
      </w:r>
      <w:r w:rsidRPr="00A913F4">
        <w:rPr>
          <w:rFonts w:ascii="Times New Roman" w:hAnsi="Times New Roman"/>
        </w:rPr>
        <w:tab/>
        <w:t>Virgili G, Novielli N, Menchini F, Murro V, Giacomelli G. Pharmacological treatments for neovascular age-related macular degeneration: can mixed treatment comparison meta-analysis be useful? Curr Drug Targets. 2011;12(2):212-20.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147.</w:t>
      </w:r>
      <w:r w:rsidRPr="00A913F4">
        <w:rPr>
          <w:rFonts w:ascii="Times New Roman" w:hAnsi="Times New Roman"/>
        </w:rPr>
        <w:tab/>
        <w:t>Wiebe N, Padwal R, Field C, Marks S, Jacobs R, Tonelli M. A systematic review on the effect of sweeteners on glycemic response and clinically relevant outcomes. BMC Med. 2011;9:123.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148.</w:t>
      </w:r>
      <w:r w:rsidRPr="00A913F4">
        <w:rPr>
          <w:rFonts w:ascii="Times New Roman" w:hAnsi="Times New Roman"/>
        </w:rPr>
        <w:tab/>
        <w:t>Wong MC, Clarkson J, Glenny AM, Lo EC, Marinho VC, Tsang BW, et al. Cochrane reviews on the benefits/risks of fluoride toothpastes. J Dent Res. 2011;90(5):573-9.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149.</w:t>
      </w:r>
      <w:r w:rsidRPr="00A913F4">
        <w:rPr>
          <w:rFonts w:ascii="Times New Roman" w:hAnsi="Times New Roman"/>
        </w:rPr>
        <w:tab/>
        <w:t>Ziogas DC, Voulgarelis M, Zintzaras E. A network meta-analysis of randomized controlled trials of induction treatments in acute myeloid leukemia in the elderly. Clin Ther. 2011;33(3):254-79.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150.</w:t>
      </w:r>
      <w:r w:rsidRPr="00A913F4">
        <w:rPr>
          <w:rFonts w:ascii="Times New Roman" w:hAnsi="Times New Roman"/>
        </w:rPr>
        <w:tab/>
        <w:t>Alberton M, Wu P, Druyts E, Briel M, Mills EJ. Adverse events associated with individual statin treatments for cardiovascular disease: an indirect comparison meta-analysis. QJM. 2012;105(2):145-57.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151.</w:t>
      </w:r>
      <w:r w:rsidRPr="00A913F4">
        <w:rPr>
          <w:rFonts w:ascii="Times New Roman" w:hAnsi="Times New Roman"/>
        </w:rPr>
        <w:tab/>
        <w:t>Ara R, Blake L, Gray L, Hernandez M, Crowther M, Dunkley A, et al. What is the clinical effectiveness and cost-effectiveness of using drugs in treating obese patients in primary care? A systematic review. Health Technol Assess. 2012;16(5):iii-xiv, 1-195.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152.</w:t>
      </w:r>
      <w:r w:rsidRPr="00A913F4">
        <w:rPr>
          <w:rFonts w:ascii="Times New Roman" w:hAnsi="Times New Roman"/>
        </w:rPr>
        <w:tab/>
        <w:t>Asseburg C, Peura P, Oksanen T, Turunen J, Purmonen T, Martikainen J. Cost-effectiveness of oral triptans for acute migraine: mixed treatment comparison. Int J Technol Assess Health Care. 2012;28(4):382-9.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153.</w:t>
      </w:r>
      <w:r w:rsidRPr="00A913F4">
        <w:rPr>
          <w:rFonts w:ascii="Times New Roman" w:hAnsi="Times New Roman"/>
        </w:rPr>
        <w:tab/>
        <w:t>Baker EL, Coleman CI, Reinhart KM, Phung OJ, Kugelman L, Chen W, et al. Effect of Biologic Agents on Non-PASI Outcomes in Moderate-to-Severe Plaque Psoriasis: Systematic Review and Meta-Analyses. Dermatol Ther (Heidelb). 2012;2(1):9.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154.</w:t>
      </w:r>
      <w:r w:rsidRPr="00A913F4">
        <w:rPr>
          <w:rFonts w:ascii="Times New Roman" w:hAnsi="Times New Roman"/>
        </w:rPr>
        <w:tab/>
        <w:t>Bally M, Dendukuri N, Sinclair A, Ahern SP, Poisson M, Brophy J. A network meta-analysis of antibiotics for treatment of hospitalised patients with suspected or proven meticillin-resistant Staphylococcus aureus infection. Int J Antimicrob Agents. 2012;40(6):479-95.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155.</w:t>
      </w:r>
      <w:r w:rsidRPr="00A913F4">
        <w:rPr>
          <w:rFonts w:ascii="Times New Roman" w:hAnsi="Times New Roman"/>
        </w:rPr>
        <w:tab/>
        <w:t>Bangalore S, Kumar S, Fusaro M, Amoroso N, Attubato MJ, Feit F, et al. Short- and long-term outcomes with drug-eluting and bare-metal coronary stents: a mixed-treatment comparison analysis of 117 762 patient-years of follow-up from randomized trials. Circulation. 2012;125(23):2873-91.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156.</w:t>
      </w:r>
      <w:r w:rsidRPr="00A913F4">
        <w:rPr>
          <w:rFonts w:ascii="Times New Roman" w:hAnsi="Times New Roman"/>
        </w:rPr>
        <w:tab/>
        <w:t>Bangalore S, Kumar S, Fusaro M, Amoroso N, Kirtane AJ, Byrne RA, et al. Outcomes with various drug eluting or bare metal stents in patients with diabetes mellitus: mixed treatment comparison analysis of 22,844 patient years of follow-up from randomised trials. BMJ. 2012;345:e5170.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157.</w:t>
      </w:r>
      <w:r w:rsidRPr="00A913F4">
        <w:rPr>
          <w:rFonts w:ascii="Times New Roman" w:hAnsi="Times New Roman"/>
        </w:rPr>
        <w:tab/>
        <w:t>Bash LD, Buono JL, Davies GM, Martin A, Fahrbach K, Phatak H, et al. Systematic review and meta-analysis of the efficacy of cardioversion by vernakalant and comparators in patients with atrial fibrillation. Cardiovasc Drugs Ther. 2012;26(2):167-79.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158.</w:t>
      </w:r>
      <w:r w:rsidRPr="00A913F4">
        <w:rPr>
          <w:rFonts w:ascii="Times New Roman" w:hAnsi="Times New Roman"/>
        </w:rPr>
        <w:tab/>
        <w:t>Buser N, Ivic S, Kessler TM, Kessels AG, Bachmann LM. Efficacy and adverse events of antimuscarinics for treating overactive bladder: network meta-analyses. Eur Urol. 2012;62(6):1040-60.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159.</w:t>
      </w:r>
      <w:r w:rsidRPr="00A913F4">
        <w:rPr>
          <w:rFonts w:ascii="Times New Roman" w:hAnsi="Times New Roman"/>
        </w:rPr>
        <w:tab/>
        <w:t>Chang KV, Chen SY, Chen WS, Tu YK, Chien KL. Comparative effectiveness of focused shock wave therapy of different intensity levels and radial shock wave therapy for treating plantar fasciitis: a systematic review and network meta-analysis. Arch Phys Med Rehabil. 2012;93(7):1259-68.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160.</w:t>
      </w:r>
      <w:r w:rsidRPr="00A913F4">
        <w:rPr>
          <w:rFonts w:ascii="Times New Roman" w:hAnsi="Times New Roman"/>
        </w:rPr>
        <w:tab/>
        <w:t>Chen YF, Madan J, Welton N, Yahaya I, Aveyard P, Bauld L, et al. Effectiveness and cost-effectiveness of computer and other electronic aids for smoking cessation: a systematic review and network meta-analysis. Health Technol Assess. 2012;16(38):1-205, iii-v.</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161.</w:t>
      </w:r>
      <w:r w:rsidRPr="00A913F4">
        <w:rPr>
          <w:rFonts w:ascii="Times New Roman" w:hAnsi="Times New Roman"/>
        </w:rPr>
        <w:tab/>
        <w:t>Cohen A, Drost P, Marchant N, Mitchell S, Orme M, Rublee D, et al. The efficacy and safety of pharmacological prophylaxis of venous thromboembolism following elective knee or hip replacement: systematic review and network meta-analysis. Clin Appl Thromb Hemost. 2012;18(6):611-27.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162.</w:t>
      </w:r>
      <w:r w:rsidRPr="00A913F4">
        <w:rPr>
          <w:rFonts w:ascii="Times New Roman" w:hAnsi="Times New Roman"/>
        </w:rPr>
        <w:tab/>
        <w:t>Cooper NJ, Kendrick D, Achana F, Dhiman P, He Z, Wynn P, et al. Network meta-analysis to evaluate the effectiveness of interventions to increase the uptake of smoke alarms. Epidemiol Rev. 2012;34:32-45.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163.</w:t>
      </w:r>
      <w:r w:rsidRPr="00A913F4">
        <w:rPr>
          <w:rFonts w:ascii="Times New Roman" w:hAnsi="Times New Roman"/>
        </w:rPr>
        <w:tab/>
        <w:t>Cope S, Kraemer M, Zhang J, Capkun-Niggli G, Jansen JP. Efficacy of indacaterol 75 mug versus fixed-dose combinations of formoterol-budesonide or salmeterol-fluticasone for COPD: a network meta-analysis. Int J Chron Obstruct Pulmon Dis. 2012;7:415-20.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164.</w:t>
      </w:r>
      <w:r w:rsidRPr="00A913F4">
        <w:rPr>
          <w:rFonts w:ascii="Times New Roman" w:hAnsi="Times New Roman"/>
        </w:rPr>
        <w:tab/>
        <w:t>Cope S, Zhang J, Williams J, Jansen JP. Efficacy of once-daily indacaterol 75 mug relative to alternative bronchodilators in COPD: a study level and a patient level network meta-analysis. BMC Pulm Med. 2012;12:29.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165.</w:t>
      </w:r>
      <w:r w:rsidRPr="00A913F4">
        <w:rPr>
          <w:rFonts w:ascii="Times New Roman" w:hAnsi="Times New Roman"/>
        </w:rPr>
        <w:tab/>
        <w:t>Daniels JP, Middleton LJ, Champaneria R, Khan KS, Cooper K, Mol BW, et al. Second generation endometrial ablation techniques for heavy menstrual bleeding: network meta-analysis. BMJ. 2012;344:e2564.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166.</w:t>
      </w:r>
      <w:r w:rsidRPr="00A913F4">
        <w:rPr>
          <w:rFonts w:ascii="Times New Roman" w:hAnsi="Times New Roman"/>
        </w:rPr>
        <w:tab/>
        <w:t>Del Santo F, Maratea D, Fadda V, Trippoli S, Messori A. Treatments for relapsing-remitting multiple sclerosis: summarising current information by network meta-analysis. Eur J Clin Pharmacol. 2012;68(4):441-8.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167.</w:t>
      </w:r>
      <w:r w:rsidRPr="00A913F4">
        <w:rPr>
          <w:rFonts w:ascii="Times New Roman" w:hAnsi="Times New Roman"/>
        </w:rPr>
        <w:tab/>
        <w:t>Dequen P, Lorigan P, Jansen JP, van Baardewijk M, Ouwens MJ, Kotapati S. Systematic review and network meta-analysis of overall survival comparing 3 mg/kg ipilimumab with alternative therapies in the management of pretreated patients with unresectable stage III or IV melanoma. Oncologist. 2012;17(11):1376-85.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168.</w:t>
      </w:r>
      <w:r w:rsidRPr="00A913F4">
        <w:rPr>
          <w:rFonts w:ascii="Times New Roman" w:hAnsi="Times New Roman"/>
        </w:rPr>
        <w:tab/>
        <w:t>Desai RJ, Hansen RA, Rao JK, Wilkins TM, Harden EA, Yuen A, et al. Mixed treatment comparison of the treatment discontinuations of biologic disease-modifying antirheumatic drugs in adults with rheumatoid arthritis. Ann Pharmacother. 2012;46(11):1491-505.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169.</w:t>
      </w:r>
      <w:r w:rsidRPr="00A913F4">
        <w:rPr>
          <w:rFonts w:ascii="Times New Roman" w:hAnsi="Times New Roman"/>
        </w:rPr>
        <w:tab/>
        <w:t>Donahue KE, Jonas DE, Hansen RA, Roubey R, Jonas B, Lux LJ, et al. AHRQ Comparative Effectiveness Reviews.  Drug Therapy for Rheumatoid Arthritis in Adults: An Update. Rockville (MD): Agency for Healthcare Research and Quality (US); 2012.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170.</w:t>
      </w:r>
      <w:r w:rsidRPr="00A913F4">
        <w:rPr>
          <w:rFonts w:ascii="Times New Roman" w:hAnsi="Times New Roman"/>
        </w:rPr>
        <w:tab/>
        <w:t>Dumville JC, Soares MO, O'Meara S, Cullum N. Systematic review and mixed treatment comparison: dressings to heal diabetic foot ulcers. Diabetologia. 2012;55(7):1902-10.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171.</w:t>
      </w:r>
      <w:r w:rsidRPr="00A913F4">
        <w:rPr>
          <w:rFonts w:ascii="Times New Roman" w:hAnsi="Times New Roman"/>
        </w:rPr>
        <w:tab/>
        <w:t>Dunkley AJ, Charles K, Gray LJ, Camosso-Stefinovic J, Davies MJ, Khunti K. Effectiveness of interventions for reducing diabetes and cardiovascular disease risk in people with metabolic syndrome: systematic review and mixed treatment comparison meta-analysis. Diabetes Obes Metab. 2012;14(7):616-25.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172.</w:t>
      </w:r>
      <w:r w:rsidRPr="00A913F4">
        <w:rPr>
          <w:rFonts w:ascii="Times New Roman" w:hAnsi="Times New Roman"/>
        </w:rPr>
        <w:tab/>
        <w:t>Fox BD, Kahn SR, Langleben D, Eisenberg MJ, Shimony A. Efficacy and safety of novel oral anticoagulants for treatment of acute venous thromboembolism: direct and adjusted indirect meta-analysis of randomised controlled trials. BMJ. 2012;345:e7498.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173.</w:t>
      </w:r>
      <w:r w:rsidRPr="00A913F4">
        <w:rPr>
          <w:rFonts w:ascii="Times New Roman" w:hAnsi="Times New Roman"/>
        </w:rPr>
        <w:tab/>
        <w:t>Fretheim A, Odgaard-Jensen J, Brors O, Madsen S, Njolstad I, Norheim OF, et al. Comparative effectiveness of antihypertensive medication for primary prevention of cardiovascular disease: systematic review and multiple treatments meta-analysis. BMC Med. 2012;10:33.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174.</w:t>
      </w:r>
      <w:r w:rsidRPr="00A913F4">
        <w:rPr>
          <w:rFonts w:ascii="Times New Roman" w:hAnsi="Times New Roman"/>
        </w:rPr>
        <w:tab/>
        <w:t>Gallego-Galisteo M, Villa-Rubio A, Alegre-del Rey E, Marquez-Fernandez E, Ramos-Baez JJ. Indirect comparison of biological treatments in refractory rheumatoid arthritis. J Clin Pharm Ther. 2012;37(3):301-7.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175.</w:t>
      </w:r>
      <w:r w:rsidRPr="00A913F4">
        <w:rPr>
          <w:rFonts w:ascii="Times New Roman" w:hAnsi="Times New Roman"/>
        </w:rPr>
        <w:tab/>
        <w:t>Gomez-Outes A, Terleira-Fernandez AI, Suarez-Gea ML, Vargas-Castrillon E. Dabigatran, rivaroxaban, or apixaban versus enoxaparin for thromboprophylaxis after total hip or knee replacement: systematic review, meta-analysis, and indirect treatment comparisons. BMJ. 2012;344:e3675.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176.</w:t>
      </w:r>
      <w:r w:rsidRPr="00A913F4">
        <w:rPr>
          <w:rFonts w:ascii="Times New Roman" w:hAnsi="Times New Roman"/>
        </w:rPr>
        <w:tab/>
        <w:t>Gray LJ, Cooper N, Dunkley A, Warren FC, Ara R, Abrams K, et al. A systematic review and mixed treatment comparison of pharmacological interventions for the treatment of obesity. Obes Rev. 2012;13(6):483-98.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177.</w:t>
      </w:r>
      <w:r w:rsidRPr="00A913F4">
        <w:rPr>
          <w:rFonts w:ascii="Times New Roman" w:hAnsi="Times New Roman"/>
        </w:rPr>
        <w:tab/>
        <w:t>Guyot P, Taylor PC, Christensen R, Pericleous L, Drost P, Eijgelshoven I, et al. Indirect treatment comparison of abatacept with methotrexate versus other biologic agents for active rheumatoid arthritis despite methotrexate therapy in the United kingdom. J Rheumatol. 2012;39(6):1198-206.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178.</w:t>
      </w:r>
      <w:r w:rsidRPr="00A913F4">
        <w:rPr>
          <w:rFonts w:ascii="Times New Roman" w:hAnsi="Times New Roman"/>
        </w:rPr>
        <w:tab/>
        <w:t>Haas DM, Caldwell DM, Kirkpatrick P, McIntosh JJ, Welton NJ. Tocolytic therapy for preterm delivery: systematic review and network meta-analysis. BMJ. 2012;345:e6226.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179.</w:t>
      </w:r>
      <w:r w:rsidRPr="00A913F4">
        <w:rPr>
          <w:rFonts w:ascii="Times New Roman" w:hAnsi="Times New Roman"/>
        </w:rPr>
        <w:tab/>
        <w:t>Harenberg J, Marx S, Dahl OE, Marder VJ, Schulze A, Wehling M, et al. Interpretation of endpoints in a network meta-analysis of new oral anticoagulants following total hip or total knee replacement surgery. Thromb Haemost. 2012;108(5):903-12.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180.</w:t>
      </w:r>
      <w:r w:rsidRPr="00A913F4">
        <w:rPr>
          <w:rFonts w:ascii="Times New Roman" w:hAnsi="Times New Roman"/>
        </w:rPr>
        <w:tab/>
        <w:t>Hutton B, Joseph L, Fergusson D, Mazer CD, Shapiro S, Tinmouth A. Risks of harms using antifibrinolytics in cardiac surgery: systematic review and network meta-analysis of randomised and observational studies. BMJ. 2012;345:e5798.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181.</w:t>
      </w:r>
      <w:r w:rsidRPr="00A913F4">
        <w:rPr>
          <w:rFonts w:ascii="Times New Roman" w:hAnsi="Times New Roman"/>
        </w:rPr>
        <w:tab/>
        <w:t>Lang SH, Manning N, Armstrong N, Misso K, Allen A, Di Nisio M, et al. Treatment with tirofiban for acute coronary syndrome (ACS): a systematic review and network analysis. Curr Med Res Opin. 2012;28(3):351-70.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182.</w:t>
      </w:r>
      <w:r w:rsidRPr="00A913F4">
        <w:rPr>
          <w:rFonts w:ascii="Times New Roman" w:hAnsi="Times New Roman"/>
        </w:rPr>
        <w:tab/>
        <w:t>Lin VW, Ringold S, Devine EB. Comparison of Ustekinumab With Other Biological Agents for the Treatment of Moderate to Severe Plaque Psoriasis: A Bayesian Network Meta-analysis. Arch Dermatol. 2012;148(12):1403-10.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183.</w:t>
      </w:r>
      <w:r w:rsidRPr="00A913F4">
        <w:rPr>
          <w:rFonts w:ascii="Times New Roman" w:hAnsi="Times New Roman"/>
        </w:rPr>
        <w:tab/>
        <w:t>Littlewood KJ, Higashi K, Jansen JP, Capkun-Niggli G, Balp MM, Doering G, et al. A network meta-analysis of the efficacy of inhaled antibiotics for chronic Pseudomonas infections in cystic fibrosis. J Cyst Fibros. 2012;11(5):419-26.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184.</w:t>
      </w:r>
      <w:r w:rsidRPr="00A913F4">
        <w:rPr>
          <w:rFonts w:ascii="Times New Roman" w:hAnsi="Times New Roman"/>
        </w:rPr>
        <w:tab/>
        <w:t>Liu SC, Tu YK, Chien MN, Chien KL. Effect of antidiabetic agents added to metformin on glycaemic control, hypoglycaemia and weight change in patients with type 2 diabetes: a network meta-analysis. Diabetes Obes Metab. 2012;14(9):810-20.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185.</w:t>
      </w:r>
      <w:r w:rsidRPr="00A913F4">
        <w:rPr>
          <w:rFonts w:ascii="Times New Roman" w:hAnsi="Times New Roman"/>
        </w:rPr>
        <w:tab/>
        <w:t>Mak KH. Coronary and mortality risk of novel oral antithrombotic agents: a meta-analysis of large randomised trials. BMJ Open. 2012;2(5).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186.</w:t>
      </w:r>
      <w:r w:rsidRPr="00A913F4">
        <w:rPr>
          <w:rFonts w:ascii="Times New Roman" w:hAnsi="Times New Roman"/>
        </w:rPr>
        <w:tab/>
        <w:t>Martyn-St James M, Glanville J, McCool R, Duffy S, Cooper J, Hugel P, et al. The efficacy and safety of retigabine and other adjunctive treatments for refractory partial epilepsy: a systematic review and indirect comparison. Seizure. 2012;21(9):665-78.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187.</w:t>
      </w:r>
      <w:r w:rsidRPr="00A913F4">
        <w:rPr>
          <w:rFonts w:ascii="Times New Roman" w:hAnsi="Times New Roman"/>
        </w:rPr>
        <w:tab/>
        <w:t>Mhaskar R, Redzepovic J, Wheatley K, Clark OA, Miladinovic B, Glasmacher A, et al. Bisphosphonates in multiple myeloma: a network meta-analysis. Cochrane Database Syst Rev. 2012;5:Cd003188.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188.</w:t>
      </w:r>
      <w:r w:rsidRPr="00A913F4">
        <w:rPr>
          <w:rFonts w:ascii="Times New Roman" w:hAnsi="Times New Roman"/>
        </w:rPr>
        <w:tab/>
        <w:t>Mills EJ, Wu P, Lockhart I, Thorlund K, Puhan M, Ebbert JO. Comparisons of high-dose and combination nicotine replacement therapy, varenicline, and bupropion for smoking cessation: a systematic review and multiple treatment meta-analysis. Ann Med. 2012;44(6):588-97.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189.</w:t>
      </w:r>
      <w:r w:rsidRPr="00A913F4">
        <w:rPr>
          <w:rFonts w:ascii="Times New Roman" w:hAnsi="Times New Roman"/>
        </w:rPr>
        <w:tab/>
        <w:t>Murad MH, Drake MT, Mullan RJ, Mauck KF, Stuart LM, Lane MA, et al. Clinical review. Comparative effectiveness of drug treatments to prevent fragility fractures: a systematic review and network meta-analysis. J Clin Endocrinol Metab. 2012;97(6):1871-80.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190.</w:t>
      </w:r>
      <w:r w:rsidRPr="00A913F4">
        <w:rPr>
          <w:rFonts w:ascii="Times New Roman" w:hAnsi="Times New Roman"/>
        </w:rPr>
        <w:tab/>
        <w:t>Ni RH, Tang HL, Zhai SD, Li ZL. Multiple treatments for infantile rotavirus enteritis: a network meta-analysis. World J Gastroenterol. 2012;20(5):438-43.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191.</w:t>
      </w:r>
      <w:r w:rsidRPr="00A913F4">
        <w:rPr>
          <w:rFonts w:ascii="Times New Roman" w:hAnsi="Times New Roman"/>
        </w:rPr>
        <w:tab/>
        <w:t>Palmerini T, Biondi-Zoccai G, Della Riva D, Stettler C, Sangiorgi D, D'Ascenzo F, et al. Stent thrombosis with drug-eluting and bare-metal stents: evidence from a comprehensive network meta-analysis. Lancet. 2012;379(9824):1393-402.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192.</w:t>
      </w:r>
      <w:r w:rsidRPr="00A913F4">
        <w:rPr>
          <w:rFonts w:ascii="Times New Roman" w:hAnsi="Times New Roman"/>
        </w:rPr>
        <w:tab/>
        <w:t>Pichenot M, Deuffic-Burban S, Cuzin L, Yazdanpanah Y. Efficacy of new antiretroviral drugs in treatment-experienced HIV-infected patients: a systematic review and meta-analysis of recent randomized controlled trials. HIV Med. 2012;13(3):148-55.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193.</w:t>
      </w:r>
      <w:r w:rsidRPr="00A913F4">
        <w:rPr>
          <w:rFonts w:ascii="Times New Roman" w:hAnsi="Times New Roman"/>
        </w:rPr>
        <w:tab/>
        <w:t>Ramsberg J, Asseburg C, Henriksson M. Effectiveness and cost-effectiveness of antidepressants in primary care: a multiple treatment comparison meta-analysis and cost-effectiveness model. PLoS One. 2012;7(8):e42003.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194.</w:t>
      </w:r>
      <w:r w:rsidRPr="00A913F4">
        <w:rPr>
          <w:rFonts w:ascii="Times New Roman" w:hAnsi="Times New Roman"/>
        </w:rPr>
        <w:tab/>
        <w:t>Reich K, Burden AD, Eaton JN, Hawkins NS. Efficacy of biologics in the treatment of moderate to severe psoriasis: a network meta-analysis of randomized controlled trials. Br J Dermatol. 2012;166(1):179-88.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195.</w:t>
      </w:r>
      <w:r w:rsidRPr="00A913F4">
        <w:rPr>
          <w:rFonts w:ascii="Times New Roman" w:hAnsi="Times New Roman"/>
        </w:rPr>
        <w:tab/>
        <w:t>Roskell NS, Zimovetz EA, Rycroft CE, Eckert BJ, Tyas DA. Annualized relapse rate of first-line treatments for multiple sclerosis: a meta-analysis, including indirect comparisons versus fingolimod. Curr Med Res Opin. 2012;28(5):767-80.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196.</w:t>
      </w:r>
      <w:r w:rsidRPr="00A913F4">
        <w:rPr>
          <w:rFonts w:ascii="Times New Roman" w:hAnsi="Times New Roman"/>
        </w:rPr>
        <w:tab/>
        <w:t>Schmitz S, Adams R, Walsh CD, Barry M, FitzGerald O. A mixed treatment comparison of the efficacy of anti-TNF agents in rheumatoid arthritis for methotrexate non-responders demonstrates differences between treatments: a Bayesian approach. Ann Rheum Dis. 2012;71(2):225-30.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197.</w:t>
      </w:r>
      <w:r w:rsidRPr="00A913F4">
        <w:rPr>
          <w:rFonts w:ascii="Times New Roman" w:hAnsi="Times New Roman"/>
        </w:rPr>
        <w:tab/>
        <w:t>Stam W, Jansen J, Taylor S. Efficacy of etoricoxib, celecoxib, lumiracoxib, non-selective NSAIDs, and acetaminophen in osteoarthritis: a mixed treatment comparison. Open Rheumatol J. 2012;6:6-20.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198.</w:t>
      </w:r>
      <w:r w:rsidRPr="00A913F4">
        <w:rPr>
          <w:rFonts w:ascii="Times New Roman" w:hAnsi="Times New Roman"/>
        </w:rPr>
        <w:tab/>
        <w:t>Steiner S, Moertl D, Chen L, Coyle D, Wells GA. Network meta-analysis of prasugrel, ticagrelor, high- and standard-dose clopidogrel in patients scheduled for percutaneous coronary interventions. Thromb Haemost. 2012;108(2):318-27.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199.</w:t>
      </w:r>
      <w:r w:rsidRPr="00A913F4">
        <w:rPr>
          <w:rFonts w:ascii="Times New Roman" w:hAnsi="Times New Roman"/>
        </w:rPr>
        <w:tab/>
        <w:t>Sun F, Yu K, Wu S, Zhang Y, Yang Z, Shi L, et al. Cardiovascular safety and glycemic control of glucagon-like peptide-1 receptor agonists for type 2 diabetes mellitus: a pairwise and network meta-analysis. Diabetes Res Clin Pract. 2012;98(3):386-95.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200.</w:t>
      </w:r>
      <w:r w:rsidRPr="00A913F4">
        <w:rPr>
          <w:rFonts w:ascii="Times New Roman" w:hAnsi="Times New Roman"/>
        </w:rPr>
        <w:tab/>
        <w:t>Sun F, Yu K, Yang Z, Wu S, Zhang Y, Shi L, et al. Impact of GLP-1 receptor agonists on major gastrointestinal disorders for type 2 diabetes mellitus: a mixed treatment comparison meta-analysis. Exp Diabetes Res. 2012;2012:230624.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201.</w:t>
      </w:r>
      <w:r w:rsidRPr="00A913F4">
        <w:rPr>
          <w:rFonts w:ascii="Times New Roman" w:hAnsi="Times New Roman"/>
        </w:rPr>
        <w:tab/>
        <w:t>Tang DH, Malone DC. A network meta-analysis on the efficacy of serotonin type 3 receptor antagonists used in adults during the first 24 hours for postoperative nausea and vomiting prophylaxis. Clin Ther. 2012;34(2):282-94.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202.</w:t>
      </w:r>
      <w:r w:rsidRPr="00A913F4">
        <w:rPr>
          <w:rFonts w:ascii="Times New Roman" w:hAnsi="Times New Roman"/>
        </w:rPr>
        <w:tab/>
        <w:t>Thakkinstian A, Attia J, Anothaisintawee T, Nickel JC. alpha-blockers, antibiotics and anti-inflammatories have a role in the management of chronic prostatitis/chronic pelvic pain syndrome. BJU Int. 2012;110(7):1014-22.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203.</w:t>
      </w:r>
      <w:r w:rsidRPr="00A913F4">
        <w:rPr>
          <w:rFonts w:ascii="Times New Roman" w:hAnsi="Times New Roman"/>
        </w:rPr>
        <w:tab/>
        <w:t>Thorlund K, Druyts E, Avina-Zubieta JA, Mills EJ. Anti-tumor necrosis factor (TNF) drugs for the treatment of psoriatic arthritis: an indirect comparison meta-analysis. Biologics. 2012;6:417-27.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204.</w:t>
      </w:r>
      <w:r w:rsidRPr="00A913F4">
        <w:rPr>
          <w:rFonts w:ascii="Times New Roman" w:hAnsi="Times New Roman"/>
        </w:rPr>
        <w:tab/>
        <w:t>Trinquart L, Abbe A, Ravaud P. Impact of reporting bias in network meta-analysis of antidepressant placebo-controlled trials. PLoS One. 2012;7(4):e35219.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205.</w:t>
      </w:r>
      <w:r w:rsidRPr="00A913F4">
        <w:rPr>
          <w:rFonts w:ascii="Times New Roman" w:hAnsi="Times New Roman"/>
        </w:rPr>
        <w:tab/>
        <w:t>Tu YK, Needleman I, Chambrone L, Lu HK, Faggion CM, Jr. A Bayesian network meta-analysis on comparisons of enamel matrix derivatives, guided tissue regeneration and their combination therapies. J Clin Periodontol. 2012;39(3):303-14.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206.</w:t>
      </w:r>
      <w:r w:rsidRPr="00A913F4">
        <w:rPr>
          <w:rFonts w:ascii="Times New Roman" w:hAnsi="Times New Roman"/>
        </w:rPr>
        <w:tab/>
        <w:t>Vejakama P, Thakkinstian A, Lertrattananon D, Ingsathit A, Ngarmukos C, Attia J. Reno-protective effects of renin-angiotensin system blockade in type 2 diabetic patients: a systematic review and network meta-analysis. Diabetologia. 2012;55(3):566-78.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207.</w:t>
      </w:r>
      <w:r w:rsidRPr="00A913F4">
        <w:rPr>
          <w:rFonts w:ascii="Times New Roman" w:hAnsi="Times New Roman"/>
        </w:rPr>
        <w:tab/>
        <w:t>Wolff RF, Aune D, Truyers C, Hernandez AV, Misso K, Riemsma R, et al. Systematic review of efficacy and safety of buprenorphine versus fentanyl or morphine in patients with chronic moderate to severe pain. Curr Med Res Opin. 2012;28(5):833-45.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208.</w:t>
      </w:r>
      <w:r w:rsidRPr="00A913F4">
        <w:rPr>
          <w:rFonts w:ascii="Times New Roman" w:hAnsi="Times New Roman"/>
        </w:rPr>
        <w:tab/>
        <w:t>Zagmutt FJ, Tarrants ML. Indirect comparisons of adverse events and dropout rates in early Parkinson's disease trials of pramipexole, ropinirole, and rasagiline. Int J Neurosci. 2012;122(7):345-53.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209.</w:t>
      </w:r>
      <w:r w:rsidRPr="00A913F4">
        <w:rPr>
          <w:rFonts w:ascii="Times New Roman" w:hAnsi="Times New Roman"/>
        </w:rPr>
        <w:tab/>
        <w:t>Akshintala VS, Hutfless SM, Colantuoni E, Kim KJ, Khashab MA, Li T, et al. Systematic review with network meta-analysis: pharmacological prophylaxis against post-ERCP pancreatitis. Aliment Pharmacol Ther. 2013;38(11-12):1325-37.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210.</w:t>
      </w:r>
      <w:r w:rsidRPr="00A913F4">
        <w:rPr>
          <w:rFonts w:ascii="Times New Roman" w:hAnsi="Times New Roman"/>
        </w:rPr>
        <w:tab/>
        <w:t>Assiri A, Al-Majzoub O, Kanaan AO, Donovan JL, Silva M. Mixed treatment comparison meta-analysis of aspirin, warfarin, and new anticoagulants for stroke prevention in patients with nonvalvular atrial fibrillation. Clin Ther. 2013;35(7):967-84.e2.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211.</w:t>
      </w:r>
      <w:r w:rsidRPr="00A913F4">
        <w:rPr>
          <w:rFonts w:ascii="Times New Roman" w:hAnsi="Times New Roman"/>
        </w:rPr>
        <w:tab/>
        <w:t>Bangalore S, Amoroso N, Fusaro M, Kumar S, Feit F. Outcomes with various drug-eluting or bare metal stents in patients with ST-segment-elevation myocardial infarction: a mixed treatment comparison analysis of trial level data from 34 068 patient-years of follow-up from randomized trials. Circ Cardiovasc Interv. 2013;6(4):378-90.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212.</w:t>
      </w:r>
      <w:r w:rsidRPr="00A913F4">
        <w:rPr>
          <w:rFonts w:ascii="Times New Roman" w:hAnsi="Times New Roman"/>
        </w:rPr>
        <w:tab/>
        <w:t>Bangalore S, Toklu B, Amoroso N, Fusaro M, Kumar S, Hannan EL, et al. Bare metal stents, durable polymer drug eluting stents, and biodegradable polymer drug eluting stents for coronary artery disease: mixed treatment comparison meta-analysis. BMJ. 2013;347:f6625.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213.</w:t>
      </w:r>
      <w:r w:rsidRPr="00A913F4">
        <w:rPr>
          <w:rFonts w:ascii="Times New Roman" w:hAnsi="Times New Roman"/>
        </w:rPr>
        <w:tab/>
        <w:t>Barth J, Munder T, Gerger H, Nuesch E, Trelle S, Znoj H, et al. Comparative efficacy of seven psychotherapeutic interventions for patients with depression: a network meta-analysis. PLoS Med. 2013;10(5):e1001454.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214.</w:t>
      </w:r>
      <w:r w:rsidRPr="00A913F4">
        <w:rPr>
          <w:rFonts w:ascii="Times New Roman" w:hAnsi="Times New Roman"/>
        </w:rPr>
        <w:tab/>
        <w:t xml:space="preserve">Biondi-Zoccai G, Malavasi V, D'Ascenzo F, Abbate A, Agostoni P, Lotrionte M, et al. Comparative effectiveness of novel oral anticoagulants for atrial fibrillation: evidence from pair-wise and </w:t>
      </w:r>
      <w:r w:rsidRPr="00A913F4">
        <w:rPr>
          <w:rFonts w:ascii="Times New Roman" w:hAnsi="Times New Roman"/>
        </w:rPr>
        <w:lastRenderedPageBreak/>
        <w:t>warfarin-controlled network meta-analyses. HSR Proc Intensive Care Cardiovasc Anesth. 2013;5(1):40-54.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215.</w:t>
      </w:r>
      <w:r w:rsidRPr="00A913F4">
        <w:rPr>
          <w:rFonts w:ascii="Times New Roman" w:hAnsi="Times New Roman"/>
        </w:rPr>
        <w:tab/>
        <w:t>Bodalia PN, Grosso AM, Sofat R, Macallister RJ, Smeeth L, Dhillon S, et al. Comparative efficacy and tolerability of anti-epileptic drugs for refractory focal epilepsy: systematic review and network meta-analysis reveals the need for long term comparator trials. Br J Clin Pharmacol. 2013;76(5):649-67.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216.</w:t>
      </w:r>
      <w:r w:rsidRPr="00A913F4">
        <w:rPr>
          <w:rFonts w:ascii="Times New Roman" w:hAnsi="Times New Roman"/>
        </w:rPr>
        <w:tab/>
        <w:t>Braun SR, Gregor B, Tran US. Comparing bona fide psychotherapies of depression in adults with two meta-analytical approaches. PLoS One. 2013;8(6):e68135.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217.</w:t>
      </w:r>
      <w:r w:rsidRPr="00A913F4">
        <w:rPr>
          <w:rFonts w:ascii="Times New Roman" w:hAnsi="Times New Roman"/>
        </w:rPr>
        <w:tab/>
        <w:t>Brown T, Pilkington G, Bagust A, Boland A, Oyee J, Tudur-Smith C, et al. Clinical effectiveness and cost-effectiveness of first-line chemotherapy for adult patients with locally advanced or metastatic non-small cell lung cancer: a systematic review and economic evaluation. Health Technol Assess. 2013;17(31):1-278.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218.</w:t>
      </w:r>
      <w:r w:rsidRPr="00A913F4">
        <w:rPr>
          <w:rFonts w:ascii="Times New Roman" w:hAnsi="Times New Roman"/>
        </w:rPr>
        <w:tab/>
        <w:t>Buti J, Baccini M, Nieri M, La Marca M, Pini-Prato GP. Bayesian network meta-analysis of root coverage procedures: ranking efficacy and identification of best treatment. J Clin Periodontol. 2013;40(4):372-86.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219.</w:t>
      </w:r>
      <w:r w:rsidRPr="00A913F4">
        <w:rPr>
          <w:rFonts w:ascii="Times New Roman" w:hAnsi="Times New Roman"/>
        </w:rPr>
        <w:tab/>
        <w:t>Cahill K, Stevens S, Perera R, Lancaster T. Pharmacological interventions for smoking cessation: an overview and network meta-analysis. Cochrane Database Syst Rev. 2013;5:Cd009329.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220.</w:t>
      </w:r>
      <w:r w:rsidRPr="00A913F4">
        <w:rPr>
          <w:rFonts w:ascii="Times New Roman" w:hAnsi="Times New Roman"/>
        </w:rPr>
        <w:tab/>
        <w:t>Carroll C, Hummel S, Leaviss J, Ren S, Stevens JW, Everson-Hock E, et al. Clinical effectiveness and cost-effectiveness of minimally invasive techniques to manage varicose veins: a systematic review and economic evaluation. Health Technol Assess. 2013;17(48):i-xvi, 1-141.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221.</w:t>
      </w:r>
      <w:r w:rsidRPr="00A913F4">
        <w:rPr>
          <w:rFonts w:ascii="Times New Roman" w:hAnsi="Times New Roman"/>
        </w:rPr>
        <w:tab/>
        <w:t>Castellucci LA, Cameron C, Le Gal G, Rodger MA, Coyle D, Wells PS, et al. Efficacy and safety outcomes of oral anticoagulants and antiplatelet drugs in the secondary prevention of venous thromboembolism: systematic review and network meta-analysis. BMJ. 2013;347:f5133.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222.</w:t>
      </w:r>
      <w:r w:rsidRPr="00A913F4">
        <w:rPr>
          <w:rFonts w:ascii="Times New Roman" w:hAnsi="Times New Roman"/>
        </w:rPr>
        <w:tab/>
        <w:t>Cawston H, Davie A, Paget MA, Skljarevski V, Happich M. Efficacy of duloxetine versus alternative oral therapies: an indirect comparison of randomised clinical trials in chronic low back pain. Eur Spine J. 2013;22(9):1996-2009.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223.</w:t>
      </w:r>
      <w:r w:rsidRPr="00A913F4">
        <w:rPr>
          <w:rFonts w:ascii="Times New Roman" w:hAnsi="Times New Roman"/>
        </w:rPr>
        <w:tab/>
        <w:t>Chatterjee S, Biondi-Zoccai G, Abbate A, D'Ascenzo F, Castagno D, Van Tassell B, et al. Benefits of beta blockers in patients with heart failure and reduced ejection fraction: network meta-analysis. BMJ. 2013;346:f55.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224.</w:t>
      </w:r>
      <w:r w:rsidRPr="00A913F4">
        <w:rPr>
          <w:rFonts w:ascii="Times New Roman" w:hAnsi="Times New Roman"/>
        </w:rPr>
        <w:tab/>
        <w:t>Chatterjee S, Sardar P, Biondi-Zoccai G, Kumbhani DJ. New oral anticoagulants and the risk of intracranial hemorrhage: traditional and Bayesian meta-analysis and mixed treatment comparison of randomized trials of new oral anticoagulants in atrial fibrillation. JAMA Neurol. 2013;70(12):1486-90.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225.</w:t>
      </w:r>
      <w:r w:rsidRPr="00A913F4">
        <w:rPr>
          <w:rFonts w:ascii="Times New Roman" w:hAnsi="Times New Roman"/>
        </w:rPr>
        <w:tab/>
        <w:t>Cooper C, Lester R, Thorlund K, Druyts E, El Khoury AC, Yaya S, et al. Direct-acting antiviral therapies for hepatitis C genotype 1 infection: a multiple treatment comparison meta-analysis. QJM. 2013;106(2):153-63.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226.</w:t>
      </w:r>
      <w:r w:rsidRPr="00A913F4">
        <w:rPr>
          <w:rFonts w:ascii="Times New Roman" w:hAnsi="Times New Roman"/>
        </w:rPr>
        <w:tab/>
        <w:t>Cope S, Donohue JF, Jansen JP, Kraemer M, Capkun-Niggli G, Baldwin M, et al. Comparative efficacy of long-acting bronchodilators for COPD: a network meta-analysis. Respir Res. 2013;14:100.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227.</w:t>
      </w:r>
      <w:r w:rsidRPr="00A913F4">
        <w:rPr>
          <w:rFonts w:ascii="Times New Roman" w:hAnsi="Times New Roman"/>
        </w:rPr>
        <w:tab/>
        <w:t>Cope S, Ouwens MJ, Jansen JP, Schmid P. Progression-free survival with fulvestrant 500 mg and alternative endocrine therapies as second-line treatment for advanced breast cancer: a network meta-analysis with parametric survival models. Value Health. 2013;16(2):403-17.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228.</w:t>
      </w:r>
      <w:r w:rsidRPr="00A913F4">
        <w:rPr>
          <w:rFonts w:ascii="Times New Roman" w:hAnsi="Times New Roman"/>
        </w:rPr>
        <w:tab/>
        <w:t>Corbett MS, Rice SJ, Madurasinghe V, Slack R, Fayter DA, Harden M, et al. Acupuncture and other physical treatments for the relief of pain due to osteoarthritis of the knee: network meta-analysis. Osteoarthritis Cartilage. 2013;21(9):1290-8.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229.</w:t>
      </w:r>
      <w:r w:rsidRPr="00A913F4">
        <w:rPr>
          <w:rFonts w:ascii="Times New Roman" w:hAnsi="Times New Roman"/>
        </w:rPr>
        <w:tab/>
        <w:t>Datto C, Hellmund R, Siddiqui MK. Efficacy and tolerability of naproxen/esomeprazole magnesium tablets compared with non-specific NSAIDs and COX-2 inhibitors: a systematic review and network analyses. Open Access Rheumatology: Research &amp; Reviews. 2013;5(26).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230.</w:t>
      </w:r>
      <w:r w:rsidRPr="00A913F4">
        <w:rPr>
          <w:rFonts w:ascii="Times New Roman" w:hAnsi="Times New Roman"/>
        </w:rPr>
        <w:tab/>
        <w:t>Delea TE, Amdahl J, Chit A, Amonkar MM. Cost-effectiveness of lapatinib plus letrozole in her2-positive, hormone receptor-positive metastatic breast cancer in Canada. Curr Oncol. 2013;20(5):e371-87.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231.</w:t>
      </w:r>
      <w:r w:rsidRPr="00A913F4">
        <w:rPr>
          <w:rFonts w:ascii="Times New Roman" w:hAnsi="Times New Roman"/>
        </w:rPr>
        <w:tab/>
        <w:t>Dong YH, Lin HH, Shau WY, Wu YC, Chang CH, Lai MS. Comparative safety of inhaled medications in patients with chronic obstructive pulmonary disease: systematic review and mixed treatment comparison meta-analysis of randomised controlled trials. Thorax. 2013;68(1):48-56.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232.</w:t>
      </w:r>
      <w:r w:rsidRPr="00A913F4">
        <w:rPr>
          <w:rFonts w:ascii="Times New Roman" w:hAnsi="Times New Roman"/>
        </w:rPr>
        <w:tab/>
        <w:t>Dumville JC, McFarlane E, Edwards P, Lipp A, Holmes A. Preoperative skin antiseptics for preventing surgical wound infections after clean surgery. Cochrane Database Syst Rev. 2013;3:Cd003949.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233.</w:t>
      </w:r>
      <w:r w:rsidRPr="00A913F4">
        <w:rPr>
          <w:rFonts w:ascii="Times New Roman" w:hAnsi="Times New Roman"/>
        </w:rPr>
        <w:tab/>
        <w:t>Fang Y, Ding Y, Guo Q, Xing J, Long Y, Zong Z. Radioiodine therapy for patients with differentiated thyroid cancer after thyroidectomy: direct comparison and network meta-analyses. J Endocrinol Invest. 2013;36(10):896-902.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234.</w:t>
      </w:r>
      <w:r w:rsidRPr="00A913F4">
        <w:rPr>
          <w:rFonts w:ascii="Times New Roman" w:hAnsi="Times New Roman"/>
        </w:rPr>
        <w:tab/>
        <w:t>Filippini G, Del Giovane C, Vacchi L, D'Amico R, Di Pietrantonj C, Beecher D, et al. Immunomodulators and immunosuppressants for multiple sclerosis: a network meta-analysis. Cochrane Database Syst Rev. 2013;6:Cd008933.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235.</w:t>
      </w:r>
      <w:r w:rsidRPr="00A913F4">
        <w:rPr>
          <w:rFonts w:ascii="Times New Roman" w:hAnsi="Times New Roman"/>
        </w:rPr>
        <w:tab/>
        <w:t>Fountoulakis KN, Veroniki AA, Siamouli M, Moller HJ. No role for initial severity on the efficacy of antidepressants: results of a multi-meta-analysis. Ann Gen Psychiatry. 2013;12(1):26.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236.</w:t>
      </w:r>
      <w:r w:rsidRPr="00A913F4">
        <w:rPr>
          <w:rFonts w:ascii="Times New Roman" w:hAnsi="Times New Roman"/>
        </w:rPr>
        <w:tab/>
        <w:t>Freemantle N, Cooper C, Diez-Perez A, Gitlin M, Radcliffe H, Shepherd S, et al. Results of indirect and mixed treatment comparison of fracture efficacy for osteoporosis treatments: a meta-analysis. Osteoporos Int. 2013;24(1):209-17.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237.</w:t>
      </w:r>
      <w:r w:rsidRPr="00A913F4">
        <w:rPr>
          <w:rFonts w:ascii="Times New Roman" w:hAnsi="Times New Roman"/>
        </w:rPr>
        <w:tab/>
        <w:t>Gagne JJ, Bykov K, Choudhry NK, Toomey TJ, Connolly JG, Avorn J. Effect of smoking on comparative efficacy of antiplatelet agents: systematic review, meta-analysis, and indirect comparison. BMJ. 2013;347:f5307.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238.</w:t>
      </w:r>
      <w:r w:rsidRPr="00A913F4">
        <w:rPr>
          <w:rFonts w:ascii="Times New Roman" w:hAnsi="Times New Roman"/>
        </w:rPr>
        <w:tab/>
        <w:t>Galvan-Banqueri M, Marin Gil R, Santos Ramos B, Bautista Paloma FJ. Biological treatments for moderate-to-severe psoriasis: indirect comparison. J Clin Pharm Ther. 2013;38(2):121-30.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239.</w:t>
      </w:r>
      <w:r w:rsidRPr="00A913F4">
        <w:rPr>
          <w:rFonts w:ascii="Times New Roman" w:hAnsi="Times New Roman"/>
        </w:rPr>
        <w:tab/>
        <w:t>Gao L, Xia L, Zhao FL, Li SC. Clinical efficacy and safety of the newer antiepileptic drugs as adjunctive treatment in adults with refractory partial-onset epilepsy: a meta-analysis of randomized placebo-controlled trials. Epilepsy Res. 2013;103(1):31-44.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240.</w:t>
      </w:r>
      <w:r w:rsidRPr="00A913F4">
        <w:rPr>
          <w:rFonts w:ascii="Times New Roman" w:hAnsi="Times New Roman"/>
        </w:rPr>
        <w:tab/>
        <w:t>Goralczyk AD, Cameron S, Amanzada A. Treatment of chronic HCV genotype 1 infection with telaprevir: a Bayesian mixed treatment comparison of fixed-length and response-guided treatment regimens in treatment-naive and -experienced patients. BMC Gastroenterol. 2013;13:148.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241.</w:t>
      </w:r>
      <w:r w:rsidRPr="00A913F4">
        <w:rPr>
          <w:rFonts w:ascii="Times New Roman" w:hAnsi="Times New Roman"/>
        </w:rPr>
        <w:tab/>
        <w:t>Gupta AK, Paquet M. Network meta-analysis of the outcome 'participant complete clearance' in nonimmunosuppressed participants of eight interventions for actinic keratosis: a follow-up on a Cochrane review. Br J Dermatol. 2013;169(2):250-9.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242.</w:t>
      </w:r>
      <w:r w:rsidRPr="00A913F4">
        <w:rPr>
          <w:rFonts w:ascii="Times New Roman" w:hAnsi="Times New Roman"/>
        </w:rPr>
        <w:tab/>
        <w:t>Hadjigeorgiou GM, Doxani C, Miligkos M, Ziakas P, Bakalos G, Papadimitriou D, et al. A network meta-analysis of randomized controlled trials for comparing the effectiveness and safety profile of treatments with marketing authorization for relapsing multiple sclerosis. J Clin Pharm Ther. 2013;38(6):433-9.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243.</w:t>
      </w:r>
      <w:r w:rsidRPr="00A913F4">
        <w:rPr>
          <w:rFonts w:ascii="Times New Roman" w:hAnsi="Times New Roman"/>
        </w:rPr>
        <w:tab/>
        <w:t>Hoaglin DC, Filonenko A, Glickman ME, Wasiak R, Gidwani R. Use of mixed-treatment-comparison methods in estimating efficacy of treatments for heavy menstrual bleeding. Eur J Med Res. 2013;18:17.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244.</w:t>
      </w:r>
      <w:r w:rsidRPr="00A913F4">
        <w:rPr>
          <w:rFonts w:ascii="Times New Roman" w:hAnsi="Times New Roman"/>
        </w:rPr>
        <w:tab/>
        <w:t>Howell N, Senanayake E, Freemantle N, Pagano D. Putting the record straight on aprotinin as safe and effective: results from a mixed treatment meta-analysis of trials of aprotinin. J Thorac Cardiovasc Surg. 2013;145(1):234-40.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245.</w:t>
      </w:r>
      <w:r w:rsidRPr="00A913F4">
        <w:rPr>
          <w:rFonts w:ascii="Times New Roman" w:hAnsi="Times New Roman"/>
        </w:rPr>
        <w:tab/>
        <w:t>Jonas DE, Cusack K, Forneris CA, Wilkins TM, Sonis J, Middleton JC, et al. AHRQ Comparative Effectiveness Reviews.  Psychological and Pharmacological Treatments for Adults With Posttraumatic Stress Disorder (PTSD). Rockville (MD): Agency for Healthcare Research and Quality (US); 2013.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246.</w:t>
      </w:r>
      <w:r w:rsidRPr="00A913F4">
        <w:rPr>
          <w:rFonts w:ascii="Times New Roman" w:hAnsi="Times New Roman"/>
        </w:rPr>
        <w:tab/>
        <w:t>Karabis A, Lindner L, Mocarski M, Huisman E, Greening A. Comparative efficacy of aclidinium versus glycopyrronium and tiotropium, as maintenance treatment of moderate to severe COPD patients: a systematic review and network meta-analysis. Int J Chron Obstruct Pulmon Dis. 2013;8:405-23.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247.</w:t>
      </w:r>
      <w:r w:rsidRPr="00A913F4">
        <w:rPr>
          <w:rFonts w:ascii="Times New Roman" w:hAnsi="Times New Roman"/>
        </w:rPr>
        <w:tab/>
        <w:t xml:space="preserve">Khan N, Shah D, Tongbram V, Verdian L, Hawkins N. The efficacy and tolerability of perampanel and other recently approved anti-epileptic drugs for the treatment of refractory partial onset </w:t>
      </w:r>
      <w:r w:rsidRPr="00A913F4">
        <w:rPr>
          <w:rFonts w:ascii="Times New Roman" w:hAnsi="Times New Roman"/>
        </w:rPr>
        <w:lastRenderedPageBreak/>
        <w:t>seizure: a systematic review and Bayesian network meta-analysis. Curr Med Res Opin. 2013;29(8):1001-13.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248.</w:t>
      </w:r>
      <w:r w:rsidRPr="00A913F4">
        <w:rPr>
          <w:rFonts w:ascii="Times New Roman" w:hAnsi="Times New Roman"/>
        </w:rPr>
        <w:tab/>
        <w:t>Krogh TP, Bartels EM, Ellingsen T, Stengaard-Pedersen K, Buchbinder R, Fredberg U, et al. Comparative effectiveness of injection therapies in lateral epicondylitis: a systematic review and network meta-analysis of randomized controlled trials. Am J Sports Med. 2013;41(6):1435-46.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249.</w:t>
      </w:r>
      <w:r w:rsidRPr="00A913F4">
        <w:rPr>
          <w:rFonts w:ascii="Times New Roman" w:hAnsi="Times New Roman"/>
        </w:rPr>
        <w:tab/>
        <w:t>Kwak HJ, Kim JY, Kim YB, Min SK, Moon BK, Kim JY. Pharmacological prevention of rocuronium-induced injection pain or withdrawal movements: a meta-analysis. J Anesth. 2013;27(5):742-9.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250.</w:t>
      </w:r>
      <w:r w:rsidRPr="00A913F4">
        <w:rPr>
          <w:rFonts w:ascii="Times New Roman" w:hAnsi="Times New Roman"/>
        </w:rPr>
        <w:tab/>
        <w:t>Kwok CS, Pradhan S, Yeong JK, Loke YK. Relative effects of two different enoxaparin regimens as comparators against newer oral anticoagulants: meta-analysis and adjusted indirect comparison. Chest. 2013;144(2):593-600.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251.</w:t>
      </w:r>
      <w:r w:rsidRPr="00A913F4">
        <w:rPr>
          <w:rFonts w:ascii="Times New Roman" w:hAnsi="Times New Roman"/>
        </w:rPr>
        <w:tab/>
        <w:t>Landoni G, Greco T, Biondi-Zoccai G, Nigro Neto C, Febres D, Pintaudi M, et al. Anaesthetic drugs and survival: a Bayesian network meta-analysis of randomized trials in cardiac surgery. Br J Anaesth. 2013;111(6):886-96.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252.</w:t>
      </w:r>
      <w:r w:rsidRPr="00A913F4">
        <w:rPr>
          <w:rFonts w:ascii="Times New Roman" w:hAnsi="Times New Roman"/>
        </w:rPr>
        <w:tab/>
        <w:t>Leucht S, Cipriani A, Spineli L, Mavridis D, Orey D, Richter F, et al. Comparative efficacy and tolerability of 15 antipsychotic drugs in schizophrenia: a multiple-treatments meta-analysis. Lancet. 2013;382(9896):951-62.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253.</w:t>
      </w:r>
      <w:r w:rsidRPr="00A913F4">
        <w:rPr>
          <w:rFonts w:ascii="Times New Roman" w:hAnsi="Times New Roman"/>
        </w:rPr>
        <w:tab/>
        <w:t>Levi Marpillat N, Macquin-Mavier I, Tropeano AI, Bachoud-Levi AC, Maison P. Antihypertensive classes, cognitive decline and incidence of dementia: a network meta-analysis. J Hypertens. 2013;31(6):1073-82.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254.</w:t>
      </w:r>
      <w:r w:rsidRPr="00A913F4">
        <w:rPr>
          <w:rFonts w:ascii="Times New Roman" w:hAnsi="Times New Roman"/>
        </w:rPr>
        <w:tab/>
        <w:t>Liao WC, Chien KL, Lin YL, Wu MS, Lin JT, Wang HP, et al. Adjuvant treatments for resected pancreatic adenocarcinoma: a systematic review and network meta-analysis. Lancet Oncol. 2013;14(11):1095-103.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255.</w:t>
      </w:r>
      <w:r w:rsidRPr="00A913F4">
        <w:rPr>
          <w:rFonts w:ascii="Times New Roman" w:hAnsi="Times New Roman"/>
        </w:rPr>
        <w:tab/>
        <w:t>Lin PY, Cheng YW, Chu CY, Chien KL, Lin CP, Tu YK. In-office treatment for dentin hypersensitivity: a systematic review and network meta-analysis. J Clin Periodontol. 2013;40(1):53-64.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256.</w:t>
      </w:r>
      <w:r w:rsidRPr="00A913F4">
        <w:rPr>
          <w:rFonts w:ascii="Times New Roman" w:hAnsi="Times New Roman"/>
        </w:rPr>
        <w:tab/>
        <w:t>Liu J, Dong J, Wang L, Su Y, Yan P, Sun S. Comparative efficacy and acceptability of antidepressants in Parkinson's disease: a network meta-analysis. PLoS One. 2013;8(10):e76651.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257.</w:t>
      </w:r>
      <w:r w:rsidRPr="00A913F4">
        <w:rPr>
          <w:rFonts w:ascii="Times New Roman" w:hAnsi="Times New Roman"/>
        </w:rPr>
        <w:tab/>
        <w:t>Malloy RJ, Kanaan AO, Silva MA, Donovan JL. Evaluation of antiplatelet agents for secondary prevention of stroke using mixed treatment comparison meta-analysis. Clin Ther. 2013;35(10):1490-500.e7.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258.</w:t>
      </w:r>
      <w:r w:rsidRPr="00A913F4">
        <w:rPr>
          <w:rFonts w:ascii="Times New Roman" w:hAnsi="Times New Roman"/>
        </w:rPr>
        <w:tab/>
        <w:t>Mavranezouli I, Meader N, Cape J, Kendall T. The cost effectiveness of pharmacological treatments for generalized anxiety disorder. Pharmacoeconomics. 2013;31(4):317-33.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259.</w:t>
      </w:r>
      <w:r w:rsidRPr="00A913F4">
        <w:rPr>
          <w:rFonts w:ascii="Times New Roman" w:hAnsi="Times New Roman"/>
        </w:rPr>
        <w:tab/>
        <w:t>Mealing S, Barcena L, Hawkins N, Clark J, Eaton V, Hirji I, et al. The relative efficacy of imatinib, dasatinib and nilotinib for newly diagnosed chronic myeloid leukemia: a systematic review and network meta-analysis. Exp Hematol Oncol. 2013;2(1):5.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260.</w:t>
      </w:r>
      <w:r w:rsidRPr="00A913F4">
        <w:rPr>
          <w:rFonts w:ascii="Times New Roman" w:hAnsi="Times New Roman"/>
        </w:rPr>
        <w:tab/>
        <w:t>Meissner K, Fassler M, Rucker G, Kleijnen J, Hrobjartsson A, Schneider A, et al. Differential effectiveness of placebo treatments: a systematic review of migraine prophylaxis. JAMA Intern Med. 2013;173(21):1941-51.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261.</w:t>
      </w:r>
      <w:r w:rsidRPr="00A913F4">
        <w:rPr>
          <w:rFonts w:ascii="Times New Roman" w:hAnsi="Times New Roman"/>
        </w:rPr>
        <w:tab/>
        <w:t>Migliore A, Broccoli S, Massafra U, Cassol M, Frediani B. Ranking antireabsorptive agents to prevent vertebral fractures in postmenopausal osteoporosis by mixed treatment comparison meta-analysis. Eur Rev Med Pharmacol Sci. 2013;17(5):658-67.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262.</w:t>
      </w:r>
      <w:r w:rsidRPr="00A913F4">
        <w:rPr>
          <w:rFonts w:ascii="Times New Roman" w:hAnsi="Times New Roman"/>
        </w:rPr>
        <w:tab/>
        <w:t>Naci H, Brugts J, Ades T. Comparative tolerability and harms of individual statins: a study-level network meta-analysis of 246 955 participants from 135 randomized, controlled trials. Circ Cardiovasc Qual Outcomes. 2013;6(4):390-9.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263.</w:t>
      </w:r>
      <w:r w:rsidRPr="00A913F4">
        <w:rPr>
          <w:rFonts w:ascii="Times New Roman" w:hAnsi="Times New Roman"/>
        </w:rPr>
        <w:tab/>
        <w:t>Naci H, Brugts JJ, Fleurence R, Ades AE. Dose-comparative effects of different statins on serum lipid levels: a network meta-analysis of 256,827 individuals in 181 randomized controlled trials. Eur J Prev Cardiol. 2013;20(4):658-70.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264.</w:t>
      </w:r>
      <w:r w:rsidRPr="00A913F4">
        <w:rPr>
          <w:rFonts w:ascii="Times New Roman" w:hAnsi="Times New Roman"/>
        </w:rPr>
        <w:tab/>
        <w:t>Naci H, Brugts JJ, Fleurence R, Ades AE. Comparative effects of statins on major cerebrovascular events: a multiple-treatments meta-analysis of placebo-controlled and active-comparator trials. QJM. 2013;106(4):299-306.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265.</w:t>
      </w:r>
      <w:r w:rsidRPr="00A913F4">
        <w:rPr>
          <w:rFonts w:ascii="Times New Roman" w:hAnsi="Times New Roman"/>
        </w:rPr>
        <w:tab/>
        <w:t>Naci H, Brugts JJ, Fleurence R, Tsoi B, Toor H, Ades AE. Comparative benefits of statins in the primary and secondary prevention of major coronary events and all-cause mortality: a network meta-analysis of placebo-controlled and active-comparator trials. Eur J Prev Cardiol. 2013;20(4):641-57.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266.</w:t>
      </w:r>
      <w:r w:rsidRPr="00A913F4">
        <w:rPr>
          <w:rFonts w:ascii="Times New Roman" w:hAnsi="Times New Roman"/>
        </w:rPr>
        <w:tab/>
        <w:t>Naci H, Ioannidis JP. Comparative effectiveness of exercise and drug interventions on mortality outcomes: metaepidemiological study. BMJ. 2013;347:f5577.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267.</w:t>
      </w:r>
      <w:r w:rsidRPr="00A913F4">
        <w:rPr>
          <w:rFonts w:ascii="Times New Roman" w:hAnsi="Times New Roman"/>
        </w:rPr>
        <w:tab/>
        <w:t>Naudet F, Millet B, Charlier P, Reymann JM, Maria AS, Falissard B. Which placebo to cure depression? A thought-provoking network meta-analysis. BMC Med. 2013;11:230.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268.</w:t>
      </w:r>
      <w:r w:rsidRPr="00A913F4">
        <w:rPr>
          <w:rFonts w:ascii="Times New Roman" w:hAnsi="Times New Roman"/>
        </w:rPr>
        <w:tab/>
        <w:t>Navarese EP, Buffon A, Andreotti F, Kozinski M, Welton N, Fabiszak T, et al. Meta-analysis of impact of different types and doses of statins on new-onset diabetes mellitus. Am J Cardiol. 2013;111(8):1123-30.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269.</w:t>
      </w:r>
      <w:r w:rsidRPr="00A913F4">
        <w:rPr>
          <w:rFonts w:ascii="Times New Roman" w:hAnsi="Times New Roman"/>
        </w:rPr>
        <w:tab/>
        <w:t>Navarese EP, Tandjung K, Claessen B, Andreotti F, Kowalewski M, Kandzari DE, et al. Safety and efficacy outcomes of first and second generation durable polymer drug eluting stents and biodegradable polymer biolimus eluting stents in clinical practice: comprehensive network meta-analysis. BMJ. 2013;347:f6530.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270.</w:t>
      </w:r>
      <w:r w:rsidRPr="00A913F4">
        <w:rPr>
          <w:rFonts w:ascii="Times New Roman" w:hAnsi="Times New Roman"/>
        </w:rPr>
        <w:tab/>
        <w:t>Nuesch E, Hauser W, Bernardy K, Barth J, Juni P. Comparative efficacy of pharmacological and non-pharmacological interventions in fibromyalgia syndrome: network meta-analysis. Ann Rheum Dis. 2013;72(6):955-62.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271.</w:t>
      </w:r>
      <w:r w:rsidRPr="00A913F4">
        <w:rPr>
          <w:rFonts w:ascii="Times New Roman" w:hAnsi="Times New Roman"/>
        </w:rPr>
        <w:tab/>
        <w:t>Palmerini T, Biondi-Zoccai G, Della Riva D, Mariani A, Sabate M, Valgimigli M, et al. Clinical outcomes with drug-eluting and bare-metal stents in patients with ST-segment elevation myocardial infarction: evidence from a comprehensive network meta-analysis. J Am Coll Cardiol. 2013;62(6):496-504.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272.</w:t>
      </w:r>
      <w:r w:rsidRPr="00A913F4">
        <w:rPr>
          <w:rFonts w:ascii="Times New Roman" w:hAnsi="Times New Roman"/>
        </w:rPr>
        <w:tab/>
        <w:t>Palmieri C, Fullarton JR, Brown J. Comparative efficacy of bisphosphonates in metastatic breast and prostate cancer and multiple myeloma: a mixed-treatment meta-analysis. Clin Cancer Res. 2013;19(24):6863-72.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273.</w:t>
      </w:r>
      <w:r w:rsidRPr="00A913F4">
        <w:rPr>
          <w:rFonts w:ascii="Times New Roman" w:hAnsi="Times New Roman"/>
        </w:rPr>
        <w:tab/>
        <w:t>Pandor A, Gomersall T, Stevens JW, Wang J, Al-Mohammad A, Bakhai A, et al. Remote monitoring after recent hospital discharge in patients with heart failure: a systematic review and network meta-analysis. Heart. 2013;99(23):1717-26.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274.</w:t>
      </w:r>
      <w:r w:rsidRPr="00A913F4">
        <w:rPr>
          <w:rFonts w:ascii="Times New Roman" w:hAnsi="Times New Roman"/>
        </w:rPr>
        <w:tab/>
        <w:t>Rashiq S, Vandermeer B, Abou-Setta AM, Beaupre LA, Jones CA, Dryden DM. Efficacy of supplemental peripheral nerve blockade for hip fracture surgery: multiple treatment comparison. Can J Anaesth. 2013;60(3):230-43.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275.</w:t>
      </w:r>
      <w:r w:rsidRPr="00A913F4">
        <w:rPr>
          <w:rFonts w:ascii="Times New Roman" w:hAnsi="Times New Roman"/>
        </w:rPr>
        <w:tab/>
        <w:t>Ribeiro RA, Ziegelmann PK, Duncan BB, Stella SF, da Costa Vieira JL, Restelatto LM, et al. Impact of statin dose on major cardiovascular events: a mixed treatment comparison meta-analysis involving more than 175,000 patients. Int J Cardiol. 2013;166(2):431-9.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276.</w:t>
      </w:r>
      <w:r w:rsidRPr="00A913F4">
        <w:rPr>
          <w:rFonts w:ascii="Times New Roman" w:hAnsi="Times New Roman"/>
        </w:rPr>
        <w:tab/>
        <w:t>Rotta I, Ziegelmann PK, Otuki MF, Riveros BS, Bernardo NL, Correr CJ. Efficacy of topical antifungals in the treatment of dermatophytosis: a mixed-treatment comparison meta-analysis involving 14 treatments. JAMA Dermatol. 2013;149(3):341-9.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277.</w:t>
      </w:r>
      <w:r w:rsidRPr="00A913F4">
        <w:rPr>
          <w:rFonts w:ascii="Times New Roman" w:hAnsi="Times New Roman"/>
        </w:rPr>
        <w:tab/>
        <w:t>Rudroju N, Bansal D, Talakokkula ST, Gudala K, Hota D, Bhansali A, et al. Comparative efficacy and safety of six antidepressants and anticonvulsants in painful diabetic neuropathy: a network meta-analysis. Pain Physician. 2013;16(6):E705-14.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278.</w:t>
      </w:r>
      <w:r w:rsidRPr="00A913F4">
        <w:rPr>
          <w:rFonts w:ascii="Times New Roman" w:hAnsi="Times New Roman"/>
        </w:rPr>
        <w:tab/>
        <w:t>Samarasekera EJ, Sawyer L, Wonderling D, Tucker R, Smith CH. Topical therapies for the treatment of plaque psoriasis: systematic review and network meta-analyses. Br J Dermatol. 2013;168(5):954-67.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279.</w:t>
      </w:r>
      <w:r w:rsidRPr="00A913F4">
        <w:rPr>
          <w:rFonts w:ascii="Times New Roman" w:hAnsi="Times New Roman"/>
        </w:rPr>
        <w:tab/>
        <w:t>Schoenberg MB, Marx S, Kersten JF, Rosch T, Belle S, Kahler G, et al. Laparoscopic Heller myotomy versus endoscopic balloon dilatation for the treatment of achalasia: a network meta-analysis. Ann Surg. 2013;258(6):943-52.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280.</w:t>
      </w:r>
      <w:r w:rsidRPr="00A913F4">
        <w:rPr>
          <w:rFonts w:ascii="Times New Roman" w:hAnsi="Times New Roman"/>
        </w:rPr>
        <w:tab/>
        <w:t>Scott DA, Boye KS, Timlin L, Clark JF, Best JH. A network meta-analysis to compare glycaemic control in patients with type 2 diabetes treated with exenatide once weekly or liraglutide once daily in comparison with insulin glargine, exenatide twice daily or placebo. Diabetes Obes Metab. 2013;15(3):213-23.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281.</w:t>
      </w:r>
      <w:r w:rsidRPr="00A913F4">
        <w:rPr>
          <w:rFonts w:ascii="Times New Roman" w:hAnsi="Times New Roman"/>
        </w:rPr>
        <w:tab/>
        <w:t>Shamliyan TA, Choi JY, Ramakrishnan R, Miller JB, Wang SY, Taylor FR, et al. Preventive pharmacologic treatments for episodic migraine in adults. J Gen Intern Med. 2013;28(9):1225-37.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282.</w:t>
      </w:r>
      <w:r w:rsidRPr="00A913F4">
        <w:rPr>
          <w:rFonts w:ascii="Times New Roman" w:hAnsi="Times New Roman"/>
        </w:rPr>
        <w:tab/>
        <w:t>Shamliyan TA, Kane RL, Taylor FR. AHRQ Comparative Effectiveness Reviews.  Migraine in Adults: Preventive Pharmacologic Treatments. Rockville (MD): Agency for Healthcare Research and Quality (US); 2013.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283.</w:t>
      </w:r>
      <w:r w:rsidRPr="00A913F4">
        <w:rPr>
          <w:rFonts w:ascii="Times New Roman" w:hAnsi="Times New Roman"/>
        </w:rPr>
        <w:tab/>
        <w:t>Shi KQ, Liu WY, Pan ZZ, Ling XF, Chen SL, Chen YP, et al. Secondary prophylaxis of variceal bleeding for cirrhotic patients: a multiple-treatments meta-analysis. Eur J Clin Invest. 2013;43(8):844-54.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284.</w:t>
      </w:r>
      <w:r w:rsidRPr="00A913F4">
        <w:rPr>
          <w:rFonts w:ascii="Times New Roman" w:hAnsi="Times New Roman"/>
        </w:rPr>
        <w:tab/>
        <w:t>Shu T, Chen GH, Rong L, Feng F, Yang B, Chen R, et al. Indirect comparison of anti-TNF-alpha agents for active ankylosing spondylitis: mixed treatment comparison of randomized controlled trials. Clin Exp Rheumatol. 2013;31(5):717-22.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285.</w:t>
      </w:r>
      <w:r w:rsidRPr="00A913F4">
        <w:rPr>
          <w:rFonts w:ascii="Times New Roman" w:hAnsi="Times New Roman"/>
        </w:rPr>
        <w:tab/>
        <w:t>Skoetz N, Trelle S, Rancea M, Haverkamp H, Diehl V, Engert A, et al. Effect of initial treatment strategy on survival of patients with advanced-stage Hodgkin's lymphoma: a systematic review and network meta-analysis. Lancet Oncol. 2013;14(10):943-52.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286.</w:t>
      </w:r>
      <w:r w:rsidRPr="00A913F4">
        <w:rPr>
          <w:rFonts w:ascii="Times New Roman" w:hAnsi="Times New Roman"/>
        </w:rPr>
        <w:tab/>
        <w:t>Terasawa T, Trikalinos NA, Djulbegovic B, Trikalinos TA. Comparative efficacy of first-line therapies for advanced-stage chronic lymphocytic leukemia: a multiple-treatment meta-analysis. Cancer Treat Rev. 2013;39(4):340-9.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287.</w:t>
      </w:r>
      <w:r w:rsidRPr="00A913F4">
        <w:rPr>
          <w:rFonts w:ascii="Times New Roman" w:hAnsi="Times New Roman"/>
        </w:rPr>
        <w:tab/>
        <w:t>Uthman OA, van der Windt DA, Jordan JL, Dziedzic KS, Healey EL, Peat GM, et al. Exercise for lower limb osteoarthritis: systematic review incorporating trial sequential analysis and network meta-analysis. BMJ. 2013;347:f5555.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288.</w:t>
      </w:r>
      <w:r w:rsidRPr="00A913F4">
        <w:rPr>
          <w:rFonts w:ascii="Times New Roman" w:hAnsi="Times New Roman"/>
        </w:rPr>
        <w:tab/>
        <w:t>Wiens A, Lenzi L, Venson R, Correr CJ, Rotta I, Pedroso ML, et al. Comparative efficacy of oral nucleoside or nucleotide analog monotherapy used in chronic hepatitis B: a mixed-treatment comparison meta-analysis. Pharmacotherapy. 2013;33(2):144-51.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289.</w:t>
      </w:r>
      <w:r w:rsidRPr="00A913F4">
        <w:rPr>
          <w:rFonts w:ascii="Times New Roman" w:hAnsi="Times New Roman"/>
        </w:rPr>
        <w:tab/>
        <w:t>Wu HY, Huang JW, Lin HJ, Liao WC, Peng YS, Hung KY, et al. Comparative effectiveness of renin-angiotensin system blockers and other antihypertensive drugs in patients with diabetes: systematic review and bayesian network meta-analysis. BMJ. 2013;347:f6008.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290.</w:t>
      </w:r>
      <w:r w:rsidRPr="00A913F4">
        <w:rPr>
          <w:rFonts w:ascii="Times New Roman" w:hAnsi="Times New Roman"/>
        </w:rPr>
        <w:tab/>
        <w:t>Wu MS, Tan SC, Xiong T. Indirect comparison of randomised controlled trials: comparative efficacy of dexlansoprazole vs. esomeprazole in the treatment of gastro-oesophageal reflux disease. Aliment Pharmacol Ther. 2013;38(2):190-201.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291.</w:t>
      </w:r>
      <w:r w:rsidRPr="00A913F4">
        <w:rPr>
          <w:rFonts w:ascii="Times New Roman" w:hAnsi="Times New Roman"/>
        </w:rPr>
        <w:tab/>
        <w:t>Yuan J, Zhang R, Yang Z, Lee J, Liu Y, Tian J, et al. Comparative effectiveness and safety of oral phosphodiesterase type 5 inhibitors for erectile dysfunction: a systematic review and network meta-analysis. Eur Urol. 2013;63(5):902-12.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292.</w:t>
      </w:r>
      <w:r w:rsidRPr="00A913F4">
        <w:rPr>
          <w:rFonts w:ascii="Times New Roman" w:hAnsi="Times New Roman"/>
        </w:rPr>
        <w:tab/>
        <w:t>Zaccara G, Giovannelli F, Maratea D, Fadda V, Verrotti A. Neurological adverse events of new generation sodium blocker antiepileptic drugs. Meta-analysis of randomized, double-blinded studies with eslicarbazepine acetate, lacosamide and oxcarbazepine. Seizure. 2013;22(7):528-36.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293.</w:t>
      </w:r>
      <w:r w:rsidRPr="00A913F4">
        <w:rPr>
          <w:rFonts w:ascii="Times New Roman" w:hAnsi="Times New Roman"/>
        </w:rPr>
        <w:tab/>
        <w:t>Zhang HNS, R. A network meta-analysis on the influence of antihypertensive agents on new-onset diabetes [Chinese]. Chinese Pharmaceutical Journal. 2013;48(11):930-4.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294.</w:t>
      </w:r>
      <w:r w:rsidRPr="00A913F4">
        <w:rPr>
          <w:rFonts w:ascii="Times New Roman" w:hAnsi="Times New Roman"/>
        </w:rPr>
        <w:tab/>
        <w:t>Ashby RL, Gabe R, Ali S, Saramago P, Chuang LH, Adderley U, et al. VenUS IV (Venous leg Ulcer Study IV) - compression hosiery compared with compression bandaging in the treatment of venous leg ulcers: a randomised controlled trial, mixed-treatment comparison and decision-analytic model. Health Technol Assess. 2014;18(57):1-293, v-vi.</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295.</w:t>
      </w:r>
      <w:r w:rsidRPr="00A913F4">
        <w:rPr>
          <w:rFonts w:ascii="Times New Roman" w:hAnsi="Times New Roman"/>
        </w:rPr>
        <w:tab/>
        <w:t>Baji P, Pentek M, Czirjak L, Szekanecz Z, Nagy G, Gulacsi L, et al. Efficacy and safety of infliximab-biosimilar compared to other biological drugs in rheumatoid arthritis: a mixed treatment comparison. Eur J Health Econ. 2014;15 Suppl 1:S53-64.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296.</w:t>
      </w:r>
      <w:r w:rsidRPr="00A913F4">
        <w:rPr>
          <w:rFonts w:ascii="Times New Roman" w:hAnsi="Times New Roman"/>
        </w:rPr>
        <w:tab/>
        <w:t>Baji P, Pentek M, Szanto S, Geher P, Gulacsi L, Balogh O, et al. Comparative efficacy and safety of biosimilar infliximab and other biological treatments in ankylosing spondylitis: systematic literature review and meta-analysis. Eur J Health Econ. 2014;15 Suppl 1:S45-52.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297.</w:t>
      </w:r>
      <w:r w:rsidRPr="00A913F4">
        <w:rPr>
          <w:rFonts w:ascii="Times New Roman" w:hAnsi="Times New Roman"/>
        </w:rPr>
        <w:tab/>
        <w:t>Bangalore S, Toklu B, Feit F. Outcomes with coronary artery bypass graft surgery versus percutaneous coronary intervention for patients with diabetes mellitus: can newer generation drug-eluting stents bridge the gap? Circ Cardiovasc Interv. 2014;7(4):518-25.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298.</w:t>
      </w:r>
      <w:r w:rsidRPr="00A913F4">
        <w:rPr>
          <w:rFonts w:ascii="Times New Roman" w:hAnsi="Times New Roman"/>
        </w:rPr>
        <w:tab/>
        <w:t>Bangalore S, Toklu B, Kotwal A, Volodarskiy A, Sharma S, Kirtane AJ, et al. Anticoagulant therapy during primary percutaneous coronary intervention for acute myocardial infarction: a meta-analysis of randomized trials in the era of stents and P2Y12 inhibitors. BMJ. 2014;349:g6419.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299.</w:t>
      </w:r>
      <w:r w:rsidRPr="00A913F4">
        <w:rPr>
          <w:rFonts w:ascii="Times New Roman" w:hAnsi="Times New Roman"/>
        </w:rPr>
        <w:tab/>
        <w:t>Biondi-Zoccai G, Lotrionte M, Thomsen HS, Romagnoli E, D'Ascenzo F, Giordano A, et al. Nephropathy after administration of iso-osmolar and low-osmolar contrast media: evidence from a network meta-analysis. Int J Cardiol. 2014;172(2):375-80.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300.</w:t>
      </w:r>
      <w:r w:rsidRPr="00A913F4">
        <w:rPr>
          <w:rFonts w:ascii="Times New Roman" w:hAnsi="Times New Roman"/>
        </w:rPr>
        <w:tab/>
        <w:t>Caldeira D, Pinto FJ, Ferreira JJ. Dyspnea and reversibility profile of P2Y(1)(2) antagonists: systematic review of new antiplatelet drugs. Am J Cardiovasc Drugs. 2014;14(4):303-11.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301.</w:t>
      </w:r>
      <w:r w:rsidRPr="00A913F4">
        <w:rPr>
          <w:rFonts w:ascii="Times New Roman" w:hAnsi="Times New Roman"/>
        </w:rPr>
        <w:tab/>
        <w:t>Cameron C, Coyle D, Richter T, Kelly S, Gauthier K, Steiner S, et al. Systematic review and network meta-analysis comparing antithrombotic agents for the prevention of stroke and major bleeding in patients with atrial fibrillation. BMJ Open. 2014;4(6):e004301.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302.</w:t>
      </w:r>
      <w:r w:rsidRPr="00A913F4">
        <w:rPr>
          <w:rFonts w:ascii="Times New Roman" w:hAnsi="Times New Roman"/>
        </w:rPr>
        <w:tab/>
        <w:t>Carter P, Achana F, Troughton J, Gray LJ, Khunti K, Davies MJ. A Mediterranean diet improves HbA1c but not fasting blood glucose compared to alternative dietary strategies: a network meta-analysis. J Hum Nutr Diet. 2014;27(3):280-97.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303.</w:t>
      </w:r>
      <w:r w:rsidRPr="00A913F4">
        <w:rPr>
          <w:rFonts w:ascii="Times New Roman" w:hAnsi="Times New Roman"/>
        </w:rPr>
        <w:tab/>
        <w:t>Caruba T, Katsahian S, Schramm C, Charles Nelson A, Durieux P, Begue D, et al. Treatment for stable coronary artery disease: a network meta-analysis of cost-effectiveness studies. PLoS One. 2014;9(6):e98371.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304.</w:t>
      </w:r>
      <w:r w:rsidRPr="00A913F4">
        <w:rPr>
          <w:rFonts w:ascii="Times New Roman" w:hAnsi="Times New Roman"/>
        </w:rPr>
        <w:tab/>
        <w:t>Castellucci LA, Cameron C, Le Gal G, Rodger MA, Coyle D, Wells PS, et al. Clinical and safety outcomes associated with treatment of acute venous thromboembolism: a systematic review and meta-analysis. JAMA. 2014;312(11):1122-35.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305.</w:t>
      </w:r>
      <w:r w:rsidRPr="00A913F4">
        <w:rPr>
          <w:rFonts w:ascii="Times New Roman" w:hAnsi="Times New Roman"/>
        </w:rPr>
        <w:tab/>
        <w:t>Chambers JD, Winn A, Zhong Y, Olchanski N, Cangelosi MJ. Potential role of network meta-analysis in value-based insurance design. Am J Manag Care. 2014;20(8):641-8.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306.</w:t>
      </w:r>
      <w:r w:rsidRPr="00A913F4">
        <w:rPr>
          <w:rFonts w:ascii="Times New Roman" w:hAnsi="Times New Roman"/>
        </w:rPr>
        <w:tab/>
        <w:t>Chan K, Shah K, Lien K, Coyle D, Lam H, Ko YJ. A Bayesian meta-analysis of multiple treatment comparisons of systemic regimens for advanced pancreatic cancer. PLoS One. 2014;9(10):e108749.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307.</w:t>
      </w:r>
      <w:r w:rsidRPr="00A913F4">
        <w:rPr>
          <w:rFonts w:ascii="Times New Roman" w:hAnsi="Times New Roman"/>
        </w:rPr>
        <w:tab/>
        <w:t>Chen Y, Zhang Y, Tang Y, Huang X, Xie Y. Long-term clinical efficacy and safety of adding cilostazol to dual antiplatelet therapy for patients undergoing PCI: a meta-analysis of randomized trials with adjusted indirect comparisons. Curr Med Res Opin. 2014;30(1):37-49.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308.</w:t>
      </w:r>
      <w:r w:rsidRPr="00A913F4">
        <w:rPr>
          <w:rFonts w:ascii="Times New Roman" w:hAnsi="Times New Roman"/>
        </w:rPr>
        <w:tab/>
        <w:t>Chilton M, Dunkley A, Carter P, Davies MJ, Khunti K, Gray LJ. The effect of antiobesity drugs on waist circumference: a mixed treatment comparison. Diabetes Obes Metab. 2014;16(3):237-47.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309.</w:t>
      </w:r>
      <w:r w:rsidRPr="00A913F4">
        <w:rPr>
          <w:rFonts w:ascii="Times New Roman" w:hAnsi="Times New Roman"/>
        </w:rPr>
        <w:tab/>
        <w:t>Craddy P, Palin HJ, Johnson KI. Comparative effectiveness of dipeptidylpeptidase-4 inhibitors in type 2 diabetes: a systematic review and mixed treatment comparison. Diabetes Ther. 2014;5(1):1-41.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310.</w:t>
      </w:r>
      <w:r w:rsidRPr="00A913F4">
        <w:rPr>
          <w:rFonts w:ascii="Times New Roman" w:hAnsi="Times New Roman"/>
        </w:rPr>
        <w:tab/>
        <w:t>Cucherat M, Stalmans I, Rouland JF. Relative efficacy and safety of preservative-free latanoprost (T2345) for the treatment of open-angle glaucoma and ocular hypertension: an adjusted Indirect comparison meta-analysis of randomized clinical trials. J Glaucoma. 2014;23(1):e69-75.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311.</w:t>
      </w:r>
      <w:r w:rsidRPr="00A913F4">
        <w:rPr>
          <w:rFonts w:ascii="Times New Roman" w:hAnsi="Times New Roman"/>
        </w:rPr>
        <w:tab/>
        <w:t>Cui J, Wu B, Liu C, Li Z. A systematic review and adjusted indirect comparison of oral anticoagulants. Orthopedics. 2014;37(11):763-71.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312.</w:t>
      </w:r>
      <w:r w:rsidRPr="00A913F4">
        <w:rPr>
          <w:rFonts w:ascii="Times New Roman" w:hAnsi="Times New Roman"/>
        </w:rPr>
        <w:tab/>
        <w:t>Dai N, Xu D, Zhang J, Wei Y, Li W, Fan B, et al. Different beta-blockers and initiation time in patients undergoing noncardiac surgery: a meta-analysis. Am J Med Sci. 2014;347(3):235-44.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313.</w:t>
      </w:r>
      <w:r w:rsidRPr="00A913F4">
        <w:rPr>
          <w:rFonts w:ascii="Times New Roman" w:hAnsi="Times New Roman"/>
        </w:rPr>
        <w:tab/>
        <w:t>Dai X, Wang H, Jing Z, Fu P. The effect of a dual combination of noninsulin antidiabetic drugs on lipids: a systematic review and network meta-analysis. Curr Med Res Opin. 2014;30(9):1777-86.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314.</w:t>
      </w:r>
      <w:r w:rsidRPr="00A913F4">
        <w:rPr>
          <w:rFonts w:ascii="Times New Roman" w:hAnsi="Times New Roman"/>
        </w:rPr>
        <w:tab/>
        <w:t>Dal Molin A, Allara E, Montani D, Milani S, Frassati C, Cossu S, et al. Flushing the central venous catheter: is heparin necessary? J Vasc Access. 2014;15(4):241-8.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315.</w:t>
      </w:r>
      <w:r w:rsidRPr="00A913F4">
        <w:rPr>
          <w:rFonts w:ascii="Times New Roman" w:hAnsi="Times New Roman"/>
        </w:rPr>
        <w:tab/>
        <w:t>Desamericq G, Schurhoff F, Meary A, Szoke A, Macquin-Mavier I, Bachoud-Levi AC, et al. Long-term neurocognitive effects of antipsychotics in schizophrenia: a network meta-analysis. Eur J Clin Pharmacol. 2014;70(2):127-34.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316.</w:t>
      </w:r>
      <w:r w:rsidRPr="00A913F4">
        <w:rPr>
          <w:rFonts w:ascii="Times New Roman" w:hAnsi="Times New Roman"/>
        </w:rPr>
        <w:tab/>
        <w:t>Dogliotti A, Paolasso E, Giugliano RP. Current and new oral antithrombotics in non-valvular atrial fibrillation: a network meta-analysis of 79 808 patients. Heart. 2014;100(5):396-405.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317.</w:t>
      </w:r>
      <w:r w:rsidRPr="00A913F4">
        <w:rPr>
          <w:rFonts w:ascii="Times New Roman" w:hAnsi="Times New Roman"/>
        </w:rPr>
        <w:tab/>
        <w:t>Dong J, Gao L, Lu W, Xu Z, Zheng J. Pharmacological interventions for acceleration of the onset time of rocuronium: a meta-analysis. PLoS One. 2014;9(12):e114231.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318.</w:t>
      </w:r>
      <w:r w:rsidRPr="00A913F4">
        <w:rPr>
          <w:rFonts w:ascii="Times New Roman" w:hAnsi="Times New Roman"/>
        </w:rPr>
        <w:tab/>
        <w:t>Dooley C, Kaur R, Sobieraj DM. Comparison of the efficacy and safety of low molecular weight heparins for venous thromboembolism prophylaxis in medically ill patients. Curr Med Res Opin. 2014;30(3):367-80.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319.</w:t>
      </w:r>
      <w:r w:rsidRPr="00A913F4">
        <w:rPr>
          <w:rFonts w:ascii="Times New Roman" w:hAnsi="Times New Roman"/>
        </w:rPr>
        <w:tab/>
        <w:t>Dranitsaris G, Ellis AK. Sublingual or subcutaneous immunotherapy for seasonal allergic rhinitis: an indirect analysis of efficacy, safety and cost. J Eval Clin Pract. 2014;20(3):225-38.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320.</w:t>
      </w:r>
      <w:r w:rsidRPr="00A913F4">
        <w:rPr>
          <w:rFonts w:ascii="Times New Roman" w:hAnsi="Times New Roman"/>
        </w:rPr>
        <w:tab/>
        <w:t>Ellis AG, Reginster JY, Luo X, Bushmakin AG, Williams R, Sutradhar S, et al. Indirect comparison of bazedoxifene vs oral bisphosphonates for the prevention of vertebral fractures in postmenopausal osteoporotic women. Curr Med Res Opin. 2014;30(8):1617-26.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321.</w:t>
      </w:r>
      <w:r w:rsidRPr="00A913F4">
        <w:rPr>
          <w:rFonts w:ascii="Times New Roman" w:hAnsi="Times New Roman"/>
        </w:rPr>
        <w:tab/>
        <w:t>Ellis AG, Reginster JY, Luo X, Cappelleri JC, Chines A, Sutradhar S, et al. Bazedoxifene versus oral bisphosphonates for the prevention of nonvertebral fractures in postmenopausal women with osteoporosis at higher risk of fracture: a network meta-analysis. Value Health. 2014;17(4):424-32.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322.</w:t>
      </w:r>
      <w:r w:rsidRPr="00A913F4">
        <w:rPr>
          <w:rFonts w:ascii="Times New Roman" w:hAnsi="Times New Roman"/>
        </w:rPr>
        <w:tab/>
        <w:t>Faggion CM, Jr., Listl S, Fruhauf N, Chang HJ, Tu YK. A systematic review and Bayesian network meta-analysis of randomized clinical trials on non-surgical treatments for peri-implantitis. J Clin Periodontol. 2014;41(10):1015-25.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323.</w:t>
      </w:r>
      <w:r w:rsidRPr="00A913F4">
        <w:rPr>
          <w:rFonts w:ascii="Times New Roman" w:hAnsi="Times New Roman"/>
        </w:rPr>
        <w:tab/>
        <w:t>Fournier M, Germe M, Theobald K, Scholz GH, Lehmacher W. Indirect comparison of lixisenatide versus neutral protamine Hagedorn insulin as add-on to metformin and sulphonylurea in patients with type 2 diabetes mellitus. Ger Med Sci. 2014;12:Doc14.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324.</w:t>
      </w:r>
      <w:r w:rsidRPr="00A913F4">
        <w:rPr>
          <w:rFonts w:ascii="Times New Roman" w:hAnsi="Times New Roman"/>
        </w:rPr>
        <w:tab/>
        <w:t>Furukawa TA, Noma H, Caldwell DM, Honyashiki M, Shinohara K, Imai H, et al. Waiting list may be a nocebo condition in psychotherapy trials: a contribution from network meta-analysis. Acta Psychiatr Scand. 2014;130(3):181-92.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325.</w:t>
      </w:r>
      <w:r w:rsidRPr="00A913F4">
        <w:rPr>
          <w:rFonts w:ascii="Times New Roman" w:hAnsi="Times New Roman"/>
        </w:rPr>
        <w:tab/>
        <w:t>Gerger H, Munder T, Gemperli A, Nuesch E, Trelle S, Juni P, et al. Integrating fragmented evidence by network meta-analysis: relative effectiveness of psychological interventions for adults with post-traumatic stress disorder. Psychol Med. 2014;44(15):3151-64.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326.</w:t>
      </w:r>
      <w:r w:rsidRPr="00A913F4">
        <w:rPr>
          <w:rFonts w:ascii="Times New Roman" w:hAnsi="Times New Roman"/>
        </w:rPr>
        <w:tab/>
        <w:t>Gonzalez-Vacarezza N, Aleman A, Gonzalez G, Perez A. Rituximab and tocilizumab for the treatment of rheumatoid arthritis. Int J Technol Assess Health Care. 2014;30(3):282-8.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327.</w:t>
      </w:r>
      <w:r w:rsidRPr="00A913F4">
        <w:rPr>
          <w:rFonts w:ascii="Times New Roman" w:hAnsi="Times New Roman"/>
        </w:rPr>
        <w:tab/>
        <w:t>Goring S, Hawkins N, Wygant G, Roudaut M, Townsend R, Wood I, et al. Dapagliflozin compared with other oral anti-diabetes treatments when added to metformin monotherapy: a systematic review and network meta-analysis. Diabetes Obes Metab. 2014;16(5):433-42.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328.</w:t>
      </w:r>
      <w:r w:rsidRPr="00A913F4">
        <w:rPr>
          <w:rFonts w:ascii="Times New Roman" w:hAnsi="Times New Roman"/>
        </w:rPr>
        <w:tab/>
        <w:t>Graudal N, Hubeck-Graudal T, Tarp S, Christensen R, Jurgens G. Effect of combination therapy on joint destruction in rheumatoid arthritis: a network meta-analysis of randomized controlled trials. PLoS One. 2014;9(9):e106408.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329.</w:t>
      </w:r>
      <w:r w:rsidRPr="00A913F4">
        <w:rPr>
          <w:rFonts w:ascii="Times New Roman" w:hAnsi="Times New Roman"/>
        </w:rPr>
        <w:tab/>
        <w:t>Gresham GK, Wells GA, Gill S, Cameron C, Jonker DJ. Chemotherapy regimens for advanced pancreatic cancer: a systematic review and network meta-analysis. BMC Cancer. 2014;14:471.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330.</w:t>
      </w:r>
      <w:r w:rsidRPr="00A913F4">
        <w:rPr>
          <w:rFonts w:ascii="Times New Roman" w:hAnsi="Times New Roman"/>
        </w:rPr>
        <w:tab/>
        <w:t>Griebeler ML, Morey-Vargas OL, Brito JP, Tsapas A, Wang Z, Leon BGC, et al. Pharmacologic interventions for painful diabetic neuropathy: an umbrella systematic review and comparative effectiveness network meta-analysis. Ann Intern Med. 2014;161(9):639-49.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331.</w:t>
      </w:r>
      <w:r w:rsidRPr="00A913F4">
        <w:rPr>
          <w:rFonts w:ascii="Times New Roman" w:hAnsi="Times New Roman"/>
        </w:rPr>
        <w:tab/>
        <w:t>Gupta AK, Charrette A. The efficacy and safety of 5alpha-reductase inhibitors in androgenetic alopecia: a network meta-analysis and benefit-risk assessment of finasteride and dutasteride. J Dermatolog Treat. 2014;25(2):156-61.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332.</w:t>
      </w:r>
      <w:r w:rsidRPr="00A913F4">
        <w:rPr>
          <w:rFonts w:ascii="Times New Roman" w:hAnsi="Times New Roman"/>
        </w:rPr>
        <w:tab/>
        <w:t>Gupta AK, Daigle D, Lyons DC. Network Meta-analysis of Treatments for Chronic Plaque Psoriasis in Canada. J Cutan Med Surg. 2014;18(6):371-8.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333.</w:t>
      </w:r>
      <w:r w:rsidRPr="00A913F4">
        <w:rPr>
          <w:rFonts w:ascii="Times New Roman" w:hAnsi="Times New Roman"/>
        </w:rPr>
        <w:tab/>
        <w:t>Hornyak M, Scholz H, Kohnen R, Bengel J, Kassubek J, Trenkwalder C. What treatment works best for restless legs syndrome? Meta-analyses of dopaminergic and non-dopaminergic medications. Sleep Med Rev. 2014;18(2):153-64.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334.</w:t>
      </w:r>
      <w:r w:rsidRPr="00A913F4">
        <w:rPr>
          <w:rFonts w:ascii="Times New Roman" w:hAnsi="Times New Roman"/>
        </w:rPr>
        <w:tab/>
        <w:t>Hutchinson M, Fox RJ, Havrdova E, Kurukulasuriya NC, Sarda SP, Agarwal S, et al. Efficacy and safety of BG-12 (dimethyl fumarate) and other disease-modifying therapies for the treatment of relapsing-remitting multiple sclerosis: a systematic review and mixed treatment comparison. Curr Med Res Opin. 2014;30(4):613-27.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335.</w:t>
      </w:r>
      <w:r w:rsidRPr="00A913F4">
        <w:rPr>
          <w:rFonts w:ascii="Times New Roman" w:hAnsi="Times New Roman"/>
        </w:rPr>
        <w:tab/>
        <w:t>Jansen JP, Buckley F, Dejonckheere F, Ogale S. Comparative efficacy of biologics as monotherapy and in combination with methotrexate on patient reported outcomes (PROs) in rheumatoid arthritis patients with an inadequate response to conventional DMARDs--a systematic review and network meta-analysis. Health Qual Life Outcomes. 2014;12:102.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336.</w:t>
      </w:r>
      <w:r w:rsidRPr="00A913F4">
        <w:rPr>
          <w:rFonts w:ascii="Times New Roman" w:hAnsi="Times New Roman"/>
        </w:rPr>
        <w:tab/>
        <w:t>Johnston BC, Kanters S, Bandayrel K, Wu P, Naji F, Siemieniuk RA, et al. Comparison of weight loss among named diet programs in overweight and obese adults: a meta-analysis. JAMA. 2014;312(9):923-33.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337.</w:t>
      </w:r>
      <w:r w:rsidRPr="00A913F4">
        <w:rPr>
          <w:rFonts w:ascii="Times New Roman" w:hAnsi="Times New Roman"/>
        </w:rPr>
        <w:tab/>
        <w:t>Kang N, Sobieraj DM. Indirect treatment comparison of new oral anticoagulants for the treatment of acute venous thromboembolism. Thromb Res. 2014;133(6):1145-51.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338.</w:t>
      </w:r>
      <w:r w:rsidRPr="00A913F4">
        <w:rPr>
          <w:rFonts w:ascii="Times New Roman" w:hAnsi="Times New Roman"/>
        </w:rPr>
        <w:tab/>
        <w:t>Katsanos K, Spiliopoulos S, Karunanithy N, Krokidis M, Sabharwal T, Taylor P. Bayesian network meta-analysis of nitinol stents, covered stents, drug-eluting stents, and drug-coated balloons in the femoropopliteal artery. J Vasc Surg. 2014;59(4):1123-33.e8.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339.</w:t>
      </w:r>
      <w:r w:rsidRPr="00A913F4">
        <w:rPr>
          <w:rFonts w:ascii="Times New Roman" w:hAnsi="Times New Roman"/>
        </w:rPr>
        <w:tab/>
        <w:t>Kew KM, Dias S, Cates CJ. Long-acting inhaled therapy (beta-agonists, anticholinergics and steroids) for COPD: a network meta-analysis. Cochrane Database Syst Rev. 2014;3:Cd010844.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340.</w:t>
      </w:r>
      <w:r w:rsidRPr="00A913F4">
        <w:rPr>
          <w:rFonts w:ascii="Times New Roman" w:hAnsi="Times New Roman"/>
        </w:rPr>
        <w:tab/>
        <w:t>Kriston L, von Wolff A, Westphal A, Holzel LP, Harter M. Efficacy and acceptability of acute treatments for persistent depressive disorder: a network meta-analysis. Depress Anxiety. 2014;31(8):621-30.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341.</w:t>
      </w:r>
      <w:r w:rsidRPr="00A913F4">
        <w:rPr>
          <w:rFonts w:ascii="Times New Roman" w:hAnsi="Times New Roman"/>
        </w:rPr>
        <w:tab/>
        <w:t>Kunitomi T, Hashiguchi M, Mochizuki M. Indirect comparison analysis of efficacy and safety between olanzapine and aripiprazole for schizophrenia. Br J Clin Pharmacol. 2014;77(5):767-76.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342.</w:t>
      </w:r>
      <w:r w:rsidRPr="00A913F4">
        <w:rPr>
          <w:rFonts w:ascii="Times New Roman" w:hAnsi="Times New Roman"/>
        </w:rPr>
        <w:tab/>
        <w:t>Laporte S, Chapelle C, Bertoletti L, Lega JC, Cucherat M, Zufferey PJ, et al. Indirect comparison meta-analysis of two enoxaparin regimens in patients undergoing major orthopaedic surgery. Impact on the interpretation of thromboprophylactic effects of new anticoagulant drugs. Thromb Haemost. 2014;112(3):503-10.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343.</w:t>
      </w:r>
      <w:r w:rsidRPr="00A913F4">
        <w:rPr>
          <w:rFonts w:ascii="Times New Roman" w:hAnsi="Times New Roman"/>
        </w:rPr>
        <w:tab/>
        <w:t>Le Cleach L, Trinquart L, Do G, Maruani A, Lebrun-Vignes B, Ravaud P, et al. Oral antiviral therapy for prevention of genital herpes outbreaks in immunocompetent and nonpregnant patients. Cochrane Database Syst Rev. 2014;8:Cd009036.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344.</w:t>
      </w:r>
      <w:r w:rsidRPr="00A913F4">
        <w:rPr>
          <w:rFonts w:ascii="Times New Roman" w:hAnsi="Times New Roman"/>
        </w:rPr>
        <w:tab/>
        <w:t>Leaviss J, Sullivan W, Ren S, Everson-Hock E, Stevenson M, Stevens JW, et al. What is the clinical effectiveness and cost-effectiveness of cytisine compared with varenicline for smoking cessation? A systematic review and economic evaluation. Health Technol Assess. 2014;18(33):1-120.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345.</w:t>
      </w:r>
      <w:r w:rsidRPr="00A913F4">
        <w:rPr>
          <w:rFonts w:ascii="Times New Roman" w:hAnsi="Times New Roman"/>
        </w:rPr>
        <w:tab/>
        <w:t>Leibovici-Weissman Y, Neuberger A, Bitterman R, Sinclair D, Salam MA, Paul M. Antimicrobial drugs for treating cholera. Cochrane Database Syst Rev. 2014;6:Cd008625.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346.</w:t>
      </w:r>
      <w:r w:rsidRPr="00A913F4">
        <w:rPr>
          <w:rFonts w:ascii="Times New Roman" w:hAnsi="Times New Roman"/>
        </w:rPr>
        <w:tab/>
        <w:t>Li L, Tian J, Tian H, Sun R, Wang Q, Yang K. The efficacy and safety of different kinds of laparoscopic cholecystectomy: a network meta analysis of 43 randomized controlled trials. PLoS One. 2014;9(2):e90313.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347.</w:t>
      </w:r>
      <w:r w:rsidRPr="00A913F4">
        <w:rPr>
          <w:rFonts w:ascii="Times New Roman" w:hAnsi="Times New Roman"/>
        </w:rPr>
        <w:tab/>
        <w:t>Liang W, Wu X, Fang W, Zhao Y, Yang Y, Hu Z, et al. Network meta-analysis of erlotinib, gefitinib, afatinib and icotinib in patients with advanced non-small-cell lung cancer harboring EGFR mutations. PLoS One. 2014;9(2):e85245.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348.</w:t>
      </w:r>
      <w:r w:rsidRPr="00A913F4">
        <w:rPr>
          <w:rFonts w:ascii="Times New Roman" w:hAnsi="Times New Roman"/>
        </w:rPr>
        <w:tab/>
        <w:t>Lin L, Zhao YJ, Chew PT, Sng CC, Wong HT, Yip LW, et al. Comparative efficacy and tolerability of topical prostaglandin analogues for primary open-angle glaucoma and ocular hypertension. Ann Pharmacother. 2014;48(12):1585-93.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349.</w:t>
      </w:r>
      <w:r w:rsidRPr="00A913F4">
        <w:rPr>
          <w:rFonts w:ascii="Times New Roman" w:hAnsi="Times New Roman"/>
        </w:rPr>
        <w:tab/>
        <w:t>Lin PY, Chen HS, Wang YH, Tu YK. Primary molar pulpotomy: a systematic review and network meta-analysis. J Dent. 2014;42(9):1060-77.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350.</w:t>
      </w:r>
      <w:r w:rsidRPr="00A913F4">
        <w:rPr>
          <w:rFonts w:ascii="Times New Roman" w:hAnsi="Times New Roman"/>
        </w:rPr>
        <w:tab/>
        <w:t>Liu Y, Yan R, Song A, Niu X, Cao C, Wei J, et al. Aliskiren/amlodipine vs. aliskiren/hydrochlorothiazide in hypertension: indirect meta-analysis of trials comparing the two combinations vs. monotherapy. Am J Hypertens. 2014;27(2):268-78.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351.</w:t>
      </w:r>
      <w:r w:rsidRPr="00A913F4">
        <w:rPr>
          <w:rFonts w:ascii="Times New Roman" w:hAnsi="Times New Roman"/>
        </w:rPr>
        <w:tab/>
        <w:t>Llorca PM, Lancon C, Brignone M, Rive B, Salah S, Ereshefsky L, et al. Relative efficacy and tolerability of vortioxetine versus selected antidepressants by indirect comparisons of similar clinical studies. Curr Med Res Opin. 2014;30(12):2589-606.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352.</w:t>
      </w:r>
      <w:r w:rsidRPr="00A913F4">
        <w:rPr>
          <w:rFonts w:ascii="Times New Roman" w:hAnsi="Times New Roman"/>
        </w:rPr>
        <w:tab/>
        <w:t>Loke YK, Pradhan S, Yeong JK, Kwok CS. Comparative coronary risks of apixaban, rivaroxaban and dabigatran: a meta-analysis and adjusted indirect comparison. Br J Clin Pharmacol. 2014;78(4):707-17.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353.</w:t>
      </w:r>
      <w:r w:rsidRPr="00A913F4">
        <w:rPr>
          <w:rFonts w:ascii="Times New Roman" w:hAnsi="Times New Roman"/>
        </w:rPr>
        <w:tab/>
        <w:t>Loveman E, Copley VR, Colquitt JL, Scott DA, Clegg AJ, Jones J, et al. The effectiveness and cost-effectiveness of treatments for idiopathic pulmonary fibrosis: systematic review, network meta-analysis and health economic evaluation. BMC Pharmacol Toxicol. 2014;15:63.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354.</w:t>
      </w:r>
      <w:r w:rsidRPr="00A913F4">
        <w:rPr>
          <w:rFonts w:ascii="Times New Roman" w:hAnsi="Times New Roman"/>
        </w:rPr>
        <w:tab/>
        <w:t>Loymans RJ, Gemperli A, Cohen J, Rubinstein SM, Sterk PJ, Reddel HK, et al. Comparative effectiveness of long term drug treatment strategies to prevent asthma exacerbations: network meta-analysis. BMJ. 2014;348:g3009.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355.</w:t>
      </w:r>
      <w:r w:rsidRPr="00A913F4">
        <w:rPr>
          <w:rFonts w:ascii="Times New Roman" w:hAnsi="Times New Roman"/>
        </w:rPr>
        <w:tab/>
        <w:t>Maman K, Aballea S, Nazir J, Desroziers K, Neine ME, Siddiqui E, et al. Comparative efficacy and safety of medical treatments for the management of overactive bladder: a systematic literature review and mixed treatment comparison. Eur Urol. 2014;65(4):755-65.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356.</w:t>
      </w:r>
      <w:r w:rsidRPr="00A913F4">
        <w:rPr>
          <w:rFonts w:ascii="Times New Roman" w:hAnsi="Times New Roman"/>
        </w:rPr>
        <w:tab/>
        <w:t>Mealing S, Ghement I, Hawkins N, Scott DA, Lescrauwaet B, Watt M, et al. The importance of baseline viral load when assessing relative efficacy in treatment-naive HBeAg-positive chronic hepatitis B: a systematic review and network meta-analysis. Syst Rev. 2014;3:21.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357.</w:t>
      </w:r>
      <w:r w:rsidRPr="00A913F4">
        <w:rPr>
          <w:rFonts w:ascii="Times New Roman" w:hAnsi="Times New Roman"/>
        </w:rPr>
        <w:tab/>
        <w:t>Messori A, Fadda V, Maratea D, Trippoli S, Gatto R, De Rosa M, et al. Biological drugs for the treatment of rheumatoid arthritis by the subcutaneous route: interpreting efficacy data to assess statistical equivalence. Ther Adv Musculoskelet Dis. 2014;6(6):207-16.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358.</w:t>
      </w:r>
      <w:r w:rsidRPr="00A913F4">
        <w:rPr>
          <w:rFonts w:ascii="Times New Roman" w:hAnsi="Times New Roman"/>
        </w:rPr>
        <w:tab/>
        <w:t>Messori A, Fadda V, Maratea D, Trippoli S, Gatto R, De Rosa M, et al. Biological drugs for the treatment of moderate-to-severe psoriasis by subcutaneous route: determining statistical equivalence according to evidence-based methods. Clin Drug Investig. 2014;34(8):593-8.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359.</w:t>
      </w:r>
      <w:r w:rsidRPr="00A913F4">
        <w:rPr>
          <w:rFonts w:ascii="Times New Roman" w:hAnsi="Times New Roman"/>
        </w:rPr>
        <w:tab/>
        <w:t>Messori A, Fadda V, Maratea D, Trippoli S, Marinai C. Anti-reabsorptive agents in women with osteoporosis: determining statistical equivalence according to evidence-based methods. J Endocrinol Invest. 2014;37(8):769-73.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360.</w:t>
      </w:r>
      <w:r w:rsidRPr="00A913F4">
        <w:rPr>
          <w:rFonts w:ascii="Times New Roman" w:hAnsi="Times New Roman"/>
        </w:rPr>
        <w:tab/>
        <w:t>Mills EJ, Lester R, Thorlund K, Lorenzi M, Muldoon K, Kanters S, et al. Interventions to promote adherence to antiretroviral therapy in Africa: a network meta-analysis. The Lancet HIV. 2014;1(3):e104-e11.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361.</w:t>
      </w:r>
      <w:r w:rsidRPr="00A913F4">
        <w:rPr>
          <w:rFonts w:ascii="Times New Roman" w:hAnsi="Times New Roman"/>
        </w:rPr>
        <w:tab/>
        <w:t>Mills EJ, Thorlund K, Eapen S, Wu P, Prochaska JJ. Cardiovascular events associated with smoking cessation pharmacotherapies: a network meta-analysis. Circulation. 2014;129(1):28-41.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362.</w:t>
      </w:r>
      <w:r w:rsidRPr="00A913F4">
        <w:rPr>
          <w:rFonts w:ascii="Times New Roman" w:hAnsi="Times New Roman"/>
        </w:rPr>
        <w:tab/>
        <w:t>Musini VM, Nazer M, Bassett K, Wright JM. Blood pressure-lowering efficacy of monotherapy with thiazide diuretics for primary hypertension. Cochrane Database Syst Rev. 2014;5:Cd003824.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363.</w:t>
      </w:r>
      <w:r w:rsidRPr="00A913F4">
        <w:rPr>
          <w:rFonts w:ascii="Times New Roman" w:hAnsi="Times New Roman"/>
        </w:rPr>
        <w:tab/>
        <w:t>Myers J, Wielage RC, Han B, Price K, Gahn J, Paget MA, et al. The efficacy of duloxetine, non-steroidal anti-inflammatory drugs, and opioids in osteoarthritis: a systematic literature review and meta-analysis. BMC Musculoskelet Disord. 2014;15:76.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364.</w:t>
      </w:r>
      <w:r w:rsidRPr="00A913F4">
        <w:rPr>
          <w:rFonts w:ascii="Times New Roman" w:hAnsi="Times New Roman"/>
        </w:rPr>
        <w:tab/>
        <w:t>Naci H, Dias S, Ades AE. Industry sponsorship bias in research findings: a network meta-analysis of LDL cholesterol reduction in randomised trials of statins. BMJ. 2014;349:g5741.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365.</w:t>
      </w:r>
      <w:r w:rsidRPr="00A913F4">
        <w:rPr>
          <w:rFonts w:ascii="Times New Roman" w:hAnsi="Times New Roman"/>
        </w:rPr>
        <w:tab/>
        <w:t>Nagayama A, Hayashida T, Jinno H, Takahashi M, Seki T, Matsumoto A, et al. Comparative effectiveness of neoadjuvant therapy for HER2-positive breast cancer: a network meta-analysis. J Natl Cancer Inst. 2014;106(9).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366.</w:t>
      </w:r>
      <w:r w:rsidRPr="00A913F4">
        <w:rPr>
          <w:rFonts w:ascii="Times New Roman" w:hAnsi="Times New Roman"/>
        </w:rPr>
        <w:tab/>
        <w:t>Oba Y, Lone NA. Comparative efficacy of inhaled corticosteroid and long-acting beta agonist combinations in preventing COPD exacerbations: a Bayesian network meta-analysis. Int J Chron Obstruct Pulmon Dis. 2014;9:469-79.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367.</w:t>
      </w:r>
      <w:r w:rsidRPr="00A913F4">
        <w:rPr>
          <w:rFonts w:ascii="Times New Roman" w:hAnsi="Times New Roman"/>
        </w:rPr>
        <w:tab/>
        <w:t>Oba Y, Lone NA. Mortality benefit of vasopressor and inotropic agents in septic shock: a Bayesian network meta-analysis of randomized controlled trials. J Crit Care. 2014;29(5):706-10.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368.</w:t>
      </w:r>
      <w:r w:rsidRPr="00A913F4">
        <w:rPr>
          <w:rFonts w:ascii="Times New Roman" w:hAnsi="Times New Roman"/>
        </w:rPr>
        <w:tab/>
        <w:t>Orme M, Fenici P, Lomon ID, Wygant G, Townsend R, Roudaut M. A systematic review and mixed-treatment comparison of dapagliflozin with existing anti-diabetes treatments for those with type 2 diabetes mellitus inadequately controlled by sulfonylurea monotherapy. Diabetol Metab Syndr. 2014;6:73.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369.</w:t>
      </w:r>
      <w:r w:rsidRPr="00A913F4">
        <w:rPr>
          <w:rFonts w:ascii="Times New Roman" w:hAnsi="Times New Roman"/>
        </w:rPr>
        <w:tab/>
        <w:t>Palmer SC, Saglimbene V, Mavridis D, Salanti G, Craig JC, Tonelli M, et al. Erythropoiesis-stimulating agents for anaemia in adults with chronic kidney disease: a network meta-analysis. Cochrane Database Syst Rev. 2014;12:Cd010590.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370.</w:t>
      </w:r>
      <w:r w:rsidRPr="00A913F4">
        <w:rPr>
          <w:rFonts w:ascii="Times New Roman" w:hAnsi="Times New Roman"/>
        </w:rPr>
        <w:tab/>
        <w:t>Palmerini T, Biondi-Zoccai G, Della Riva D, Mariani A, Sabate M, Smits PC, et al. Clinical outcomes with bioabsorbable polymer- versus durable polymer-based drug-eluting and bare-metal stents: evidence from a comprehensive network meta-analysis. J Am Coll Cardiol. 2014;63(4):299-307.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371.</w:t>
      </w:r>
      <w:r w:rsidRPr="00A913F4">
        <w:rPr>
          <w:rFonts w:ascii="Times New Roman" w:hAnsi="Times New Roman"/>
        </w:rPr>
        <w:tab/>
        <w:t>Patel DA, Snedecor SJ, Tang WY, Sudharshan L, Lim JW, Cuffe R, et al. 48-week efficacy and safety of dolutegravir relative to commonly used third agents in treatment-naive HIV-1-infected patients: a systematic review and network meta-analysis. PLoS One. 2014;9(9):e105653.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372.</w:t>
      </w:r>
      <w:r w:rsidRPr="00A913F4">
        <w:rPr>
          <w:rFonts w:ascii="Times New Roman" w:hAnsi="Times New Roman"/>
        </w:rPr>
        <w:tab/>
        <w:t>Pechlivanoglou P, Le HH, Daenen S, Snowden JA, Postma MJ. Mixed treatment comparison of prophylaxis against invasive fungal infections in neutropenic patients receiving therapy for haematological malignancies: a systematic review. J Antimicrob Chemother. 2014;69(1):1-11.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373.</w:t>
      </w:r>
      <w:r w:rsidRPr="00A913F4">
        <w:rPr>
          <w:rFonts w:ascii="Times New Roman" w:hAnsi="Times New Roman"/>
        </w:rPr>
        <w:tab/>
        <w:t>Peruzzi M, De Luca L, Thomsen HS, Romagnoli E, D'Ascenzo F, Mancone M, et al. A network meta-analysis on randomized trials focusing on the preventive effect of statins on contrast-induced nephropathy. Biomed Res Int. 2014;2014:213239.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374.</w:t>
      </w:r>
      <w:r w:rsidRPr="00A913F4">
        <w:rPr>
          <w:rFonts w:ascii="Times New Roman" w:hAnsi="Times New Roman"/>
        </w:rPr>
        <w:tab/>
        <w:t>Piccolo R, Galasso G, Piscione F, Esposito G, Trimarco B, Dangas GD, et al. Meta-analysis of randomized trials comparing the effectiveness of different strategies for the treatment of drug-eluting stent restenosis. Am J Cardiol. 2014;114(9):1339-46.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375.</w:t>
      </w:r>
      <w:r w:rsidRPr="00A913F4">
        <w:rPr>
          <w:rFonts w:ascii="Times New Roman" w:hAnsi="Times New Roman"/>
        </w:rPr>
        <w:tab/>
        <w:t>Price R, MacLennan G, Glen J. Selective digestive or oropharyngeal decontamination and topical oropharyngeal chlorhexidine for prevention of death in general intensive care: systematic review and network meta-analysis. BMJ. 2014;348:g2197.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376.</w:t>
      </w:r>
      <w:r w:rsidRPr="00A913F4">
        <w:rPr>
          <w:rFonts w:ascii="Times New Roman" w:hAnsi="Times New Roman"/>
        </w:rPr>
        <w:tab/>
        <w:t>Regnier S, Malcolm W, Allen F, Wright J, Bezlyak V. Efficacy of anti-VEGF and laser photocoagulation in the treatment of visual impairment due to diabetic macular edema: a systematic review and network meta-analysis. PLoS One. 2014;9(7):e102309.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377.</w:t>
      </w:r>
      <w:r w:rsidRPr="00A913F4">
        <w:rPr>
          <w:rFonts w:ascii="Times New Roman" w:hAnsi="Times New Roman"/>
        </w:rPr>
        <w:tab/>
        <w:t>Rochwerg B, Alhazzani W, Sindi A, Heels-Ansdell D, Thabane L, Fox-Robichaud A, et al. Fluid resuscitation in sepsis: a systematic review and network meta-analysis. Ann Intern Med. 2014;161(5):347-55.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378.</w:t>
      </w:r>
      <w:r w:rsidRPr="00A913F4">
        <w:rPr>
          <w:rFonts w:ascii="Times New Roman" w:hAnsi="Times New Roman"/>
        </w:rPr>
        <w:tab/>
        <w:t>Rollins BM, Silva MA, Donovan JL, Kanaan AO. Evaluation of oral anticoagulants for the extended treatment of venous thromboembolism using a mixed-treatment comparison, meta-analytic approach. Clin Ther. 2014;36(10):1454-64.e3.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379.</w:t>
      </w:r>
      <w:r w:rsidRPr="00A913F4">
        <w:rPr>
          <w:rFonts w:ascii="Times New Roman" w:hAnsi="Times New Roman"/>
        </w:rPr>
        <w:tab/>
        <w:t>Roskell NS, Anzueto A, Hamilton A, Disse B, Becker K. Once-daily long-acting beta-agonists for chronic obstructive pulmonary disease: an indirect comparison of olodaterol and indacaterol. Int J Chron Obstruct Pulmon Dis. 2014;9:813-24.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380.</w:t>
      </w:r>
      <w:r w:rsidRPr="00A913F4">
        <w:rPr>
          <w:rFonts w:ascii="Times New Roman" w:hAnsi="Times New Roman"/>
        </w:rPr>
        <w:tab/>
        <w:t>Roskell NS, Setyawan J, Zimovetz EA, Hodgkins P. Systematic evidence synthesis of treatments for ADHD in children and adolescents: indirect treatment comparisons of lisdexamfetamine with methylphenidate and atomoxetine. Curr Med Res Opin. 2014;30(8):1673-85.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381.</w:t>
      </w:r>
      <w:r w:rsidRPr="00A913F4">
        <w:rPr>
          <w:rFonts w:ascii="Times New Roman" w:hAnsi="Times New Roman"/>
        </w:rPr>
        <w:tab/>
        <w:t>Schmitt J, Rosumeck S, Thomaschewski G, Sporbeck B, Haufe E, Nast A. Efficacy and safety of systemic treatments for moderate-to-severe psoriasis: meta-analysis of randomized controlled trials. Br J Dermatol. 2014;170(2):274-303.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382.</w:t>
      </w:r>
      <w:r w:rsidRPr="00A913F4">
        <w:rPr>
          <w:rFonts w:ascii="Times New Roman" w:hAnsi="Times New Roman"/>
        </w:rPr>
        <w:tab/>
        <w:t>Shams T, Firwana B, Habib F, Alshahrani A, Alnouh B, Murad MH, et al. SSRIs for hot flashes: a systematic review and meta-analysis of randomized trials. J Gen Intern Med. 2014;29(1):204-13.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383.</w:t>
      </w:r>
      <w:r w:rsidRPr="00A913F4">
        <w:rPr>
          <w:rFonts w:ascii="Times New Roman" w:hAnsi="Times New Roman"/>
        </w:rPr>
        <w:tab/>
        <w:t>Singh S, Garg SK, Pardi DS, Wang Z, Murad MH, Loftus EV, Jr. Comparative efficacy of biologic therapy in biologic-naive patients with Crohn disease: a systematic review and network meta-analysis. Mayo Clin Proc. 2014;89(12):1621-35.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384.</w:t>
      </w:r>
      <w:r w:rsidRPr="00A913F4">
        <w:rPr>
          <w:rFonts w:ascii="Times New Roman" w:hAnsi="Times New Roman"/>
        </w:rPr>
        <w:tab/>
        <w:t>Snedecor SJ, Sudharshan L, Cappelleri JC, Sadosky A, Desai P, Jalundhwala Y, et al. Systematic review and meta-analysis of pharmacological therapies for pain associated with postherpetic neuralgia and less common neuropathic conditions. Int J Clin Pract. 2014;68(7):900-18.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385.</w:t>
      </w:r>
      <w:r w:rsidRPr="00A913F4">
        <w:rPr>
          <w:rFonts w:ascii="Times New Roman" w:hAnsi="Times New Roman"/>
        </w:rPr>
        <w:tab/>
        <w:t>Snedecor SJ, Sudharshan L, Cappelleri JC, Sadosky A, Mehta S, Botteman M. Systematic review and meta-analysis of pharmacological therapies for painful diabetic peripheral neuropathy. Pain Pract. 2014;14(2):167-84.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386.</w:t>
      </w:r>
      <w:r w:rsidRPr="00A913F4">
        <w:rPr>
          <w:rFonts w:ascii="Times New Roman" w:hAnsi="Times New Roman"/>
        </w:rPr>
        <w:tab/>
        <w:t>Stagg HR, Zenner D, Harris RJ, Munoz L, Lipman MC, Abubakar I. Treatment of latent tuberculosis infection: a network meta-analysis. Ann Intern Med. 2014;161(6):419-28.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387.</w:t>
      </w:r>
      <w:r w:rsidRPr="00A913F4">
        <w:rPr>
          <w:rFonts w:ascii="Times New Roman" w:hAnsi="Times New Roman"/>
        </w:rPr>
        <w:tab/>
        <w:t>Stidham RW, Lee TC, Higgins PD, Deshpande AR, Sussman DA, Singal AG, et al. Systematic review with network meta-analysis: the efficacy of anti-TNF agents for the treatment of Crohn's disease. Aliment Pharmacol Ther. 2014;39(12):1349-62.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388.</w:t>
      </w:r>
      <w:r w:rsidRPr="00A913F4">
        <w:rPr>
          <w:rFonts w:ascii="Times New Roman" w:hAnsi="Times New Roman"/>
        </w:rPr>
        <w:tab/>
        <w:t>Stidham RW, Lee TC, Higgins PD, Deshpande AR, Sussman DA, Singal AG, et al. Systematic review with network meta-analysis: the efficacy of anti-tumour necrosis factor-alpha agents for the treatment of ulcerative colitis. Aliment Pharmacol Ther. 2014;39(7):660-71.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389.</w:t>
      </w:r>
      <w:r w:rsidRPr="00A913F4">
        <w:rPr>
          <w:rFonts w:ascii="Times New Roman" w:hAnsi="Times New Roman"/>
        </w:rPr>
        <w:tab/>
        <w:t>Sun Y, van Valkenhoef G, Morel T. A mixed treatment comparison of gabapentin enacarbil, pramipexole, ropinirole and rotigotine in moderate-to-severe restless legs syndrome. Curr Med Res Opin. 2014;30(11):2267-78.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390.</w:t>
      </w:r>
      <w:r w:rsidRPr="00A913F4">
        <w:rPr>
          <w:rFonts w:ascii="Times New Roman" w:hAnsi="Times New Roman"/>
        </w:rPr>
        <w:tab/>
        <w:t>Tadrous M, Wong L, Mamdani MM, Juurlink DN, Krahn MD, Levesque LE, et al. Comparative gastrointestinal safety of bisphosphonates in primary osteoporosis: a network meta-analysis. Osteoporos Int. 2014;25(4):1225-35.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391.</w:t>
      </w:r>
      <w:r w:rsidRPr="00A913F4">
        <w:rPr>
          <w:rFonts w:ascii="Times New Roman" w:hAnsi="Times New Roman"/>
        </w:rPr>
        <w:tab/>
        <w:t>Thorlund K, Mills EJ, Wu P, Ramos E, Chatterjee A, Druyts E, et al. Comparative efficacy of triptans for the abortive treatment of migraine: a multiple treatment comparison meta-analysis. Cephalalgia. 2014;34(4):258-67.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392.</w:t>
      </w:r>
      <w:r w:rsidRPr="00A913F4">
        <w:rPr>
          <w:rFonts w:ascii="Times New Roman" w:hAnsi="Times New Roman"/>
        </w:rPr>
        <w:tab/>
        <w:t>Thorlund K, Wu P, Druyts E, Eapen S, Mills EJ. Nonergot dopamine-receptor agonists for treating Parkinson's disease - a network meta-analysis. Neuropsychiatr Dis Treat. 2014;10:767-76.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393.</w:t>
      </w:r>
      <w:r w:rsidRPr="00A913F4">
        <w:rPr>
          <w:rFonts w:ascii="Times New Roman" w:hAnsi="Times New Roman"/>
        </w:rPr>
        <w:tab/>
        <w:t>Vegter S, Tolley K. A network meta-analysis of the relative efficacy of treatments for actinic keratosis of the face or scalp in Europe. PLoS One. 2014;9(6):e96829.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394.</w:t>
      </w:r>
      <w:r w:rsidRPr="00A913F4">
        <w:rPr>
          <w:rFonts w:ascii="Times New Roman" w:hAnsi="Times New Roman"/>
        </w:rPr>
        <w:tab/>
        <w:t>Wang H, Yuan J, Hu X, Tao K, Liu J, Hu D. The effectiveness and safety of avanafil for erectile dysfunction: a systematic review and meta-analysis. Curr Med Res Opin. 2014;30(8):1565-71.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395.</w:t>
      </w:r>
      <w:r w:rsidRPr="00A913F4">
        <w:rPr>
          <w:rFonts w:ascii="Times New Roman" w:hAnsi="Times New Roman"/>
        </w:rPr>
        <w:tab/>
        <w:t>Wang JC, Tian JH, Ge L, Gan YH, Yang KH. Which is the best Chinese herb injection based on the FOLFOX regimen for gastric cancer? A network meta- analysis of randomized controlled trials. Asian Pac J Cancer Prev. 2014;15(12):4795-800.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396.</w:t>
      </w:r>
      <w:r w:rsidRPr="00A913F4">
        <w:rPr>
          <w:rFonts w:ascii="Times New Roman" w:hAnsi="Times New Roman"/>
        </w:rPr>
        <w:tab/>
        <w:t>Wang X, Wang X, Li S, Meng Z, Liu T, Zhang X. Comparative effectiveness of oral drug therapies for lower urinary tract symptoms due to benign prostatic hyperplasia: a systematic review and network meta-analysis. PLoS One. 2014;9(9):e107593.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397.</w:t>
      </w:r>
      <w:r w:rsidRPr="00A913F4">
        <w:rPr>
          <w:rFonts w:ascii="Times New Roman" w:hAnsi="Times New Roman"/>
        </w:rPr>
        <w:tab/>
        <w:t>Wertli MM, Kessels AG, Perez RS, Bachmann LM, Brunner F. Rational pain management in complex regional pain syndrome 1 (CRPS 1)--a network meta-analysis. Pain Med. 2014;15(9):1575-89.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398.</w:t>
      </w:r>
      <w:r w:rsidRPr="00A913F4">
        <w:rPr>
          <w:rFonts w:ascii="Times New Roman" w:hAnsi="Times New Roman"/>
        </w:rPr>
        <w:tab/>
        <w:t>Windecker S, Stortecky S, Stefanini GG, da Costa BR, Rutjes AW, Di Nisio M, et al. Revascularisation versus medical treatment in patients with stable coronary artery disease: network meta-analysis. BMJ. 2014;348:g3859.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399.</w:t>
      </w:r>
      <w:r w:rsidRPr="00A913F4">
        <w:rPr>
          <w:rFonts w:ascii="Times New Roman" w:hAnsi="Times New Roman"/>
        </w:rPr>
        <w:tab/>
        <w:t>Xiong T, Turner RM, Wei Y, Neal DE, Lyratzopoulos G, Higgins JP. Comparative efficacy and safety of treatments for localised prostate cancer: an application of network meta-analysis. BMJ Open. 2014;4(5):e004285.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400.</w:t>
      </w:r>
      <w:r w:rsidRPr="00A913F4">
        <w:rPr>
          <w:rFonts w:ascii="Times New Roman" w:hAnsi="Times New Roman"/>
        </w:rPr>
        <w:tab/>
        <w:t>Yang B, Shi J, Chen X, Ma B, Sun H. Efficacy and safety of therapies for acute ischemic stroke in China: a network meta-analysis of 13289 patients from 145 randomized controlled trials. PLoS One. 2014;9(2):e88440.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401.</w:t>
      </w:r>
      <w:r w:rsidRPr="00A913F4">
        <w:rPr>
          <w:rFonts w:ascii="Times New Roman" w:hAnsi="Times New Roman"/>
        </w:rPr>
        <w:tab/>
        <w:t>Yang Z, Ye X, Wu Q, Wu K, Fan D. A network meta-analysis on the efficacy of 5-aminosalicylates, immunomodulators and biologics for the prevention of postoperative recurrence in Crohn's disease. Int J Surg. 2014;12(5):516-22.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402.</w:t>
      </w:r>
      <w:r w:rsidRPr="00A913F4">
        <w:rPr>
          <w:rFonts w:ascii="Times New Roman" w:hAnsi="Times New Roman"/>
        </w:rPr>
        <w:tab/>
        <w:t>Zeppetella G, Davies A, Eijgelshoven I, Jansen JP. A network meta-analysis of the efficacy of opioid analgesics for the management of breakthrough cancer pain episodes. J Pain Symptom Manage. 2014;47(4):772-85.e5.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403.</w:t>
      </w:r>
      <w:r w:rsidRPr="00A913F4">
        <w:rPr>
          <w:rFonts w:ascii="Times New Roman" w:hAnsi="Times New Roman"/>
        </w:rPr>
        <w:tab/>
        <w:t>Zhang YW, Zhang YL, Pan H, Wei FX, Zhang YC, Shao Y, et al. Chemotherapy for patients with gastric cancer after complete resection: a network meta-analysis. World J Gastroenterol. 2014;20(2):584-92.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404.</w:t>
      </w:r>
      <w:r w:rsidRPr="00A913F4">
        <w:rPr>
          <w:rFonts w:ascii="Times New Roman" w:hAnsi="Times New Roman"/>
        </w:rPr>
        <w:tab/>
        <w:t>Zhu Z, Zhang J, Liu Y, Chen M, Guo P, Li K. Efficacy and toxicity of external-beam radiation therapy for localised prostate cancer: a network meta-analysis. Br J Cancer. 2014;110(10):2396-404.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405.</w:t>
      </w:r>
      <w:r w:rsidRPr="00A913F4">
        <w:rPr>
          <w:rFonts w:ascii="Times New Roman" w:hAnsi="Times New Roman"/>
        </w:rPr>
        <w:tab/>
        <w:t>Ziakas PD, Zervou FN, Zacharioudakis IM, Mylonakis E. Graft-versus-host disease prophylaxis after transplantation: a network meta-analysis. PLoS One. 2014;9(12):e114735.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406.</w:t>
      </w:r>
      <w:r w:rsidRPr="00A913F4">
        <w:rPr>
          <w:rFonts w:ascii="Times New Roman" w:hAnsi="Times New Roman"/>
        </w:rPr>
        <w:tab/>
        <w:t>Zintzaras E, Miligkos M, Ziakas P, Balk EM, Mademtzoglou D, Doxani C, et al. Assessment of the relative effectiveness and tolerability of treatments of type 2 diabetes mellitus: a network meta-analysis. Clin Ther. 2014;36(10):1443-53.e9.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407.</w:t>
      </w:r>
      <w:r w:rsidRPr="00A913F4">
        <w:rPr>
          <w:rFonts w:ascii="Times New Roman" w:hAnsi="Times New Roman"/>
        </w:rPr>
        <w:tab/>
        <w:t>Alfirevic Z, Keeney E, Dowswell T, Welton NJ, Dias S, Jones LV, et al. Labour induction with prostaglandins: a systematic review and network meta-analysis. BMJ. 2015;350:h217.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408.</w:t>
      </w:r>
      <w:r w:rsidRPr="00A913F4">
        <w:rPr>
          <w:rFonts w:ascii="Times New Roman" w:hAnsi="Times New Roman"/>
        </w:rPr>
        <w:tab/>
        <w:t>Bannuru RR, Schmid CH, Kent DM, Vaysbrot EE, Wong JB, McAlindon TE. Comparative effectiveness of pharmacologic interventions for knee osteoarthritis: a systematic review and network meta-analysis. Ann Intern Med. 2015;162(1):46-54.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409.</w:t>
      </w:r>
      <w:r w:rsidRPr="00A913F4">
        <w:rPr>
          <w:rFonts w:ascii="Times New Roman" w:hAnsi="Times New Roman"/>
        </w:rPr>
        <w:tab/>
        <w:t xml:space="preserve">Benedetto U, Raja SG, Albanese A, Amrani M, Biondi-Zoccai G, Frati G. Searching for the second best graft for coronary artery bypass surgery: a network meta-analysis of randomized controlled trialsdagger. Eur J Cardiothorac Surg. 2015;47(1):59-65; discussion </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410.</w:t>
      </w:r>
      <w:r w:rsidRPr="00A913F4">
        <w:rPr>
          <w:rFonts w:ascii="Times New Roman" w:hAnsi="Times New Roman"/>
        </w:rPr>
        <w:tab/>
        <w:t>Bow EJ, Vanness DJ, Slavin M, Cordonnier C, Cornely OA, Marks DI, et al. Systematic review and mixed treatment comparison meta-analysis of randomized clinical trials of primary oral antifungal prophylaxis in allogeneic hematopoietic cell transplant recipients. BMC Infect Dis. 2015;15:128.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411.</w:t>
      </w:r>
      <w:r w:rsidRPr="00A913F4">
        <w:rPr>
          <w:rFonts w:ascii="Times New Roman" w:hAnsi="Times New Roman"/>
        </w:rPr>
        <w:tab/>
        <w:t>Bulluck H, Kwok CS, Ryding AD, Loke YK. Safety of short-term dual antiplatelet therapy after drug-eluting stents: An updated meta-analysis with direct and adjusted indirect comparison of randomized control trials. Int J Cardiol. 2015;181:331-9.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412.</w:t>
      </w:r>
      <w:r w:rsidRPr="00A913F4">
        <w:rPr>
          <w:rFonts w:ascii="Times New Roman" w:hAnsi="Times New Roman"/>
        </w:rPr>
        <w:tab/>
        <w:t>Chen L, Staubli SE, Schneider MP, Kessels AG, Ivic S, Bachmann LM, et al. Phosphodiesterase 5 inhibitors for the treatment of erectile dysfunction: a trade-off network meta-analysis. Eur Urol. 2015;68(4):674-80.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413.</w:t>
      </w:r>
      <w:r w:rsidRPr="00A913F4">
        <w:rPr>
          <w:rFonts w:ascii="Times New Roman" w:hAnsi="Times New Roman"/>
        </w:rPr>
        <w:tab/>
        <w:t>Dong W, Goost H, Lin XB, Burger C, Paul C, Wang ZL, et al. Treatments for shoulder impingement syndrome: a PRISMA systematic review and network meta-analysis. Medicine (Baltimore). 2015;94(10):e510.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414.</w:t>
      </w:r>
      <w:r w:rsidRPr="00A913F4">
        <w:rPr>
          <w:rFonts w:ascii="Times New Roman" w:hAnsi="Times New Roman"/>
        </w:rPr>
        <w:tab/>
        <w:t>Edwards SJ, Barton S, Thurgar E, Trevor N. Topotecan, pegylated liposomal doxorubicin hydrochloride, paclitaxel, trabectedin and gemcitabine for advanced recurrent or refractory ovarian cancer: a systematic review and economic evaluation. Health Technol Assess. 2015;19(7):1-480.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415.</w:t>
      </w:r>
      <w:r w:rsidRPr="00A913F4">
        <w:rPr>
          <w:rFonts w:ascii="Times New Roman" w:hAnsi="Times New Roman"/>
        </w:rPr>
        <w:tab/>
        <w:t>Galvan-Banqueri M, Vega-Coca MD, Castillo-Munoz MA, Beltran Calvo C, Molina Lopez T. Indirect comparison for Anti-TNF drugs in moderate to severe ulcerative colitis. Farm Hosp. 2015;39(2):80-91.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416.</w:t>
      </w:r>
      <w:r w:rsidRPr="00A913F4">
        <w:rPr>
          <w:rFonts w:ascii="Times New Roman" w:hAnsi="Times New Roman"/>
        </w:rPr>
        <w:tab/>
        <w:t>Greco T, Calabro MG, Covello RD, Greco M, Pasin L, Morelli A, et al. A Bayesian network meta-analysis on the effect of inodilatory agents on mortality. Br J Anaesth. 2015;114(5):746-56.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417.</w:t>
      </w:r>
      <w:r w:rsidRPr="00A913F4">
        <w:rPr>
          <w:rFonts w:ascii="Times New Roman" w:hAnsi="Times New Roman"/>
        </w:rPr>
        <w:tab/>
        <w:t>Haspinger ER, Agustoni F, Torri V, Gelsomino F, Platania M, Zilembo N, et al. Is there evidence for different effects among EGFR-TKIs? Systematic review and meta-analysis of EGFR tyrosine kinase inhibitors (TKIs) versus chemotherapy as first-line treatment for patients harboring EGFR mutations. Crit Rev Oncol Hematol. 2015;94(2):213-27.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418.</w:t>
      </w:r>
      <w:r w:rsidRPr="00A913F4">
        <w:rPr>
          <w:rFonts w:ascii="Times New Roman" w:hAnsi="Times New Roman"/>
        </w:rPr>
        <w:tab/>
        <w:t>Hazlewood GS, Rezaie A, Borman M, Panaccione R, Ghosh S, Seow CH, et al. Comparative effectiveness of immunosuppressants and biologics for inducing and maintaining remission in Crohn's disease: a network meta-analysis. Gastroenterology. 2015;148(2):344-54.e5; quiz e14-5.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419.</w:t>
      </w:r>
      <w:r w:rsidRPr="00A913F4">
        <w:rPr>
          <w:rFonts w:ascii="Times New Roman" w:hAnsi="Times New Roman"/>
        </w:rPr>
        <w:tab/>
        <w:t>Huai ZY, Feng Xian W, Chang Jiang L, Xi Chen W. Submucosal injection solution for endoscopic resection in gastrointestinal tract: a traditional and network meta-analysis. Gastroenterol Res Pract. 2015;2015:702768.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420.</w:t>
      </w:r>
      <w:r w:rsidRPr="00A913F4">
        <w:rPr>
          <w:rFonts w:ascii="Times New Roman" w:hAnsi="Times New Roman"/>
        </w:rPr>
        <w:tab/>
        <w:t>Huttner FJ, Tenckhoff S, Jensen K, Uhlmann L, Kulu Y, Buchler MW, et al. Meta-analysis of reconstruction techniques after low anterior resection for rectal cancer. Br J Surg. 2015;102(7):735-45.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421.</w:t>
      </w:r>
      <w:r w:rsidRPr="00A913F4">
        <w:rPr>
          <w:rFonts w:ascii="Times New Roman" w:hAnsi="Times New Roman"/>
        </w:rPr>
        <w:tab/>
        <w:t>Kotb A, Cameron C, Hsieh S, Wells G. Comparative effectiveness of different forms of telemedicine for individuals with heart failure (HF): a systematic review and network meta-analysis. PLoS One. 2015;10(2):e0118681.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422.</w:t>
      </w:r>
      <w:r w:rsidRPr="00A913F4">
        <w:rPr>
          <w:rFonts w:ascii="Times New Roman" w:hAnsi="Times New Roman"/>
        </w:rPr>
        <w:tab/>
        <w:t>Kunitomi T, Hashiguchi M, Mochizuki M. Effect of common comparators in indirect comparison analysis of the effectiveness of different inhaled corticosteroids in the treatment of asthma. PLoS One. 2015;10(3):e0120836.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423.</w:t>
      </w:r>
      <w:r w:rsidRPr="00A913F4">
        <w:rPr>
          <w:rFonts w:ascii="Times New Roman" w:hAnsi="Times New Roman"/>
        </w:rPr>
        <w:tab/>
        <w:t>Lee SW, Chaiyakunapruk N, Chong HY, Liong ML. Comparative effectiveness and safety of various treatment procedures for lower pole renal calculi: a systematic review and network meta-analysis. BJU Int. 2015;116(2):252-64.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424.</w:t>
      </w:r>
      <w:r w:rsidRPr="00A913F4">
        <w:rPr>
          <w:rFonts w:ascii="Times New Roman" w:hAnsi="Times New Roman"/>
        </w:rPr>
        <w:tab/>
        <w:t>Lewis RA, Williams NH, Sutton AJ, Burton K, Din NU, Matar HE, et al. Comparative clinical effectiveness of management strategies for sciatica: systematic review and network meta-analyses. Spine J. 2015;15(6):1461-77.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425.</w:t>
      </w:r>
      <w:r w:rsidRPr="00A913F4">
        <w:rPr>
          <w:rFonts w:ascii="Times New Roman" w:hAnsi="Times New Roman"/>
        </w:rPr>
        <w:tab/>
        <w:t>Linde K, Kriston L, Rucker G, Jamil S, Schumann I, Meissner K, et al. Efficacy and acceptability of pharmacological treatments for depressive disorders in primary care: systematic review and network meta-analysis. Ann Fam Med. 2015;13(1):69-79.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426.</w:t>
      </w:r>
      <w:r w:rsidRPr="00A913F4">
        <w:rPr>
          <w:rFonts w:ascii="Times New Roman" w:hAnsi="Times New Roman"/>
        </w:rPr>
        <w:tab/>
        <w:t>Loveman E, Copley VR, Colquitt J, Scott DA, Clegg A, Jones J, et al. The clinical effectiveness and cost-effectiveness of treatments for idiopathic pulmonary fibrosis: a systematic review and economic evaluation. Health Technol Assess. 2015;19(20):i-xxiv, 1-336.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427.</w:t>
      </w:r>
      <w:r w:rsidRPr="00A913F4">
        <w:rPr>
          <w:rFonts w:ascii="Times New Roman" w:hAnsi="Times New Roman"/>
        </w:rPr>
        <w:tab/>
        <w:t>Mantha S, Ansell J. Indirect comparison of dabigatran, rivaroxaban, apixaban and edoxaban for the treatment of acute venous thromboembolism. J Thromb Thrombolysis. 2015;39(2):155-65.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428.</w:t>
      </w:r>
      <w:r w:rsidRPr="00A913F4">
        <w:rPr>
          <w:rFonts w:ascii="Times New Roman" w:hAnsi="Times New Roman"/>
        </w:rPr>
        <w:tab/>
        <w:t>Maxwell LJ, Zochling J, Boonen A, Singh JA, Veras MM, Tanjong Ghogomu E, et al. TNF-alpha inhibitors for ankylosing spondylitis. Cochrane Database Syst Rev. 2015;4:Cd005468.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429.</w:t>
      </w:r>
      <w:r w:rsidRPr="00A913F4">
        <w:rPr>
          <w:rFonts w:ascii="Times New Roman" w:hAnsi="Times New Roman"/>
        </w:rPr>
        <w:tab/>
        <w:t>Messori A, Fadda V, Maratea D, Trippoli S. First-line treatments for chronic lymphocytic leukaemia: interpreting efficacy data by network meta-analysis. Ann Hematol. 2015;94(6):1003-9.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430.</w:t>
      </w:r>
      <w:r w:rsidRPr="00A913F4">
        <w:rPr>
          <w:rFonts w:ascii="Times New Roman" w:hAnsi="Times New Roman"/>
        </w:rPr>
        <w:tab/>
        <w:t>Moja L, Danese S, Fiorino G, Del Giovane C, Bonovas S. Systematic review with network meta-analysis: comparative efficacy and safety of budesonide and mesalazine (mesalamine) for Crohn's disease. Aliment Pharmacol Ther. 2015;41(11):1055-65.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431.</w:t>
      </w:r>
      <w:r w:rsidRPr="00A913F4">
        <w:rPr>
          <w:rFonts w:ascii="Times New Roman" w:hAnsi="Times New Roman"/>
        </w:rPr>
        <w:tab/>
        <w:t>Nelson H, Cartier S, Allen-Ramey F, Lawton S, Calderon MA. Network meta-analysis shows commercialized subcutaneous and sublingual grass products have comparable efficacy. J Allergy Clin Immunol Pract. 2015;3(2):256-66.e3.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432.</w:t>
      </w:r>
      <w:r w:rsidRPr="00A913F4">
        <w:rPr>
          <w:rFonts w:ascii="Times New Roman" w:hAnsi="Times New Roman"/>
        </w:rPr>
        <w:tab/>
        <w:t>Oba Y, Lone NA. Comparative efficacy of long-acting muscarinic antagonists in preventing COPD exacerbations: a network meta-analysis and meta-regression. Ther Adv Respir Dis. 2015;9(1):3-15.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433.</w:t>
      </w:r>
      <w:r w:rsidRPr="00A913F4">
        <w:rPr>
          <w:rFonts w:ascii="Times New Roman" w:hAnsi="Times New Roman"/>
        </w:rPr>
        <w:tab/>
        <w:t>Oh GH, Yu JC, Choi KS, Joo EJ, Jeong SH. Simultaneous Comparison of Efficacy and Tolerability of Second-Generation Antipsychotics in Schizophrenia: Mixed-Treatment Comparison Analysis Based on Head-to-Head Trial Data. Psychiatry Investig. 2015;12(1):46-54.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434.</w:t>
      </w:r>
      <w:r w:rsidRPr="00A913F4">
        <w:rPr>
          <w:rFonts w:ascii="Times New Roman" w:hAnsi="Times New Roman"/>
        </w:rPr>
        <w:tab/>
        <w:t>Phan K, Xie A, Kumar N, Wong S, Medi C, La Meir M, et al. Comparing energy sources for surgical ablation of atrial fibrillation: a Bayesian network meta-analysis of randomized, controlled trials. Eur J Cardiothorac Surg. 2015;48(2):201-11.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435.</w:t>
      </w:r>
      <w:r w:rsidRPr="00A913F4">
        <w:rPr>
          <w:rFonts w:ascii="Times New Roman" w:hAnsi="Times New Roman"/>
        </w:rPr>
        <w:tab/>
        <w:t>Reinecke H, Weber C, Lange K, Simon M, Stein C, Sorgatz H. Analgesic efficacy of opioids in chronic pain: recent meta-analyses. Br J Pharmacol. 2015;172(2):324-33.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436.</w:t>
      </w:r>
      <w:r w:rsidRPr="00A913F4">
        <w:rPr>
          <w:rFonts w:ascii="Times New Roman" w:hAnsi="Times New Roman"/>
        </w:rPr>
        <w:tab/>
        <w:t>Schmid MK, Bachmann LM, Fas L, Kessels AG, Job OM, Thiel MA. Efficacy and adverse events of aflibercept, ranibizumab and bevacizumab in age-related macular degeneration: a trade-off analysis. Br J Ophthalmol. 2015;99(2):141-6.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437.</w:t>
      </w:r>
      <w:r w:rsidRPr="00A913F4">
        <w:rPr>
          <w:rFonts w:ascii="Times New Roman" w:hAnsi="Times New Roman"/>
        </w:rPr>
        <w:tab/>
        <w:t>Signorovitch JE, Betts KA, Yan YS, LeReun C, Sundaram M, Wu EQ, et al. Comparative efficacy of biological treatments for moderate-to-severe psoriasis: a network meta-analysis adjusting for cross-trial differences in reference arm response. Br J Dermatol. 2015;172(2):504-12.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438.</w:t>
      </w:r>
      <w:r w:rsidRPr="00A913F4">
        <w:rPr>
          <w:rFonts w:ascii="Times New Roman" w:hAnsi="Times New Roman"/>
        </w:rPr>
        <w:tab/>
        <w:t>Singh S, Garg SK, Pardi DS, Wang Z, Murad MH, Loftus EV, Jr. Comparative efficacy of pharmacologic interventions in preventing relapse of Crohn's disease after surgery: a systematic review and network meta-analysis. Gastroenterology. 2015;148(1):64-76.e2; quiz e14.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439.</w:t>
      </w:r>
      <w:r w:rsidRPr="00A913F4">
        <w:rPr>
          <w:rFonts w:ascii="Times New Roman" w:hAnsi="Times New Roman"/>
        </w:rPr>
        <w:tab/>
        <w:t>Sobieraj DM, Coleman CI, Pasupuleti V, Deshpande A, Kaw R, Hernandez AV. Comparative efficacy and safety of anticoagulants and aspirin for extended treatment of venous thromboembolism: A network meta-analysis. Thromb Res. 2015;135(5):888-96.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440.</w:t>
      </w:r>
      <w:r w:rsidRPr="00A913F4">
        <w:rPr>
          <w:rFonts w:ascii="Times New Roman" w:hAnsi="Times New Roman"/>
        </w:rPr>
        <w:tab/>
        <w:t>Stevens JW, Khunti K, Harvey R, Johnson M, Preston L, Woods HB, et al. Preventing the progression to type 2 diabetes mellitus in adults at high risk: a systematic review and network meta-analysis of lifestyle, pharmacological and surgical interventions. Diabetes Res Clin Pract. 2015;107(3):320-31.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441.</w:t>
      </w:r>
      <w:r w:rsidRPr="00A913F4">
        <w:rPr>
          <w:rFonts w:ascii="Times New Roman" w:hAnsi="Times New Roman"/>
        </w:rPr>
        <w:tab/>
        <w:t>Stynes G, Svedsater H, Wex J, Lettis S, Leather D, Castelnuovo E, et al. Once-daily fluticasone furoate/vilanterol 100/25 mcg versus twice daily combination therapies in COPD - mixed treatment comparisons of clinical efficacy. Respir Res. 2015;16:25.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442.</w:t>
      </w:r>
      <w:r w:rsidRPr="00A913F4">
        <w:rPr>
          <w:rFonts w:ascii="Times New Roman" w:hAnsi="Times New Roman"/>
        </w:rPr>
        <w:tab/>
        <w:t>Sun F, Chai S, Li L, Yu K, Yang Z, Wu S, et al. Effects of glucagon-like peptide-1 receptor agonists on weight loss in patients with type 2 diabetes: a systematic review and network meta-analysis. J Diabetes Res. 2015;2015:157201.</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lastRenderedPageBreak/>
        <w:t>443.</w:t>
      </w:r>
      <w:r w:rsidRPr="00A913F4">
        <w:rPr>
          <w:rFonts w:ascii="Times New Roman" w:hAnsi="Times New Roman"/>
        </w:rPr>
        <w:tab/>
        <w:t>Sun F, Chai S, Yu K, Quan X, Yang Z, Wu S, et al. Gastrointestinal adverse events of glucagon-like peptide-1 receptor agonists in patients with type 2 diabetes: a systematic review and network meta-analysis. Diabetes Technol Ther. 2015;17(1):35-42.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444.</w:t>
      </w:r>
      <w:r w:rsidRPr="00A913F4">
        <w:rPr>
          <w:rFonts w:ascii="Times New Roman" w:hAnsi="Times New Roman"/>
        </w:rPr>
        <w:tab/>
        <w:t>Sun F, Wu S, Guo S, Yu K, Yang Z, Li L, et al. Effect of GLP-1 receptor agonists on waist circumference among type 2 diabetes patients: a systematic review and network meta-analysis. Endocrine. 2015;48(3):794-803.</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445.</w:t>
      </w:r>
      <w:r w:rsidRPr="00A913F4">
        <w:rPr>
          <w:rFonts w:ascii="Times New Roman" w:hAnsi="Times New Roman"/>
        </w:rPr>
        <w:tab/>
        <w:t>Sun F, Wu S, Wang J, Guo S, Chai S, Yang Z, et al. Effect of glucagon-like peptide-1 receptor agonists on lipid profiles among type 2 diabetes: a systematic review and network meta-analysis. Clin Ther. 2015;37(1):225-41.e8.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446.</w:t>
      </w:r>
      <w:r w:rsidRPr="00A913F4">
        <w:rPr>
          <w:rFonts w:ascii="Times New Roman" w:hAnsi="Times New Roman"/>
        </w:rPr>
        <w:tab/>
        <w:t>Thakur D, Dickerson S, Kumar Bhutani M, Junor R. Impact of prolonged-release oxycodone/naloxone on outcomes affecting patients' daily functioning in comparison with extended-release tapentadol: a systematic review. Clin Ther. 2015;37(1):212-24.</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447.</w:t>
      </w:r>
      <w:r w:rsidRPr="00A913F4">
        <w:rPr>
          <w:rFonts w:ascii="Times New Roman" w:hAnsi="Times New Roman"/>
        </w:rPr>
        <w:tab/>
        <w:t>van Walsem A, Pandhi S, Nixon RM, Guyot P, Karabis A, Moore RA. Relative benefit-risk comparing diclofenac to other traditional non-steroidal anti-inflammatory drugs and cyclooxygenase-2 inhibitors in patients with osteoarthritis or rheumatoid arthritis: a network meta-analysis. Arthritis Res Ther. 2015;17:66.</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448.</w:t>
      </w:r>
      <w:r w:rsidRPr="00A913F4">
        <w:rPr>
          <w:rFonts w:ascii="Times New Roman" w:hAnsi="Times New Roman"/>
        </w:rPr>
        <w:tab/>
        <w:t>Wang C, Guo L, Chi C, Wang X, Guo L, Wang W, et al. Mechanical ventilation modes for respiratory distress syndrome in infants: a systematic review and network meta-analysis. Crit Care. 2015;19:108.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449.</w:t>
      </w:r>
      <w:r w:rsidRPr="00A913F4">
        <w:rPr>
          <w:rFonts w:ascii="Times New Roman" w:hAnsi="Times New Roman"/>
        </w:rPr>
        <w:tab/>
        <w:t>Wang L, Baser O, Kutikova L, Page JH, Barron R. The impact of primary prophylaxis with granulocyte colony-stimulating factors on febrile neutropenia during chemotherapy: a systematic review and meta-analysis of randomized controlled trials. Support Care Cancer. 2015;23(11):3131-40.</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450.</w:t>
      </w:r>
      <w:r w:rsidRPr="00A913F4">
        <w:rPr>
          <w:rFonts w:ascii="Times New Roman" w:hAnsi="Times New Roman"/>
        </w:rPr>
        <w:tab/>
        <w:t>Wang Z, Qiao D, Lu Y, Curtis D, Wen X, Yao Y, et al. Systematic literature review and network meta-analysis comparing bone-targeted agents for the prevention of skeletal-related events in cancer patients with bone metastasis. Oncologist. 2015;20(4):440-9.</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451.</w:t>
      </w:r>
      <w:r w:rsidRPr="00A913F4">
        <w:rPr>
          <w:rFonts w:ascii="Times New Roman" w:hAnsi="Times New Roman"/>
        </w:rPr>
        <w:tab/>
        <w:t>Wilhelmus KR. Antiviral treatment and other therapeutic interventions for herpes simplex virus epithelial keratitis. Cochrane Database Syst Rev. 2015;1:Cd002898.</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452.</w:t>
      </w:r>
      <w:r w:rsidRPr="00A913F4">
        <w:rPr>
          <w:rFonts w:ascii="Times New Roman" w:hAnsi="Times New Roman"/>
        </w:rPr>
        <w:tab/>
        <w:t>Xiao J, Wu WX, Ye YY, Lin WJ, Wang L. A Network Meta-analysis of Randomized Controlled Trials Focusing on Different Allergic Rhinitis Medications. Am J Ther. 2015.</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453.</w:t>
      </w:r>
      <w:r w:rsidRPr="00A913F4">
        <w:rPr>
          <w:rFonts w:ascii="Times New Roman" w:hAnsi="Times New Roman"/>
        </w:rPr>
        <w:tab/>
        <w:t>Yildiz A, Nikodem M, Vieta E, Correll CU, Baldessarini RJ. A network meta-analysis on comparative efficacy and all-cause discontinuation of antimanic treatments in acute bipolar mania. Psychol Med. 2015;45(2):299-317.</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454.</w:t>
      </w:r>
      <w:r w:rsidRPr="00A913F4">
        <w:rPr>
          <w:rFonts w:ascii="Times New Roman" w:hAnsi="Times New Roman"/>
        </w:rPr>
        <w:tab/>
        <w:t>Zeng C, Li H, Yang T, Deng ZH, Yang Y, Zhang Y, et al. Electrical stimulation for pain relief in knee osteoarthritis: systematic review and network meta-analysis. Osteoarthritis Cartilage. 2015;23(2):189-202.</w:t>
      </w:r>
    </w:p>
    <w:p w:rsidR="00EF0F03" w:rsidRPr="00A913F4" w:rsidRDefault="00EF0F03" w:rsidP="00EF0F03">
      <w:pPr>
        <w:pStyle w:val="EndNoteBibliography"/>
        <w:spacing w:after="0"/>
        <w:rPr>
          <w:rFonts w:ascii="Times New Roman" w:hAnsi="Times New Roman"/>
        </w:rPr>
      </w:pPr>
      <w:r w:rsidRPr="00A913F4">
        <w:rPr>
          <w:rFonts w:ascii="Times New Roman" w:hAnsi="Times New Roman"/>
        </w:rPr>
        <w:t>455.</w:t>
      </w:r>
      <w:r w:rsidRPr="00A913F4">
        <w:rPr>
          <w:rFonts w:ascii="Times New Roman" w:hAnsi="Times New Roman"/>
        </w:rPr>
        <w:tab/>
        <w:t>Zhu GQ, Shi KQ, Huang S, Huang GQ, Lin YQ, Zhou ZR, et al. Network meta-analysis of randomized controlled trials: efficacy and safety of UDCA-based therapies in primary biliary cirrhosis. Medicine (Baltimore). 2015;94(11):e609.</w:t>
      </w:r>
    </w:p>
    <w:p w:rsidR="00EF0F03" w:rsidRPr="00A913F4" w:rsidRDefault="00EF0F03" w:rsidP="00EF0F03">
      <w:pPr>
        <w:pStyle w:val="EndNoteBibliography"/>
        <w:rPr>
          <w:rFonts w:ascii="Times New Roman" w:hAnsi="Times New Roman"/>
        </w:rPr>
      </w:pPr>
      <w:r w:rsidRPr="00A913F4">
        <w:rPr>
          <w:rFonts w:ascii="Times New Roman" w:hAnsi="Times New Roman"/>
        </w:rPr>
        <w:t>456.</w:t>
      </w:r>
      <w:r w:rsidRPr="00A913F4">
        <w:rPr>
          <w:rFonts w:ascii="Times New Roman" w:hAnsi="Times New Roman"/>
        </w:rPr>
        <w:tab/>
        <w:t>Zhu GQ, Shi KQ, Huang S, Wang LR, Lin YQ, Huang GQ, et al. Systematic review with network meta-analysis: the comparative effectiveness and safety of interventions in patients with overt hepatic encephalopathy. Aliment Pharmacol Ther. 2015;41(7):624-35.</w:t>
      </w:r>
    </w:p>
    <w:p w:rsidR="008B45B5" w:rsidRPr="00A913F4" w:rsidRDefault="00EF0F03" w:rsidP="00EF0F03">
      <w:pPr>
        <w:rPr>
          <w:rFonts w:ascii="Times New Roman" w:hAnsi="Times New Roman" w:cs="Times New Roman"/>
        </w:rPr>
      </w:pPr>
      <w:r w:rsidRPr="00A913F4">
        <w:rPr>
          <w:rFonts w:ascii="Times New Roman" w:hAnsi="Times New Roman" w:cs="Times New Roman"/>
        </w:rPr>
        <w:fldChar w:fldCharType="end"/>
      </w:r>
      <w:r w:rsidR="008B45B5" w:rsidRPr="00A913F4">
        <w:rPr>
          <w:rFonts w:ascii="Times New Roman" w:hAnsi="Times New Roman" w:cs="Times New Roman"/>
        </w:rPr>
        <w:fldChar w:fldCharType="begin"/>
      </w:r>
      <w:r w:rsidR="008B45B5" w:rsidRPr="00A913F4">
        <w:rPr>
          <w:rFonts w:ascii="Times New Roman" w:hAnsi="Times New Roman" w:cs="Times New Roman"/>
        </w:rPr>
        <w:instrText xml:space="preserve"> ADDIN EN.SECTION.REFLIST </w:instrText>
      </w:r>
      <w:r w:rsidR="008B45B5" w:rsidRPr="00A913F4">
        <w:rPr>
          <w:rFonts w:ascii="Times New Roman" w:hAnsi="Times New Roman" w:cs="Times New Roman"/>
        </w:rPr>
        <w:fldChar w:fldCharType="end"/>
      </w:r>
    </w:p>
    <w:p w:rsidR="008B45B5" w:rsidRPr="00A913F4" w:rsidRDefault="008B45B5" w:rsidP="008B45B5">
      <w:pPr>
        <w:rPr>
          <w:rFonts w:ascii="Times New Roman" w:hAnsi="Times New Roman" w:cs="Times New Roman"/>
        </w:rPr>
      </w:pPr>
    </w:p>
    <w:p w:rsidR="008B45B5" w:rsidRPr="008B45B5" w:rsidRDefault="008B45B5" w:rsidP="008B45B5">
      <w:pPr>
        <w:sectPr w:rsidR="008B45B5" w:rsidRPr="008B45B5">
          <w:footerReference w:type="default" r:id="rId9"/>
          <w:pgSz w:w="12240" w:h="15840"/>
          <w:pgMar w:top="1440" w:right="1440" w:bottom="1440" w:left="1440" w:header="720" w:footer="720" w:gutter="0"/>
          <w:cols w:space="720"/>
          <w:docGrid w:linePitch="360"/>
        </w:sectPr>
      </w:pPr>
    </w:p>
    <w:p w:rsidR="00D05024" w:rsidRDefault="00D05024" w:rsidP="00D05024">
      <w:pPr>
        <w:pStyle w:val="Heading1"/>
      </w:pPr>
      <w:r>
        <w:lastRenderedPageBreak/>
        <w:t xml:space="preserve">Appendix 4. </w:t>
      </w:r>
      <w:r w:rsidRPr="00214B4D">
        <w:t xml:space="preserve">Network meta-analysis terminology </w:t>
      </w:r>
    </w:p>
    <w:tbl>
      <w:tblPr>
        <w:tblW w:w="9640" w:type="dxa"/>
        <w:tblInd w:w="-318" w:type="dxa"/>
        <w:tblLook w:val="04A0" w:firstRow="1" w:lastRow="0" w:firstColumn="1" w:lastColumn="0" w:noHBand="0" w:noVBand="1"/>
      </w:tblPr>
      <w:tblGrid>
        <w:gridCol w:w="5618"/>
        <w:gridCol w:w="4022"/>
      </w:tblGrid>
      <w:tr w:rsidR="00D05024" w:rsidRPr="00214B4D" w:rsidTr="001F6A90">
        <w:trPr>
          <w:trHeight w:val="315"/>
        </w:trPr>
        <w:tc>
          <w:tcPr>
            <w:tcW w:w="9640" w:type="dxa"/>
            <w:gridSpan w:val="2"/>
            <w:tcBorders>
              <w:top w:val="single" w:sz="4" w:space="0" w:color="auto"/>
              <w:left w:val="single" w:sz="4" w:space="0" w:color="auto"/>
              <w:bottom w:val="single" w:sz="4" w:space="0" w:color="A6A6A6" w:themeColor="background1" w:themeShade="A6"/>
              <w:right w:val="single" w:sz="4" w:space="0" w:color="auto"/>
            </w:tcBorders>
            <w:shd w:val="clear" w:color="auto" w:fill="auto"/>
            <w:noWrap/>
            <w:vAlign w:val="bottom"/>
          </w:tcPr>
          <w:p w:rsidR="00D05024" w:rsidRPr="00214B4D" w:rsidRDefault="00D05024" w:rsidP="001F6A90">
            <w:pPr>
              <w:spacing w:before="120" w:after="120" w:line="240" w:lineRule="auto"/>
              <w:jc w:val="center"/>
              <w:rPr>
                <w:rFonts w:ascii="Times New Roman" w:eastAsia="Times New Roman" w:hAnsi="Times New Roman" w:cs="Times New Roman"/>
                <w:b/>
                <w:bCs/>
                <w:color w:val="000000"/>
                <w:sz w:val="24"/>
                <w:szCs w:val="24"/>
                <w:lang w:val="en-CA" w:eastAsia="en-CA"/>
              </w:rPr>
            </w:pPr>
            <w:r w:rsidRPr="0038240D">
              <w:rPr>
                <w:rFonts w:ascii="Times New Roman" w:eastAsia="Times New Roman" w:hAnsi="Times New Roman" w:cs="Times New Roman"/>
                <w:noProof/>
                <w:color w:val="000000"/>
                <w:kern w:val="28"/>
                <w:sz w:val="20"/>
                <w:szCs w:val="20"/>
              </w:rPr>
              <w:drawing>
                <wp:inline distT="0" distB="0" distL="0" distR="0" wp14:anchorId="74ACD725" wp14:editId="25C68FCB">
                  <wp:extent cx="5943836" cy="2721600"/>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8FFFF"/>
                              </a:clrFrom>
                              <a:clrTo>
                                <a:srgbClr val="F8FFFF">
                                  <a:alpha val="0"/>
                                </a:srgbClr>
                              </a:clrTo>
                            </a:clrChange>
                            <a:extLst>
                              <a:ext uri="{BEBA8EAE-BF5A-486C-A8C5-ECC9F3942E4B}">
                                <a14:imgProps xmlns:a14="http://schemas.microsoft.com/office/drawing/2010/main">
                                  <a14:imgLayer r:embed="rId11">
                                    <a14:imgEffect>
                                      <a14:sharpenSoften amount="25000"/>
                                    </a14:imgEffect>
                                    <a14:imgEffect>
                                      <a14:saturation sat="3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43836" cy="2721600"/>
                          </a:xfrm>
                          <a:prstGeom prst="rect">
                            <a:avLst/>
                          </a:prstGeom>
                          <a:noFill/>
                          <a:ln w="1270">
                            <a:noFill/>
                          </a:ln>
                        </pic:spPr>
                      </pic:pic>
                    </a:graphicData>
                  </a:graphic>
                </wp:inline>
              </w:drawing>
            </w:r>
          </w:p>
        </w:tc>
      </w:tr>
      <w:tr w:rsidR="00D05024" w:rsidRPr="00214B4D" w:rsidTr="001F6A90">
        <w:trPr>
          <w:trHeight w:val="315"/>
        </w:trPr>
        <w:tc>
          <w:tcPr>
            <w:tcW w:w="5618" w:type="dxa"/>
            <w:tcBorders>
              <w:left w:val="single" w:sz="4" w:space="0" w:color="auto"/>
              <w:bottom w:val="single" w:sz="4" w:space="0" w:color="A6A6A6" w:themeColor="background1" w:themeShade="A6"/>
              <w:right w:val="nil"/>
            </w:tcBorders>
            <w:shd w:val="clear" w:color="auto" w:fill="auto"/>
            <w:noWrap/>
            <w:vAlign w:val="bottom"/>
            <w:hideMark/>
          </w:tcPr>
          <w:p w:rsidR="00D05024" w:rsidRPr="00214B4D" w:rsidRDefault="00D05024" w:rsidP="001F6A90">
            <w:pPr>
              <w:spacing w:before="120" w:after="120" w:line="240" w:lineRule="auto"/>
              <w:rPr>
                <w:rFonts w:ascii="Times New Roman" w:eastAsia="Times New Roman" w:hAnsi="Times New Roman" w:cs="Times New Roman"/>
                <w:b/>
                <w:bCs/>
                <w:color w:val="000000"/>
                <w:sz w:val="24"/>
                <w:szCs w:val="24"/>
                <w:lang w:val="en-CA" w:eastAsia="en-CA"/>
              </w:rPr>
            </w:pPr>
            <w:r w:rsidRPr="00214B4D">
              <w:rPr>
                <w:rFonts w:ascii="Times New Roman" w:eastAsia="Times New Roman" w:hAnsi="Times New Roman" w:cs="Times New Roman"/>
                <w:b/>
                <w:bCs/>
                <w:color w:val="000000"/>
                <w:sz w:val="24"/>
                <w:szCs w:val="24"/>
                <w:lang w:val="en-CA" w:eastAsia="en-CA"/>
              </w:rPr>
              <w:t>NMA Terminology (n=456)</w:t>
            </w:r>
          </w:p>
        </w:tc>
        <w:tc>
          <w:tcPr>
            <w:tcW w:w="4022" w:type="dxa"/>
            <w:tcBorders>
              <w:left w:val="nil"/>
              <w:bottom w:val="single" w:sz="4" w:space="0" w:color="A6A6A6" w:themeColor="background1" w:themeShade="A6"/>
              <w:right w:val="single" w:sz="4" w:space="0" w:color="auto"/>
            </w:tcBorders>
            <w:shd w:val="clear" w:color="auto" w:fill="auto"/>
            <w:noWrap/>
            <w:vAlign w:val="bottom"/>
            <w:hideMark/>
          </w:tcPr>
          <w:p w:rsidR="00D05024" w:rsidRPr="00214B4D" w:rsidRDefault="00D05024" w:rsidP="001F6A90">
            <w:pPr>
              <w:spacing w:before="120" w:after="120" w:line="240" w:lineRule="auto"/>
              <w:jc w:val="center"/>
              <w:rPr>
                <w:rFonts w:ascii="Times New Roman" w:eastAsia="Times New Roman" w:hAnsi="Times New Roman" w:cs="Times New Roman"/>
                <w:bCs/>
                <w:i/>
                <w:color w:val="000000"/>
                <w:sz w:val="24"/>
                <w:szCs w:val="24"/>
                <w:lang w:val="en-CA" w:eastAsia="en-CA"/>
              </w:rPr>
            </w:pPr>
            <w:r w:rsidRPr="00214B4D">
              <w:rPr>
                <w:rFonts w:ascii="Times New Roman" w:eastAsia="Times New Roman" w:hAnsi="Times New Roman" w:cs="Times New Roman"/>
                <w:bCs/>
                <w:i/>
                <w:color w:val="000000"/>
                <w:sz w:val="24"/>
                <w:szCs w:val="24"/>
                <w:lang w:val="en-CA" w:eastAsia="en-CA"/>
              </w:rPr>
              <w:t>Count (%)</w:t>
            </w:r>
          </w:p>
        </w:tc>
      </w:tr>
      <w:tr w:rsidR="00D05024" w:rsidRPr="00214B4D" w:rsidTr="001F6A90">
        <w:trPr>
          <w:trHeight w:val="300"/>
        </w:trPr>
        <w:tc>
          <w:tcPr>
            <w:tcW w:w="5618" w:type="dxa"/>
            <w:tcBorders>
              <w:top w:val="single" w:sz="4" w:space="0" w:color="A6A6A6" w:themeColor="background1" w:themeShade="A6"/>
              <w:left w:val="single" w:sz="4" w:space="0" w:color="auto"/>
              <w:bottom w:val="nil"/>
              <w:right w:val="nil"/>
            </w:tcBorders>
            <w:shd w:val="clear" w:color="auto" w:fill="auto"/>
            <w:noWrap/>
            <w:hideMark/>
          </w:tcPr>
          <w:p w:rsidR="00D05024" w:rsidRPr="00214B4D" w:rsidRDefault="00D05024" w:rsidP="001F6A90">
            <w:pPr>
              <w:spacing w:after="0" w:line="240" w:lineRule="auto"/>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Network meta-analysis</w:t>
            </w:r>
          </w:p>
        </w:tc>
        <w:tc>
          <w:tcPr>
            <w:tcW w:w="4022" w:type="dxa"/>
            <w:tcBorders>
              <w:top w:val="single" w:sz="4" w:space="0" w:color="A6A6A6" w:themeColor="background1" w:themeShade="A6"/>
              <w:left w:val="nil"/>
              <w:bottom w:val="nil"/>
              <w:right w:val="single" w:sz="4" w:space="0" w:color="auto"/>
            </w:tcBorders>
            <w:shd w:val="clear" w:color="auto" w:fill="auto"/>
            <w:noWrap/>
            <w:hideMark/>
          </w:tcPr>
          <w:p w:rsidR="00D05024" w:rsidRPr="00214B4D" w:rsidRDefault="00D05024" w:rsidP="001F6A90">
            <w:pPr>
              <w:spacing w:after="0" w:line="240" w:lineRule="auto"/>
              <w:jc w:val="center"/>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213 (46.7%)</w:t>
            </w:r>
          </w:p>
        </w:tc>
      </w:tr>
      <w:tr w:rsidR="00D05024" w:rsidRPr="00214B4D" w:rsidTr="001F6A90">
        <w:trPr>
          <w:trHeight w:val="300"/>
        </w:trPr>
        <w:tc>
          <w:tcPr>
            <w:tcW w:w="5618" w:type="dxa"/>
            <w:tcBorders>
              <w:top w:val="nil"/>
              <w:left w:val="single" w:sz="4" w:space="0" w:color="auto"/>
              <w:bottom w:val="nil"/>
              <w:right w:val="nil"/>
            </w:tcBorders>
            <w:shd w:val="clear" w:color="auto" w:fill="auto"/>
            <w:noWrap/>
            <w:hideMark/>
          </w:tcPr>
          <w:p w:rsidR="00D05024" w:rsidRPr="00214B4D" w:rsidRDefault="00D05024" w:rsidP="001F6A90">
            <w:pPr>
              <w:spacing w:after="0" w:line="240" w:lineRule="auto"/>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 xml:space="preserve">Mixed-treatment comparisons </w:t>
            </w:r>
          </w:p>
        </w:tc>
        <w:tc>
          <w:tcPr>
            <w:tcW w:w="4022" w:type="dxa"/>
            <w:tcBorders>
              <w:top w:val="nil"/>
              <w:left w:val="nil"/>
              <w:bottom w:val="nil"/>
              <w:right w:val="single" w:sz="4" w:space="0" w:color="auto"/>
            </w:tcBorders>
            <w:shd w:val="clear" w:color="auto" w:fill="auto"/>
            <w:noWrap/>
            <w:hideMark/>
          </w:tcPr>
          <w:p w:rsidR="00D05024" w:rsidRPr="00214B4D" w:rsidRDefault="00D05024" w:rsidP="001F6A90">
            <w:pPr>
              <w:spacing w:after="0" w:line="240" w:lineRule="auto"/>
              <w:jc w:val="center"/>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108 (23.7%)</w:t>
            </w:r>
          </w:p>
        </w:tc>
      </w:tr>
      <w:tr w:rsidR="00D05024" w:rsidRPr="00214B4D" w:rsidTr="001F6A90">
        <w:trPr>
          <w:trHeight w:val="300"/>
        </w:trPr>
        <w:tc>
          <w:tcPr>
            <w:tcW w:w="5618" w:type="dxa"/>
            <w:tcBorders>
              <w:top w:val="nil"/>
              <w:left w:val="single" w:sz="4" w:space="0" w:color="auto"/>
              <w:bottom w:val="nil"/>
              <w:right w:val="nil"/>
            </w:tcBorders>
            <w:shd w:val="clear" w:color="auto" w:fill="auto"/>
            <w:noWrap/>
            <w:hideMark/>
          </w:tcPr>
          <w:p w:rsidR="00D05024" w:rsidRPr="00214B4D" w:rsidRDefault="00D05024" w:rsidP="001F6A90">
            <w:pPr>
              <w:spacing w:after="0" w:line="240" w:lineRule="auto"/>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Indirect comparisons</w:t>
            </w:r>
          </w:p>
        </w:tc>
        <w:tc>
          <w:tcPr>
            <w:tcW w:w="4022" w:type="dxa"/>
            <w:tcBorders>
              <w:top w:val="nil"/>
              <w:left w:val="nil"/>
              <w:bottom w:val="nil"/>
              <w:right w:val="single" w:sz="4" w:space="0" w:color="auto"/>
            </w:tcBorders>
            <w:shd w:val="clear" w:color="auto" w:fill="auto"/>
            <w:noWrap/>
            <w:hideMark/>
          </w:tcPr>
          <w:p w:rsidR="00D05024" w:rsidRPr="00214B4D" w:rsidRDefault="00D05024" w:rsidP="001F6A90">
            <w:pPr>
              <w:spacing w:after="0" w:line="240" w:lineRule="auto"/>
              <w:jc w:val="center"/>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56 (12.3%)</w:t>
            </w:r>
          </w:p>
        </w:tc>
      </w:tr>
      <w:tr w:rsidR="00D05024" w:rsidRPr="00214B4D" w:rsidTr="001F6A90">
        <w:trPr>
          <w:trHeight w:val="300"/>
        </w:trPr>
        <w:tc>
          <w:tcPr>
            <w:tcW w:w="5618" w:type="dxa"/>
            <w:tcBorders>
              <w:top w:val="nil"/>
              <w:left w:val="single" w:sz="4" w:space="0" w:color="auto"/>
              <w:bottom w:val="nil"/>
              <w:right w:val="nil"/>
            </w:tcBorders>
            <w:shd w:val="clear" w:color="auto" w:fill="auto"/>
            <w:noWrap/>
            <w:hideMark/>
          </w:tcPr>
          <w:p w:rsidR="00D05024" w:rsidRPr="00214B4D" w:rsidRDefault="00D05024" w:rsidP="001F6A90">
            <w:pPr>
              <w:spacing w:after="0" w:line="240" w:lineRule="auto"/>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Adjusted indirect comparisons</w:t>
            </w:r>
          </w:p>
        </w:tc>
        <w:tc>
          <w:tcPr>
            <w:tcW w:w="4022" w:type="dxa"/>
            <w:tcBorders>
              <w:top w:val="nil"/>
              <w:left w:val="nil"/>
              <w:bottom w:val="nil"/>
              <w:right w:val="single" w:sz="4" w:space="0" w:color="auto"/>
            </w:tcBorders>
            <w:shd w:val="clear" w:color="auto" w:fill="auto"/>
            <w:noWrap/>
            <w:hideMark/>
          </w:tcPr>
          <w:p w:rsidR="00D05024" w:rsidRPr="00214B4D" w:rsidRDefault="00D05024" w:rsidP="001F6A90">
            <w:pPr>
              <w:spacing w:after="0" w:line="240" w:lineRule="auto"/>
              <w:jc w:val="center"/>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33 (7.2%)</w:t>
            </w:r>
          </w:p>
        </w:tc>
      </w:tr>
      <w:tr w:rsidR="00D05024" w:rsidRPr="00214B4D" w:rsidTr="001F6A90">
        <w:trPr>
          <w:trHeight w:val="300"/>
        </w:trPr>
        <w:tc>
          <w:tcPr>
            <w:tcW w:w="5618" w:type="dxa"/>
            <w:tcBorders>
              <w:top w:val="nil"/>
              <w:left w:val="single" w:sz="4" w:space="0" w:color="auto"/>
              <w:bottom w:val="nil"/>
              <w:right w:val="nil"/>
            </w:tcBorders>
            <w:shd w:val="clear" w:color="auto" w:fill="auto"/>
            <w:noWrap/>
            <w:hideMark/>
          </w:tcPr>
          <w:p w:rsidR="00D05024" w:rsidRPr="00214B4D" w:rsidRDefault="00D05024" w:rsidP="001F6A90">
            <w:pPr>
              <w:spacing w:after="0" w:line="240" w:lineRule="auto"/>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Multiple-treatments meta-analysis</w:t>
            </w:r>
          </w:p>
        </w:tc>
        <w:tc>
          <w:tcPr>
            <w:tcW w:w="4022" w:type="dxa"/>
            <w:tcBorders>
              <w:top w:val="nil"/>
              <w:left w:val="nil"/>
              <w:bottom w:val="nil"/>
              <w:right w:val="single" w:sz="4" w:space="0" w:color="auto"/>
            </w:tcBorders>
            <w:shd w:val="clear" w:color="auto" w:fill="auto"/>
            <w:noWrap/>
            <w:hideMark/>
          </w:tcPr>
          <w:p w:rsidR="00D05024" w:rsidRPr="00214B4D" w:rsidRDefault="00D05024" w:rsidP="001F6A90">
            <w:pPr>
              <w:spacing w:after="0" w:line="240" w:lineRule="auto"/>
              <w:jc w:val="center"/>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16 (3.5%)</w:t>
            </w:r>
          </w:p>
        </w:tc>
      </w:tr>
      <w:tr w:rsidR="00D05024" w:rsidRPr="00214B4D" w:rsidTr="001F6A90">
        <w:trPr>
          <w:trHeight w:val="300"/>
        </w:trPr>
        <w:tc>
          <w:tcPr>
            <w:tcW w:w="5618" w:type="dxa"/>
            <w:tcBorders>
              <w:top w:val="nil"/>
              <w:left w:val="single" w:sz="4" w:space="0" w:color="auto"/>
              <w:bottom w:val="nil"/>
              <w:right w:val="nil"/>
            </w:tcBorders>
            <w:shd w:val="clear" w:color="auto" w:fill="auto"/>
            <w:noWrap/>
            <w:hideMark/>
          </w:tcPr>
          <w:p w:rsidR="00D05024" w:rsidRPr="00214B4D" w:rsidRDefault="00D05024" w:rsidP="001F6A90">
            <w:pPr>
              <w:spacing w:after="0" w:line="240" w:lineRule="auto"/>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Multiple treatment comparisons</w:t>
            </w:r>
          </w:p>
        </w:tc>
        <w:tc>
          <w:tcPr>
            <w:tcW w:w="4022" w:type="dxa"/>
            <w:tcBorders>
              <w:top w:val="nil"/>
              <w:left w:val="nil"/>
              <w:bottom w:val="nil"/>
              <w:right w:val="single" w:sz="4" w:space="0" w:color="auto"/>
            </w:tcBorders>
            <w:shd w:val="clear" w:color="auto" w:fill="auto"/>
            <w:noWrap/>
            <w:hideMark/>
          </w:tcPr>
          <w:p w:rsidR="00D05024" w:rsidRPr="00214B4D" w:rsidRDefault="00D05024" w:rsidP="001F6A90">
            <w:pPr>
              <w:spacing w:after="0" w:line="240" w:lineRule="auto"/>
              <w:jc w:val="center"/>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9 (2.0%)</w:t>
            </w:r>
          </w:p>
        </w:tc>
      </w:tr>
      <w:tr w:rsidR="00D05024" w:rsidRPr="00214B4D" w:rsidTr="001F6A90">
        <w:trPr>
          <w:trHeight w:val="300"/>
        </w:trPr>
        <w:tc>
          <w:tcPr>
            <w:tcW w:w="5618" w:type="dxa"/>
            <w:tcBorders>
              <w:top w:val="nil"/>
              <w:left w:val="single" w:sz="4" w:space="0" w:color="auto"/>
              <w:bottom w:val="nil"/>
              <w:right w:val="nil"/>
            </w:tcBorders>
            <w:shd w:val="clear" w:color="auto" w:fill="auto"/>
            <w:noWrap/>
            <w:hideMark/>
          </w:tcPr>
          <w:p w:rsidR="00D05024" w:rsidRPr="00214B4D" w:rsidRDefault="00D05024" w:rsidP="001F6A90">
            <w:pPr>
              <w:spacing w:after="0" w:line="240" w:lineRule="auto"/>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Indirect treatment comparisons</w:t>
            </w:r>
          </w:p>
        </w:tc>
        <w:tc>
          <w:tcPr>
            <w:tcW w:w="4022" w:type="dxa"/>
            <w:tcBorders>
              <w:top w:val="nil"/>
              <w:left w:val="nil"/>
              <w:bottom w:val="nil"/>
              <w:right w:val="single" w:sz="4" w:space="0" w:color="auto"/>
            </w:tcBorders>
            <w:shd w:val="clear" w:color="auto" w:fill="auto"/>
            <w:noWrap/>
            <w:hideMark/>
          </w:tcPr>
          <w:p w:rsidR="00D05024" w:rsidRPr="00214B4D" w:rsidRDefault="00D05024" w:rsidP="001F6A90">
            <w:pPr>
              <w:spacing w:after="0" w:line="240" w:lineRule="auto"/>
              <w:jc w:val="center"/>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9 (2.0%)</w:t>
            </w:r>
          </w:p>
        </w:tc>
      </w:tr>
      <w:tr w:rsidR="00D05024" w:rsidRPr="00214B4D" w:rsidTr="001F6A90">
        <w:trPr>
          <w:trHeight w:val="300"/>
        </w:trPr>
        <w:tc>
          <w:tcPr>
            <w:tcW w:w="5618" w:type="dxa"/>
            <w:tcBorders>
              <w:top w:val="nil"/>
              <w:left w:val="single" w:sz="4" w:space="0" w:color="auto"/>
              <w:bottom w:val="nil"/>
              <w:right w:val="nil"/>
            </w:tcBorders>
            <w:shd w:val="clear" w:color="auto" w:fill="auto"/>
            <w:noWrap/>
            <w:hideMark/>
          </w:tcPr>
          <w:p w:rsidR="00D05024" w:rsidRPr="00214B4D" w:rsidRDefault="00D05024" w:rsidP="001F6A90">
            <w:pPr>
              <w:spacing w:after="0" w:line="240" w:lineRule="auto"/>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Meta-analysis</w:t>
            </w:r>
          </w:p>
        </w:tc>
        <w:tc>
          <w:tcPr>
            <w:tcW w:w="4022" w:type="dxa"/>
            <w:tcBorders>
              <w:top w:val="nil"/>
              <w:left w:val="nil"/>
              <w:bottom w:val="nil"/>
              <w:right w:val="single" w:sz="4" w:space="0" w:color="auto"/>
            </w:tcBorders>
            <w:shd w:val="clear" w:color="auto" w:fill="auto"/>
            <w:noWrap/>
            <w:hideMark/>
          </w:tcPr>
          <w:p w:rsidR="00D05024" w:rsidRPr="00214B4D" w:rsidRDefault="00D05024" w:rsidP="001F6A90">
            <w:pPr>
              <w:spacing w:after="0" w:line="240" w:lineRule="auto"/>
              <w:jc w:val="center"/>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8 (1.8%)</w:t>
            </w:r>
          </w:p>
        </w:tc>
      </w:tr>
      <w:tr w:rsidR="00D05024" w:rsidRPr="00214B4D" w:rsidTr="001F6A90">
        <w:trPr>
          <w:trHeight w:val="300"/>
        </w:trPr>
        <w:tc>
          <w:tcPr>
            <w:tcW w:w="5618" w:type="dxa"/>
            <w:tcBorders>
              <w:top w:val="nil"/>
              <w:left w:val="single" w:sz="4" w:space="0" w:color="auto"/>
              <w:bottom w:val="nil"/>
              <w:right w:val="nil"/>
            </w:tcBorders>
            <w:shd w:val="clear" w:color="auto" w:fill="auto"/>
            <w:noWrap/>
            <w:hideMark/>
          </w:tcPr>
          <w:p w:rsidR="00D05024" w:rsidRPr="00214B4D" w:rsidRDefault="00D05024" w:rsidP="001F6A90">
            <w:pPr>
              <w:spacing w:after="0" w:line="240" w:lineRule="auto"/>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Indirect meta-analysis</w:t>
            </w:r>
          </w:p>
        </w:tc>
        <w:tc>
          <w:tcPr>
            <w:tcW w:w="4022" w:type="dxa"/>
            <w:tcBorders>
              <w:top w:val="nil"/>
              <w:left w:val="nil"/>
              <w:bottom w:val="nil"/>
              <w:right w:val="single" w:sz="4" w:space="0" w:color="auto"/>
            </w:tcBorders>
            <w:shd w:val="clear" w:color="auto" w:fill="auto"/>
            <w:noWrap/>
            <w:hideMark/>
          </w:tcPr>
          <w:p w:rsidR="00D05024" w:rsidRPr="00214B4D" w:rsidRDefault="00D05024" w:rsidP="001F6A90">
            <w:pPr>
              <w:spacing w:after="0" w:line="240" w:lineRule="auto"/>
              <w:jc w:val="center"/>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2 (0.4%)</w:t>
            </w:r>
          </w:p>
        </w:tc>
      </w:tr>
      <w:tr w:rsidR="00D05024" w:rsidRPr="00214B4D" w:rsidTr="001F6A90">
        <w:trPr>
          <w:trHeight w:val="300"/>
        </w:trPr>
        <w:tc>
          <w:tcPr>
            <w:tcW w:w="5618" w:type="dxa"/>
            <w:tcBorders>
              <w:top w:val="nil"/>
              <w:left w:val="single" w:sz="4" w:space="0" w:color="auto"/>
              <w:bottom w:val="nil"/>
              <w:right w:val="nil"/>
            </w:tcBorders>
            <w:shd w:val="clear" w:color="auto" w:fill="auto"/>
            <w:noWrap/>
            <w:hideMark/>
          </w:tcPr>
          <w:p w:rsidR="00D05024" w:rsidRPr="00214B4D" w:rsidRDefault="00D05024" w:rsidP="001F6A90">
            <w:pPr>
              <w:spacing w:after="0" w:line="240" w:lineRule="auto"/>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Adjusted indirect meta-analysis</w:t>
            </w:r>
          </w:p>
        </w:tc>
        <w:tc>
          <w:tcPr>
            <w:tcW w:w="4022" w:type="dxa"/>
            <w:tcBorders>
              <w:top w:val="nil"/>
              <w:left w:val="nil"/>
              <w:bottom w:val="nil"/>
              <w:right w:val="single" w:sz="4" w:space="0" w:color="auto"/>
            </w:tcBorders>
            <w:shd w:val="clear" w:color="auto" w:fill="auto"/>
            <w:noWrap/>
            <w:hideMark/>
          </w:tcPr>
          <w:p w:rsidR="00D05024" w:rsidRPr="00214B4D" w:rsidRDefault="00D05024" w:rsidP="001F6A90">
            <w:pPr>
              <w:spacing w:after="0" w:line="240" w:lineRule="auto"/>
              <w:jc w:val="center"/>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1 (0.2%)</w:t>
            </w:r>
          </w:p>
        </w:tc>
      </w:tr>
      <w:tr w:rsidR="00D05024" w:rsidRPr="00214B4D" w:rsidTr="001F6A90">
        <w:trPr>
          <w:trHeight w:val="300"/>
        </w:trPr>
        <w:tc>
          <w:tcPr>
            <w:tcW w:w="5618" w:type="dxa"/>
            <w:tcBorders>
              <w:top w:val="nil"/>
              <w:left w:val="single" w:sz="4" w:space="0" w:color="auto"/>
              <w:bottom w:val="single" w:sz="4" w:space="0" w:color="auto"/>
              <w:right w:val="nil"/>
            </w:tcBorders>
            <w:shd w:val="clear" w:color="auto" w:fill="auto"/>
            <w:noWrap/>
            <w:hideMark/>
          </w:tcPr>
          <w:p w:rsidR="00D05024" w:rsidRPr="00214B4D" w:rsidRDefault="00D05024" w:rsidP="001F6A90">
            <w:pPr>
              <w:spacing w:after="0" w:line="240" w:lineRule="auto"/>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Indirect comparison meta-regression</w:t>
            </w:r>
          </w:p>
        </w:tc>
        <w:tc>
          <w:tcPr>
            <w:tcW w:w="4022" w:type="dxa"/>
            <w:tcBorders>
              <w:top w:val="nil"/>
              <w:left w:val="nil"/>
              <w:bottom w:val="single" w:sz="4" w:space="0" w:color="auto"/>
              <w:right w:val="single" w:sz="4" w:space="0" w:color="auto"/>
            </w:tcBorders>
            <w:shd w:val="clear" w:color="auto" w:fill="auto"/>
            <w:noWrap/>
            <w:hideMark/>
          </w:tcPr>
          <w:p w:rsidR="00D05024" w:rsidRPr="00214B4D" w:rsidRDefault="00D05024" w:rsidP="001F6A90">
            <w:pPr>
              <w:spacing w:after="0" w:line="240" w:lineRule="auto"/>
              <w:jc w:val="center"/>
              <w:rPr>
                <w:rFonts w:ascii="Times New Roman" w:eastAsia="Times New Roman" w:hAnsi="Times New Roman" w:cs="Times New Roman"/>
                <w:color w:val="000000"/>
                <w:kern w:val="28"/>
                <w:lang w:val="en-CA" w:eastAsia="en-CA"/>
              </w:rPr>
            </w:pPr>
            <w:r w:rsidRPr="00214B4D">
              <w:rPr>
                <w:rFonts w:ascii="Times New Roman" w:eastAsia="Times New Roman" w:hAnsi="Times New Roman" w:cs="Times New Roman"/>
                <w:color w:val="000000"/>
                <w:kern w:val="28"/>
                <w:lang w:val="en-CA" w:eastAsia="en-CA"/>
              </w:rPr>
              <w:t>1 (0.2%)</w:t>
            </w:r>
          </w:p>
        </w:tc>
      </w:tr>
    </w:tbl>
    <w:p w:rsidR="00671C75" w:rsidRDefault="00671C75" w:rsidP="00D05024">
      <w:pPr>
        <w:pStyle w:val="Heading1"/>
        <w:sectPr w:rsidR="00671C75">
          <w:pgSz w:w="12240" w:h="15840"/>
          <w:pgMar w:top="1440" w:right="1440" w:bottom="1440" w:left="1440" w:header="720" w:footer="720" w:gutter="0"/>
          <w:cols w:space="720"/>
          <w:docGrid w:linePitch="360"/>
        </w:sectPr>
      </w:pPr>
    </w:p>
    <w:p w:rsidR="00F45EA8" w:rsidRPr="00C1780A" w:rsidRDefault="00C17EE5" w:rsidP="00F45EA8">
      <w:pPr>
        <w:spacing w:after="240" w:line="240" w:lineRule="auto"/>
        <w:jc w:val="both"/>
        <w:outlineLvl w:val="0"/>
        <w:rPr>
          <w:rFonts w:ascii="Times New Roman" w:eastAsia="MS PGothic" w:hAnsi="Times New Roman" w:cs="Times New Roman"/>
          <w:b/>
          <w:color w:val="000000"/>
          <w:sz w:val="28"/>
          <w:szCs w:val="28"/>
        </w:rPr>
      </w:pPr>
      <w:r>
        <w:rPr>
          <w:rFonts w:ascii="Times New Roman" w:eastAsia="MS PGothic" w:hAnsi="Times New Roman" w:cs="Times New Roman"/>
          <w:b/>
          <w:color w:val="000000"/>
          <w:sz w:val="28"/>
          <w:szCs w:val="28"/>
        </w:rPr>
        <w:lastRenderedPageBreak/>
        <w:t xml:space="preserve">Appendix </w:t>
      </w:r>
      <w:r w:rsidR="00214B4D">
        <w:rPr>
          <w:rFonts w:ascii="Times New Roman" w:eastAsia="MS PGothic" w:hAnsi="Times New Roman" w:cs="Times New Roman"/>
          <w:b/>
          <w:color w:val="000000"/>
          <w:sz w:val="28"/>
          <w:szCs w:val="28"/>
        </w:rPr>
        <w:t>5</w:t>
      </w:r>
      <w:r w:rsidR="00F45EA8" w:rsidRPr="00C1780A">
        <w:rPr>
          <w:rFonts w:ascii="Times New Roman" w:eastAsia="MS PGothic" w:hAnsi="Times New Roman" w:cs="Times New Roman"/>
          <w:b/>
          <w:color w:val="000000"/>
          <w:sz w:val="28"/>
          <w:szCs w:val="28"/>
        </w:rPr>
        <w:t xml:space="preserve">. </w:t>
      </w:r>
      <w:r w:rsidR="00840AFD">
        <w:rPr>
          <w:rFonts w:ascii="Times New Roman" w:eastAsia="MS PGothic" w:hAnsi="Times New Roman" w:cs="Times New Roman"/>
          <w:b/>
          <w:color w:val="000000"/>
          <w:sz w:val="28"/>
          <w:szCs w:val="28"/>
        </w:rPr>
        <w:t>Methodology p</w:t>
      </w:r>
      <w:r w:rsidR="00900CFF" w:rsidRPr="00C1780A">
        <w:rPr>
          <w:rFonts w:ascii="Times New Roman" w:eastAsia="MS PGothic" w:hAnsi="Times New Roman" w:cs="Times New Roman"/>
          <w:b/>
          <w:color w:val="000000"/>
          <w:sz w:val="28"/>
          <w:szCs w:val="28"/>
        </w:rPr>
        <w:t>apers</w:t>
      </w:r>
      <w:r w:rsidR="00840AFD">
        <w:rPr>
          <w:rFonts w:ascii="Times New Roman" w:eastAsia="MS PGothic" w:hAnsi="Times New Roman" w:cs="Times New Roman"/>
          <w:b/>
          <w:color w:val="000000"/>
          <w:sz w:val="28"/>
          <w:szCs w:val="28"/>
        </w:rPr>
        <w:t xml:space="preserve"> c</w:t>
      </w:r>
      <w:r w:rsidR="00EC56DB" w:rsidRPr="00C1780A">
        <w:rPr>
          <w:rFonts w:ascii="Times New Roman" w:eastAsia="MS PGothic" w:hAnsi="Times New Roman" w:cs="Times New Roman"/>
          <w:b/>
          <w:color w:val="000000"/>
          <w:sz w:val="28"/>
          <w:szCs w:val="28"/>
        </w:rPr>
        <w:t>ited ≥ 10 times</w:t>
      </w:r>
    </w:p>
    <w:tbl>
      <w:tblPr>
        <w:tblW w:w="5000" w:type="pct"/>
        <w:tblLook w:val="04A0" w:firstRow="1" w:lastRow="0" w:firstColumn="1" w:lastColumn="0" w:noHBand="0" w:noVBand="1"/>
      </w:tblPr>
      <w:tblGrid>
        <w:gridCol w:w="6517"/>
        <w:gridCol w:w="3059"/>
      </w:tblGrid>
      <w:tr w:rsidR="00F45EA8" w:rsidRPr="00F1330D" w:rsidTr="00F1330D">
        <w:trPr>
          <w:trHeight w:val="330"/>
        </w:trPr>
        <w:tc>
          <w:tcPr>
            <w:tcW w:w="3403" w:type="pct"/>
            <w:tcBorders>
              <w:top w:val="single" w:sz="2" w:space="0" w:color="auto"/>
              <w:left w:val="single" w:sz="2" w:space="0" w:color="auto"/>
              <w:bottom w:val="single" w:sz="18" w:space="0" w:color="auto"/>
              <w:right w:val="nil"/>
            </w:tcBorders>
            <w:shd w:val="clear" w:color="auto" w:fill="auto"/>
            <w:noWrap/>
            <w:hideMark/>
          </w:tcPr>
          <w:p w:rsidR="00F45EA8" w:rsidRPr="00F1330D" w:rsidRDefault="00F45EA8" w:rsidP="00F1330D">
            <w:pPr>
              <w:spacing w:before="120" w:after="120" w:line="240" w:lineRule="auto"/>
              <w:rPr>
                <w:rFonts w:ascii="Times New Roman" w:eastAsia="Times New Roman" w:hAnsi="Times New Roman" w:cs="Times New Roman"/>
                <w:b/>
                <w:bCs/>
                <w:color w:val="000000"/>
                <w:sz w:val="24"/>
                <w:szCs w:val="24"/>
                <w:lang w:val="en-CA" w:eastAsia="en-CA"/>
              </w:rPr>
            </w:pPr>
            <w:r w:rsidRPr="00F1330D">
              <w:rPr>
                <w:rFonts w:ascii="Times New Roman" w:eastAsia="Times New Roman" w:hAnsi="Times New Roman" w:cs="Times New Roman"/>
                <w:b/>
                <w:bCs/>
                <w:color w:val="000000"/>
                <w:sz w:val="24"/>
                <w:szCs w:val="24"/>
                <w:lang w:val="en-CA" w:eastAsia="en-CA"/>
              </w:rPr>
              <w:t>Most commonly cited</w:t>
            </w:r>
            <w:r w:rsidR="00F1330D">
              <w:rPr>
                <w:rFonts w:ascii="Times New Roman" w:eastAsia="Times New Roman" w:hAnsi="Times New Roman" w:cs="Times New Roman"/>
                <w:b/>
                <w:bCs/>
                <w:color w:val="000000"/>
                <w:sz w:val="24"/>
                <w:szCs w:val="24"/>
                <w:lang w:val="en-CA" w:eastAsia="en-CA"/>
              </w:rPr>
              <w:t xml:space="preserve"> papers</w:t>
            </w:r>
            <w:r w:rsidRPr="00F1330D">
              <w:rPr>
                <w:rFonts w:ascii="Times New Roman" w:eastAsia="Times New Roman" w:hAnsi="Times New Roman" w:cs="Times New Roman"/>
                <w:b/>
                <w:bCs/>
                <w:color w:val="000000"/>
                <w:sz w:val="24"/>
                <w:szCs w:val="24"/>
                <w:lang w:val="en-CA" w:eastAsia="en-CA"/>
              </w:rPr>
              <w:t xml:space="preserve"> </w:t>
            </w:r>
            <w:r w:rsidR="00EC56DB" w:rsidRPr="00F1330D">
              <w:rPr>
                <w:rFonts w:ascii="Times New Roman" w:eastAsia="Times New Roman" w:hAnsi="Times New Roman" w:cs="Times New Roman"/>
                <w:b/>
                <w:bCs/>
                <w:color w:val="000000"/>
                <w:sz w:val="24"/>
                <w:szCs w:val="24"/>
                <w:lang w:val="en-CA" w:eastAsia="en-CA"/>
              </w:rPr>
              <w:t>(n=456)</w:t>
            </w:r>
          </w:p>
        </w:tc>
        <w:tc>
          <w:tcPr>
            <w:tcW w:w="1597" w:type="pct"/>
            <w:tcBorders>
              <w:top w:val="single" w:sz="2" w:space="0" w:color="auto"/>
              <w:left w:val="nil"/>
              <w:bottom w:val="single" w:sz="18" w:space="0" w:color="auto"/>
              <w:right w:val="single" w:sz="2" w:space="0" w:color="auto"/>
            </w:tcBorders>
            <w:shd w:val="clear" w:color="auto" w:fill="auto"/>
            <w:noWrap/>
            <w:hideMark/>
          </w:tcPr>
          <w:p w:rsidR="00F45EA8" w:rsidRPr="00F1330D" w:rsidRDefault="00F45EA8" w:rsidP="00F1330D">
            <w:pPr>
              <w:spacing w:before="120" w:after="120" w:line="240" w:lineRule="auto"/>
              <w:jc w:val="center"/>
              <w:rPr>
                <w:rFonts w:ascii="Times New Roman" w:eastAsia="Times New Roman" w:hAnsi="Times New Roman" w:cs="Times New Roman"/>
                <w:bCs/>
                <w:i/>
                <w:color w:val="000000"/>
                <w:sz w:val="24"/>
                <w:szCs w:val="24"/>
                <w:lang w:val="en-CA" w:eastAsia="en-CA"/>
              </w:rPr>
            </w:pPr>
            <w:r w:rsidRPr="00F1330D">
              <w:rPr>
                <w:rFonts w:ascii="Times New Roman" w:eastAsia="Times New Roman" w:hAnsi="Times New Roman" w:cs="Times New Roman"/>
                <w:bCs/>
                <w:i/>
                <w:color w:val="000000"/>
                <w:sz w:val="24"/>
                <w:szCs w:val="24"/>
                <w:lang w:val="en-CA" w:eastAsia="en-CA"/>
              </w:rPr>
              <w:t>Count (%)</w:t>
            </w:r>
          </w:p>
        </w:tc>
      </w:tr>
      <w:tr w:rsidR="00F45EA8" w:rsidRPr="00C1780A" w:rsidTr="00F1330D">
        <w:trPr>
          <w:trHeight w:val="300"/>
        </w:trPr>
        <w:tc>
          <w:tcPr>
            <w:tcW w:w="3403" w:type="pct"/>
            <w:tcBorders>
              <w:top w:val="single" w:sz="18" w:space="0" w:color="auto"/>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Lu &amp; Ades 2004</w:t>
            </w:r>
            <w:r w:rsidR="00EA43FF">
              <w:rPr>
                <w:rFonts w:ascii="Times New Roman" w:eastAsia="Times New Roman" w:hAnsi="Times New Roman" w:cs="Times New Roman"/>
                <w:color w:val="000000"/>
                <w:lang w:val="en-CA" w:eastAsia="en-CA"/>
              </w:rPr>
              <w:t xml:space="preserve"> </w:t>
            </w:r>
            <w:r w:rsidR="00EA43FF">
              <w:rPr>
                <w:rFonts w:ascii="Times New Roman" w:eastAsia="Times New Roman" w:hAnsi="Times New Roman" w:cs="Times New Roman"/>
                <w:color w:val="000000"/>
                <w:lang w:val="en-CA" w:eastAsia="en-CA"/>
              </w:rPr>
              <w:fldChar w:fldCharType="begin"/>
            </w:r>
            <w:r w:rsidR="00EA43FF">
              <w:rPr>
                <w:rFonts w:ascii="Times New Roman" w:eastAsia="Times New Roman" w:hAnsi="Times New Roman" w:cs="Times New Roman"/>
                <w:color w:val="000000"/>
                <w:lang w:val="en-CA" w:eastAsia="en-CA"/>
              </w:rPr>
              <w:instrText xml:space="preserve"> ADDIN EN.CITE &lt;EndNote&gt;&lt;Cite&gt;&lt;Author&gt;Lu&lt;/Author&gt;&lt;Year&gt;2004&lt;/Year&gt;&lt;RecNum&gt;648&lt;/RecNum&gt;&lt;DisplayText&gt;[1]&lt;/DisplayText&gt;&lt;record&gt;&lt;rec-number&gt;648&lt;/rec-number&gt;&lt;foreign-keys&gt;&lt;key app="EN" db-id="225r2r50s9vvfxe5x0spf5rws59ws5apvzxv" timestamp="1461165692"&gt;648&lt;/key&gt;&lt;/foreign-keys&gt;&lt;ref-type name="Journal Article"&gt;17&lt;/ref-type&gt;&lt;contributors&gt;&lt;authors&gt;&lt;author&gt;Lu, G.&lt;/author&gt;&lt;author&gt;Ades, A. E.&lt;/author&gt;&lt;/authors&gt;&lt;/contributors&gt;&lt;auth-address&gt;MRC HSRC, Department of Social Medicine, University of Bristol, Canynge Hall, White Ladies Road, Bristol BS8 2PR, U.K. guobing.lu@bristol.ac.uk&lt;/auth-address&gt;&lt;titles&gt;&lt;title&gt;Combination of direct and indirect evidence in mixed treatment comparisons&lt;/title&gt;&lt;secondary-title&gt;Stat Med&lt;/secondary-title&gt;&lt;alt-title&gt;Statistics in medicine&lt;/alt-title&gt;&lt;/titles&gt;&lt;periodical&gt;&lt;full-title&gt;Statistics in Medicine&lt;/full-title&gt;&lt;abbr-1&gt;Stat. Med.&lt;/abbr-1&gt;&lt;abbr-2&gt;Stat Med&lt;/abbr-2&gt;&lt;/periodical&gt;&lt;alt-periodical&gt;&lt;full-title&gt;Statistics in Medicine&lt;/full-title&gt;&lt;abbr-1&gt;Stat. Med.&lt;/abbr-1&gt;&lt;abbr-2&gt;Stat Med&lt;/abbr-2&gt;&lt;/alt-periodical&gt;&lt;pages&gt;3105-24&lt;/pages&gt;&lt;volume&gt;23&lt;/volume&gt;&lt;number&gt;20&lt;/number&gt;&lt;edition&gt;2004/09/28&lt;/edition&gt;&lt;keywords&gt;&lt;keyword&gt;Adrenergic beta-Antagonists/standards/therapeutic use&lt;/keyword&gt;&lt;keyword&gt;*Bayes Theorem&lt;/keyword&gt;&lt;keyword&gt;*Data Interpretation, Statistical&lt;/keyword&gt;&lt;keyword&gt;Fibrosis/pathology/therapy&lt;/keyword&gt;&lt;keyword&gt;Hemorrhage/pathology/therapy&lt;/keyword&gt;&lt;keyword&gt;Humans&lt;/keyword&gt;&lt;keyword&gt;Markov Chains&lt;/keyword&gt;&lt;keyword&gt;*Meta-Analysis as Topic&lt;/keyword&gt;&lt;keyword&gt;*Models, Statistical&lt;/keyword&gt;&lt;keyword&gt;Monte Carlo Method&lt;/keyword&gt;&lt;keyword&gt;Randomized Controlled Trials as Topic/*methods&lt;/keyword&gt;&lt;keyword&gt;Sclerotherapy/standards&lt;/keyword&gt;&lt;/keywords&gt;&lt;dates&gt;&lt;year&gt;2004&lt;/year&gt;&lt;pub-dates&gt;&lt;date&gt;Oct 30&lt;/date&gt;&lt;/pub-dates&gt;&lt;/dates&gt;&lt;isbn&gt;0277-6715 (Print)&amp;#xD;0277-6715&lt;/isbn&gt;&lt;accession-num&gt;15449338&lt;/accession-num&gt;&lt;urls&gt;&lt;/urls&gt;&lt;electronic-resource-num&gt;10.1002/sim.1875&lt;/electronic-resource-num&gt;&lt;remote-database-provider&gt;NLM&lt;/remote-database-provider&gt;&lt;language&gt;eng&lt;/language&gt;&lt;/record&gt;&lt;/Cite&gt;&lt;/EndNote&gt;</w:instrText>
            </w:r>
            <w:r w:rsidR="00EA43FF">
              <w:rPr>
                <w:rFonts w:ascii="Times New Roman" w:eastAsia="Times New Roman" w:hAnsi="Times New Roman" w:cs="Times New Roman"/>
                <w:color w:val="000000"/>
                <w:lang w:val="en-CA" w:eastAsia="en-CA"/>
              </w:rPr>
              <w:fldChar w:fldCharType="separate"/>
            </w:r>
            <w:r w:rsidR="00EA43FF">
              <w:rPr>
                <w:rFonts w:ascii="Times New Roman" w:eastAsia="Times New Roman" w:hAnsi="Times New Roman" w:cs="Times New Roman"/>
                <w:noProof/>
                <w:color w:val="000000"/>
                <w:lang w:val="en-CA" w:eastAsia="en-CA"/>
              </w:rPr>
              <w:t>[</w:t>
            </w:r>
            <w:hyperlink w:anchor="_ENREF_5_1" w:tooltip="Lu, 2004 #648" w:history="1">
              <w:r w:rsidR="008B45B5">
                <w:rPr>
                  <w:rFonts w:ascii="Times New Roman" w:eastAsia="Times New Roman" w:hAnsi="Times New Roman" w:cs="Times New Roman"/>
                  <w:noProof/>
                  <w:color w:val="000000"/>
                  <w:lang w:val="en-CA" w:eastAsia="en-CA"/>
                </w:rPr>
                <w:t>1</w:t>
              </w:r>
            </w:hyperlink>
            <w:r w:rsidR="00EA43FF">
              <w:rPr>
                <w:rFonts w:ascii="Times New Roman" w:eastAsia="Times New Roman" w:hAnsi="Times New Roman" w:cs="Times New Roman"/>
                <w:noProof/>
                <w:color w:val="000000"/>
                <w:lang w:val="en-CA" w:eastAsia="en-CA"/>
              </w:rPr>
              <w:t>]</w:t>
            </w:r>
            <w:r w:rsidR="00EA43FF">
              <w:rPr>
                <w:rFonts w:ascii="Times New Roman" w:eastAsia="Times New Roman" w:hAnsi="Times New Roman" w:cs="Times New Roman"/>
                <w:color w:val="000000"/>
                <w:lang w:val="en-CA" w:eastAsia="en-CA"/>
              </w:rPr>
              <w:fldChar w:fldCharType="end"/>
            </w:r>
          </w:p>
        </w:tc>
        <w:tc>
          <w:tcPr>
            <w:tcW w:w="1597" w:type="pct"/>
            <w:tcBorders>
              <w:top w:val="single" w:sz="18" w:space="0" w:color="auto"/>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137 (30.0%)</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Caldwell 2005</w:t>
            </w:r>
            <w:r w:rsidR="001F02E7">
              <w:rPr>
                <w:rFonts w:ascii="Times New Roman" w:eastAsia="Times New Roman" w:hAnsi="Times New Roman" w:cs="Times New Roman"/>
                <w:color w:val="000000"/>
                <w:lang w:val="en-CA" w:eastAsia="en-CA"/>
              </w:rPr>
              <w:t xml:space="preserve"> </w:t>
            </w:r>
            <w:r w:rsidR="001F02E7">
              <w:rPr>
                <w:rFonts w:ascii="Times New Roman" w:eastAsia="Times New Roman" w:hAnsi="Times New Roman" w:cs="Times New Roman"/>
                <w:color w:val="000000"/>
                <w:lang w:val="en-CA" w:eastAsia="en-CA"/>
              </w:rPr>
              <w:fldChar w:fldCharType="begin"/>
            </w:r>
            <w:r w:rsidR="001F02E7">
              <w:rPr>
                <w:rFonts w:ascii="Times New Roman" w:eastAsia="Times New Roman" w:hAnsi="Times New Roman" w:cs="Times New Roman"/>
                <w:color w:val="000000"/>
                <w:lang w:val="en-CA" w:eastAsia="en-CA"/>
              </w:rPr>
              <w:instrText xml:space="preserve"> ADDIN EN.CITE &lt;EndNote&gt;&lt;Cite&gt;&lt;Author&gt;Caldwell&lt;/Author&gt;&lt;Year&gt;2005&lt;/Year&gt;&lt;RecNum&gt;649&lt;/RecNum&gt;&lt;DisplayText&gt;[2]&lt;/DisplayText&gt;&lt;record&gt;&lt;rec-number&gt;649&lt;/rec-number&gt;&lt;foreign-keys&gt;&lt;key app="EN" db-id="225r2r50s9vvfxe5x0spf5rws59ws5apvzxv" timestamp="1461165726"&gt;649&lt;/key&gt;&lt;/foreign-keys&gt;&lt;ref-type name="Journal Article"&gt;17&lt;/ref-type&gt;&lt;contributors&gt;&lt;authors&gt;&lt;author&gt;Caldwell, D. M.&lt;/author&gt;&lt;author&gt;Ades, A. E.&lt;/author&gt;&lt;author&gt;Higgins, J. P.&lt;/author&gt;&lt;/authors&gt;&lt;/contributors&gt;&lt;auth-address&gt;Medical Research Council Health Services Research Collaboration, Department of Social Medicine, University of Bristol, Bristol BS8 2PR. d.m.caldwell@bristol.ac.uk&lt;/auth-address&gt;&lt;titles&gt;&lt;title&gt;Simultaneous comparison of multiple treatments: combining direct and indirect evidence&lt;/title&gt;&lt;secondary-title&gt;Bmj&lt;/secondary-title&gt;&lt;alt-title&gt;BMJ (Clinical research ed.)&lt;/alt-title&gt;&lt;/titles&gt;&lt;periodical&gt;&lt;full-title&gt;BMJ&lt;/full-title&gt;&lt;abbr-1&gt;BMJ&lt;/abbr-1&gt;&lt;abbr-2&gt;BMJ&lt;/abbr-2&gt;&lt;/periodical&gt;&lt;pages&gt;897-900&lt;/pages&gt;&lt;volume&gt;331&lt;/volume&gt;&lt;number&gt;7521&lt;/number&gt;&lt;edition&gt;2005/10/15&lt;/edition&gt;&lt;keywords&gt;&lt;keyword&gt;Bias (Epidemiology)&lt;/keyword&gt;&lt;keyword&gt;Data Interpretation, Statistical&lt;/keyword&gt;&lt;keyword&gt;*Decision Making&lt;/keyword&gt;&lt;keyword&gt;*Evidence-Based Medicine&lt;/keyword&gt;&lt;keyword&gt;Humans&lt;/keyword&gt;&lt;keyword&gt;Meta-Analysis as Topic&lt;/keyword&gt;&lt;keyword&gt;Randomized Controlled Trials as Topic&lt;/keyword&gt;&lt;/keywords&gt;&lt;dates&gt;&lt;year&gt;2005&lt;/year&gt;&lt;pub-dates&gt;&lt;date&gt;Oct 15&lt;/date&gt;&lt;/pub-dates&gt;&lt;/dates&gt;&lt;isbn&gt;0959-535x&lt;/isbn&gt;&lt;accession-num&gt;16223826&lt;/accession-num&gt;&lt;urls&gt;&lt;/urls&gt;&lt;custom2&gt;Pmc1255806&lt;/custom2&gt;&lt;electronic-resource-num&gt;10.1136/bmj.331.7521.897&lt;/electronic-resource-num&gt;&lt;remote-database-provider&gt;NLM&lt;/remote-database-provider&gt;&lt;language&gt;eng&lt;/language&gt;&lt;/record&gt;&lt;/Cite&gt;&lt;/EndNote&gt;</w:instrText>
            </w:r>
            <w:r w:rsidR="001F02E7">
              <w:rPr>
                <w:rFonts w:ascii="Times New Roman" w:eastAsia="Times New Roman" w:hAnsi="Times New Roman" w:cs="Times New Roman"/>
                <w:color w:val="000000"/>
                <w:lang w:val="en-CA" w:eastAsia="en-CA"/>
              </w:rPr>
              <w:fldChar w:fldCharType="separate"/>
            </w:r>
            <w:r w:rsidR="001F02E7">
              <w:rPr>
                <w:rFonts w:ascii="Times New Roman" w:eastAsia="Times New Roman" w:hAnsi="Times New Roman" w:cs="Times New Roman"/>
                <w:noProof/>
                <w:color w:val="000000"/>
                <w:lang w:val="en-CA" w:eastAsia="en-CA"/>
              </w:rPr>
              <w:t>[</w:t>
            </w:r>
            <w:hyperlink w:anchor="_ENREF_5_2" w:tooltip="Caldwell, 2005 #649" w:history="1">
              <w:r w:rsidR="008B45B5">
                <w:rPr>
                  <w:rFonts w:ascii="Times New Roman" w:eastAsia="Times New Roman" w:hAnsi="Times New Roman" w:cs="Times New Roman"/>
                  <w:noProof/>
                  <w:color w:val="000000"/>
                  <w:lang w:val="en-CA" w:eastAsia="en-CA"/>
                </w:rPr>
                <w:t>2</w:t>
              </w:r>
            </w:hyperlink>
            <w:r w:rsidR="001F02E7">
              <w:rPr>
                <w:rFonts w:ascii="Times New Roman" w:eastAsia="Times New Roman" w:hAnsi="Times New Roman" w:cs="Times New Roman"/>
                <w:noProof/>
                <w:color w:val="000000"/>
                <w:lang w:val="en-CA" w:eastAsia="en-CA"/>
              </w:rPr>
              <w:t>]</w:t>
            </w:r>
            <w:r w:rsidR="001F02E7">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76 (16.7%)</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Bucher 1997</w:t>
            </w:r>
            <w:r w:rsidR="001F02E7">
              <w:rPr>
                <w:rFonts w:ascii="Times New Roman" w:eastAsia="Times New Roman" w:hAnsi="Times New Roman" w:cs="Times New Roman"/>
                <w:color w:val="000000"/>
                <w:lang w:val="en-CA" w:eastAsia="en-CA"/>
              </w:rPr>
              <w:t xml:space="preserve"> </w:t>
            </w:r>
            <w:r w:rsidR="00661777">
              <w:rPr>
                <w:rFonts w:ascii="Times New Roman" w:eastAsia="Times New Roman" w:hAnsi="Times New Roman" w:cs="Times New Roman"/>
                <w:color w:val="000000"/>
                <w:lang w:val="en-CA" w:eastAsia="en-CA"/>
              </w:rPr>
              <w:fldChar w:fldCharType="begin"/>
            </w:r>
            <w:r w:rsidR="00661777">
              <w:rPr>
                <w:rFonts w:ascii="Times New Roman" w:eastAsia="Times New Roman" w:hAnsi="Times New Roman" w:cs="Times New Roman"/>
                <w:color w:val="000000"/>
                <w:lang w:val="en-CA" w:eastAsia="en-CA"/>
              </w:rPr>
              <w:instrText xml:space="preserve"> ADDIN EN.CITE &lt;EndNote&gt;&lt;Cite&gt;&lt;Author&gt;Bucher&lt;/Author&gt;&lt;Year&gt;1997&lt;/Year&gt;&lt;RecNum&gt;647&lt;/RecNum&gt;&lt;DisplayText&gt;[3]&lt;/DisplayText&gt;&lt;record&gt;&lt;rec-number&gt;647&lt;/rec-number&gt;&lt;foreign-keys&gt;&lt;key app="EN" db-id="225r2r50s9vvfxe5x0spf5rws59ws5apvzxv" timestamp="1461163992"&gt;647&lt;/key&gt;&lt;/foreign-keys&gt;&lt;ref-type name="Journal Article"&gt;17&lt;/ref-type&gt;&lt;contributors&gt;&lt;authors&gt;&lt;author&gt;Bucher, H. C.&lt;/author&gt;&lt;author&gt;Guyatt, G. H.&lt;/author&gt;&lt;author&gt;Griffith, L. E.&lt;/author&gt;&lt;author&gt;Walter, S. D.&lt;/author&gt;&lt;/authors&gt;&lt;/contributors&gt;&lt;auth-address&gt;Department of Clinical Epidemiology and Biostatistics, McMaster University, Hamilton, Ontario, Canada.&lt;/auth-address&gt;&lt;titles&gt;&lt;title&gt;The results of direct and indirect treatment comparisons in meta-analysis of randomized controlled trials&lt;/title&gt;&lt;secondary-title&gt;J Clin Epidemiol&lt;/secondary-title&gt;&lt;alt-title&gt;Journal of clinical epidemiology&lt;/alt-title&gt;&lt;/titles&gt;&lt;periodical&gt;&lt;full-title&gt;Journal of Clinical Epidemiology&lt;/full-title&gt;&lt;abbr-1&gt;J. Clin. Epidemiol.&lt;/abbr-1&gt;&lt;abbr-2&gt;J Clin Epidemiol&lt;/abbr-2&gt;&lt;/periodical&gt;&lt;alt-periodical&gt;&lt;full-title&gt;Journal of Clinical Epidemiology&lt;/full-title&gt;&lt;abbr-1&gt;J. Clin. Epidemiol.&lt;/abbr-1&gt;&lt;abbr-2&gt;J Clin Epidemiol&lt;/abbr-2&gt;&lt;/alt-periodical&gt;&lt;pages&gt;683-91&lt;/pages&gt;&lt;volume&gt;50&lt;/volume&gt;&lt;number&gt;6&lt;/number&gt;&lt;edition&gt;1997/06/01&lt;/edition&gt;&lt;keywords&gt;&lt;keyword&gt;AIDS-Related Opportunistic Infections/drug therapy/immunology&lt;/keyword&gt;&lt;keyword&gt;Anti-Infective Agents/therapeutic use&lt;/keyword&gt;&lt;keyword&gt;CD4 Lymphocyte Count&lt;/keyword&gt;&lt;keyword&gt;Humans&lt;/keyword&gt;&lt;keyword&gt;*Meta-Analysis as Topic&lt;/keyword&gt;&lt;keyword&gt;*Models, Statistical&lt;/keyword&gt;&lt;keyword&gt;Odds Ratio&lt;/keyword&gt;&lt;keyword&gt;Pneumonia, Pneumocystis/prevention &amp;amp; control&lt;/keyword&gt;&lt;keyword&gt;*Randomized Controlled Trials as Topic&lt;/keyword&gt;&lt;keyword&gt;Time Factors&lt;/keyword&gt;&lt;keyword&gt;*Treatment Outcome&lt;/keyword&gt;&lt;/keywords&gt;&lt;dates&gt;&lt;year&gt;1997&lt;/year&gt;&lt;pub-dates&gt;&lt;date&gt;Jun&lt;/date&gt;&lt;/pub-dates&gt;&lt;/dates&gt;&lt;isbn&gt;0895-4356 (Print)&amp;#xD;0895-4356&lt;/isbn&gt;&lt;accession-num&gt;9250266&lt;/accession-num&gt;&lt;urls&gt;&lt;/urls&gt;&lt;remote-database-provider&gt;NLM&lt;/remote-database-provider&gt;&lt;language&gt;eng&lt;/language&gt;&lt;/record&gt;&lt;/Cite&gt;&lt;/EndNote&gt;</w:instrText>
            </w:r>
            <w:r w:rsidR="00661777">
              <w:rPr>
                <w:rFonts w:ascii="Times New Roman" w:eastAsia="Times New Roman" w:hAnsi="Times New Roman" w:cs="Times New Roman"/>
                <w:color w:val="000000"/>
                <w:lang w:val="en-CA" w:eastAsia="en-CA"/>
              </w:rPr>
              <w:fldChar w:fldCharType="separate"/>
            </w:r>
            <w:r w:rsidR="00661777">
              <w:rPr>
                <w:rFonts w:ascii="Times New Roman" w:eastAsia="Times New Roman" w:hAnsi="Times New Roman" w:cs="Times New Roman"/>
                <w:noProof/>
                <w:color w:val="000000"/>
                <w:lang w:val="en-CA" w:eastAsia="en-CA"/>
              </w:rPr>
              <w:t>[</w:t>
            </w:r>
            <w:hyperlink w:anchor="_ENREF_5_3" w:tooltip="Bucher, 1997 #647" w:history="1">
              <w:r w:rsidR="008B45B5">
                <w:rPr>
                  <w:rFonts w:ascii="Times New Roman" w:eastAsia="Times New Roman" w:hAnsi="Times New Roman" w:cs="Times New Roman"/>
                  <w:noProof/>
                  <w:color w:val="000000"/>
                  <w:lang w:val="en-CA" w:eastAsia="en-CA"/>
                </w:rPr>
                <w:t>3</w:t>
              </w:r>
            </w:hyperlink>
            <w:r w:rsidR="00661777">
              <w:rPr>
                <w:rFonts w:ascii="Times New Roman" w:eastAsia="Times New Roman" w:hAnsi="Times New Roman" w:cs="Times New Roman"/>
                <w:noProof/>
                <w:color w:val="000000"/>
                <w:lang w:val="en-CA" w:eastAsia="en-CA"/>
              </w:rPr>
              <w:t>]</w:t>
            </w:r>
            <w:r w:rsidR="00661777">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71 (15.6%)</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Lumley 2002</w:t>
            </w:r>
            <w:r w:rsidR="00661777">
              <w:rPr>
                <w:rFonts w:ascii="Times New Roman" w:eastAsia="Times New Roman" w:hAnsi="Times New Roman" w:cs="Times New Roman"/>
                <w:color w:val="000000"/>
                <w:lang w:val="en-CA" w:eastAsia="en-CA"/>
              </w:rPr>
              <w:t xml:space="preserve"> </w:t>
            </w:r>
            <w:r w:rsidR="001E26FA">
              <w:rPr>
                <w:rFonts w:ascii="Times New Roman" w:eastAsia="Times New Roman" w:hAnsi="Times New Roman" w:cs="Times New Roman"/>
                <w:color w:val="000000"/>
                <w:lang w:val="en-CA" w:eastAsia="en-CA"/>
              </w:rPr>
              <w:fldChar w:fldCharType="begin"/>
            </w:r>
            <w:r w:rsidR="001E26FA">
              <w:rPr>
                <w:rFonts w:ascii="Times New Roman" w:eastAsia="Times New Roman" w:hAnsi="Times New Roman" w:cs="Times New Roman"/>
                <w:color w:val="000000"/>
                <w:lang w:val="en-CA" w:eastAsia="en-CA"/>
              </w:rPr>
              <w:instrText xml:space="preserve"> ADDIN EN.CITE &lt;EndNote&gt;&lt;Cite&gt;&lt;Author&gt;Lumley&lt;/Author&gt;&lt;Year&gt;2002&lt;/Year&gt;&lt;RecNum&gt;645&lt;/RecNum&gt;&lt;DisplayText&gt;[4]&lt;/DisplayText&gt;&lt;record&gt;&lt;rec-number&gt;645&lt;/rec-number&gt;&lt;foreign-keys&gt;&lt;key app="EN" db-id="225r2r50s9vvfxe5x0spf5rws59ws5apvzxv" timestamp="1461163771"&gt;645&lt;/key&gt;&lt;/foreign-keys&gt;&lt;ref-type name="Journal Article"&gt;17&lt;/ref-type&gt;&lt;contributors&gt;&lt;authors&gt;&lt;author&gt;Lumley, T.&lt;/author&gt;&lt;/authors&gt;&lt;/contributors&gt;&lt;auth-address&gt;Department of Biostatistics, University of Washington, Box 357232, Seattle, WA 98195-7232, USA. tlumley@u.washington.edu&lt;/auth-address&gt;&lt;titles&gt;&lt;title&gt;Network meta-analysis for indirect treatment comparisons&lt;/title&gt;&lt;secondary-title&gt;Stat Med&lt;/secondary-title&gt;&lt;alt-title&gt;Statistics in medicine&lt;/alt-title&gt;&lt;/titles&gt;&lt;periodical&gt;&lt;full-title&gt;Statistics in Medicine&lt;/full-title&gt;&lt;abbr-1&gt;Stat. Med.&lt;/abbr-1&gt;&lt;abbr-2&gt;Stat Med&lt;/abbr-2&gt;&lt;/periodical&gt;&lt;alt-periodical&gt;&lt;full-title&gt;Statistics in Medicine&lt;/full-title&gt;&lt;abbr-1&gt;Stat. Med.&lt;/abbr-1&gt;&lt;abbr-2&gt;Stat Med&lt;/abbr-2&gt;&lt;/alt-periodical&gt;&lt;pages&gt;2313-24&lt;/pages&gt;&lt;volume&gt;21&lt;/volume&gt;&lt;number&gt;16&lt;/number&gt;&lt;edition&gt;2002/09/05&lt;/edition&gt;&lt;keywords&gt;&lt;keyword&gt;Angioplasty/standards&lt;/keyword&gt;&lt;keyword&gt;Fibrinolytic Agents/therapeutic use&lt;/keyword&gt;&lt;keyword&gt;Humans&lt;/keyword&gt;&lt;keyword&gt;*Meta-Analysis as Topic&lt;/keyword&gt;&lt;keyword&gt;*Models, Statistical&lt;/keyword&gt;&lt;keyword&gt;Myocardial Infarction/therapy&lt;/keyword&gt;&lt;keyword&gt;Recombinant Proteins/therapeutic use&lt;/keyword&gt;&lt;keyword&gt;Thrombolytic Therapy/standards&lt;/keyword&gt;&lt;keyword&gt;Tissue Plasminogen Activator/therapeutic use&lt;/keyword&gt;&lt;/keywords&gt;&lt;dates&gt;&lt;year&gt;2002&lt;/year&gt;&lt;pub-dates&gt;&lt;date&gt;Aug 30&lt;/date&gt;&lt;/pub-dates&gt;&lt;/dates&gt;&lt;isbn&gt;0277-6715 (Print)&amp;#xD;0277-6715&lt;/isbn&gt;&lt;accession-num&gt;12210616&lt;/accession-num&gt;&lt;urls&gt;&lt;/urls&gt;&lt;electronic-resource-num&gt;10.1002/sim.1201&lt;/electronic-resource-num&gt;&lt;remote-database-provider&gt;NLM&lt;/remote-database-provider&gt;&lt;language&gt;eng&lt;/language&gt;&lt;/record&gt;&lt;/Cite&gt;&lt;/EndNote&gt;</w:instrText>
            </w:r>
            <w:r w:rsidR="001E26FA">
              <w:rPr>
                <w:rFonts w:ascii="Times New Roman" w:eastAsia="Times New Roman" w:hAnsi="Times New Roman" w:cs="Times New Roman"/>
                <w:color w:val="000000"/>
                <w:lang w:val="en-CA" w:eastAsia="en-CA"/>
              </w:rPr>
              <w:fldChar w:fldCharType="separate"/>
            </w:r>
            <w:r w:rsidR="001E26FA">
              <w:rPr>
                <w:rFonts w:ascii="Times New Roman" w:eastAsia="Times New Roman" w:hAnsi="Times New Roman" w:cs="Times New Roman"/>
                <w:noProof/>
                <w:color w:val="000000"/>
                <w:lang w:val="en-CA" w:eastAsia="en-CA"/>
              </w:rPr>
              <w:t>[</w:t>
            </w:r>
            <w:hyperlink w:anchor="_ENREF_5_4" w:tooltip="Lumley, 2002 #645" w:history="1">
              <w:r w:rsidR="008B45B5">
                <w:rPr>
                  <w:rFonts w:ascii="Times New Roman" w:eastAsia="Times New Roman" w:hAnsi="Times New Roman" w:cs="Times New Roman"/>
                  <w:noProof/>
                  <w:color w:val="000000"/>
                  <w:lang w:val="en-CA" w:eastAsia="en-CA"/>
                </w:rPr>
                <w:t>4</w:t>
              </w:r>
            </w:hyperlink>
            <w:r w:rsidR="001E26FA">
              <w:rPr>
                <w:rFonts w:ascii="Times New Roman" w:eastAsia="Times New Roman" w:hAnsi="Times New Roman" w:cs="Times New Roman"/>
                <w:noProof/>
                <w:color w:val="000000"/>
                <w:lang w:val="en-CA" w:eastAsia="en-CA"/>
              </w:rPr>
              <w:t>]</w:t>
            </w:r>
            <w:r w:rsidR="001E26FA">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37 (8.1%)</w:t>
            </w:r>
          </w:p>
        </w:tc>
      </w:tr>
      <w:tr w:rsidR="000E7CA6" w:rsidRPr="00C1780A" w:rsidTr="001F6A90">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0E7CA6" w:rsidRPr="00C1780A" w:rsidRDefault="000E7CA6" w:rsidP="008B45B5">
            <w:pPr>
              <w:spacing w:after="0" w:line="240" w:lineRule="auto"/>
              <w:rPr>
                <w:rFonts w:ascii="Times New Roman" w:eastAsia="Times New Roman" w:hAnsi="Times New Roman" w:cs="Times New Roman"/>
                <w:color w:val="000000"/>
                <w:lang w:val="en-CA" w:eastAsia="en-CA"/>
              </w:rPr>
            </w:pPr>
            <w:proofErr w:type="spellStart"/>
            <w:r w:rsidRPr="00C1780A">
              <w:rPr>
                <w:rFonts w:ascii="Times New Roman" w:eastAsia="Times New Roman" w:hAnsi="Times New Roman" w:cs="Times New Roman"/>
                <w:color w:val="000000"/>
                <w:lang w:val="en-CA" w:eastAsia="en-CA"/>
              </w:rPr>
              <w:t>Salanti</w:t>
            </w:r>
            <w:proofErr w:type="spellEnd"/>
            <w:r w:rsidRPr="00C1780A">
              <w:rPr>
                <w:rFonts w:ascii="Times New Roman" w:eastAsia="Times New Roman" w:hAnsi="Times New Roman" w:cs="Times New Roman"/>
                <w:color w:val="000000"/>
                <w:lang w:val="en-CA" w:eastAsia="en-CA"/>
              </w:rPr>
              <w:t xml:space="preserve"> 2008</w:t>
            </w:r>
            <w:r>
              <w:rPr>
                <w:rFonts w:ascii="Times New Roman" w:eastAsia="Times New Roman" w:hAnsi="Times New Roman" w:cs="Times New Roman"/>
                <w:color w:val="000000"/>
                <w:lang w:val="en-CA" w:eastAsia="en-CA"/>
              </w:rPr>
              <w:t>a</w:t>
            </w:r>
            <w:r w:rsidR="007507EC">
              <w:rPr>
                <w:rFonts w:ascii="Times New Roman" w:eastAsia="Times New Roman" w:hAnsi="Times New Roman" w:cs="Times New Roman"/>
                <w:color w:val="000000"/>
                <w:lang w:val="en-CA" w:eastAsia="en-CA"/>
              </w:rPr>
              <w:t xml:space="preserve"> </w:t>
            </w:r>
            <w:r w:rsidR="007507EC">
              <w:rPr>
                <w:rFonts w:ascii="Times New Roman" w:eastAsia="Times New Roman" w:hAnsi="Times New Roman" w:cs="Times New Roman"/>
                <w:color w:val="000000"/>
                <w:lang w:val="en-CA" w:eastAsia="en-CA"/>
              </w:rPr>
              <w:fldChar w:fldCharType="begin"/>
            </w:r>
            <w:r w:rsidR="007507EC">
              <w:rPr>
                <w:rFonts w:ascii="Times New Roman" w:eastAsia="Times New Roman" w:hAnsi="Times New Roman" w:cs="Times New Roman"/>
                <w:color w:val="000000"/>
                <w:lang w:val="en-CA" w:eastAsia="en-CA"/>
              </w:rPr>
              <w:instrText xml:space="preserve"> ADDIN EN.CITE &lt;EndNote&gt;&lt;Cite&gt;&lt;Author&gt;Salanti&lt;/Author&gt;&lt;Year&gt;2008&lt;/Year&gt;&lt;RecNum&gt;650&lt;/RecNum&gt;&lt;DisplayText&gt;[5]&lt;/DisplayText&gt;&lt;record&gt;&lt;rec-number&gt;650&lt;/rec-number&gt;&lt;foreign-keys&gt;&lt;key app="EN" db-id="225r2r50s9vvfxe5x0spf5rws59ws5apvzxv" timestamp="1461165759"&gt;650&lt;/key&gt;&lt;/foreign-keys&gt;&lt;ref-type name="Journal Article"&gt;17&lt;/ref-type&gt;&lt;contributors&gt;&lt;authors&gt;&lt;author&gt;Salanti, G.&lt;/author&gt;&lt;author&gt;Higgins, J. P.&lt;/author&gt;&lt;author&gt;Ades, A. E.&lt;/author&gt;&lt;author&gt;Ioannidis, J. P.&lt;/author&gt;&lt;/authors&gt;&lt;/contributors&gt;&lt;auth-address&gt;Clinical and Molecular Epidemiology Unit and Clinical Trials and Evidence-Based Medicine Unit, Department of Hygiene and Epidemiology, University of Ioannina School of Medicine, Greece.&lt;/auth-address&gt;&lt;titles&gt;&lt;title&gt;Evaluation of networks of randomized trials&lt;/title&gt;&lt;secondary-title&gt;Stat Methods Med Res&lt;/secondary-title&gt;&lt;alt-title&gt;Statistical methods in medical research&lt;/alt-title&gt;&lt;/titles&gt;&lt;periodical&gt;&lt;full-title&gt;Statistical Methods in Medical Research&lt;/full-title&gt;&lt;abbr-1&gt;Stat. Methods Med. Res.&lt;/abbr-1&gt;&lt;abbr-2&gt;Stat Methods Med Res&lt;/abbr-2&gt;&lt;/periodical&gt;&lt;alt-periodical&gt;&lt;full-title&gt;Statistical Methods in Medical Research&lt;/full-title&gt;&lt;abbr-1&gt;Stat. Methods Med. Res.&lt;/abbr-1&gt;&lt;abbr-2&gt;Stat Methods Med Res&lt;/abbr-2&gt;&lt;/alt-periodical&gt;&lt;pages&gt;279-301&lt;/pages&gt;&lt;volume&gt;17&lt;/volume&gt;&lt;number&gt;3&lt;/number&gt;&lt;edition&gt;2007/10/11&lt;/edition&gt;&lt;keywords&gt;&lt;keyword&gt;Humans&lt;/keyword&gt;&lt;keyword&gt;*Meta-Analysis as Topic&lt;/keyword&gt;&lt;keyword&gt;*Models, Statistical&lt;/keyword&gt;&lt;keyword&gt;Randomized Controlled Trials as Topic/methods/*statistics &amp;amp; numerical data&lt;/keyword&gt;&lt;keyword&gt;Research Design/statistics &amp;amp; numerical data&lt;/keyword&gt;&lt;/keywords&gt;&lt;dates&gt;&lt;year&gt;2008&lt;/year&gt;&lt;pub-dates&gt;&lt;date&gt;Jun&lt;/date&gt;&lt;/pub-dates&gt;&lt;/dates&gt;&lt;isbn&gt;0962-2802 (Print)&amp;#xD;0962-2802&lt;/isbn&gt;&lt;accession-num&gt;17925316&lt;/accession-num&gt;&lt;urls&gt;&lt;/urls&gt;&lt;electronic-resource-num&gt;10.1177/0962280207080643&lt;/electronic-resource-num&gt;&lt;remote-database-provider&gt;NLM&lt;/remote-database-provider&gt;&lt;language&gt;eng&lt;/language&gt;&lt;/record&gt;&lt;/Cite&gt;&lt;/EndNote&gt;</w:instrText>
            </w:r>
            <w:r w:rsidR="007507EC">
              <w:rPr>
                <w:rFonts w:ascii="Times New Roman" w:eastAsia="Times New Roman" w:hAnsi="Times New Roman" w:cs="Times New Roman"/>
                <w:color w:val="000000"/>
                <w:lang w:val="en-CA" w:eastAsia="en-CA"/>
              </w:rPr>
              <w:fldChar w:fldCharType="separate"/>
            </w:r>
            <w:r w:rsidR="007507EC">
              <w:rPr>
                <w:rFonts w:ascii="Times New Roman" w:eastAsia="Times New Roman" w:hAnsi="Times New Roman" w:cs="Times New Roman"/>
                <w:noProof/>
                <w:color w:val="000000"/>
                <w:lang w:val="en-CA" w:eastAsia="en-CA"/>
              </w:rPr>
              <w:t>[</w:t>
            </w:r>
            <w:hyperlink w:anchor="_ENREF_5_5" w:tooltip="Salanti, 2008 #650" w:history="1">
              <w:r w:rsidR="008B45B5">
                <w:rPr>
                  <w:rFonts w:ascii="Times New Roman" w:eastAsia="Times New Roman" w:hAnsi="Times New Roman" w:cs="Times New Roman"/>
                  <w:noProof/>
                  <w:color w:val="000000"/>
                  <w:lang w:val="en-CA" w:eastAsia="en-CA"/>
                </w:rPr>
                <w:t>5</w:t>
              </w:r>
            </w:hyperlink>
            <w:r w:rsidR="007507EC">
              <w:rPr>
                <w:rFonts w:ascii="Times New Roman" w:eastAsia="Times New Roman" w:hAnsi="Times New Roman" w:cs="Times New Roman"/>
                <w:noProof/>
                <w:color w:val="000000"/>
                <w:lang w:val="en-CA" w:eastAsia="en-CA"/>
              </w:rPr>
              <w:t>]</w:t>
            </w:r>
            <w:r w:rsidR="007507EC">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0E7CA6" w:rsidRPr="00C1780A" w:rsidRDefault="000E7CA6" w:rsidP="001F6A90">
            <w:pPr>
              <w:spacing w:after="0" w:line="240" w:lineRule="auto"/>
              <w:jc w:val="center"/>
              <w:rPr>
                <w:rFonts w:ascii="Times New Roman" w:eastAsia="Times New Roman" w:hAnsi="Times New Roman" w:cs="Times New Roman"/>
                <w:color w:val="000000"/>
                <w:lang w:val="en-CA" w:eastAsia="en-CA"/>
              </w:rPr>
            </w:pPr>
            <w:r>
              <w:rPr>
                <w:rFonts w:ascii="Times New Roman" w:eastAsia="Times New Roman" w:hAnsi="Times New Roman" w:cs="Times New Roman"/>
                <w:color w:val="000000"/>
                <w:lang w:val="en-CA" w:eastAsia="en-CA"/>
              </w:rPr>
              <w:t>32</w:t>
            </w:r>
            <w:r w:rsidRPr="00C1780A">
              <w:rPr>
                <w:rFonts w:ascii="Times New Roman" w:eastAsia="Times New Roman" w:hAnsi="Times New Roman" w:cs="Times New Roman"/>
                <w:color w:val="000000"/>
                <w:lang w:val="en-CA" w:eastAsia="en-CA"/>
              </w:rPr>
              <w:t xml:space="preserve"> (</w:t>
            </w:r>
            <w:r>
              <w:rPr>
                <w:rFonts w:ascii="Times New Roman" w:eastAsia="Times New Roman" w:hAnsi="Times New Roman" w:cs="Times New Roman"/>
                <w:color w:val="000000"/>
                <w:lang w:val="en-CA" w:eastAsia="en-CA"/>
              </w:rPr>
              <w:t>7.0</w:t>
            </w:r>
            <w:r w:rsidRPr="00C1780A">
              <w:rPr>
                <w:rFonts w:ascii="Times New Roman" w:eastAsia="Times New Roman" w:hAnsi="Times New Roman" w:cs="Times New Roman"/>
                <w:color w:val="000000"/>
                <w:lang w:val="en-CA" w:eastAsia="en-CA"/>
              </w:rPr>
              <w:t>%)</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Glenny 2005</w:t>
            </w:r>
            <w:r w:rsidR="000718C5">
              <w:rPr>
                <w:rFonts w:ascii="Times New Roman" w:eastAsia="Times New Roman" w:hAnsi="Times New Roman" w:cs="Times New Roman"/>
                <w:color w:val="000000"/>
                <w:lang w:val="en-CA" w:eastAsia="en-CA"/>
              </w:rPr>
              <w:t xml:space="preserve"> </w:t>
            </w:r>
            <w:r w:rsidR="000718C5">
              <w:rPr>
                <w:rFonts w:ascii="Times New Roman" w:eastAsia="Times New Roman" w:hAnsi="Times New Roman" w:cs="Times New Roman"/>
                <w:color w:val="000000"/>
                <w:lang w:val="en-CA" w:eastAsia="en-CA"/>
              </w:rPr>
              <w:fldChar w:fldCharType="begin"/>
            </w:r>
            <w:r w:rsidR="000718C5">
              <w:rPr>
                <w:rFonts w:ascii="Times New Roman" w:eastAsia="Times New Roman" w:hAnsi="Times New Roman" w:cs="Times New Roman"/>
                <w:color w:val="000000"/>
                <w:lang w:val="en-CA" w:eastAsia="en-CA"/>
              </w:rPr>
              <w:instrText xml:space="preserve"> ADDIN EN.CITE &lt;EndNote&gt;&lt;Cite&gt;&lt;Author&gt;Glenny&lt;/Author&gt;&lt;Year&gt;2005&lt;/Year&gt;&lt;RecNum&gt;773&lt;/RecNum&gt;&lt;DisplayText&gt;[6]&lt;/DisplayText&gt;&lt;record&gt;&lt;rec-number&gt;773&lt;/rec-number&gt;&lt;foreign-keys&gt;&lt;key app="EN" db-id="225r2r50s9vvfxe5x0spf5rws59ws5apvzxv" timestamp="1476804335"&gt;773&lt;/key&gt;&lt;/foreign-keys&gt;&lt;ref-type name="Journal Article"&gt;17&lt;/ref-type&gt;&lt;contributors&gt;&lt;authors&gt;&lt;author&gt;Glenny, A. M.&lt;/author&gt;&lt;author&gt;Altman, D. G.&lt;/author&gt;&lt;author&gt;Song, F.&lt;/author&gt;&lt;author&gt;Sakarovitch, C.&lt;/author&gt;&lt;author&gt;Deeks, J. J.&lt;/author&gt;&lt;author&gt;D&amp;apos;Amico, R.&lt;/author&gt;&lt;author&gt;Bradburn, M.&lt;/author&gt;&lt;author&gt;Eastwood, A. J.&lt;/author&gt;&lt;/authors&gt;&lt;/contributors&gt;&lt;auth-address&gt;Cochrane Oral Health Group, Dental School, University of Manchester, UK.&lt;/auth-address&gt;&lt;titles&gt;&lt;title&gt;Indirect comparisons of competing interventions&lt;/title&gt;&lt;secondary-title&gt;Health Technol Assess&lt;/secondary-title&gt;&lt;alt-title&gt;Health technology assessment (Winchester, England)&lt;/alt-title&gt;&lt;/titles&gt;&lt;periodical&gt;&lt;full-title&gt;Health Technology Assessment&lt;/full-title&gt;&lt;abbr-1&gt;Health Technol. Assess.&lt;/abbr-1&gt;&lt;abbr-2&gt;Health Technol Assess&lt;/abbr-2&gt;&lt;/periodical&gt;&lt;pages&gt;1-134, iii-iv&lt;/pages&gt;&lt;volume&gt;9&lt;/volume&gt;&lt;number&gt;26&lt;/number&gt;&lt;edition&gt;2005/07/15&lt;/edition&gt;&lt;keywords&gt;&lt;keyword&gt;Bias (Epidemiology)&lt;/keyword&gt;&lt;keyword&gt;Biomedical Research/*methods&lt;/keyword&gt;&lt;keyword&gt;Humans&lt;/keyword&gt;&lt;keyword&gt;*Meta-Analysis as Topic&lt;/keyword&gt;&lt;keyword&gt;Randomized Controlled Trials as Topic/*methods&lt;/keyword&gt;&lt;keyword&gt;Research Design&lt;/keyword&gt;&lt;keyword&gt;*Review Literature as Topic&lt;/keyword&gt;&lt;keyword&gt;Treatment Outcome&lt;/keyword&gt;&lt;/keywords&gt;&lt;dates&gt;&lt;year&gt;2005&lt;/year&gt;&lt;pub-dates&gt;&lt;date&gt;Jul&lt;/date&gt;&lt;/pub-dates&gt;&lt;/dates&gt;&lt;isbn&gt;1366-5278 (Print)&amp;#xD;1366-5278&lt;/isbn&gt;&lt;accession-num&gt;16014203&lt;/accession-num&gt;&lt;urls&gt;&lt;/urls&gt;&lt;remote-database-provider&gt;NLM&lt;/remote-database-provider&gt;&lt;language&gt;Eng&lt;/language&gt;&lt;/record&gt;&lt;/Cite&gt;&lt;/EndNote&gt;</w:instrText>
            </w:r>
            <w:r w:rsidR="000718C5">
              <w:rPr>
                <w:rFonts w:ascii="Times New Roman" w:eastAsia="Times New Roman" w:hAnsi="Times New Roman" w:cs="Times New Roman"/>
                <w:color w:val="000000"/>
                <w:lang w:val="en-CA" w:eastAsia="en-CA"/>
              </w:rPr>
              <w:fldChar w:fldCharType="separate"/>
            </w:r>
            <w:r w:rsidR="000718C5">
              <w:rPr>
                <w:rFonts w:ascii="Times New Roman" w:eastAsia="Times New Roman" w:hAnsi="Times New Roman" w:cs="Times New Roman"/>
                <w:noProof/>
                <w:color w:val="000000"/>
                <w:lang w:val="en-CA" w:eastAsia="en-CA"/>
              </w:rPr>
              <w:t>[</w:t>
            </w:r>
            <w:hyperlink w:anchor="_ENREF_5_6" w:tooltip="Glenny, 2005 #773" w:history="1">
              <w:r w:rsidR="008B45B5">
                <w:rPr>
                  <w:rFonts w:ascii="Times New Roman" w:eastAsia="Times New Roman" w:hAnsi="Times New Roman" w:cs="Times New Roman"/>
                  <w:noProof/>
                  <w:color w:val="000000"/>
                  <w:lang w:val="en-CA" w:eastAsia="en-CA"/>
                </w:rPr>
                <w:t>6</w:t>
              </w:r>
            </w:hyperlink>
            <w:r w:rsidR="000718C5">
              <w:rPr>
                <w:rFonts w:ascii="Times New Roman" w:eastAsia="Times New Roman" w:hAnsi="Times New Roman" w:cs="Times New Roman"/>
                <w:noProof/>
                <w:color w:val="000000"/>
                <w:lang w:val="en-CA" w:eastAsia="en-CA"/>
              </w:rPr>
              <w:t>]</w:t>
            </w:r>
            <w:r w:rsidR="000718C5">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30 (6.6%)</w:t>
            </w:r>
          </w:p>
        </w:tc>
      </w:tr>
      <w:tr w:rsidR="00F45EA8" w:rsidRPr="00C1780A" w:rsidTr="00F1330D">
        <w:trPr>
          <w:trHeight w:val="315"/>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Song 2003</w:t>
            </w:r>
            <w:r w:rsidR="000718C5">
              <w:rPr>
                <w:rFonts w:ascii="Times New Roman" w:eastAsia="Times New Roman" w:hAnsi="Times New Roman" w:cs="Times New Roman"/>
                <w:color w:val="000000"/>
                <w:lang w:val="en-CA" w:eastAsia="en-CA"/>
              </w:rPr>
              <w:t xml:space="preserve"> </w:t>
            </w:r>
            <w:r w:rsidR="000718C5">
              <w:rPr>
                <w:rFonts w:ascii="Times New Roman" w:eastAsia="Times New Roman" w:hAnsi="Times New Roman" w:cs="Times New Roman"/>
                <w:color w:val="000000"/>
                <w:lang w:val="en-CA" w:eastAsia="en-CA"/>
              </w:rPr>
              <w:fldChar w:fldCharType="begin"/>
            </w:r>
            <w:r w:rsidR="000718C5">
              <w:rPr>
                <w:rFonts w:ascii="Times New Roman" w:eastAsia="Times New Roman" w:hAnsi="Times New Roman" w:cs="Times New Roman"/>
                <w:color w:val="000000"/>
                <w:lang w:val="en-CA" w:eastAsia="en-CA"/>
              </w:rPr>
              <w:instrText xml:space="preserve"> ADDIN EN.CITE &lt;EndNote&gt;&lt;Cite&gt;&lt;Author&gt;Song&lt;/Author&gt;&lt;Year&gt;2003&lt;/Year&gt;&lt;RecNum&gt;718&lt;/RecNum&gt;&lt;DisplayText&gt;[7]&lt;/DisplayText&gt;&lt;record&gt;&lt;rec-number&gt;718&lt;/rec-number&gt;&lt;foreign-keys&gt;&lt;key app="EN" db-id="225r2r50s9vvfxe5x0spf5rws59ws5apvzxv" timestamp="1461264256"&gt;718&lt;/key&gt;&lt;/foreign-keys&gt;&lt;ref-type name="Journal Article"&gt;17&lt;/ref-type&gt;&lt;contributors&gt;&lt;authors&gt;&lt;author&gt;Song, F.&lt;/author&gt;&lt;author&gt;Altman, D. G.&lt;/author&gt;&lt;author&gt;Glenny, A. M.&lt;/author&gt;&lt;author&gt;Deeks, J. J.&lt;/author&gt;&lt;/authors&gt;&lt;/contributors&gt;&lt;auth-address&gt;Department of Public Health and Epidemiology, University of Birmingham, Birmingham B15 2TT. f.song@bham.ac.uk&lt;/auth-address&gt;&lt;titles&gt;&lt;title&gt;Validity of indirect comparison for estimating efficacy of competing interventions: empirical evidence from published meta-analyses&lt;/title&gt;&lt;secondary-title&gt;Bmj&lt;/secondary-title&gt;&lt;alt-title&gt;BMJ (Clinical research ed.)&lt;/alt-title&gt;&lt;/titles&gt;&lt;periodical&gt;&lt;full-title&gt;BMJ&lt;/full-title&gt;&lt;abbr-1&gt;BMJ&lt;/abbr-1&gt;&lt;abbr-2&gt;BMJ&lt;/abbr-2&gt;&lt;/periodical&gt;&lt;pages&gt;472&lt;/pages&gt;&lt;volume&gt;326&lt;/volume&gt;&lt;number&gt;7387&lt;/number&gt;&lt;edition&gt;2003/03/01&lt;/edition&gt;&lt;keywords&gt;&lt;keyword&gt;Data Interpretation, Statistical&lt;/keyword&gt;&lt;keyword&gt;Matched-Pair Analysis&lt;/keyword&gt;&lt;keyword&gt;*Meta-Analysis as Topic&lt;/keyword&gt;&lt;keyword&gt;*Randomized Controlled Trials as Topic&lt;/keyword&gt;&lt;keyword&gt;Reproducibility of Results&lt;/keyword&gt;&lt;keyword&gt;*Therapeutics&lt;/keyword&gt;&lt;keyword&gt;Treatment Outcome&lt;/keyword&gt;&lt;/keywords&gt;&lt;dates&gt;&lt;year&gt;2003&lt;/year&gt;&lt;pub-dates&gt;&lt;date&gt;Mar 1&lt;/date&gt;&lt;/pub-dates&gt;&lt;/dates&gt;&lt;isbn&gt;0959-535x&lt;/isbn&gt;&lt;accession-num&gt;12609941&lt;/accession-num&gt;&lt;urls&gt;&lt;/urls&gt;&lt;custom2&gt;Pmc150178&lt;/custom2&gt;&lt;electronic-resource-num&gt;10.1136/bmj.326.7387.472&lt;/electronic-resource-num&gt;&lt;remote-database-provider&gt;NLM&lt;/remote-database-provider&gt;&lt;language&gt;eng&lt;/language&gt;&lt;/record&gt;&lt;/Cite&gt;&lt;/EndNote&gt;</w:instrText>
            </w:r>
            <w:r w:rsidR="000718C5">
              <w:rPr>
                <w:rFonts w:ascii="Times New Roman" w:eastAsia="Times New Roman" w:hAnsi="Times New Roman" w:cs="Times New Roman"/>
                <w:color w:val="000000"/>
                <w:lang w:val="en-CA" w:eastAsia="en-CA"/>
              </w:rPr>
              <w:fldChar w:fldCharType="separate"/>
            </w:r>
            <w:r w:rsidR="000718C5">
              <w:rPr>
                <w:rFonts w:ascii="Times New Roman" w:eastAsia="Times New Roman" w:hAnsi="Times New Roman" w:cs="Times New Roman"/>
                <w:noProof/>
                <w:color w:val="000000"/>
                <w:lang w:val="en-CA" w:eastAsia="en-CA"/>
              </w:rPr>
              <w:t>[</w:t>
            </w:r>
            <w:hyperlink w:anchor="_ENREF_5_7" w:tooltip="Song, 2003 #718" w:history="1">
              <w:r w:rsidR="008B45B5">
                <w:rPr>
                  <w:rFonts w:ascii="Times New Roman" w:eastAsia="Times New Roman" w:hAnsi="Times New Roman" w:cs="Times New Roman"/>
                  <w:noProof/>
                  <w:color w:val="000000"/>
                  <w:lang w:val="en-CA" w:eastAsia="en-CA"/>
                </w:rPr>
                <w:t>7</w:t>
              </w:r>
            </w:hyperlink>
            <w:r w:rsidR="000718C5">
              <w:rPr>
                <w:rFonts w:ascii="Times New Roman" w:eastAsia="Times New Roman" w:hAnsi="Times New Roman" w:cs="Times New Roman"/>
                <w:noProof/>
                <w:color w:val="000000"/>
                <w:lang w:val="en-CA" w:eastAsia="en-CA"/>
              </w:rPr>
              <w:t>]</w:t>
            </w:r>
            <w:r w:rsidR="000718C5">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28 (6.1%)</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Jansen 2011</w:t>
            </w:r>
            <w:r w:rsidR="00913B5B">
              <w:rPr>
                <w:rFonts w:ascii="Times New Roman" w:eastAsia="Times New Roman" w:hAnsi="Times New Roman" w:cs="Times New Roman"/>
                <w:color w:val="000000"/>
                <w:lang w:val="en-CA" w:eastAsia="en-CA"/>
              </w:rPr>
              <w:t xml:space="preserve"> </w:t>
            </w:r>
            <w:r w:rsidR="00656A66">
              <w:rPr>
                <w:rFonts w:ascii="Times New Roman" w:eastAsia="Times New Roman" w:hAnsi="Times New Roman" w:cs="Times New Roman"/>
                <w:color w:val="000000"/>
                <w:lang w:val="en-CA" w:eastAsia="en-CA"/>
              </w:rPr>
              <w:fldChar w:fldCharType="begin"/>
            </w:r>
            <w:r w:rsidR="00656A66">
              <w:rPr>
                <w:rFonts w:ascii="Times New Roman" w:eastAsia="Times New Roman" w:hAnsi="Times New Roman" w:cs="Times New Roman"/>
                <w:color w:val="000000"/>
                <w:lang w:val="en-CA" w:eastAsia="en-CA"/>
              </w:rPr>
              <w:instrText xml:space="preserve"> ADDIN EN.CITE &lt;EndNote&gt;&lt;Cite&gt;&lt;Author&gt;Jansen&lt;/Author&gt;&lt;Year&gt;2011&lt;/Year&gt;&lt;RecNum&gt;691&lt;/RecNum&gt;&lt;DisplayText&gt;[8]&lt;/DisplayText&gt;&lt;record&gt;&lt;rec-number&gt;691&lt;/rec-number&gt;&lt;foreign-keys&gt;&lt;key app="EN" db-id="225r2r50s9vvfxe5x0spf5rws59ws5apvzxv" timestamp="1461246365"&gt;691&lt;/key&gt;&lt;/foreign-keys&gt;&lt;ref-type name="Journal Article"&gt;17&lt;/ref-type&gt;&lt;contributors&gt;&lt;authors&gt;&lt;author&gt;Jansen, J. P.&lt;/author&gt;&lt;/authors&gt;&lt;/contributors&gt;&lt;auth-address&gt;Mapi Values, Boston, USA. jeroen.jansen@mapivalues.com&lt;/auth-address&gt;&lt;titles&gt;&lt;title&gt;Network meta-analysis of survival data with fractional polynomials&lt;/title&gt;&lt;secondary-title&gt;BMC Med Res Methodol&lt;/secondary-title&gt;&lt;alt-title&gt;BMC medical research methodology&lt;/alt-title&gt;&lt;/titles&gt;&lt;periodical&gt;&lt;full-title&gt;BMC Medical Research Methodology&lt;/full-title&gt;&lt;abbr-1&gt;BMC Med. Res. Methodol.&lt;/abbr-1&gt;&lt;abbr-2&gt;BMC Med Res Methodol&lt;/abbr-2&gt;&lt;/periodical&gt;&lt;alt-periodical&gt;&lt;full-title&gt;BMC Medical Research Methodology&lt;/full-title&gt;&lt;abbr-1&gt;BMC Med. Res. Methodol.&lt;/abbr-1&gt;&lt;abbr-2&gt;BMC Med Res Methodol&lt;/abbr-2&gt;&lt;/alt-periodical&gt;&lt;pages&gt;61&lt;/pages&gt;&lt;volume&gt;11&lt;/volume&gt;&lt;edition&gt;2011/05/10&lt;/edition&gt;&lt;keywords&gt;&lt;keyword&gt;Carcinoma, Non-Small-Cell Lung/*mortality&lt;/keyword&gt;&lt;keyword&gt;Cost-Benefit Analysis&lt;/keyword&gt;&lt;keyword&gt;Humans&lt;/keyword&gt;&lt;keyword&gt;Kaplan-Meier Estimate&lt;/keyword&gt;&lt;keyword&gt;*Models, Statistical&lt;/keyword&gt;&lt;keyword&gt;Proportional Hazards Models&lt;/keyword&gt;&lt;keyword&gt;Randomized Controlled Trials as Topic/*statistics &amp;amp; numerical data&lt;/keyword&gt;&lt;keyword&gt;Survival Analysis&lt;/keyword&gt;&lt;keyword&gt;Treatment Outcome&lt;/keyword&gt;&lt;/keywords&gt;&lt;dates&gt;&lt;year&gt;2011&lt;/year&gt;&lt;/dates&gt;&lt;isbn&gt;1471-2288&lt;/isbn&gt;&lt;accession-num&gt;21548941&lt;/accession-num&gt;&lt;urls&gt;&lt;/urls&gt;&lt;custom2&gt;Pmc3112194&lt;/custom2&gt;&lt;electronic-resource-num&gt;10.1186/1471-2288-11-61&lt;/electronic-resource-num&gt;&lt;remote-database-provider&gt;NLM&lt;/remote-database-provider&gt;&lt;language&gt;eng&lt;/language&gt;&lt;/record&gt;&lt;/Cite&gt;&lt;/EndNote&gt;</w:instrText>
            </w:r>
            <w:r w:rsidR="00656A66">
              <w:rPr>
                <w:rFonts w:ascii="Times New Roman" w:eastAsia="Times New Roman" w:hAnsi="Times New Roman" w:cs="Times New Roman"/>
                <w:color w:val="000000"/>
                <w:lang w:val="en-CA" w:eastAsia="en-CA"/>
              </w:rPr>
              <w:fldChar w:fldCharType="separate"/>
            </w:r>
            <w:r w:rsidR="00656A66">
              <w:rPr>
                <w:rFonts w:ascii="Times New Roman" w:eastAsia="Times New Roman" w:hAnsi="Times New Roman" w:cs="Times New Roman"/>
                <w:noProof/>
                <w:color w:val="000000"/>
                <w:lang w:val="en-CA" w:eastAsia="en-CA"/>
              </w:rPr>
              <w:t>[</w:t>
            </w:r>
            <w:hyperlink w:anchor="_ENREF_5_8" w:tooltip="Jansen, 2011 #691" w:history="1">
              <w:r w:rsidR="008B45B5">
                <w:rPr>
                  <w:rFonts w:ascii="Times New Roman" w:eastAsia="Times New Roman" w:hAnsi="Times New Roman" w:cs="Times New Roman"/>
                  <w:noProof/>
                  <w:color w:val="000000"/>
                  <w:lang w:val="en-CA" w:eastAsia="en-CA"/>
                </w:rPr>
                <w:t>8</w:t>
              </w:r>
            </w:hyperlink>
            <w:r w:rsidR="00656A66">
              <w:rPr>
                <w:rFonts w:ascii="Times New Roman" w:eastAsia="Times New Roman" w:hAnsi="Times New Roman" w:cs="Times New Roman"/>
                <w:noProof/>
                <w:color w:val="000000"/>
                <w:lang w:val="en-CA" w:eastAsia="en-CA"/>
              </w:rPr>
              <w:t>]</w:t>
            </w:r>
            <w:r w:rsidR="00656A66">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25 (5.5%)</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Ades 2006</w:t>
            </w:r>
            <w:r w:rsidR="000E6E31">
              <w:rPr>
                <w:rFonts w:ascii="Times New Roman" w:eastAsia="Times New Roman" w:hAnsi="Times New Roman" w:cs="Times New Roman"/>
                <w:color w:val="000000"/>
                <w:lang w:val="en-CA" w:eastAsia="en-CA"/>
              </w:rPr>
              <w:t xml:space="preserve"> </w:t>
            </w:r>
            <w:r w:rsidR="000E6E31">
              <w:rPr>
                <w:rFonts w:ascii="Times New Roman" w:eastAsia="Times New Roman" w:hAnsi="Times New Roman" w:cs="Times New Roman"/>
                <w:color w:val="000000"/>
                <w:lang w:val="en-CA" w:eastAsia="en-CA"/>
              </w:rPr>
              <w:fldChar w:fldCharType="begin"/>
            </w:r>
            <w:r w:rsidR="000E6E31">
              <w:rPr>
                <w:rFonts w:ascii="Times New Roman" w:eastAsia="Times New Roman" w:hAnsi="Times New Roman" w:cs="Times New Roman"/>
                <w:color w:val="000000"/>
                <w:lang w:val="en-CA" w:eastAsia="en-CA"/>
              </w:rPr>
              <w:instrText xml:space="preserve"> ADDIN EN.CITE &lt;EndNote&gt;&lt;Cite&gt;&lt;Author&gt;Ades&lt;/Author&gt;&lt;Year&gt;2006&lt;/Year&gt;&lt;RecNum&gt;774&lt;/RecNum&gt;&lt;DisplayText&gt;[9]&lt;/DisplayText&gt;&lt;record&gt;&lt;rec-number&gt;774&lt;/rec-number&gt;&lt;foreign-keys&gt;&lt;key app="EN" db-id="225r2r50s9vvfxe5x0spf5rws59ws5apvzxv" timestamp="1476804539"&gt;774&lt;/key&gt;&lt;/foreign-keys&gt;&lt;ref-type name="Journal Article"&gt;17&lt;/ref-type&gt;&lt;contributors&gt;&lt;authors&gt;&lt;author&gt;Ades, A. E.&lt;/author&gt;&lt;author&gt;Sculpher, M.&lt;/author&gt;&lt;author&gt;Sutton, A.&lt;/author&gt;&lt;author&gt;Abrams, K.&lt;/author&gt;&lt;author&gt;Cooper, N.&lt;/author&gt;&lt;author&gt;Welton, N.&lt;/author&gt;&lt;author&gt;Lu, G.&lt;/author&gt;&lt;/authors&gt;&lt;/contributors&gt;&lt;auth-address&gt;Medical Research Council Health Services Research Collaboration, University of Bristol, Bristol, England.&lt;/auth-address&gt;&lt;titles&gt;&lt;title&gt;Bayesian methods for evidence synthesis in cost-effectiveness analysis&lt;/title&gt;&lt;secondary-title&gt;Pharmacoeconomics&lt;/secondary-title&gt;&lt;alt-title&gt;PharmacoEconomics&lt;/alt-title&gt;&lt;/titles&gt;&lt;periodical&gt;&lt;full-title&gt;Pharmacoeconomics&lt;/full-title&gt;&lt;abbr-1&gt;Pharmacoeconomics&lt;/abbr-1&gt;&lt;abbr-2&gt;Pharmacoeconomics&lt;/abbr-2&gt;&lt;/periodical&gt;&lt;alt-periodical&gt;&lt;full-title&gt;Pharmacoeconomics&lt;/full-title&gt;&lt;abbr-1&gt;Pharmacoeconomics&lt;/abbr-1&gt;&lt;abbr-2&gt;Pharmacoeconomics&lt;/abbr-2&gt;&lt;/alt-periodical&gt;&lt;pages&gt;1-19&lt;/pages&gt;&lt;volume&gt;24&lt;/volume&gt;&lt;number&gt;1&lt;/number&gt;&lt;edition&gt;2006/02/01&lt;/edition&gt;&lt;keywords&gt;&lt;keyword&gt;Bayes Theorem&lt;/keyword&gt;&lt;keyword&gt;*Cost-Benefit Analysis&lt;/keyword&gt;&lt;keyword&gt;Delivery of Health Care/*economics&lt;/keyword&gt;&lt;keyword&gt;England&lt;/keyword&gt;&lt;keyword&gt;Humans&lt;/keyword&gt;&lt;keyword&gt;*Models, Economic&lt;/keyword&gt;&lt;keyword&gt;Randomized Controlled Trials as Topic/economics&lt;/keyword&gt;&lt;keyword&gt;Smoking Cessation/economics&lt;/keyword&gt;&lt;/keywords&gt;&lt;dates&gt;&lt;year&gt;2006&lt;/year&gt;&lt;/dates&gt;&lt;isbn&gt;1170-7690 (Print)&amp;#xD;1170-7690&lt;/isbn&gt;&lt;accession-num&gt;16445299&lt;/accession-num&gt;&lt;urls&gt;&lt;/urls&gt;&lt;remote-database-provider&gt;NLM&lt;/remote-database-provider&gt;&lt;language&gt;Eng&lt;/language&gt;&lt;/record&gt;&lt;/Cite&gt;&lt;/EndNote&gt;</w:instrText>
            </w:r>
            <w:r w:rsidR="000E6E31">
              <w:rPr>
                <w:rFonts w:ascii="Times New Roman" w:eastAsia="Times New Roman" w:hAnsi="Times New Roman" w:cs="Times New Roman"/>
                <w:color w:val="000000"/>
                <w:lang w:val="en-CA" w:eastAsia="en-CA"/>
              </w:rPr>
              <w:fldChar w:fldCharType="separate"/>
            </w:r>
            <w:r w:rsidR="000E6E31">
              <w:rPr>
                <w:rFonts w:ascii="Times New Roman" w:eastAsia="Times New Roman" w:hAnsi="Times New Roman" w:cs="Times New Roman"/>
                <w:noProof/>
                <w:color w:val="000000"/>
                <w:lang w:val="en-CA" w:eastAsia="en-CA"/>
              </w:rPr>
              <w:t>[</w:t>
            </w:r>
            <w:hyperlink w:anchor="_ENREF_5_9" w:tooltip="Ades, 2006 #774" w:history="1">
              <w:r w:rsidR="008B45B5">
                <w:rPr>
                  <w:rFonts w:ascii="Times New Roman" w:eastAsia="Times New Roman" w:hAnsi="Times New Roman" w:cs="Times New Roman"/>
                  <w:noProof/>
                  <w:color w:val="000000"/>
                  <w:lang w:val="en-CA" w:eastAsia="en-CA"/>
                </w:rPr>
                <w:t>9</w:t>
              </w:r>
            </w:hyperlink>
            <w:r w:rsidR="000E6E31">
              <w:rPr>
                <w:rFonts w:ascii="Times New Roman" w:eastAsia="Times New Roman" w:hAnsi="Times New Roman" w:cs="Times New Roman"/>
                <w:noProof/>
                <w:color w:val="000000"/>
                <w:lang w:val="en-CA" w:eastAsia="en-CA"/>
              </w:rPr>
              <w:t>]</w:t>
            </w:r>
            <w:r w:rsidR="000E6E31">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23 (5.0%)</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Dias 2011</w:t>
            </w:r>
            <w:r w:rsidR="00161532">
              <w:rPr>
                <w:rFonts w:ascii="Times New Roman" w:eastAsia="Times New Roman" w:hAnsi="Times New Roman" w:cs="Times New Roman"/>
                <w:color w:val="000000"/>
                <w:lang w:val="en-CA" w:eastAsia="en-CA"/>
              </w:rPr>
              <w:t xml:space="preserve"> </w:t>
            </w:r>
            <w:r w:rsidR="00161532">
              <w:rPr>
                <w:rFonts w:ascii="Times New Roman" w:eastAsia="Times New Roman" w:hAnsi="Times New Roman" w:cs="Times New Roman"/>
                <w:color w:val="000000"/>
                <w:lang w:val="en-CA" w:eastAsia="en-CA"/>
              </w:rPr>
              <w:fldChar w:fldCharType="begin"/>
            </w:r>
            <w:r w:rsidR="00161532">
              <w:rPr>
                <w:rFonts w:ascii="Times New Roman" w:eastAsia="Times New Roman" w:hAnsi="Times New Roman" w:cs="Times New Roman"/>
                <w:color w:val="000000"/>
                <w:lang w:val="en-CA" w:eastAsia="en-CA"/>
              </w:rPr>
              <w:instrText xml:space="preserve"> ADDIN EN.CITE &lt;EndNote&gt;&lt;Cite&gt;&lt;Author&gt;Dias&lt;/Author&gt;&lt;Year&gt;2011&lt;/Year&gt;&lt;RecNum&gt;713&lt;/RecNum&gt;&lt;DisplayText&gt;[10]&lt;/DisplayText&gt;&lt;record&gt;&lt;rec-number&gt;713&lt;/rec-number&gt;&lt;foreign-keys&gt;&lt;key app="EN" db-id="225r2r50s9vvfxe5x0spf5rws59ws5apvzxv" timestamp="1461248408"&gt;713&lt;/key&gt;&lt;/foreign-keys&gt;&lt;ref-type name="Web Page"&gt;12&lt;/ref-type&gt;&lt;contributors&gt;&lt;authors&gt;&lt;author&gt;Dias, S.&lt;/author&gt;&lt;author&gt;Welton, NJ&lt;/author&gt;&lt;author&gt;Sutton, AJ&lt;/author&gt;&lt;author&gt;Ades, AE&lt;/author&gt;&lt;/authors&gt;&lt;/contributors&gt;&lt;titles&gt;&lt;title&gt;NICE DSU Technical Support Document 2: A generalised linear modelling framework for pairwise and network meta-analysis of randomised controlled trials&lt;/title&gt;&lt;/titles&gt;&lt;dates&gt;&lt;year&gt;2011&lt;/year&gt;&lt;/dates&gt;&lt;publisher&gt;National Institute for Health and Clinical Excellence (NICE)&lt;/publisher&gt;&lt;urls&gt;&lt;related-urls&gt;&lt;url&gt;www.nicedsu.org.uk.&lt;/url&gt;&lt;/related-urls&gt;&lt;/urls&gt;&lt;/record&gt;&lt;/Cite&gt;&lt;/EndNote&gt;</w:instrText>
            </w:r>
            <w:r w:rsidR="00161532">
              <w:rPr>
                <w:rFonts w:ascii="Times New Roman" w:eastAsia="Times New Roman" w:hAnsi="Times New Roman" w:cs="Times New Roman"/>
                <w:color w:val="000000"/>
                <w:lang w:val="en-CA" w:eastAsia="en-CA"/>
              </w:rPr>
              <w:fldChar w:fldCharType="separate"/>
            </w:r>
            <w:r w:rsidR="00161532">
              <w:rPr>
                <w:rFonts w:ascii="Times New Roman" w:eastAsia="Times New Roman" w:hAnsi="Times New Roman" w:cs="Times New Roman"/>
                <w:noProof/>
                <w:color w:val="000000"/>
                <w:lang w:val="en-CA" w:eastAsia="en-CA"/>
              </w:rPr>
              <w:t>[</w:t>
            </w:r>
            <w:hyperlink w:anchor="_ENREF_5_10" w:tooltip="Dias, 2011 #713" w:history="1">
              <w:r w:rsidR="008B45B5">
                <w:rPr>
                  <w:rFonts w:ascii="Times New Roman" w:eastAsia="Times New Roman" w:hAnsi="Times New Roman" w:cs="Times New Roman"/>
                  <w:noProof/>
                  <w:color w:val="000000"/>
                  <w:lang w:val="en-CA" w:eastAsia="en-CA"/>
                </w:rPr>
                <w:t>10</w:t>
              </w:r>
            </w:hyperlink>
            <w:r w:rsidR="00161532">
              <w:rPr>
                <w:rFonts w:ascii="Times New Roman" w:eastAsia="Times New Roman" w:hAnsi="Times New Roman" w:cs="Times New Roman"/>
                <w:noProof/>
                <w:color w:val="000000"/>
                <w:lang w:val="en-CA" w:eastAsia="en-CA"/>
              </w:rPr>
              <w:t>]</w:t>
            </w:r>
            <w:r w:rsidR="00161532">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21 (4.6%)</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Dias 2010</w:t>
            </w:r>
            <w:r w:rsidR="00163B1D">
              <w:rPr>
                <w:rFonts w:ascii="Times New Roman" w:eastAsia="Times New Roman" w:hAnsi="Times New Roman" w:cs="Times New Roman"/>
                <w:color w:val="000000"/>
                <w:lang w:val="en-CA" w:eastAsia="en-CA"/>
              </w:rPr>
              <w:t xml:space="preserve"> </w:t>
            </w:r>
            <w:r w:rsidR="00163B1D">
              <w:rPr>
                <w:rFonts w:ascii="Times New Roman" w:eastAsia="Times New Roman" w:hAnsi="Times New Roman" w:cs="Times New Roman"/>
                <w:color w:val="000000"/>
                <w:lang w:val="en-CA" w:eastAsia="en-CA"/>
              </w:rPr>
              <w:fldChar w:fldCharType="begin">
                <w:fldData xml:space="preserve">PEVuZE5vdGU+PENpdGU+PEF1dGhvcj5EaWFzPC9BdXRob3I+PFllYXI+MjAxMDwvWWVhcj48UmVj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</w:fldData>
              </w:fldChar>
            </w:r>
            <w:r w:rsidR="00163B1D">
              <w:rPr>
                <w:rFonts w:ascii="Times New Roman" w:eastAsia="Times New Roman" w:hAnsi="Times New Roman" w:cs="Times New Roman"/>
                <w:color w:val="000000"/>
                <w:lang w:val="en-CA" w:eastAsia="en-CA"/>
              </w:rPr>
              <w:instrText xml:space="preserve"> ADDIN EN.CITE </w:instrText>
            </w:r>
            <w:r w:rsidR="00163B1D">
              <w:rPr>
                <w:rFonts w:ascii="Times New Roman" w:eastAsia="Times New Roman" w:hAnsi="Times New Roman" w:cs="Times New Roman"/>
                <w:color w:val="000000"/>
                <w:lang w:val="en-CA" w:eastAsia="en-CA"/>
              </w:rPr>
              <w:fldChar w:fldCharType="begin">
                <w:fldData xml:space="preserve">PEVuZE5vdGU+PENpdGU+PEF1dGhvcj5EaWFzPC9BdXRob3I+PFllYXI+MjAxMDwvWWVhcj48UmVj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</w:fldData>
              </w:fldChar>
            </w:r>
            <w:r w:rsidR="00163B1D">
              <w:rPr>
                <w:rFonts w:ascii="Times New Roman" w:eastAsia="Times New Roman" w:hAnsi="Times New Roman" w:cs="Times New Roman"/>
                <w:color w:val="000000"/>
                <w:lang w:val="en-CA" w:eastAsia="en-CA"/>
              </w:rPr>
              <w:instrText xml:space="preserve"> ADDIN EN.CITE.DATA </w:instrText>
            </w:r>
            <w:r w:rsidR="00163B1D">
              <w:rPr>
                <w:rFonts w:ascii="Times New Roman" w:eastAsia="Times New Roman" w:hAnsi="Times New Roman" w:cs="Times New Roman"/>
                <w:color w:val="000000"/>
                <w:lang w:val="en-CA" w:eastAsia="en-CA"/>
              </w:rPr>
            </w:r>
            <w:r w:rsidR="00163B1D">
              <w:rPr>
                <w:rFonts w:ascii="Times New Roman" w:eastAsia="Times New Roman" w:hAnsi="Times New Roman" w:cs="Times New Roman"/>
                <w:color w:val="000000"/>
                <w:lang w:val="en-CA" w:eastAsia="en-CA"/>
              </w:rPr>
              <w:fldChar w:fldCharType="end"/>
            </w:r>
            <w:r w:rsidR="00163B1D">
              <w:rPr>
                <w:rFonts w:ascii="Times New Roman" w:eastAsia="Times New Roman" w:hAnsi="Times New Roman" w:cs="Times New Roman"/>
                <w:color w:val="000000"/>
                <w:lang w:val="en-CA" w:eastAsia="en-CA"/>
              </w:rPr>
            </w:r>
            <w:r w:rsidR="00163B1D">
              <w:rPr>
                <w:rFonts w:ascii="Times New Roman" w:eastAsia="Times New Roman" w:hAnsi="Times New Roman" w:cs="Times New Roman"/>
                <w:color w:val="000000"/>
                <w:lang w:val="en-CA" w:eastAsia="en-CA"/>
              </w:rPr>
              <w:fldChar w:fldCharType="separate"/>
            </w:r>
            <w:r w:rsidR="00163B1D">
              <w:rPr>
                <w:rFonts w:ascii="Times New Roman" w:eastAsia="Times New Roman" w:hAnsi="Times New Roman" w:cs="Times New Roman"/>
                <w:noProof/>
                <w:color w:val="000000"/>
                <w:lang w:val="en-CA" w:eastAsia="en-CA"/>
              </w:rPr>
              <w:t>[</w:t>
            </w:r>
            <w:hyperlink w:anchor="_ENREF_5_11" w:tooltip="Dias, 2010 #677" w:history="1">
              <w:r w:rsidR="008B45B5">
                <w:rPr>
                  <w:rFonts w:ascii="Times New Roman" w:eastAsia="Times New Roman" w:hAnsi="Times New Roman" w:cs="Times New Roman"/>
                  <w:noProof/>
                  <w:color w:val="000000"/>
                  <w:lang w:val="en-CA" w:eastAsia="en-CA"/>
                </w:rPr>
                <w:t>11</w:t>
              </w:r>
            </w:hyperlink>
            <w:r w:rsidR="00163B1D">
              <w:rPr>
                <w:rFonts w:ascii="Times New Roman" w:eastAsia="Times New Roman" w:hAnsi="Times New Roman" w:cs="Times New Roman"/>
                <w:noProof/>
                <w:color w:val="000000"/>
                <w:lang w:val="en-CA" w:eastAsia="en-CA"/>
              </w:rPr>
              <w:t>]</w:t>
            </w:r>
            <w:r w:rsidR="00163B1D">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20 (4.4%)</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Jansen 2008</w:t>
            </w:r>
            <w:r w:rsidR="002A0A20">
              <w:rPr>
                <w:rFonts w:ascii="Times New Roman" w:eastAsia="Times New Roman" w:hAnsi="Times New Roman" w:cs="Times New Roman"/>
                <w:color w:val="000000"/>
                <w:lang w:val="en-CA" w:eastAsia="en-CA"/>
              </w:rPr>
              <w:t xml:space="preserve"> </w:t>
            </w:r>
            <w:r w:rsidR="002A0A20">
              <w:rPr>
                <w:rFonts w:ascii="Times New Roman" w:eastAsia="Times New Roman" w:hAnsi="Times New Roman" w:cs="Times New Roman"/>
                <w:color w:val="000000"/>
                <w:lang w:val="en-CA" w:eastAsia="en-CA"/>
              </w:rPr>
              <w:fldChar w:fldCharType="begin"/>
            </w:r>
            <w:r w:rsidR="002A0A20">
              <w:rPr>
                <w:rFonts w:ascii="Times New Roman" w:eastAsia="Times New Roman" w:hAnsi="Times New Roman" w:cs="Times New Roman"/>
                <w:color w:val="000000"/>
                <w:lang w:val="en-CA" w:eastAsia="en-CA"/>
              </w:rPr>
              <w:instrText xml:space="preserve"> ADDIN EN.CITE &lt;EndNote&gt;&lt;Cite&gt;&lt;Author&gt;Jansen&lt;/Author&gt;&lt;Year&gt;2008&lt;/Year&gt;&lt;RecNum&gt;775&lt;/RecNum&gt;&lt;DisplayText&gt;[12]&lt;/DisplayText&gt;&lt;record&gt;&lt;rec-number&gt;775&lt;/rec-number&gt;&lt;foreign-keys&gt;&lt;key app="EN" db-id="225r2r50s9vvfxe5x0spf5rws59ws5apvzxv" timestamp="1476805192"&gt;775&lt;/key&gt;&lt;/foreign-keys&gt;&lt;ref-type name="Journal Article"&gt;17&lt;/ref-type&gt;&lt;contributors&gt;&lt;authors&gt;&lt;author&gt;Jansen, J. P.&lt;/author&gt;&lt;author&gt;Crawford, B.&lt;/author&gt;&lt;author&gt;Bergman, G.&lt;/author&gt;&lt;author&gt;Stam, W.&lt;/author&gt;&lt;/authors&gt;&lt;/contributors&gt;&lt;auth-address&gt;Mapi Values Ltd, Boston, MA 02108, USA. jeroen.jansen@mapivalues.com&lt;/auth-address&gt;&lt;titles&gt;&lt;title&gt;Bayesian meta-analysis of multiple treatment comparisons: an introduction to mixed treatment comparisons&lt;/title&gt;&lt;secondary-title&gt;Value Health&lt;/secondary-title&gt;&lt;alt-title&gt;Value in health : the journal of the International Society for Pharmacoeconomics and Outcomes Research&lt;/alt-title&gt;&lt;/titles&gt;&lt;periodical&gt;&lt;full-title&gt;Value in Health&lt;/full-title&gt;&lt;abbr-1&gt;Value Health&lt;/abbr-1&gt;&lt;abbr-2&gt;Value Health&lt;/abbr-2&gt;&lt;/periodical&gt;&lt;pages&gt;956-64&lt;/pages&gt;&lt;volume&gt;11&lt;/volume&gt;&lt;number&gt;5&lt;/number&gt;&lt;edition&gt;2008/05/21&lt;/edition&gt;&lt;keywords&gt;&lt;keyword&gt;Antirheumatic Agents/therapeutic use&lt;/keyword&gt;&lt;keyword&gt;Arthritis, Rheumatoid/drug therapy&lt;/keyword&gt;&lt;keyword&gt;*Bayes Theorem&lt;/keyword&gt;&lt;keyword&gt;Confidence Intervals&lt;/keyword&gt;&lt;keyword&gt;Decision Making&lt;/keyword&gt;&lt;keyword&gt;*Evidence-Based Medicine&lt;/keyword&gt;&lt;keyword&gt;Humans&lt;/keyword&gt;&lt;keyword&gt;*Meta-Analysis as Topic&lt;/keyword&gt;&lt;keyword&gt;Models, Statistical&lt;/keyword&gt;&lt;keyword&gt;Odds Ratio&lt;/keyword&gt;&lt;keyword&gt;Outcome Assessment (Health Care)/*statistics &amp;amp; numerical data&lt;/keyword&gt;&lt;keyword&gt;Risk&lt;/keyword&gt;&lt;keyword&gt;Surveys and Questionnaires&lt;/keyword&gt;&lt;/keywords&gt;&lt;dates&gt;&lt;year&gt;2008&lt;/year&gt;&lt;pub-dates&gt;&lt;date&gt;Sep-Oct&lt;/date&gt;&lt;/pub-dates&gt;&lt;/dates&gt;&lt;isbn&gt;1098-3015&lt;/isbn&gt;&lt;accession-num&gt;18489499&lt;/accession-num&gt;&lt;urls&gt;&lt;/urls&gt;&lt;electronic-resource-num&gt;10.1111/j.1524-4733.2008.00347.x&lt;/electronic-resource-num&gt;&lt;remote-database-provider&gt;NLM&lt;/remote-database-provider&gt;&lt;language&gt;Eng&lt;/language&gt;&lt;/record&gt;&lt;/Cite&gt;&lt;/EndNote&gt;</w:instrText>
            </w:r>
            <w:r w:rsidR="002A0A20">
              <w:rPr>
                <w:rFonts w:ascii="Times New Roman" w:eastAsia="Times New Roman" w:hAnsi="Times New Roman" w:cs="Times New Roman"/>
                <w:color w:val="000000"/>
                <w:lang w:val="en-CA" w:eastAsia="en-CA"/>
              </w:rPr>
              <w:fldChar w:fldCharType="separate"/>
            </w:r>
            <w:r w:rsidR="002A0A20">
              <w:rPr>
                <w:rFonts w:ascii="Times New Roman" w:eastAsia="Times New Roman" w:hAnsi="Times New Roman" w:cs="Times New Roman"/>
                <w:noProof/>
                <w:color w:val="000000"/>
                <w:lang w:val="en-CA" w:eastAsia="en-CA"/>
              </w:rPr>
              <w:t>[</w:t>
            </w:r>
            <w:hyperlink w:anchor="_ENREF_5_12" w:tooltip="Jansen, 2008 #775" w:history="1">
              <w:r w:rsidR="008B45B5">
                <w:rPr>
                  <w:rFonts w:ascii="Times New Roman" w:eastAsia="Times New Roman" w:hAnsi="Times New Roman" w:cs="Times New Roman"/>
                  <w:noProof/>
                  <w:color w:val="000000"/>
                  <w:lang w:val="en-CA" w:eastAsia="en-CA"/>
                </w:rPr>
                <w:t>12</w:t>
              </w:r>
            </w:hyperlink>
            <w:r w:rsidR="002A0A20">
              <w:rPr>
                <w:rFonts w:ascii="Times New Roman" w:eastAsia="Times New Roman" w:hAnsi="Times New Roman" w:cs="Times New Roman"/>
                <w:noProof/>
                <w:color w:val="000000"/>
                <w:lang w:val="en-CA" w:eastAsia="en-CA"/>
              </w:rPr>
              <w:t>]</w:t>
            </w:r>
            <w:r w:rsidR="002A0A20">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20 (4.4%)</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Sutton 2008</w:t>
            </w:r>
            <w:r w:rsidR="002A0A20">
              <w:rPr>
                <w:rFonts w:ascii="Times New Roman" w:eastAsia="Times New Roman" w:hAnsi="Times New Roman" w:cs="Times New Roman"/>
                <w:color w:val="000000"/>
                <w:lang w:val="en-CA" w:eastAsia="en-CA"/>
              </w:rPr>
              <w:t xml:space="preserve"> </w:t>
            </w:r>
            <w:r w:rsidR="00A97481">
              <w:rPr>
                <w:rFonts w:ascii="Times New Roman" w:eastAsia="Times New Roman" w:hAnsi="Times New Roman" w:cs="Times New Roman"/>
                <w:color w:val="000000"/>
                <w:lang w:val="en-CA" w:eastAsia="en-CA"/>
              </w:rPr>
              <w:fldChar w:fldCharType="begin"/>
            </w:r>
            <w:r w:rsidR="00A97481">
              <w:rPr>
                <w:rFonts w:ascii="Times New Roman" w:eastAsia="Times New Roman" w:hAnsi="Times New Roman" w:cs="Times New Roman"/>
                <w:color w:val="000000"/>
                <w:lang w:val="en-CA" w:eastAsia="en-CA"/>
              </w:rPr>
              <w:instrText xml:space="preserve"> ADDIN EN.CITE &lt;EndNote&gt;&lt;Cite&gt;&lt;Author&gt;Sutton&lt;/Author&gt;&lt;Year&gt;2008&lt;/Year&gt;&lt;RecNum&gt;776&lt;/RecNum&gt;&lt;DisplayText&gt;[13]&lt;/DisplayText&gt;&lt;record&gt;&lt;rec-number&gt;776&lt;/rec-number&gt;&lt;foreign-keys&gt;&lt;key app="EN" db-id="225r2r50s9vvfxe5x0spf5rws59ws5apvzxv" timestamp="1476805244"&gt;776&lt;/key&gt;&lt;/foreign-keys&gt;&lt;ref-type name="Journal Article"&gt;17&lt;/ref-type&gt;&lt;contributors&gt;&lt;authors&gt;&lt;author&gt;Sutton, A.&lt;/author&gt;&lt;author&gt;Ades, A. E.&lt;/author&gt;&lt;author&gt;Cooper, N.&lt;/author&gt;&lt;author&gt;Abrams, K.&lt;/author&gt;&lt;/authors&gt;&lt;/contributors&gt;&lt;auth-address&gt;Department of Health Sciences and NICE Decision Support Unit, University of Leicester, Leicester, UK. ajs22@le.ac.uk&lt;/auth-address&gt;&lt;titles&gt;&lt;title&gt;Use of indirect and mixed treatment comparisons for technology assessment&lt;/title&gt;&lt;secondary-title&gt;Pharmacoeconomics&lt;/secondary-title&gt;&lt;alt-title&gt;PharmacoEconomics&lt;/alt-title&gt;&lt;/titles&gt;&lt;periodical&gt;&lt;full-title&gt;Pharmacoeconomics&lt;/full-title&gt;&lt;abbr-1&gt;Pharmacoeconomics&lt;/abbr-1&gt;&lt;abbr-2&gt;Pharmacoeconomics&lt;/abbr-2&gt;&lt;/periodical&gt;&lt;alt-periodical&gt;&lt;full-title&gt;Pharmacoeconomics&lt;/full-title&gt;&lt;abbr-1&gt;Pharmacoeconomics&lt;/abbr-1&gt;&lt;abbr-2&gt;Pharmacoeconomics&lt;/abbr-2&gt;&lt;/alt-periodical&gt;&lt;pages&gt;753-67&lt;/pages&gt;&lt;volume&gt;26&lt;/volume&gt;&lt;number&gt;9&lt;/number&gt;&lt;edition&gt;2008/09/05&lt;/edition&gt;&lt;keywords&gt;&lt;keyword&gt;Data Interpretation, Statistical&lt;/keyword&gt;&lt;keyword&gt;Humans&lt;/keyword&gt;&lt;keyword&gt;Meta-Analysis as Topic&lt;/keyword&gt;&lt;keyword&gt;*Models, Statistical&lt;/keyword&gt;&lt;keyword&gt;Technology Assessment, Biomedical/*economics&lt;/keyword&gt;&lt;/keywords&gt;&lt;dates&gt;&lt;year&gt;2008&lt;/year&gt;&lt;/dates&gt;&lt;isbn&gt;1170-7690 (Print)&amp;#xD;1170-7690&lt;/isbn&gt;&lt;accession-num&gt;18767896&lt;/accession-num&gt;&lt;urls&gt;&lt;/urls&gt;&lt;remote-database-provider&gt;NLM&lt;/remote-database-provider&gt;&lt;language&gt;Eng&lt;/language&gt;&lt;/record&gt;&lt;/Cite&gt;&lt;/EndNote&gt;</w:instrText>
            </w:r>
            <w:r w:rsidR="00A97481">
              <w:rPr>
                <w:rFonts w:ascii="Times New Roman" w:eastAsia="Times New Roman" w:hAnsi="Times New Roman" w:cs="Times New Roman"/>
                <w:color w:val="000000"/>
                <w:lang w:val="en-CA" w:eastAsia="en-CA"/>
              </w:rPr>
              <w:fldChar w:fldCharType="separate"/>
            </w:r>
            <w:r w:rsidR="00A97481">
              <w:rPr>
                <w:rFonts w:ascii="Times New Roman" w:eastAsia="Times New Roman" w:hAnsi="Times New Roman" w:cs="Times New Roman"/>
                <w:noProof/>
                <w:color w:val="000000"/>
                <w:lang w:val="en-CA" w:eastAsia="en-CA"/>
              </w:rPr>
              <w:t>[</w:t>
            </w:r>
            <w:hyperlink w:anchor="_ENREF_5_13" w:tooltip="Sutton, 2008 #776" w:history="1">
              <w:r w:rsidR="008B45B5">
                <w:rPr>
                  <w:rFonts w:ascii="Times New Roman" w:eastAsia="Times New Roman" w:hAnsi="Times New Roman" w:cs="Times New Roman"/>
                  <w:noProof/>
                  <w:color w:val="000000"/>
                  <w:lang w:val="en-CA" w:eastAsia="en-CA"/>
                </w:rPr>
                <w:t>13</w:t>
              </w:r>
            </w:hyperlink>
            <w:r w:rsidR="00A97481">
              <w:rPr>
                <w:rFonts w:ascii="Times New Roman" w:eastAsia="Times New Roman" w:hAnsi="Times New Roman" w:cs="Times New Roman"/>
                <w:noProof/>
                <w:color w:val="000000"/>
                <w:lang w:val="en-CA" w:eastAsia="en-CA"/>
              </w:rPr>
              <w:t>]</w:t>
            </w:r>
            <w:r w:rsidR="00A97481">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13 (2.9%)</w:t>
            </w:r>
          </w:p>
        </w:tc>
      </w:tr>
      <w:tr w:rsidR="00F45EA8" w:rsidRPr="00C1780A" w:rsidTr="00F1330D">
        <w:trPr>
          <w:trHeight w:val="315"/>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proofErr w:type="spellStart"/>
            <w:r w:rsidRPr="00C1780A">
              <w:rPr>
                <w:rFonts w:ascii="Times New Roman" w:eastAsia="Times New Roman" w:hAnsi="Times New Roman" w:cs="Times New Roman"/>
                <w:color w:val="000000"/>
                <w:lang w:val="en-CA" w:eastAsia="en-CA"/>
              </w:rPr>
              <w:t>Hoaglin</w:t>
            </w:r>
            <w:proofErr w:type="spellEnd"/>
            <w:r w:rsidRPr="00C1780A">
              <w:rPr>
                <w:rFonts w:ascii="Times New Roman" w:eastAsia="Times New Roman" w:hAnsi="Times New Roman" w:cs="Times New Roman"/>
                <w:color w:val="000000"/>
                <w:lang w:val="en-CA" w:eastAsia="en-CA"/>
              </w:rPr>
              <w:t xml:space="preserve"> 2011</w:t>
            </w:r>
            <w:r w:rsidR="00A97481">
              <w:rPr>
                <w:rFonts w:ascii="Times New Roman" w:eastAsia="Times New Roman" w:hAnsi="Times New Roman" w:cs="Times New Roman"/>
                <w:color w:val="000000"/>
                <w:lang w:val="en-CA" w:eastAsia="en-CA"/>
              </w:rPr>
              <w:t xml:space="preserve"> </w:t>
            </w:r>
            <w:r w:rsidR="003919A9">
              <w:rPr>
                <w:rFonts w:ascii="Times New Roman" w:eastAsia="Times New Roman" w:hAnsi="Times New Roman" w:cs="Times New Roman"/>
                <w:color w:val="000000"/>
                <w:lang w:val="en-CA" w:eastAsia="en-CA"/>
              </w:rPr>
              <w:fldChar w:fldCharType="begin">
                <w:fldData xml:space="preserve">PEVuZE5vdGU+PENpdGU+PEF1dGhvcj5Ib2FnbGluPC9BdXRob3I+PFllYXI+MjAxMTwvWWVhcj48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</w:fldData>
              </w:fldChar>
            </w:r>
            <w:r w:rsidR="003919A9">
              <w:rPr>
                <w:rFonts w:ascii="Times New Roman" w:eastAsia="Times New Roman" w:hAnsi="Times New Roman" w:cs="Times New Roman"/>
                <w:color w:val="000000"/>
                <w:lang w:val="en-CA" w:eastAsia="en-CA"/>
              </w:rPr>
              <w:instrText xml:space="preserve"> ADDIN EN.CITE </w:instrText>
            </w:r>
            <w:r w:rsidR="003919A9">
              <w:rPr>
                <w:rFonts w:ascii="Times New Roman" w:eastAsia="Times New Roman" w:hAnsi="Times New Roman" w:cs="Times New Roman"/>
                <w:color w:val="000000"/>
                <w:lang w:val="en-CA" w:eastAsia="en-CA"/>
              </w:rPr>
              <w:fldChar w:fldCharType="begin">
                <w:fldData xml:space="preserve">PEVuZE5vdGU+PENpdGU+PEF1dGhvcj5Ib2FnbGluPC9BdXRob3I+PFllYXI+MjAxMTwvWWVhcj48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</w:fldData>
              </w:fldChar>
            </w:r>
            <w:r w:rsidR="003919A9">
              <w:rPr>
                <w:rFonts w:ascii="Times New Roman" w:eastAsia="Times New Roman" w:hAnsi="Times New Roman" w:cs="Times New Roman"/>
                <w:color w:val="000000"/>
                <w:lang w:val="en-CA" w:eastAsia="en-CA"/>
              </w:rPr>
              <w:instrText xml:space="preserve"> ADDIN EN.CITE.DATA </w:instrText>
            </w:r>
            <w:r w:rsidR="003919A9">
              <w:rPr>
                <w:rFonts w:ascii="Times New Roman" w:eastAsia="Times New Roman" w:hAnsi="Times New Roman" w:cs="Times New Roman"/>
                <w:color w:val="000000"/>
                <w:lang w:val="en-CA" w:eastAsia="en-CA"/>
              </w:rPr>
            </w:r>
            <w:r w:rsidR="003919A9">
              <w:rPr>
                <w:rFonts w:ascii="Times New Roman" w:eastAsia="Times New Roman" w:hAnsi="Times New Roman" w:cs="Times New Roman"/>
                <w:color w:val="000000"/>
                <w:lang w:val="en-CA" w:eastAsia="en-CA"/>
              </w:rPr>
              <w:fldChar w:fldCharType="end"/>
            </w:r>
            <w:r w:rsidR="003919A9">
              <w:rPr>
                <w:rFonts w:ascii="Times New Roman" w:eastAsia="Times New Roman" w:hAnsi="Times New Roman" w:cs="Times New Roman"/>
                <w:color w:val="000000"/>
                <w:lang w:val="en-CA" w:eastAsia="en-CA"/>
              </w:rPr>
            </w:r>
            <w:r w:rsidR="003919A9">
              <w:rPr>
                <w:rFonts w:ascii="Times New Roman" w:eastAsia="Times New Roman" w:hAnsi="Times New Roman" w:cs="Times New Roman"/>
                <w:color w:val="000000"/>
                <w:lang w:val="en-CA" w:eastAsia="en-CA"/>
              </w:rPr>
              <w:fldChar w:fldCharType="separate"/>
            </w:r>
            <w:r w:rsidR="003919A9">
              <w:rPr>
                <w:rFonts w:ascii="Times New Roman" w:eastAsia="Times New Roman" w:hAnsi="Times New Roman" w:cs="Times New Roman"/>
                <w:noProof/>
                <w:color w:val="000000"/>
                <w:lang w:val="en-CA" w:eastAsia="en-CA"/>
              </w:rPr>
              <w:t>[</w:t>
            </w:r>
            <w:hyperlink w:anchor="_ENREF_5_14" w:tooltip="Hoaglin, 2011 #720" w:history="1">
              <w:r w:rsidR="008B45B5">
                <w:rPr>
                  <w:rFonts w:ascii="Times New Roman" w:eastAsia="Times New Roman" w:hAnsi="Times New Roman" w:cs="Times New Roman"/>
                  <w:noProof/>
                  <w:color w:val="000000"/>
                  <w:lang w:val="en-CA" w:eastAsia="en-CA"/>
                </w:rPr>
                <w:t>14</w:t>
              </w:r>
            </w:hyperlink>
            <w:r w:rsidR="003919A9">
              <w:rPr>
                <w:rFonts w:ascii="Times New Roman" w:eastAsia="Times New Roman" w:hAnsi="Times New Roman" w:cs="Times New Roman"/>
                <w:noProof/>
                <w:color w:val="000000"/>
                <w:lang w:val="en-CA" w:eastAsia="en-CA"/>
              </w:rPr>
              <w:t>]</w:t>
            </w:r>
            <w:r w:rsidR="003919A9">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13 (2.9%)</w:t>
            </w:r>
          </w:p>
        </w:tc>
      </w:tr>
      <w:tr w:rsidR="00F45EA8" w:rsidRPr="00C1780A" w:rsidTr="00F1330D">
        <w:trPr>
          <w:trHeight w:val="315"/>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Lu &amp; Ades 2006</w:t>
            </w:r>
            <w:r w:rsidR="003919A9">
              <w:rPr>
                <w:rFonts w:ascii="Times New Roman" w:eastAsia="Times New Roman" w:hAnsi="Times New Roman" w:cs="Times New Roman"/>
                <w:color w:val="000000"/>
                <w:lang w:val="en-CA" w:eastAsia="en-CA"/>
              </w:rPr>
              <w:t xml:space="preserve"> </w:t>
            </w:r>
            <w:r w:rsidR="00B52A4E">
              <w:rPr>
                <w:rFonts w:ascii="Times New Roman" w:eastAsia="Times New Roman" w:hAnsi="Times New Roman" w:cs="Times New Roman"/>
                <w:color w:val="000000"/>
                <w:lang w:val="en-CA" w:eastAsia="en-CA"/>
              </w:rPr>
              <w:fldChar w:fldCharType="begin"/>
            </w:r>
            <w:r w:rsidR="00B52A4E">
              <w:rPr>
                <w:rFonts w:ascii="Times New Roman" w:eastAsia="Times New Roman" w:hAnsi="Times New Roman" w:cs="Times New Roman"/>
                <w:color w:val="000000"/>
                <w:lang w:val="en-CA" w:eastAsia="en-CA"/>
              </w:rPr>
              <w:instrText xml:space="preserve"> ADDIN EN.CITE &lt;EndNote&gt;&lt;Cite&gt;&lt;Author&gt;Lu&lt;/Author&gt;&lt;Year&gt;2006&lt;/Year&gt;&lt;RecNum&gt;777&lt;/RecNum&gt;&lt;DisplayText&gt;[15]&lt;/DisplayText&gt;&lt;record&gt;&lt;rec-number&gt;777&lt;/rec-number&gt;&lt;foreign-keys&gt;&lt;key app="EN" db-id="225r2r50s9vvfxe5x0spf5rws59ws5apvzxv" timestamp="1476805430"&gt;777&lt;/key&gt;&lt;/foreign-keys&gt;&lt;ref-type name="Journal Article"&gt;17&lt;/ref-type&gt;&lt;contributors&gt;&lt;authors&gt;&lt;author&gt;Lu, Guobing&lt;/author&gt;&lt;author&gt;Ades, A. E.&lt;/author&gt;&lt;/authors&gt;&lt;/contributors&gt;&lt;titles&gt;&lt;title&gt;Assessing Evidence Inconsistency in Mixed Treatment Comparisons&lt;/title&gt;&lt;secondary-title&gt;Journal of the American Statistical Association&lt;/secondary-title&gt;&lt;/titles&gt;&lt;pages&gt;447-459&lt;/pages&gt;&lt;volume&gt;101&lt;/volume&gt;&lt;number&gt;474&lt;/number&gt;&lt;dates&gt;&lt;year&gt;2006&lt;/year&gt;&lt;pub-dates&gt;&lt;date&gt;2006/06/01&lt;/date&gt;&lt;/pub-dates&gt;&lt;/dates&gt;&lt;publisher&gt;Taylor &amp;amp; Francis&lt;/publisher&gt;&lt;isbn&gt;0162-1459&lt;/isbn&gt;&lt;urls&gt;&lt;related-urls&gt;&lt;url&gt;http://dx.doi.org/10.1198/016214505000001302&lt;/url&gt;&lt;/related-urls&gt;&lt;/urls&gt;&lt;electronic-resource-num&gt;10.1198/016214505000001302&lt;/electronic-resource-num&gt;&lt;/record&gt;&lt;/Cite&gt;&lt;/EndNote&gt;</w:instrText>
            </w:r>
            <w:r w:rsidR="00B52A4E">
              <w:rPr>
                <w:rFonts w:ascii="Times New Roman" w:eastAsia="Times New Roman" w:hAnsi="Times New Roman" w:cs="Times New Roman"/>
                <w:color w:val="000000"/>
                <w:lang w:val="en-CA" w:eastAsia="en-CA"/>
              </w:rPr>
              <w:fldChar w:fldCharType="separate"/>
            </w:r>
            <w:r w:rsidR="00B52A4E">
              <w:rPr>
                <w:rFonts w:ascii="Times New Roman" w:eastAsia="Times New Roman" w:hAnsi="Times New Roman" w:cs="Times New Roman"/>
                <w:noProof/>
                <w:color w:val="000000"/>
                <w:lang w:val="en-CA" w:eastAsia="en-CA"/>
              </w:rPr>
              <w:t>[</w:t>
            </w:r>
            <w:hyperlink w:anchor="_ENREF_5_15" w:tooltip="Lu, 2006 #777" w:history="1">
              <w:r w:rsidR="008B45B5">
                <w:rPr>
                  <w:rFonts w:ascii="Times New Roman" w:eastAsia="Times New Roman" w:hAnsi="Times New Roman" w:cs="Times New Roman"/>
                  <w:noProof/>
                  <w:color w:val="000000"/>
                  <w:lang w:val="en-CA" w:eastAsia="en-CA"/>
                </w:rPr>
                <w:t>15</w:t>
              </w:r>
            </w:hyperlink>
            <w:r w:rsidR="00B52A4E">
              <w:rPr>
                <w:rFonts w:ascii="Times New Roman" w:eastAsia="Times New Roman" w:hAnsi="Times New Roman" w:cs="Times New Roman"/>
                <w:noProof/>
                <w:color w:val="000000"/>
                <w:lang w:val="en-CA" w:eastAsia="en-CA"/>
              </w:rPr>
              <w:t>]</w:t>
            </w:r>
            <w:r w:rsidR="00B52A4E">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13 (2.9%)</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Song 2009</w:t>
            </w:r>
            <w:r w:rsidR="00723816">
              <w:rPr>
                <w:rFonts w:ascii="Times New Roman" w:eastAsia="Times New Roman" w:hAnsi="Times New Roman" w:cs="Times New Roman"/>
                <w:color w:val="000000"/>
                <w:lang w:val="en-CA" w:eastAsia="en-CA"/>
              </w:rPr>
              <w:t xml:space="preserve"> </w:t>
            </w:r>
            <w:r w:rsidR="00723816">
              <w:rPr>
                <w:rFonts w:ascii="Times New Roman" w:eastAsia="Times New Roman" w:hAnsi="Times New Roman" w:cs="Times New Roman"/>
                <w:color w:val="000000"/>
                <w:lang w:val="en-CA" w:eastAsia="en-CA"/>
              </w:rPr>
              <w:fldChar w:fldCharType="begin"/>
            </w:r>
            <w:r w:rsidR="00723816">
              <w:rPr>
                <w:rFonts w:ascii="Times New Roman" w:eastAsia="Times New Roman" w:hAnsi="Times New Roman" w:cs="Times New Roman"/>
                <w:color w:val="000000"/>
                <w:lang w:val="en-CA" w:eastAsia="en-CA"/>
              </w:rPr>
              <w:instrText xml:space="preserve"> ADDIN EN.CITE &lt;EndNote&gt;&lt;Cite&gt;&lt;Author&gt;Song&lt;/Author&gt;&lt;Year&gt;2009&lt;/Year&gt;&lt;RecNum&gt;761&lt;/RecNum&gt;&lt;DisplayText&gt;[16]&lt;/DisplayText&gt;&lt;record&gt;&lt;rec-number&gt;761&lt;/rec-number&gt;&lt;foreign-keys&gt;&lt;key app="EN" db-id="225r2r50s9vvfxe5x0spf5rws59ws5apvzxv" timestamp="1465240923"&gt;761&lt;/key&gt;&lt;/foreign-keys&gt;&lt;ref-type name="Journal Article"&gt;17&lt;/ref-type&gt;&lt;contributors&gt;&lt;authors&gt;&lt;author&gt;Song, F.&lt;/author&gt;&lt;author&gt;Loke, Y. K.&lt;/author&gt;&lt;author&gt;Walsh, T.&lt;/author&gt;&lt;author&gt;Glenny, A. M.&lt;/author&gt;&lt;author&gt;Eastwood, A. J.&lt;/author&gt;&lt;author&gt;Altman, D. G.&lt;/author&gt;&lt;/authors&gt;&lt;/contributors&gt;&lt;auth-address&gt;Faculty of Health, University of East Anglia, Norwich NR4 7TJ. fujian.song@uea.ac.uk&lt;/auth-address&gt;&lt;titles&gt;&lt;title&gt;Methodological problems in the use of indirect comparisons for evaluating healthcare interventions: survey of published systematic reviews&lt;/title&gt;&lt;secondary-title&gt;BMJ&lt;/secondary-title&gt;&lt;alt-title&gt;Bmj&lt;/alt-title&gt;&lt;/titles&gt;&lt;periodical&gt;&lt;full-title&gt;BMJ&lt;/full-title&gt;&lt;abbr-1&gt;BMJ&lt;/abbr-1&gt;&lt;abbr-2&gt;BMJ&lt;/abbr-2&gt;&lt;/periodical&gt;&lt;alt-periodical&gt;&lt;full-title&gt;BMJ&lt;/full-title&gt;&lt;abbr-1&gt;BMJ&lt;/abbr-1&gt;&lt;abbr-2&gt;BMJ&lt;/abbr-2&gt;&lt;/alt-periodical&gt;&lt;pages&gt;b1147&lt;/pages&gt;&lt;volume&gt;338&lt;/volume&gt;&lt;keywords&gt;&lt;keyword&gt;Delivery of Health Care/*standards&lt;/keyword&gt;&lt;keyword&gt;*Evaluation Studies as Topic&lt;/keyword&gt;&lt;keyword&gt;Humans&lt;/keyword&gt;&lt;keyword&gt;Meta-Analysis as Topic&lt;/keyword&gt;&lt;keyword&gt;Randomized Controlled Trials as Topic/methods&lt;/keyword&gt;&lt;keyword&gt;*Research Design&lt;/keyword&gt;&lt;keyword&gt;Review Literature as Topic&lt;/keyword&gt;&lt;/keywords&gt;&lt;dates&gt;&lt;year&gt;2009&lt;/year&gt;&lt;/dates&gt;&lt;isbn&gt;1756-1833 (Electronic)&amp;#xD;0959-535X (Linking)&lt;/isbn&gt;&lt;accession-num&gt;19346285&lt;/accession-num&gt;&lt;urls&gt;&lt;related-urls&gt;&lt;url&gt;http://www.ncbi.nlm.nih.gov/pubmed/19346285&lt;/url&gt;&lt;/related-urls&gt;&lt;/urls&gt;&lt;custom2&gt;2665205&lt;/custom2&gt;&lt;electronic-resource-num&gt;10.1136/bmj.b1147&lt;/electronic-resource-num&gt;&lt;/record&gt;&lt;/Cite&gt;&lt;/EndNote&gt;</w:instrText>
            </w:r>
            <w:r w:rsidR="00723816">
              <w:rPr>
                <w:rFonts w:ascii="Times New Roman" w:eastAsia="Times New Roman" w:hAnsi="Times New Roman" w:cs="Times New Roman"/>
                <w:color w:val="000000"/>
                <w:lang w:val="en-CA" w:eastAsia="en-CA"/>
              </w:rPr>
              <w:fldChar w:fldCharType="separate"/>
            </w:r>
            <w:r w:rsidR="00723816">
              <w:rPr>
                <w:rFonts w:ascii="Times New Roman" w:eastAsia="Times New Roman" w:hAnsi="Times New Roman" w:cs="Times New Roman"/>
                <w:noProof/>
                <w:color w:val="000000"/>
                <w:lang w:val="en-CA" w:eastAsia="en-CA"/>
              </w:rPr>
              <w:t>[</w:t>
            </w:r>
            <w:hyperlink w:anchor="_ENREF_5_16" w:tooltip="Song, 2009 #761" w:history="1">
              <w:r w:rsidR="008B45B5">
                <w:rPr>
                  <w:rFonts w:ascii="Times New Roman" w:eastAsia="Times New Roman" w:hAnsi="Times New Roman" w:cs="Times New Roman"/>
                  <w:noProof/>
                  <w:color w:val="000000"/>
                  <w:lang w:val="en-CA" w:eastAsia="en-CA"/>
                </w:rPr>
                <w:t>16</w:t>
              </w:r>
            </w:hyperlink>
            <w:r w:rsidR="00723816">
              <w:rPr>
                <w:rFonts w:ascii="Times New Roman" w:eastAsia="Times New Roman" w:hAnsi="Times New Roman" w:cs="Times New Roman"/>
                <w:noProof/>
                <w:color w:val="000000"/>
                <w:lang w:val="en-CA" w:eastAsia="en-CA"/>
              </w:rPr>
              <w:t>]</w:t>
            </w:r>
            <w:r w:rsidR="00723816">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12 (2.6%)</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Lunn 2000</w:t>
            </w:r>
            <w:r w:rsidR="00723816">
              <w:rPr>
                <w:rFonts w:ascii="Times New Roman" w:eastAsia="Times New Roman" w:hAnsi="Times New Roman" w:cs="Times New Roman"/>
                <w:color w:val="000000"/>
                <w:lang w:val="en-CA" w:eastAsia="en-CA"/>
              </w:rPr>
              <w:t xml:space="preserve"> </w:t>
            </w:r>
            <w:r w:rsidR="00E03BA8">
              <w:rPr>
                <w:rFonts w:ascii="Times New Roman" w:eastAsia="Times New Roman" w:hAnsi="Times New Roman" w:cs="Times New Roman"/>
                <w:color w:val="000000"/>
                <w:lang w:val="en-CA" w:eastAsia="en-CA"/>
              </w:rPr>
              <w:fldChar w:fldCharType="begin"/>
            </w:r>
            <w:r w:rsidR="00E03BA8">
              <w:rPr>
                <w:rFonts w:ascii="Times New Roman" w:eastAsia="Times New Roman" w:hAnsi="Times New Roman" w:cs="Times New Roman"/>
                <w:color w:val="000000"/>
                <w:lang w:val="en-CA" w:eastAsia="en-CA"/>
              </w:rPr>
              <w:instrText xml:space="preserve"> ADDIN EN.CITE &lt;EndNote&gt;&lt;Cite&gt;&lt;Author&gt;Lunn&lt;/Author&gt;&lt;Year&gt;2000&lt;/Year&gt;&lt;RecNum&gt;778&lt;/RecNum&gt;&lt;DisplayText&gt;[17]&lt;/DisplayText&gt;&lt;record&gt;&lt;rec-number&gt;778&lt;/rec-number&gt;&lt;foreign-keys&gt;&lt;key app="EN" db-id="225r2r50s9vvfxe5x0spf5rws59ws5apvzxv" timestamp="1476805553"&gt;778&lt;/key&gt;&lt;/foreign-keys&gt;&lt;ref-type name="Journal Article"&gt;17&lt;/ref-type&gt;&lt;contributors&gt;&lt;authors&gt;&lt;author&gt;Lunn, David J.&lt;/author&gt;&lt;author&gt;Thomas, Andrew&lt;/author&gt;&lt;author&gt;Best, Nicky&lt;/author&gt;&lt;author&gt;Spiegelhalter, David&lt;/author&gt;&lt;/authors&gt;&lt;/contributors&gt;&lt;titles&gt;&lt;title&gt;WinBUGS - A Bayesian modelling framework: Concepts, structure, and extensibility&lt;/title&gt;&lt;secondary-title&gt;Statistics and Computing&lt;/secondary-title&gt;&lt;/titles&gt;&lt;pages&gt;325-337&lt;/pages&gt;&lt;volume&gt;10&lt;/volume&gt;&lt;number&gt;4&lt;/number&gt;&lt;dates&gt;&lt;year&gt;2000&lt;/year&gt;&lt;pub-dates&gt;&lt;date&gt;2000//&lt;/date&gt;&lt;/pub-dates&gt;&lt;/dates&gt;&lt;isbn&gt;1573-1375&lt;/isbn&gt;&lt;urls&gt;&lt;related-urls&gt;&lt;url&gt;http://dx.doi.org/10.1023/A:1008929526011&lt;/url&gt;&lt;/related-urls&gt;&lt;/urls&gt;&lt;electronic-resource-num&gt;10.1023/A:1008929526011&lt;/electronic-resource-num&gt;&lt;/record&gt;&lt;/Cite&gt;&lt;/EndNote&gt;</w:instrText>
            </w:r>
            <w:r w:rsidR="00E03BA8">
              <w:rPr>
                <w:rFonts w:ascii="Times New Roman" w:eastAsia="Times New Roman" w:hAnsi="Times New Roman" w:cs="Times New Roman"/>
                <w:color w:val="000000"/>
                <w:lang w:val="en-CA" w:eastAsia="en-CA"/>
              </w:rPr>
              <w:fldChar w:fldCharType="separate"/>
            </w:r>
            <w:r w:rsidR="00E03BA8">
              <w:rPr>
                <w:rFonts w:ascii="Times New Roman" w:eastAsia="Times New Roman" w:hAnsi="Times New Roman" w:cs="Times New Roman"/>
                <w:noProof/>
                <w:color w:val="000000"/>
                <w:lang w:val="en-CA" w:eastAsia="en-CA"/>
              </w:rPr>
              <w:t>[</w:t>
            </w:r>
            <w:hyperlink w:anchor="_ENREF_5_17" w:tooltip="Lunn, 2000 #778" w:history="1">
              <w:r w:rsidR="008B45B5">
                <w:rPr>
                  <w:rFonts w:ascii="Times New Roman" w:eastAsia="Times New Roman" w:hAnsi="Times New Roman" w:cs="Times New Roman"/>
                  <w:noProof/>
                  <w:color w:val="000000"/>
                  <w:lang w:val="en-CA" w:eastAsia="en-CA"/>
                </w:rPr>
                <w:t>17</w:t>
              </w:r>
            </w:hyperlink>
            <w:r w:rsidR="00E03BA8">
              <w:rPr>
                <w:rFonts w:ascii="Times New Roman" w:eastAsia="Times New Roman" w:hAnsi="Times New Roman" w:cs="Times New Roman"/>
                <w:noProof/>
                <w:color w:val="000000"/>
                <w:lang w:val="en-CA" w:eastAsia="en-CA"/>
              </w:rPr>
              <w:t>]</w:t>
            </w:r>
            <w:r w:rsidR="00E03BA8">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12 (2.6%)</w:t>
            </w:r>
          </w:p>
        </w:tc>
      </w:tr>
      <w:tr w:rsidR="00F45EA8" w:rsidRPr="00C1780A" w:rsidTr="00F1330D">
        <w:trPr>
          <w:trHeight w:val="315"/>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Wells 2009</w:t>
            </w:r>
            <w:r w:rsidR="00E03BA8">
              <w:rPr>
                <w:rFonts w:ascii="Times New Roman" w:eastAsia="Times New Roman" w:hAnsi="Times New Roman" w:cs="Times New Roman"/>
                <w:color w:val="000000"/>
                <w:lang w:val="en-CA" w:eastAsia="en-CA"/>
              </w:rPr>
              <w:t xml:space="preserve"> </w:t>
            </w:r>
            <w:r w:rsidR="00112D99">
              <w:rPr>
                <w:rFonts w:ascii="Times New Roman" w:eastAsia="Times New Roman" w:hAnsi="Times New Roman" w:cs="Times New Roman"/>
                <w:color w:val="000000"/>
                <w:lang w:val="en-CA" w:eastAsia="en-CA"/>
              </w:rPr>
              <w:fldChar w:fldCharType="begin"/>
            </w:r>
            <w:r w:rsidR="00112D99">
              <w:rPr>
                <w:rFonts w:ascii="Times New Roman" w:eastAsia="Times New Roman" w:hAnsi="Times New Roman" w:cs="Times New Roman"/>
                <w:color w:val="000000"/>
                <w:lang w:val="en-CA" w:eastAsia="en-CA"/>
              </w:rPr>
              <w:instrText xml:space="preserve"> ADDIN EN.CITE &lt;EndNote&gt;&lt;Cite&gt;&lt;Author&gt;GA&lt;/Author&gt;&lt;Year&gt;2009&lt;/Year&gt;&lt;RecNum&gt;779&lt;/RecNum&gt;&lt;DisplayText&gt;[18]&lt;/DisplayText&gt;&lt;record&gt;&lt;rec-number&gt;779&lt;/rec-number&gt;&lt;foreign-keys&gt;&lt;key app="EN" db-id="225r2r50s9vvfxe5x0spf5rws59ws5apvzxv" timestamp="1476805984"&gt;779&lt;/key&gt;&lt;/foreign-keys&gt;&lt;ref-type name="Report"&gt;27&lt;/ref-type&gt;&lt;contributors&gt;&lt;authors&gt;&lt;author&gt;Wells, GA&lt;/author&gt;&lt;author&gt;Sultan, SA&lt;/author&gt;&lt;author&gt;Chen, L&lt;/author&gt;&lt;author&gt;Khan, M&lt;/author&gt;&lt;author&gt;Coyle, D&lt;/author&gt;&lt;/authors&gt;&lt;/contributors&gt;&lt;titles&gt;&lt;title&gt;Indirect Evidence: Indirect Treatment Comparisons in Meta-Analysis&lt;/title&gt;&lt;/titles&gt;&lt;dates&gt;&lt;year&gt;2009&lt;/year&gt;&lt;/dates&gt;&lt;pub-location&gt;Ottawa&lt;/pub-location&gt;&lt;publisher&gt;Canadian Agency for Drugs and Technologies in Health&lt;/publisher&gt;&lt;urls&gt;&lt;/urls&gt;&lt;/record&gt;&lt;/Cite&gt;&lt;/EndNote&gt;</w:instrText>
            </w:r>
            <w:r w:rsidR="00112D99">
              <w:rPr>
                <w:rFonts w:ascii="Times New Roman" w:eastAsia="Times New Roman" w:hAnsi="Times New Roman" w:cs="Times New Roman"/>
                <w:color w:val="000000"/>
                <w:lang w:val="en-CA" w:eastAsia="en-CA"/>
              </w:rPr>
              <w:fldChar w:fldCharType="separate"/>
            </w:r>
            <w:r w:rsidR="00112D99">
              <w:rPr>
                <w:rFonts w:ascii="Times New Roman" w:eastAsia="Times New Roman" w:hAnsi="Times New Roman" w:cs="Times New Roman"/>
                <w:noProof/>
                <w:color w:val="000000"/>
                <w:lang w:val="en-CA" w:eastAsia="en-CA"/>
              </w:rPr>
              <w:t>[</w:t>
            </w:r>
            <w:hyperlink w:anchor="_ENREF_5_18" w:tooltip="Wells, 2009 #779" w:history="1">
              <w:r w:rsidR="008B45B5">
                <w:rPr>
                  <w:rFonts w:ascii="Times New Roman" w:eastAsia="Times New Roman" w:hAnsi="Times New Roman" w:cs="Times New Roman"/>
                  <w:noProof/>
                  <w:color w:val="000000"/>
                  <w:lang w:val="en-CA" w:eastAsia="en-CA"/>
                </w:rPr>
                <w:t>18</w:t>
              </w:r>
            </w:hyperlink>
            <w:r w:rsidR="00112D99">
              <w:rPr>
                <w:rFonts w:ascii="Times New Roman" w:eastAsia="Times New Roman" w:hAnsi="Times New Roman" w:cs="Times New Roman"/>
                <w:noProof/>
                <w:color w:val="000000"/>
                <w:lang w:val="en-CA" w:eastAsia="en-CA"/>
              </w:rPr>
              <w:t>]</w:t>
            </w:r>
            <w:r w:rsidR="00112D99">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11 (2.4%)</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Higgins &amp; Whitehead 1996</w:t>
            </w:r>
            <w:r w:rsidR="00375151">
              <w:rPr>
                <w:rFonts w:ascii="Times New Roman" w:eastAsia="Times New Roman" w:hAnsi="Times New Roman" w:cs="Times New Roman"/>
                <w:color w:val="000000"/>
                <w:lang w:val="en-CA" w:eastAsia="en-CA"/>
              </w:rPr>
              <w:t xml:space="preserve"> </w:t>
            </w:r>
            <w:r w:rsidR="00375151">
              <w:rPr>
                <w:rFonts w:ascii="Times New Roman" w:eastAsia="Times New Roman" w:hAnsi="Times New Roman" w:cs="Times New Roman"/>
                <w:color w:val="000000"/>
                <w:lang w:val="en-CA" w:eastAsia="en-CA"/>
              </w:rPr>
              <w:fldChar w:fldCharType="begin"/>
            </w:r>
            <w:r w:rsidR="00375151">
              <w:rPr>
                <w:rFonts w:ascii="Times New Roman" w:eastAsia="Times New Roman" w:hAnsi="Times New Roman" w:cs="Times New Roman"/>
                <w:color w:val="000000"/>
                <w:lang w:val="en-CA" w:eastAsia="en-CA"/>
              </w:rPr>
              <w:instrText xml:space="preserve"> ADDIN EN.CITE &lt;EndNote&gt;&lt;Cite&gt;&lt;Author&gt;Higgins&lt;/Author&gt;&lt;Year&gt;1996&lt;/Year&gt;&lt;RecNum&gt;646&lt;/RecNum&gt;&lt;DisplayText&gt;[19]&lt;/DisplayText&gt;&lt;record&gt;&lt;rec-number&gt;646&lt;/rec-number&gt;&lt;foreign-keys&gt;&lt;key app="EN" db-id="225r2r50s9vvfxe5x0spf5rws59ws5apvzxv" timestamp="1461163835"&gt;646&lt;/key&gt;&lt;/foreign-keys&gt;&lt;ref-type name="Journal Article"&gt;17&lt;/ref-type&gt;&lt;contributors&gt;&lt;authors&gt;&lt;author&gt;Higgins, J. P.&lt;/author&gt;&lt;author&gt;Whitehead, A.&lt;/author&gt;&lt;/authors&gt;&lt;/contributors&gt;&lt;auth-address&gt;Department of Applied Statistics, University of Reading, U.K.&lt;/auth-address&gt;&lt;titles&gt;&lt;title&gt;Borrowing strength from external trials in a meta-analysis&lt;/title&gt;&lt;secondary-title&gt;Stat Med&lt;/secondary-title&gt;&lt;alt-title&gt;Statistics in medicine&lt;/alt-title&gt;&lt;/titles&gt;&lt;periodical&gt;&lt;full-title&gt;Statistics in Medicine&lt;/full-title&gt;&lt;abbr-1&gt;Stat. Med.&lt;/abbr-1&gt;&lt;abbr-2&gt;Stat Med&lt;/abbr-2&gt;&lt;/periodical&gt;&lt;alt-periodical&gt;&lt;full-title&gt;Statistics in Medicine&lt;/full-title&gt;&lt;abbr-1&gt;Stat. Med.&lt;/abbr-1&gt;&lt;abbr-2&gt;Stat Med&lt;/abbr-2&gt;&lt;/alt-periodical&gt;&lt;pages&gt;2733-49&lt;/pages&gt;&lt;volume&gt;15&lt;/volume&gt;&lt;number&gt;24&lt;/number&gt;&lt;edition&gt;1996/12/30&lt;/edition&gt;&lt;keywords&gt;&lt;keyword&gt;Adrenergic beta-Antagonists/therapeutic use&lt;/keyword&gt;&lt;keyword&gt;Bayes Theorem&lt;/keyword&gt;&lt;keyword&gt;Data Interpretation, Statistical&lt;/keyword&gt;&lt;keyword&gt;Gastrointestinal Hemorrhage/prevention &amp;amp; control&lt;/keyword&gt;&lt;keyword&gt;Humans&lt;/keyword&gt;&lt;keyword&gt;Likelihood Functions&lt;/keyword&gt;&lt;keyword&gt;Liver Cirrhosis/complications&lt;/keyword&gt;&lt;keyword&gt;*Meta-Analysis as Topic&lt;/keyword&gt;&lt;keyword&gt;*Models, Statistical&lt;/keyword&gt;&lt;keyword&gt;Multivariate Analysis&lt;/keyword&gt;&lt;keyword&gt;Odds Ratio&lt;/keyword&gt;&lt;keyword&gt;Randomized Controlled Trials as Topic/*methods&lt;/keyword&gt;&lt;keyword&gt;Sclerotherapy&lt;/keyword&gt;&lt;/keywords&gt;&lt;dates&gt;&lt;year&gt;1996&lt;/year&gt;&lt;pub-dates&gt;&lt;date&gt;Dec 30&lt;/date&gt;&lt;/pub-dates&gt;&lt;/dates&gt;&lt;isbn&gt;0277-6715 (Print)&amp;#xD;0277-6715&lt;/isbn&gt;&lt;accession-num&gt;8981683&lt;/accession-num&gt;&lt;urls&gt;&lt;/urls&gt;&lt;electronic-resource-num&gt;10.1002/(sici)1097-0258(19961230)15:24&amp;lt;2733::aid-sim562&amp;gt;3.0.co;2-0&lt;/electronic-resource-num&gt;&lt;remote-database-provider&gt;NLM&lt;/remote-database-provider&gt;&lt;language&gt;eng&lt;/language&gt;&lt;/record&gt;&lt;/Cite&gt;&lt;/EndNote&gt;</w:instrText>
            </w:r>
            <w:r w:rsidR="00375151">
              <w:rPr>
                <w:rFonts w:ascii="Times New Roman" w:eastAsia="Times New Roman" w:hAnsi="Times New Roman" w:cs="Times New Roman"/>
                <w:color w:val="000000"/>
                <w:lang w:val="en-CA" w:eastAsia="en-CA"/>
              </w:rPr>
              <w:fldChar w:fldCharType="separate"/>
            </w:r>
            <w:r w:rsidR="00375151">
              <w:rPr>
                <w:rFonts w:ascii="Times New Roman" w:eastAsia="Times New Roman" w:hAnsi="Times New Roman" w:cs="Times New Roman"/>
                <w:noProof/>
                <w:color w:val="000000"/>
                <w:lang w:val="en-CA" w:eastAsia="en-CA"/>
              </w:rPr>
              <w:t>[</w:t>
            </w:r>
            <w:hyperlink w:anchor="_ENREF_5_19" w:tooltip="Higgins, 1996 #646" w:history="1">
              <w:r w:rsidR="008B45B5">
                <w:rPr>
                  <w:rFonts w:ascii="Times New Roman" w:eastAsia="Times New Roman" w:hAnsi="Times New Roman" w:cs="Times New Roman"/>
                  <w:noProof/>
                  <w:color w:val="000000"/>
                  <w:lang w:val="en-CA" w:eastAsia="en-CA"/>
                </w:rPr>
                <w:t>19</w:t>
              </w:r>
            </w:hyperlink>
            <w:r w:rsidR="00375151">
              <w:rPr>
                <w:rFonts w:ascii="Times New Roman" w:eastAsia="Times New Roman" w:hAnsi="Times New Roman" w:cs="Times New Roman"/>
                <w:noProof/>
                <w:color w:val="000000"/>
                <w:lang w:val="en-CA" w:eastAsia="en-CA"/>
              </w:rPr>
              <w:t>]</w:t>
            </w:r>
            <w:r w:rsidR="00375151">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11 (2.4%)</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proofErr w:type="spellStart"/>
            <w:r w:rsidRPr="00C1780A">
              <w:rPr>
                <w:rFonts w:ascii="Times New Roman" w:eastAsia="Times New Roman" w:hAnsi="Times New Roman" w:cs="Times New Roman"/>
                <w:color w:val="000000"/>
                <w:lang w:val="en-CA" w:eastAsia="en-CA"/>
              </w:rPr>
              <w:t>Salanti</w:t>
            </w:r>
            <w:proofErr w:type="spellEnd"/>
            <w:r w:rsidRPr="00C1780A">
              <w:rPr>
                <w:rFonts w:ascii="Times New Roman" w:eastAsia="Times New Roman" w:hAnsi="Times New Roman" w:cs="Times New Roman"/>
                <w:color w:val="000000"/>
                <w:lang w:val="en-CA" w:eastAsia="en-CA"/>
              </w:rPr>
              <w:t xml:space="preserve"> 2009</w:t>
            </w:r>
            <w:r w:rsidR="005B1164">
              <w:rPr>
                <w:rFonts w:ascii="Times New Roman" w:eastAsia="Times New Roman" w:hAnsi="Times New Roman" w:cs="Times New Roman"/>
                <w:color w:val="000000"/>
                <w:lang w:val="en-CA" w:eastAsia="en-CA"/>
              </w:rPr>
              <w:t xml:space="preserve"> </w:t>
            </w:r>
            <w:r w:rsidR="005B1164">
              <w:rPr>
                <w:rFonts w:ascii="Times New Roman" w:eastAsia="Times New Roman" w:hAnsi="Times New Roman" w:cs="Times New Roman"/>
                <w:color w:val="000000"/>
                <w:lang w:val="en-CA" w:eastAsia="en-CA"/>
              </w:rPr>
              <w:fldChar w:fldCharType="begin">
                <w:fldData xml:space="preserve">PEVuZE5vdGU+PENpdGU+PEF1dGhvcj5TYWxhbnRpPC9BdXRob3I+PFllYXI+MjAwOTwvWWVhcj48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=
</w:fldData>
              </w:fldChar>
            </w:r>
            <w:r w:rsidR="005B1164">
              <w:rPr>
                <w:rFonts w:ascii="Times New Roman" w:eastAsia="Times New Roman" w:hAnsi="Times New Roman" w:cs="Times New Roman"/>
                <w:color w:val="000000"/>
                <w:lang w:val="en-CA" w:eastAsia="en-CA"/>
              </w:rPr>
              <w:instrText xml:space="preserve"> ADDIN EN.CITE </w:instrText>
            </w:r>
            <w:r w:rsidR="005B1164">
              <w:rPr>
                <w:rFonts w:ascii="Times New Roman" w:eastAsia="Times New Roman" w:hAnsi="Times New Roman" w:cs="Times New Roman"/>
                <w:color w:val="000000"/>
                <w:lang w:val="en-CA" w:eastAsia="en-CA"/>
              </w:rPr>
              <w:fldChar w:fldCharType="begin">
                <w:fldData xml:space="preserve">PEVuZE5vdGU+PENpdGU+PEF1dGhvcj5TYWxhbnRpPC9BdXRob3I+PFllYXI+MjAwOTwvWWVhcj48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=
</w:fldData>
              </w:fldChar>
            </w:r>
            <w:r w:rsidR="005B1164">
              <w:rPr>
                <w:rFonts w:ascii="Times New Roman" w:eastAsia="Times New Roman" w:hAnsi="Times New Roman" w:cs="Times New Roman"/>
                <w:color w:val="000000"/>
                <w:lang w:val="en-CA" w:eastAsia="en-CA"/>
              </w:rPr>
              <w:instrText xml:space="preserve"> ADDIN EN.CITE.DATA </w:instrText>
            </w:r>
            <w:r w:rsidR="005B1164">
              <w:rPr>
                <w:rFonts w:ascii="Times New Roman" w:eastAsia="Times New Roman" w:hAnsi="Times New Roman" w:cs="Times New Roman"/>
                <w:color w:val="000000"/>
                <w:lang w:val="en-CA" w:eastAsia="en-CA"/>
              </w:rPr>
            </w:r>
            <w:r w:rsidR="005B1164">
              <w:rPr>
                <w:rFonts w:ascii="Times New Roman" w:eastAsia="Times New Roman" w:hAnsi="Times New Roman" w:cs="Times New Roman"/>
                <w:color w:val="000000"/>
                <w:lang w:val="en-CA" w:eastAsia="en-CA"/>
              </w:rPr>
              <w:fldChar w:fldCharType="end"/>
            </w:r>
            <w:r w:rsidR="005B1164">
              <w:rPr>
                <w:rFonts w:ascii="Times New Roman" w:eastAsia="Times New Roman" w:hAnsi="Times New Roman" w:cs="Times New Roman"/>
                <w:color w:val="000000"/>
                <w:lang w:val="en-CA" w:eastAsia="en-CA"/>
              </w:rPr>
            </w:r>
            <w:r w:rsidR="005B1164">
              <w:rPr>
                <w:rFonts w:ascii="Times New Roman" w:eastAsia="Times New Roman" w:hAnsi="Times New Roman" w:cs="Times New Roman"/>
                <w:color w:val="000000"/>
                <w:lang w:val="en-CA" w:eastAsia="en-CA"/>
              </w:rPr>
              <w:fldChar w:fldCharType="separate"/>
            </w:r>
            <w:r w:rsidR="005B1164">
              <w:rPr>
                <w:rFonts w:ascii="Times New Roman" w:eastAsia="Times New Roman" w:hAnsi="Times New Roman" w:cs="Times New Roman"/>
                <w:noProof/>
                <w:color w:val="000000"/>
                <w:lang w:val="en-CA" w:eastAsia="en-CA"/>
              </w:rPr>
              <w:t>[</w:t>
            </w:r>
            <w:hyperlink w:anchor="_ENREF_5_20" w:tooltip="Salanti, 2009 #608" w:history="1">
              <w:r w:rsidR="008B45B5">
                <w:rPr>
                  <w:rFonts w:ascii="Times New Roman" w:eastAsia="Times New Roman" w:hAnsi="Times New Roman" w:cs="Times New Roman"/>
                  <w:noProof/>
                  <w:color w:val="000000"/>
                  <w:lang w:val="en-CA" w:eastAsia="en-CA"/>
                </w:rPr>
                <w:t>20</w:t>
              </w:r>
            </w:hyperlink>
            <w:r w:rsidR="005B1164">
              <w:rPr>
                <w:rFonts w:ascii="Times New Roman" w:eastAsia="Times New Roman" w:hAnsi="Times New Roman" w:cs="Times New Roman"/>
                <w:noProof/>
                <w:color w:val="000000"/>
                <w:lang w:val="en-CA" w:eastAsia="en-CA"/>
              </w:rPr>
              <w:t>]</w:t>
            </w:r>
            <w:r w:rsidR="005B1164">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10 (2.2%)</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Dias 2013b</w:t>
            </w:r>
            <w:r w:rsidR="00B25573">
              <w:rPr>
                <w:rFonts w:ascii="Times New Roman" w:eastAsia="Times New Roman" w:hAnsi="Times New Roman" w:cs="Times New Roman"/>
                <w:color w:val="000000"/>
                <w:lang w:val="en-CA" w:eastAsia="en-CA"/>
              </w:rPr>
              <w:t xml:space="preserve"> </w:t>
            </w:r>
            <w:r w:rsidR="00B25573">
              <w:rPr>
                <w:rFonts w:ascii="Times New Roman" w:eastAsia="Times New Roman" w:hAnsi="Times New Roman" w:cs="Times New Roman"/>
                <w:color w:val="000000"/>
                <w:lang w:val="en-CA" w:eastAsia="en-CA"/>
              </w:rPr>
              <w:fldChar w:fldCharType="begin"/>
            </w:r>
            <w:r w:rsidR="00B25573">
              <w:rPr>
                <w:rFonts w:ascii="Times New Roman" w:eastAsia="Times New Roman" w:hAnsi="Times New Roman" w:cs="Times New Roman"/>
                <w:color w:val="000000"/>
                <w:lang w:val="en-CA" w:eastAsia="en-CA"/>
              </w:rPr>
              <w:instrText xml:space="preserve"> ADDIN EN.CITE &lt;EndNote&gt;&lt;Cite&gt;&lt;Author&gt;Dias&lt;/Author&gt;&lt;Year&gt;2013&lt;/Year&gt;&lt;RecNum&gt;654&lt;/RecNum&gt;&lt;DisplayText&gt;[21]&lt;/DisplayText&gt;&lt;record&gt;&lt;rec-number&gt;654&lt;/rec-number&gt;&lt;foreign-keys&gt;&lt;key app="EN" db-id="225r2r50s9vvfxe5x0spf5rws59ws5apvzxv" timestamp="1461165982"&gt;654&lt;/key&gt;&lt;/foreign-keys&gt;&lt;ref-type name="Journal Article"&gt;17&lt;/ref-type&gt;&lt;contributors&gt;&lt;authors&gt;&lt;author&gt;Dias, S.&lt;/author&gt;&lt;author&gt;Sutton, A. J.&lt;/author&gt;&lt;author&gt;Ades, A. E.&lt;/author&gt;&lt;author&gt;Welton, N. J.&lt;/author&gt;&lt;/authors&gt;&lt;/contributors&gt;&lt;auth-address&gt;School of Social and Community Medicine, University of Bristol, Bristol, UK. s.dias@bristol.ac.uk&lt;/auth-address&gt;&lt;titles&gt;&lt;title&gt;Evidence synthesis for decision making 2: a generalized linear modeling framework for pairwise and network meta-analysis of randomized controlled trials&lt;/title&gt;&lt;secondary-title&gt;Med Decis Making&lt;/secondary-title&gt;&lt;alt-title&gt;Medical decision making : an international journal of the Society for Medical Decision Making&lt;/alt-title&gt;&lt;/titles&gt;&lt;periodical&gt;&lt;full-title&gt;Medical Decision Making&lt;/full-title&gt;&lt;abbr-1&gt;Med. Decis. Making&lt;/abbr-1&gt;&lt;abbr-2&gt;Med Decis Making&lt;/abbr-2&gt;&lt;/periodical&gt;&lt;pages&gt;607-17&lt;/pages&gt;&lt;volume&gt;33&lt;/volume&gt;&lt;number&gt;5&lt;/number&gt;&lt;edition&gt;2012/10/30&lt;/edition&gt;&lt;keywords&gt;&lt;keyword&gt;*Decision Making&lt;/keyword&gt;&lt;keyword&gt;*Evidence-Based Medicine&lt;/keyword&gt;&lt;keyword&gt;Likelihood Functions&lt;/keyword&gt;&lt;keyword&gt;*Models, Theoretical&lt;/keyword&gt;&lt;keyword&gt;generalized linear model&lt;/keyword&gt;&lt;keyword&gt;indirect evidence&lt;/keyword&gt;&lt;keyword&gt;meta-analysis&lt;/keyword&gt;&lt;keyword&gt;network meta-analysis&lt;/keyword&gt;&lt;/keywords&gt;&lt;dates&gt;&lt;year&gt;2013&lt;/year&gt;&lt;pub-dates&gt;&lt;date&gt;Jul&lt;/date&gt;&lt;/pub-dates&gt;&lt;/dates&gt;&lt;isbn&gt;0272-989x&lt;/isbn&gt;&lt;accession-num&gt;23104435&lt;/accession-num&gt;&lt;urls&gt;&lt;/urls&gt;&lt;custom2&gt;Pmc3704203&lt;/custom2&gt;&lt;electronic-resource-num&gt;10.1177/0272989x12458724&lt;/electronic-resource-num&gt;&lt;remote-database-provider&gt;NLM&lt;/remote-database-provider&gt;&lt;language&gt;eng&lt;/language&gt;&lt;/record&gt;&lt;/Cite&gt;&lt;/EndNote&gt;</w:instrText>
            </w:r>
            <w:r w:rsidR="00B25573">
              <w:rPr>
                <w:rFonts w:ascii="Times New Roman" w:eastAsia="Times New Roman" w:hAnsi="Times New Roman" w:cs="Times New Roman"/>
                <w:color w:val="000000"/>
                <w:lang w:val="en-CA" w:eastAsia="en-CA"/>
              </w:rPr>
              <w:fldChar w:fldCharType="separate"/>
            </w:r>
            <w:r w:rsidR="00B25573">
              <w:rPr>
                <w:rFonts w:ascii="Times New Roman" w:eastAsia="Times New Roman" w:hAnsi="Times New Roman" w:cs="Times New Roman"/>
                <w:noProof/>
                <w:color w:val="000000"/>
                <w:lang w:val="en-CA" w:eastAsia="en-CA"/>
              </w:rPr>
              <w:t>[</w:t>
            </w:r>
            <w:hyperlink w:anchor="_ENREF_5_21" w:tooltip="Dias, 2013 #654" w:history="1">
              <w:r w:rsidR="008B45B5">
                <w:rPr>
                  <w:rFonts w:ascii="Times New Roman" w:eastAsia="Times New Roman" w:hAnsi="Times New Roman" w:cs="Times New Roman"/>
                  <w:noProof/>
                  <w:color w:val="000000"/>
                  <w:lang w:val="en-CA" w:eastAsia="en-CA"/>
                </w:rPr>
                <w:t>21</w:t>
              </w:r>
            </w:hyperlink>
            <w:r w:rsidR="00B25573">
              <w:rPr>
                <w:rFonts w:ascii="Times New Roman" w:eastAsia="Times New Roman" w:hAnsi="Times New Roman" w:cs="Times New Roman"/>
                <w:noProof/>
                <w:color w:val="000000"/>
                <w:lang w:val="en-CA" w:eastAsia="en-CA"/>
              </w:rPr>
              <w:t>]</w:t>
            </w:r>
            <w:r w:rsidR="00B25573">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10 (2.2%)</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4" w:space="0" w:color="A6A6A6" w:themeColor="background1" w:themeShade="A6"/>
              <w:right w:val="nil"/>
            </w:tcBorders>
            <w:shd w:val="clear" w:color="auto" w:fill="auto"/>
            <w:noWrap/>
            <w:vAlign w:val="bottom"/>
            <w:hideMark/>
          </w:tcPr>
          <w:p w:rsidR="00F45EA8" w:rsidRPr="00C1780A" w:rsidRDefault="00F45EA8" w:rsidP="008B45B5">
            <w:pPr>
              <w:spacing w:after="0" w:line="240" w:lineRule="auto"/>
              <w:rPr>
                <w:rFonts w:ascii="Times New Roman" w:eastAsia="Times New Roman" w:hAnsi="Times New Roman" w:cs="Times New Roman"/>
                <w:color w:val="000000"/>
                <w:lang w:val="en-CA" w:eastAsia="en-CA"/>
              </w:rPr>
            </w:pPr>
            <w:proofErr w:type="spellStart"/>
            <w:r w:rsidRPr="00C1780A">
              <w:rPr>
                <w:rFonts w:ascii="Times New Roman" w:eastAsia="Times New Roman" w:hAnsi="Times New Roman" w:cs="Times New Roman"/>
                <w:color w:val="000000"/>
                <w:lang w:val="en-CA" w:eastAsia="en-CA"/>
              </w:rPr>
              <w:t>Salanti</w:t>
            </w:r>
            <w:proofErr w:type="spellEnd"/>
            <w:r w:rsidRPr="00C1780A">
              <w:rPr>
                <w:rFonts w:ascii="Times New Roman" w:eastAsia="Times New Roman" w:hAnsi="Times New Roman" w:cs="Times New Roman"/>
                <w:color w:val="000000"/>
                <w:lang w:val="en-CA" w:eastAsia="en-CA"/>
              </w:rPr>
              <w:t xml:space="preserve"> 2011</w:t>
            </w:r>
            <w:r w:rsidR="00B25573">
              <w:rPr>
                <w:rFonts w:ascii="Times New Roman" w:eastAsia="Times New Roman" w:hAnsi="Times New Roman" w:cs="Times New Roman"/>
                <w:color w:val="000000"/>
                <w:lang w:val="en-CA" w:eastAsia="en-CA"/>
              </w:rPr>
              <w:t xml:space="preserve"> </w:t>
            </w:r>
            <w:r w:rsidR="006E05E2">
              <w:rPr>
                <w:rFonts w:ascii="Times New Roman" w:eastAsia="Times New Roman" w:hAnsi="Times New Roman" w:cs="Times New Roman"/>
                <w:color w:val="000000"/>
                <w:lang w:val="en-CA" w:eastAsia="en-CA"/>
              </w:rPr>
              <w:fldChar w:fldCharType="begin">
                <w:fldData xml:space="preserve">PEVuZE5vdGU+PENpdGU+PEF1dGhvcj5TYWxhbnRpPC9BdXRob3I+PFllYXI+MjAxMTwvWWVhcj48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</w:fldData>
              </w:fldChar>
            </w:r>
            <w:r w:rsidR="008B45B5">
              <w:rPr>
                <w:rFonts w:ascii="Times New Roman" w:eastAsia="Times New Roman" w:hAnsi="Times New Roman" w:cs="Times New Roman"/>
                <w:color w:val="000000"/>
                <w:lang w:val="en-CA" w:eastAsia="en-CA"/>
              </w:rPr>
              <w:instrText xml:space="preserve"> ADDIN EN.CITE </w:instrText>
            </w:r>
            <w:r w:rsidR="008B45B5">
              <w:rPr>
                <w:rFonts w:ascii="Times New Roman" w:eastAsia="Times New Roman" w:hAnsi="Times New Roman" w:cs="Times New Roman"/>
                <w:color w:val="000000"/>
                <w:lang w:val="en-CA" w:eastAsia="en-CA"/>
              </w:rPr>
              <w:fldChar w:fldCharType="begin">
                <w:fldData xml:space="preserve">PEVuZE5vdGU+PENpdGU+PEF1dGhvcj5TYWxhbnRpPC9BdXRob3I+PFllYXI+MjAxMTwvWWVhcj48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</w:fldData>
              </w:fldChar>
            </w:r>
            <w:r w:rsidR="008B45B5">
              <w:rPr>
                <w:rFonts w:ascii="Times New Roman" w:eastAsia="Times New Roman" w:hAnsi="Times New Roman" w:cs="Times New Roman"/>
                <w:color w:val="000000"/>
                <w:lang w:val="en-CA" w:eastAsia="en-CA"/>
              </w:rPr>
              <w:instrText xml:space="preserve"> ADDIN EN.CITE.DATA </w:instrText>
            </w:r>
            <w:r w:rsidR="008B45B5">
              <w:rPr>
                <w:rFonts w:ascii="Times New Roman" w:eastAsia="Times New Roman" w:hAnsi="Times New Roman" w:cs="Times New Roman"/>
                <w:color w:val="000000"/>
                <w:lang w:val="en-CA" w:eastAsia="en-CA"/>
              </w:rPr>
            </w:r>
            <w:r w:rsidR="008B45B5">
              <w:rPr>
                <w:rFonts w:ascii="Times New Roman" w:eastAsia="Times New Roman" w:hAnsi="Times New Roman" w:cs="Times New Roman"/>
                <w:color w:val="000000"/>
                <w:lang w:val="en-CA" w:eastAsia="en-CA"/>
              </w:rPr>
              <w:fldChar w:fldCharType="end"/>
            </w:r>
            <w:r w:rsidR="006E05E2">
              <w:rPr>
                <w:rFonts w:ascii="Times New Roman" w:eastAsia="Times New Roman" w:hAnsi="Times New Roman" w:cs="Times New Roman"/>
                <w:color w:val="000000"/>
                <w:lang w:val="en-CA" w:eastAsia="en-CA"/>
              </w:rPr>
            </w:r>
            <w:r w:rsidR="006E05E2">
              <w:rPr>
                <w:rFonts w:ascii="Times New Roman" w:eastAsia="Times New Roman" w:hAnsi="Times New Roman" w:cs="Times New Roman"/>
                <w:color w:val="000000"/>
                <w:lang w:val="en-CA" w:eastAsia="en-CA"/>
              </w:rPr>
              <w:fldChar w:fldCharType="separate"/>
            </w:r>
            <w:r w:rsidR="008B45B5">
              <w:rPr>
                <w:rFonts w:ascii="Times New Roman" w:eastAsia="Times New Roman" w:hAnsi="Times New Roman" w:cs="Times New Roman"/>
                <w:noProof/>
                <w:color w:val="000000"/>
                <w:lang w:val="en-CA" w:eastAsia="en-CA"/>
              </w:rPr>
              <w:t>[</w:t>
            </w:r>
            <w:hyperlink w:anchor="_ENREF_5_22" w:tooltip="Salanti, 2011 #780" w:history="1">
              <w:r w:rsidR="008B45B5">
                <w:rPr>
                  <w:rFonts w:ascii="Times New Roman" w:eastAsia="Times New Roman" w:hAnsi="Times New Roman" w:cs="Times New Roman"/>
                  <w:noProof/>
                  <w:color w:val="000000"/>
                  <w:lang w:val="en-CA" w:eastAsia="en-CA"/>
                </w:rPr>
                <w:t>22</w:t>
              </w:r>
            </w:hyperlink>
            <w:r w:rsidR="008B45B5">
              <w:rPr>
                <w:rFonts w:ascii="Times New Roman" w:eastAsia="Times New Roman" w:hAnsi="Times New Roman" w:cs="Times New Roman"/>
                <w:noProof/>
                <w:color w:val="000000"/>
                <w:lang w:val="en-CA" w:eastAsia="en-CA"/>
              </w:rPr>
              <w:t>]</w:t>
            </w:r>
            <w:r w:rsidR="006E05E2">
              <w:rPr>
                <w:rFonts w:ascii="Times New Roman" w:eastAsia="Times New Roman" w:hAnsi="Times New Roman" w:cs="Times New Roman"/>
                <w:color w:val="000000"/>
                <w:lang w:val="en-CA" w:eastAsia="en-CA"/>
              </w:rPr>
              <w:fldChar w:fldCharType="end"/>
            </w:r>
          </w:p>
        </w:tc>
        <w:tc>
          <w:tcPr>
            <w:tcW w:w="1597" w:type="pct"/>
            <w:tcBorders>
              <w:top w:val="single" w:sz="4" w:space="0" w:color="A6A6A6" w:themeColor="background1" w:themeShade="A6"/>
              <w:left w:val="nil"/>
              <w:bottom w:val="single" w:sz="4" w:space="0" w:color="A6A6A6" w:themeColor="background1" w:themeShade="A6"/>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10 (2.2%)</w:t>
            </w:r>
          </w:p>
        </w:tc>
      </w:tr>
      <w:tr w:rsidR="00F45EA8" w:rsidRPr="00C1780A" w:rsidTr="00F1330D">
        <w:trPr>
          <w:trHeight w:val="300"/>
        </w:trPr>
        <w:tc>
          <w:tcPr>
            <w:tcW w:w="3403" w:type="pct"/>
            <w:tcBorders>
              <w:top w:val="single" w:sz="4" w:space="0" w:color="A6A6A6" w:themeColor="background1" w:themeShade="A6"/>
              <w:left w:val="single" w:sz="2" w:space="0" w:color="auto"/>
              <w:bottom w:val="single" w:sz="2" w:space="0" w:color="auto"/>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Not reported</w:t>
            </w:r>
          </w:p>
        </w:tc>
        <w:tc>
          <w:tcPr>
            <w:tcW w:w="1597" w:type="pct"/>
            <w:tcBorders>
              <w:top w:val="single" w:sz="4" w:space="0" w:color="A6A6A6" w:themeColor="background1" w:themeShade="A6"/>
              <w:left w:val="nil"/>
              <w:bottom w:val="single" w:sz="2" w:space="0" w:color="auto"/>
              <w:right w:val="single" w:sz="2" w:space="0" w:color="auto"/>
            </w:tcBorders>
            <w:shd w:val="clear" w:color="auto" w:fill="auto"/>
            <w:noWrap/>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76 (16.7%)</w:t>
            </w:r>
          </w:p>
        </w:tc>
      </w:tr>
    </w:tbl>
    <w:p w:rsidR="00EA43FF" w:rsidRDefault="00EA43FF" w:rsidP="00F45EA8">
      <w:pPr>
        <w:rPr>
          <w:rFonts w:ascii="Times New Roman" w:hAnsi="Times New Roman" w:cs="Times New Roman"/>
        </w:rPr>
      </w:pPr>
    </w:p>
    <w:p w:rsidR="00EA43FF" w:rsidRPr="008A5928" w:rsidRDefault="00FC7DFD" w:rsidP="00F45EA8">
      <w:pPr>
        <w:rPr>
          <w:rFonts w:ascii="Times New Roman" w:hAnsi="Times New Roman" w:cs="Times New Roman"/>
          <w:b/>
        </w:rPr>
      </w:pPr>
      <w:r w:rsidRPr="0009083E">
        <w:rPr>
          <w:rFonts w:ascii="Times New Roman" w:hAnsi="Times New Roman" w:cs="Times New Roman"/>
          <w:b/>
        </w:rPr>
        <w:t>References:</w:t>
      </w:r>
    </w:p>
    <w:p w:rsidR="008B45B5" w:rsidRPr="0009083E" w:rsidRDefault="00EA43FF" w:rsidP="008B45B5">
      <w:pPr>
        <w:pStyle w:val="EndNoteBibliography"/>
        <w:spacing w:after="0"/>
        <w:rPr>
          <w:rFonts w:ascii="Times New Roman" w:hAnsi="Times New Roman"/>
        </w:rPr>
      </w:pPr>
      <w:r w:rsidRPr="0009083E">
        <w:rPr>
          <w:rFonts w:ascii="Times New Roman" w:hAnsi="Times New Roman"/>
        </w:rPr>
        <w:fldChar w:fldCharType="begin"/>
      </w:r>
      <w:r w:rsidRPr="0009083E">
        <w:rPr>
          <w:rFonts w:ascii="Times New Roman" w:hAnsi="Times New Roman"/>
        </w:rPr>
        <w:instrText xml:space="preserve"> ADDIN EN.SECTION.REFLIST </w:instrText>
      </w:r>
      <w:r w:rsidRPr="0009083E">
        <w:rPr>
          <w:rFonts w:ascii="Times New Roman" w:hAnsi="Times New Roman"/>
        </w:rPr>
        <w:fldChar w:fldCharType="separate"/>
      </w:r>
      <w:bookmarkStart w:id="0" w:name="_ENREF_5_1"/>
      <w:r w:rsidR="008B45B5" w:rsidRPr="0009083E">
        <w:rPr>
          <w:rFonts w:ascii="Times New Roman" w:hAnsi="Times New Roman"/>
        </w:rPr>
        <w:t>1.</w:t>
      </w:r>
      <w:r w:rsidR="008B45B5" w:rsidRPr="0009083E">
        <w:rPr>
          <w:rFonts w:ascii="Times New Roman" w:hAnsi="Times New Roman"/>
        </w:rPr>
        <w:tab/>
        <w:t>Lu G, Ades AE. Combination of direct and indirect evidence in mixed treatment comparisons. Stat Med. 2004;23(20):3105-24.</w:t>
      </w:r>
      <w:bookmarkEnd w:id="0"/>
    </w:p>
    <w:p w:rsidR="008B45B5" w:rsidRPr="0009083E" w:rsidRDefault="008B45B5" w:rsidP="008B45B5">
      <w:pPr>
        <w:pStyle w:val="EndNoteBibliography"/>
        <w:spacing w:after="0"/>
        <w:rPr>
          <w:rFonts w:ascii="Times New Roman" w:hAnsi="Times New Roman"/>
        </w:rPr>
      </w:pPr>
      <w:bookmarkStart w:id="1" w:name="_ENREF_5_2"/>
      <w:r w:rsidRPr="0009083E">
        <w:rPr>
          <w:rFonts w:ascii="Times New Roman" w:hAnsi="Times New Roman"/>
        </w:rPr>
        <w:t>2.</w:t>
      </w:r>
      <w:r w:rsidRPr="0009083E">
        <w:rPr>
          <w:rFonts w:ascii="Times New Roman" w:hAnsi="Times New Roman"/>
        </w:rPr>
        <w:tab/>
        <w:t>Caldwell DM, Ades AE, Higgins JP. Simultaneous comparison of multiple treatments: combining direct and indirect evidence. BMJ. 2005;331(7521):897-900.</w:t>
      </w:r>
      <w:bookmarkEnd w:id="1"/>
    </w:p>
    <w:p w:rsidR="008B45B5" w:rsidRPr="0009083E" w:rsidRDefault="008B45B5" w:rsidP="008B45B5">
      <w:pPr>
        <w:pStyle w:val="EndNoteBibliography"/>
        <w:spacing w:after="0"/>
        <w:rPr>
          <w:rFonts w:ascii="Times New Roman" w:hAnsi="Times New Roman"/>
        </w:rPr>
      </w:pPr>
      <w:bookmarkStart w:id="2" w:name="_ENREF_5_3"/>
      <w:r w:rsidRPr="0009083E">
        <w:rPr>
          <w:rFonts w:ascii="Times New Roman" w:hAnsi="Times New Roman"/>
        </w:rPr>
        <w:t>3.</w:t>
      </w:r>
      <w:r w:rsidRPr="0009083E">
        <w:rPr>
          <w:rFonts w:ascii="Times New Roman" w:hAnsi="Times New Roman"/>
        </w:rPr>
        <w:tab/>
        <w:t>Bucher HC, Guyatt GH, Griffith LE, Walter SD. The results of direct and indirect treatment comparisons in meta-analysis of randomized controlled trials. J Clin Epidemiol. 1997;50(6):683-91.</w:t>
      </w:r>
      <w:bookmarkEnd w:id="2"/>
    </w:p>
    <w:p w:rsidR="008B45B5" w:rsidRPr="0009083E" w:rsidRDefault="008B45B5" w:rsidP="008B45B5">
      <w:pPr>
        <w:pStyle w:val="EndNoteBibliography"/>
        <w:spacing w:after="0"/>
        <w:rPr>
          <w:rFonts w:ascii="Times New Roman" w:hAnsi="Times New Roman"/>
        </w:rPr>
      </w:pPr>
      <w:bookmarkStart w:id="3" w:name="_ENREF_5_4"/>
      <w:r w:rsidRPr="0009083E">
        <w:rPr>
          <w:rFonts w:ascii="Times New Roman" w:hAnsi="Times New Roman"/>
        </w:rPr>
        <w:t>4.</w:t>
      </w:r>
      <w:r w:rsidRPr="0009083E">
        <w:rPr>
          <w:rFonts w:ascii="Times New Roman" w:hAnsi="Times New Roman"/>
        </w:rPr>
        <w:tab/>
        <w:t>Lumley T. Network meta-analysis for indirect treatment comparisons. Stat Med. 2002;21(16):2313-24.</w:t>
      </w:r>
      <w:bookmarkEnd w:id="3"/>
    </w:p>
    <w:p w:rsidR="008B45B5" w:rsidRPr="0009083E" w:rsidRDefault="008B45B5" w:rsidP="008B45B5">
      <w:pPr>
        <w:pStyle w:val="EndNoteBibliography"/>
        <w:spacing w:after="0"/>
        <w:rPr>
          <w:rFonts w:ascii="Times New Roman" w:hAnsi="Times New Roman"/>
        </w:rPr>
      </w:pPr>
      <w:bookmarkStart w:id="4" w:name="_ENREF_5_5"/>
      <w:r w:rsidRPr="0009083E">
        <w:rPr>
          <w:rFonts w:ascii="Times New Roman" w:hAnsi="Times New Roman"/>
        </w:rPr>
        <w:t>5.</w:t>
      </w:r>
      <w:r w:rsidRPr="0009083E">
        <w:rPr>
          <w:rFonts w:ascii="Times New Roman" w:hAnsi="Times New Roman"/>
        </w:rPr>
        <w:tab/>
        <w:t>Salanti G, Higgins JP, Ades AE, Ioannidis JP. Evaluation of networks of randomized trials. Stat Methods Med Res. 2008;17(3):279-301.</w:t>
      </w:r>
      <w:bookmarkEnd w:id="4"/>
    </w:p>
    <w:p w:rsidR="008B45B5" w:rsidRPr="0009083E" w:rsidRDefault="008B45B5" w:rsidP="008B45B5">
      <w:pPr>
        <w:pStyle w:val="EndNoteBibliography"/>
        <w:spacing w:after="0"/>
        <w:rPr>
          <w:rFonts w:ascii="Times New Roman" w:hAnsi="Times New Roman"/>
        </w:rPr>
      </w:pPr>
      <w:bookmarkStart w:id="5" w:name="_ENREF_5_6"/>
      <w:r w:rsidRPr="0009083E">
        <w:rPr>
          <w:rFonts w:ascii="Times New Roman" w:hAnsi="Times New Roman"/>
        </w:rPr>
        <w:t>6.</w:t>
      </w:r>
      <w:r w:rsidRPr="0009083E">
        <w:rPr>
          <w:rFonts w:ascii="Times New Roman" w:hAnsi="Times New Roman"/>
        </w:rPr>
        <w:tab/>
        <w:t>Glenny AM, Altman DG, Song F, Sakarovitch C, Deeks JJ, D'Amico R, et al. Indirect comparisons of competing interventions. Health Technol Assess. 2005;9(26):1-134, iii-iv.</w:t>
      </w:r>
      <w:bookmarkEnd w:id="5"/>
    </w:p>
    <w:p w:rsidR="008B45B5" w:rsidRPr="0009083E" w:rsidRDefault="008B45B5" w:rsidP="008B45B5">
      <w:pPr>
        <w:pStyle w:val="EndNoteBibliography"/>
        <w:spacing w:after="0"/>
        <w:rPr>
          <w:rFonts w:ascii="Times New Roman" w:hAnsi="Times New Roman"/>
        </w:rPr>
      </w:pPr>
      <w:bookmarkStart w:id="6" w:name="_ENREF_5_7"/>
      <w:r w:rsidRPr="0009083E">
        <w:rPr>
          <w:rFonts w:ascii="Times New Roman" w:hAnsi="Times New Roman"/>
        </w:rPr>
        <w:lastRenderedPageBreak/>
        <w:t>7.</w:t>
      </w:r>
      <w:r w:rsidRPr="0009083E">
        <w:rPr>
          <w:rFonts w:ascii="Times New Roman" w:hAnsi="Times New Roman"/>
        </w:rPr>
        <w:tab/>
        <w:t>Song F, Altman DG, Glenny AM, Deeks JJ. Validity of indirect comparison for estimating efficacy of competing interventions: empirical evidence from published meta-analyses. BMJ. 2003;326(7387):472.</w:t>
      </w:r>
      <w:bookmarkEnd w:id="6"/>
    </w:p>
    <w:p w:rsidR="008B45B5" w:rsidRPr="0009083E" w:rsidRDefault="008B45B5" w:rsidP="008B45B5">
      <w:pPr>
        <w:pStyle w:val="EndNoteBibliography"/>
        <w:spacing w:after="0"/>
        <w:rPr>
          <w:rFonts w:ascii="Times New Roman" w:hAnsi="Times New Roman"/>
        </w:rPr>
      </w:pPr>
      <w:bookmarkStart w:id="7" w:name="_ENREF_5_8"/>
      <w:r w:rsidRPr="0009083E">
        <w:rPr>
          <w:rFonts w:ascii="Times New Roman" w:hAnsi="Times New Roman"/>
        </w:rPr>
        <w:t>8.</w:t>
      </w:r>
      <w:r w:rsidRPr="0009083E">
        <w:rPr>
          <w:rFonts w:ascii="Times New Roman" w:hAnsi="Times New Roman"/>
        </w:rPr>
        <w:tab/>
        <w:t>Jansen JP. Network meta-analysis of survival data with fractional polynomials. BMC Med Res Methodol. 2011;11:61.</w:t>
      </w:r>
      <w:bookmarkEnd w:id="7"/>
    </w:p>
    <w:p w:rsidR="008B45B5" w:rsidRPr="0009083E" w:rsidRDefault="008B45B5" w:rsidP="008B45B5">
      <w:pPr>
        <w:pStyle w:val="EndNoteBibliography"/>
        <w:spacing w:after="0"/>
        <w:rPr>
          <w:rFonts w:ascii="Times New Roman" w:hAnsi="Times New Roman"/>
        </w:rPr>
      </w:pPr>
      <w:bookmarkStart w:id="8" w:name="_ENREF_5_9"/>
      <w:r w:rsidRPr="0009083E">
        <w:rPr>
          <w:rFonts w:ascii="Times New Roman" w:hAnsi="Times New Roman"/>
        </w:rPr>
        <w:t>9.</w:t>
      </w:r>
      <w:r w:rsidRPr="0009083E">
        <w:rPr>
          <w:rFonts w:ascii="Times New Roman" w:hAnsi="Times New Roman"/>
        </w:rPr>
        <w:tab/>
        <w:t>Ades AE, Sculpher M, Sutton A, Abrams K, Cooper N, Welton N, et al. Bayesian methods for evidence synthesis in cost-effectiveness analysis. Pharmacoeconomics. 2006;24(1):1-19.</w:t>
      </w:r>
      <w:bookmarkEnd w:id="8"/>
    </w:p>
    <w:p w:rsidR="008B45B5" w:rsidRPr="0009083E" w:rsidRDefault="008B45B5" w:rsidP="008B45B5">
      <w:pPr>
        <w:pStyle w:val="EndNoteBibliography"/>
        <w:spacing w:after="0"/>
        <w:rPr>
          <w:rFonts w:ascii="Times New Roman" w:hAnsi="Times New Roman"/>
        </w:rPr>
      </w:pPr>
      <w:bookmarkStart w:id="9" w:name="_ENREF_5_10"/>
      <w:r w:rsidRPr="0009083E">
        <w:rPr>
          <w:rFonts w:ascii="Times New Roman" w:hAnsi="Times New Roman"/>
        </w:rPr>
        <w:t>10.</w:t>
      </w:r>
      <w:r w:rsidRPr="0009083E">
        <w:rPr>
          <w:rFonts w:ascii="Times New Roman" w:hAnsi="Times New Roman"/>
        </w:rPr>
        <w:tab/>
        <w:t xml:space="preserve">Dias S, Welton N, Sutton A, Ades A. NICE DSU Technical Support Document 2: A generalised linear modelling framework for pairwise and network meta-analysis of randomised controlled trials: National Institute for Health and Clinical Excellence (NICE); 2011 [Available from: </w:t>
      </w:r>
      <w:hyperlink r:id="rId12" w:history="1">
        <w:r w:rsidRPr="0009083E">
          <w:rPr>
            <w:rStyle w:val="Hyperlink"/>
            <w:rFonts w:ascii="Times New Roman" w:hAnsi="Times New Roman"/>
          </w:rPr>
          <w:t>www.nicedsu.org.uk</w:t>
        </w:r>
      </w:hyperlink>
      <w:r w:rsidRPr="0009083E">
        <w:rPr>
          <w:rFonts w:ascii="Times New Roman" w:hAnsi="Times New Roman"/>
        </w:rPr>
        <w:t>.</w:t>
      </w:r>
      <w:bookmarkEnd w:id="9"/>
    </w:p>
    <w:p w:rsidR="008B45B5" w:rsidRPr="0009083E" w:rsidRDefault="008B45B5" w:rsidP="008B45B5">
      <w:pPr>
        <w:pStyle w:val="EndNoteBibliography"/>
        <w:spacing w:after="0"/>
        <w:rPr>
          <w:rFonts w:ascii="Times New Roman" w:hAnsi="Times New Roman"/>
        </w:rPr>
      </w:pPr>
      <w:bookmarkStart w:id="10" w:name="_ENREF_5_11"/>
      <w:r w:rsidRPr="0009083E">
        <w:rPr>
          <w:rFonts w:ascii="Times New Roman" w:hAnsi="Times New Roman"/>
        </w:rPr>
        <w:t>11.</w:t>
      </w:r>
      <w:r w:rsidRPr="0009083E">
        <w:rPr>
          <w:rFonts w:ascii="Times New Roman" w:hAnsi="Times New Roman"/>
        </w:rPr>
        <w:tab/>
        <w:t>Dias S, Welton NJ, Caldwell DM, Ades AE. Checking consistency in mixed treatment comparison meta-analysis. Stat Med. 2010;29(7-8):932-44.</w:t>
      </w:r>
      <w:bookmarkEnd w:id="10"/>
    </w:p>
    <w:p w:rsidR="008B45B5" w:rsidRPr="0009083E" w:rsidRDefault="008B45B5" w:rsidP="008B45B5">
      <w:pPr>
        <w:pStyle w:val="EndNoteBibliography"/>
        <w:spacing w:after="0"/>
        <w:rPr>
          <w:rFonts w:ascii="Times New Roman" w:hAnsi="Times New Roman"/>
        </w:rPr>
      </w:pPr>
      <w:bookmarkStart w:id="11" w:name="_ENREF_5_12"/>
      <w:r w:rsidRPr="0009083E">
        <w:rPr>
          <w:rFonts w:ascii="Times New Roman" w:hAnsi="Times New Roman"/>
        </w:rPr>
        <w:t>12.</w:t>
      </w:r>
      <w:r w:rsidRPr="0009083E">
        <w:rPr>
          <w:rFonts w:ascii="Times New Roman" w:hAnsi="Times New Roman"/>
        </w:rPr>
        <w:tab/>
        <w:t>Jansen JP, Crawford B, Bergman G, Stam W. Bayesian meta-analysis of multiple treatment comparisons: an introduction to mixed treatment comparisons. Value Health. 2008;11(5):956-64.</w:t>
      </w:r>
      <w:bookmarkEnd w:id="11"/>
    </w:p>
    <w:p w:rsidR="008B45B5" w:rsidRPr="0009083E" w:rsidRDefault="008B45B5" w:rsidP="008B45B5">
      <w:pPr>
        <w:pStyle w:val="EndNoteBibliography"/>
        <w:spacing w:after="0"/>
        <w:rPr>
          <w:rFonts w:ascii="Times New Roman" w:hAnsi="Times New Roman"/>
        </w:rPr>
      </w:pPr>
      <w:bookmarkStart w:id="12" w:name="_ENREF_5_13"/>
      <w:r w:rsidRPr="0009083E">
        <w:rPr>
          <w:rFonts w:ascii="Times New Roman" w:hAnsi="Times New Roman"/>
        </w:rPr>
        <w:t>13.</w:t>
      </w:r>
      <w:r w:rsidRPr="0009083E">
        <w:rPr>
          <w:rFonts w:ascii="Times New Roman" w:hAnsi="Times New Roman"/>
        </w:rPr>
        <w:tab/>
        <w:t>Sutton A, Ades AE, Cooper N, Abrams K. Use of indirect and mixed treatment comparisons for technology assessment. Pharmacoeconomics. 2008;26(9):753-67.</w:t>
      </w:r>
      <w:bookmarkEnd w:id="12"/>
    </w:p>
    <w:p w:rsidR="008B45B5" w:rsidRPr="0009083E" w:rsidRDefault="008B45B5" w:rsidP="008B45B5">
      <w:pPr>
        <w:pStyle w:val="EndNoteBibliography"/>
        <w:spacing w:after="0"/>
        <w:rPr>
          <w:rFonts w:ascii="Times New Roman" w:hAnsi="Times New Roman"/>
        </w:rPr>
      </w:pPr>
      <w:bookmarkStart w:id="13" w:name="_ENREF_5_14"/>
      <w:r w:rsidRPr="0009083E">
        <w:rPr>
          <w:rFonts w:ascii="Times New Roman" w:hAnsi="Times New Roman"/>
        </w:rPr>
        <w:t>14.</w:t>
      </w:r>
      <w:r w:rsidRPr="0009083E">
        <w:rPr>
          <w:rFonts w:ascii="Times New Roman" w:hAnsi="Times New Roman"/>
        </w:rPr>
        <w:tab/>
        <w:t>Hoaglin DC, Hawkins N, Jansen JP, Scott DA, Itzler R, Cappelleri JC, et al. Conducting indirect-treatment-comparison and network-meta-analysis studies: report of the ISPOR Task Force on Indirect Treatment Comparisons Good Research Practices: part 2. Value Health. 2011;14(4):429-37.</w:t>
      </w:r>
      <w:bookmarkEnd w:id="13"/>
    </w:p>
    <w:p w:rsidR="008B45B5" w:rsidRPr="0009083E" w:rsidRDefault="008B45B5" w:rsidP="008B45B5">
      <w:pPr>
        <w:pStyle w:val="EndNoteBibliography"/>
        <w:spacing w:after="0"/>
        <w:rPr>
          <w:rFonts w:ascii="Times New Roman" w:hAnsi="Times New Roman"/>
        </w:rPr>
      </w:pPr>
      <w:bookmarkStart w:id="14" w:name="_ENREF_5_15"/>
      <w:r w:rsidRPr="0009083E">
        <w:rPr>
          <w:rFonts w:ascii="Times New Roman" w:hAnsi="Times New Roman"/>
        </w:rPr>
        <w:t>15.</w:t>
      </w:r>
      <w:r w:rsidRPr="0009083E">
        <w:rPr>
          <w:rFonts w:ascii="Times New Roman" w:hAnsi="Times New Roman"/>
        </w:rPr>
        <w:tab/>
        <w:t>Lu G, Ades AE. Assessing Evidence Inconsistency in Mixed Treatment Comparisons. Journal of the American Statistical Association. 2006;101(474):447-59.</w:t>
      </w:r>
      <w:bookmarkEnd w:id="14"/>
    </w:p>
    <w:p w:rsidR="008B45B5" w:rsidRPr="0009083E" w:rsidRDefault="008B45B5" w:rsidP="008B45B5">
      <w:pPr>
        <w:pStyle w:val="EndNoteBibliography"/>
        <w:spacing w:after="0"/>
        <w:rPr>
          <w:rFonts w:ascii="Times New Roman" w:hAnsi="Times New Roman"/>
        </w:rPr>
      </w:pPr>
      <w:bookmarkStart w:id="15" w:name="_ENREF_5_16"/>
      <w:r w:rsidRPr="0009083E">
        <w:rPr>
          <w:rFonts w:ascii="Times New Roman" w:hAnsi="Times New Roman"/>
        </w:rPr>
        <w:t>16.</w:t>
      </w:r>
      <w:r w:rsidRPr="0009083E">
        <w:rPr>
          <w:rFonts w:ascii="Times New Roman" w:hAnsi="Times New Roman"/>
        </w:rPr>
        <w:tab/>
        <w:t>Song F, Loke YK, Walsh T, Glenny AM, Eastwood AJ, Altman DG. Methodological problems in the use of indirect comparisons for evaluating healthcare interventions: survey of published systematic reviews. BMJ. 2009;338:b1147.</w:t>
      </w:r>
      <w:bookmarkEnd w:id="15"/>
    </w:p>
    <w:p w:rsidR="008B45B5" w:rsidRPr="0009083E" w:rsidRDefault="008B45B5" w:rsidP="008B45B5">
      <w:pPr>
        <w:pStyle w:val="EndNoteBibliography"/>
        <w:spacing w:after="0"/>
        <w:rPr>
          <w:rFonts w:ascii="Times New Roman" w:hAnsi="Times New Roman"/>
        </w:rPr>
      </w:pPr>
      <w:bookmarkStart w:id="16" w:name="_ENREF_5_17"/>
      <w:r w:rsidRPr="0009083E">
        <w:rPr>
          <w:rFonts w:ascii="Times New Roman" w:hAnsi="Times New Roman"/>
        </w:rPr>
        <w:t>17.</w:t>
      </w:r>
      <w:r w:rsidRPr="0009083E">
        <w:rPr>
          <w:rFonts w:ascii="Times New Roman" w:hAnsi="Times New Roman"/>
        </w:rPr>
        <w:tab/>
        <w:t>Lunn DJ, Thomas A, Best N, Spiegelhalter D. WinBUGS - A Bayesian modelling framework: Concepts, structure, and extensibility. Statistics and Computing. 2000;10(4):325-37.</w:t>
      </w:r>
      <w:bookmarkEnd w:id="16"/>
    </w:p>
    <w:p w:rsidR="008B45B5" w:rsidRPr="0009083E" w:rsidRDefault="008B45B5" w:rsidP="008B45B5">
      <w:pPr>
        <w:pStyle w:val="EndNoteBibliography"/>
        <w:spacing w:after="0"/>
        <w:rPr>
          <w:rFonts w:ascii="Times New Roman" w:hAnsi="Times New Roman"/>
        </w:rPr>
      </w:pPr>
      <w:bookmarkStart w:id="17" w:name="_ENREF_5_18"/>
      <w:r w:rsidRPr="0009083E">
        <w:rPr>
          <w:rFonts w:ascii="Times New Roman" w:hAnsi="Times New Roman"/>
        </w:rPr>
        <w:t>18.</w:t>
      </w:r>
      <w:r w:rsidRPr="0009083E">
        <w:rPr>
          <w:rFonts w:ascii="Times New Roman" w:hAnsi="Times New Roman"/>
        </w:rPr>
        <w:tab/>
        <w:t>Wells G, Sultan S, Chen L, Khan M, Coyle D. Indirect Evidence: Indirect Treatment Comparisons in Meta-Analysis. Ottawa: Canadian Agency for Drugs and Technologies in Health; 2009.</w:t>
      </w:r>
      <w:bookmarkEnd w:id="17"/>
    </w:p>
    <w:p w:rsidR="008B45B5" w:rsidRPr="0009083E" w:rsidRDefault="008B45B5" w:rsidP="008B45B5">
      <w:pPr>
        <w:pStyle w:val="EndNoteBibliography"/>
        <w:spacing w:after="0"/>
        <w:rPr>
          <w:rFonts w:ascii="Times New Roman" w:hAnsi="Times New Roman"/>
        </w:rPr>
      </w:pPr>
      <w:bookmarkStart w:id="18" w:name="_ENREF_5_19"/>
      <w:r w:rsidRPr="0009083E">
        <w:rPr>
          <w:rFonts w:ascii="Times New Roman" w:hAnsi="Times New Roman"/>
        </w:rPr>
        <w:t>19.</w:t>
      </w:r>
      <w:r w:rsidRPr="0009083E">
        <w:rPr>
          <w:rFonts w:ascii="Times New Roman" w:hAnsi="Times New Roman"/>
        </w:rPr>
        <w:tab/>
        <w:t>Higgins JP, Whitehead A. Borrowing strength from external trials in a meta-analysis. Stat Med. 1996;15(24):2733-49.</w:t>
      </w:r>
      <w:bookmarkEnd w:id="18"/>
    </w:p>
    <w:p w:rsidR="008B45B5" w:rsidRPr="0009083E" w:rsidRDefault="008B45B5" w:rsidP="008B45B5">
      <w:pPr>
        <w:pStyle w:val="EndNoteBibliography"/>
        <w:spacing w:after="0"/>
        <w:rPr>
          <w:rFonts w:ascii="Times New Roman" w:hAnsi="Times New Roman"/>
        </w:rPr>
      </w:pPr>
      <w:bookmarkStart w:id="19" w:name="_ENREF_5_20"/>
      <w:r w:rsidRPr="0009083E">
        <w:rPr>
          <w:rFonts w:ascii="Times New Roman" w:hAnsi="Times New Roman"/>
        </w:rPr>
        <w:t>20.</w:t>
      </w:r>
      <w:r w:rsidRPr="0009083E">
        <w:rPr>
          <w:rFonts w:ascii="Times New Roman" w:hAnsi="Times New Roman"/>
        </w:rPr>
        <w:tab/>
        <w:t>Salanti G, Marinho V, Higgins JP. A case study of multiple-treatments meta-analysis demonstrates that covariates should be considered. J Clin Epidemiol. 2009;62(8):857-64.</w:t>
      </w:r>
      <w:bookmarkEnd w:id="19"/>
    </w:p>
    <w:p w:rsidR="008B45B5" w:rsidRPr="0009083E" w:rsidRDefault="008B45B5" w:rsidP="008B45B5">
      <w:pPr>
        <w:pStyle w:val="EndNoteBibliography"/>
        <w:spacing w:after="0"/>
        <w:rPr>
          <w:rFonts w:ascii="Times New Roman" w:hAnsi="Times New Roman"/>
        </w:rPr>
      </w:pPr>
      <w:bookmarkStart w:id="20" w:name="_ENREF_5_21"/>
      <w:r w:rsidRPr="0009083E">
        <w:rPr>
          <w:rFonts w:ascii="Times New Roman" w:hAnsi="Times New Roman"/>
        </w:rPr>
        <w:t>21.</w:t>
      </w:r>
      <w:r w:rsidRPr="0009083E">
        <w:rPr>
          <w:rFonts w:ascii="Times New Roman" w:hAnsi="Times New Roman"/>
        </w:rPr>
        <w:tab/>
        <w:t>Dias S, Sutton AJ, Ades AE, Welton NJ. Evidence synthesis for decision making 2: a generalized linear modeling framework for pairwise and network meta-analysis of randomized controlled trials. Med Decis Making. 2013;33(5):607-17.</w:t>
      </w:r>
      <w:bookmarkEnd w:id="20"/>
    </w:p>
    <w:p w:rsidR="008B45B5" w:rsidRPr="0009083E" w:rsidRDefault="008B45B5" w:rsidP="008B45B5">
      <w:pPr>
        <w:pStyle w:val="EndNoteBibliography"/>
        <w:rPr>
          <w:rFonts w:ascii="Times New Roman" w:hAnsi="Times New Roman"/>
        </w:rPr>
      </w:pPr>
      <w:bookmarkStart w:id="21" w:name="_ENREF_5_22"/>
      <w:r w:rsidRPr="0009083E">
        <w:rPr>
          <w:rFonts w:ascii="Times New Roman" w:hAnsi="Times New Roman"/>
        </w:rPr>
        <w:t>22.</w:t>
      </w:r>
      <w:r w:rsidRPr="0009083E">
        <w:rPr>
          <w:rFonts w:ascii="Times New Roman" w:hAnsi="Times New Roman"/>
        </w:rPr>
        <w:tab/>
        <w:t>Salanti G, Ades AE, Ioannidis JP. Graphical methods and numerical summaries for presenting results from multiple-treatment meta-analysis: an overview and tutorial. J Clin Epidemiol. 2011;64(2):163-71.</w:t>
      </w:r>
      <w:bookmarkEnd w:id="21"/>
    </w:p>
    <w:p w:rsidR="00F45EA8" w:rsidRPr="0009083E" w:rsidRDefault="00EA43FF" w:rsidP="00F45EA8">
      <w:pPr>
        <w:rPr>
          <w:rFonts w:ascii="Times New Roman" w:hAnsi="Times New Roman" w:cs="Times New Roman"/>
        </w:rPr>
      </w:pPr>
      <w:r w:rsidRPr="0009083E">
        <w:rPr>
          <w:rFonts w:ascii="Times New Roman" w:hAnsi="Times New Roman" w:cs="Times New Roman"/>
        </w:rPr>
        <w:fldChar w:fldCharType="end"/>
      </w:r>
    </w:p>
    <w:p w:rsidR="00F45EA8" w:rsidRPr="00C1780A" w:rsidRDefault="00F45EA8">
      <w:pPr>
        <w:rPr>
          <w:rFonts w:ascii="Times New Roman" w:hAnsi="Times New Roman" w:cs="Times New Roman"/>
        </w:rPr>
        <w:sectPr w:rsidR="00F45EA8" w:rsidRPr="00C1780A">
          <w:pgSz w:w="12240" w:h="15840"/>
          <w:pgMar w:top="1440" w:right="1440" w:bottom="1440" w:left="1440" w:header="720" w:footer="720" w:gutter="0"/>
          <w:cols w:space="720"/>
          <w:docGrid w:linePitch="360"/>
        </w:sectPr>
      </w:pPr>
    </w:p>
    <w:p w:rsidR="00F45EA8" w:rsidRPr="00C1780A" w:rsidRDefault="00C17EE5" w:rsidP="00F45EA8">
      <w:pPr>
        <w:spacing w:after="240" w:line="240" w:lineRule="auto"/>
        <w:jc w:val="both"/>
        <w:outlineLvl w:val="0"/>
        <w:rPr>
          <w:rFonts w:ascii="Times New Roman" w:eastAsia="MS PGothic" w:hAnsi="Times New Roman" w:cs="Times New Roman"/>
          <w:b/>
          <w:color w:val="000000"/>
          <w:sz w:val="28"/>
          <w:szCs w:val="28"/>
        </w:rPr>
      </w:pPr>
      <w:r>
        <w:rPr>
          <w:rFonts w:ascii="Times New Roman" w:eastAsia="MS PGothic" w:hAnsi="Times New Roman" w:cs="Times New Roman"/>
          <w:b/>
          <w:color w:val="000000"/>
          <w:sz w:val="28"/>
          <w:szCs w:val="28"/>
        </w:rPr>
        <w:lastRenderedPageBreak/>
        <w:t xml:space="preserve">Appendix </w:t>
      </w:r>
      <w:r w:rsidR="00214B4D">
        <w:rPr>
          <w:rFonts w:ascii="Times New Roman" w:eastAsia="MS PGothic" w:hAnsi="Times New Roman" w:cs="Times New Roman"/>
          <w:b/>
          <w:color w:val="000000"/>
          <w:sz w:val="28"/>
          <w:szCs w:val="28"/>
        </w:rPr>
        <w:t>6</w:t>
      </w:r>
      <w:r w:rsidR="00F45EA8" w:rsidRPr="00C1780A">
        <w:rPr>
          <w:rFonts w:ascii="Times New Roman" w:eastAsia="MS PGothic" w:hAnsi="Times New Roman" w:cs="Times New Roman"/>
          <w:b/>
          <w:color w:val="000000"/>
          <w:sz w:val="28"/>
          <w:szCs w:val="28"/>
        </w:rPr>
        <w:t>. Sources of grey literature searched</w:t>
      </w:r>
    </w:p>
    <w:tbl>
      <w:tblPr>
        <w:tblW w:w="5000" w:type="pct"/>
        <w:tblLook w:val="04A0" w:firstRow="1" w:lastRow="0" w:firstColumn="1" w:lastColumn="0" w:noHBand="0" w:noVBand="1"/>
      </w:tblPr>
      <w:tblGrid>
        <w:gridCol w:w="3513"/>
        <w:gridCol w:w="3884"/>
        <w:gridCol w:w="2179"/>
      </w:tblGrid>
      <w:tr w:rsidR="00F45EA8" w:rsidRPr="00F1330D" w:rsidTr="00F1330D">
        <w:trPr>
          <w:trHeight w:val="315"/>
        </w:trPr>
        <w:tc>
          <w:tcPr>
            <w:tcW w:w="3862" w:type="pct"/>
            <w:gridSpan w:val="2"/>
            <w:tcBorders>
              <w:top w:val="single" w:sz="2" w:space="0" w:color="auto"/>
              <w:left w:val="single" w:sz="2" w:space="0" w:color="auto"/>
              <w:bottom w:val="single" w:sz="12" w:space="0" w:color="auto"/>
            </w:tcBorders>
            <w:shd w:val="clear" w:color="auto" w:fill="auto"/>
            <w:noWrap/>
            <w:vAlign w:val="center"/>
            <w:hideMark/>
          </w:tcPr>
          <w:p w:rsidR="00F45EA8" w:rsidRPr="00F1330D" w:rsidRDefault="00F45EA8" w:rsidP="00F1330D">
            <w:pPr>
              <w:spacing w:before="120" w:after="120" w:line="240" w:lineRule="auto"/>
              <w:rPr>
                <w:rFonts w:ascii="Times New Roman" w:eastAsia="Times New Roman" w:hAnsi="Times New Roman" w:cs="Times New Roman"/>
                <w:b/>
                <w:bCs/>
                <w:color w:val="000000"/>
                <w:sz w:val="24"/>
                <w:szCs w:val="24"/>
                <w:lang w:val="en-CA" w:eastAsia="en-CA"/>
              </w:rPr>
            </w:pPr>
            <w:r w:rsidRPr="00F1330D">
              <w:rPr>
                <w:rFonts w:ascii="Times New Roman" w:eastAsia="Times New Roman" w:hAnsi="Times New Roman" w:cs="Times New Roman"/>
                <w:b/>
                <w:bCs/>
                <w:color w:val="000000"/>
                <w:sz w:val="24"/>
                <w:szCs w:val="24"/>
                <w:lang w:val="en-CA" w:eastAsia="en-CA"/>
              </w:rPr>
              <w:t>Grey Literature Search Process</w:t>
            </w:r>
          </w:p>
        </w:tc>
        <w:tc>
          <w:tcPr>
            <w:tcW w:w="1138" w:type="pct"/>
            <w:tcBorders>
              <w:top w:val="single" w:sz="2" w:space="0" w:color="auto"/>
              <w:bottom w:val="single" w:sz="12" w:space="0" w:color="auto"/>
              <w:right w:val="single" w:sz="2" w:space="0" w:color="auto"/>
            </w:tcBorders>
            <w:shd w:val="clear" w:color="auto" w:fill="auto"/>
            <w:noWrap/>
            <w:vAlign w:val="center"/>
            <w:hideMark/>
          </w:tcPr>
          <w:p w:rsidR="00F45EA8" w:rsidRPr="00F1330D" w:rsidRDefault="00F45EA8" w:rsidP="00F1330D">
            <w:pPr>
              <w:spacing w:before="120" w:after="120" w:line="240" w:lineRule="auto"/>
              <w:jc w:val="center"/>
              <w:rPr>
                <w:rFonts w:ascii="Times New Roman" w:eastAsia="Times New Roman" w:hAnsi="Times New Roman" w:cs="Times New Roman"/>
                <w:bCs/>
                <w:i/>
                <w:color w:val="000000"/>
                <w:sz w:val="24"/>
                <w:szCs w:val="24"/>
                <w:lang w:val="en-CA" w:eastAsia="en-CA"/>
              </w:rPr>
            </w:pPr>
            <w:r w:rsidRPr="00F1330D">
              <w:rPr>
                <w:rFonts w:ascii="Times New Roman" w:eastAsia="Times New Roman" w:hAnsi="Times New Roman" w:cs="Times New Roman"/>
                <w:bCs/>
                <w:i/>
                <w:color w:val="000000"/>
                <w:sz w:val="24"/>
                <w:szCs w:val="24"/>
                <w:lang w:val="en-CA" w:eastAsia="en-CA"/>
              </w:rPr>
              <w:t>Count (%)</w:t>
            </w:r>
          </w:p>
        </w:tc>
      </w:tr>
      <w:tr w:rsidR="00F45EA8" w:rsidRPr="00C1780A" w:rsidTr="00F1330D">
        <w:trPr>
          <w:trHeight w:val="300"/>
        </w:trPr>
        <w:tc>
          <w:tcPr>
            <w:tcW w:w="1834" w:type="pct"/>
            <w:tcBorders>
              <w:top w:val="single" w:sz="12" w:space="0" w:color="auto"/>
              <w:left w:val="single" w:sz="2" w:space="0" w:color="auto"/>
              <w:bottom w:val="nil"/>
              <w:right w:val="nil"/>
            </w:tcBorders>
            <w:shd w:val="clear" w:color="auto" w:fill="auto"/>
            <w:noWrap/>
            <w:vAlign w:val="center"/>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Grey literature searched (n=438)</w:t>
            </w:r>
            <w:r w:rsidR="00F1330D">
              <w:rPr>
                <w:rFonts w:ascii="Times New Roman" w:eastAsia="Times New Roman" w:hAnsi="Times New Roman" w:cs="Times New Roman"/>
                <w:b/>
                <w:bCs/>
                <w:color w:val="000000"/>
                <w:lang w:val="en-CA" w:eastAsia="en-CA"/>
              </w:rPr>
              <w:t>*</w:t>
            </w:r>
          </w:p>
        </w:tc>
        <w:tc>
          <w:tcPr>
            <w:tcW w:w="2028" w:type="pct"/>
            <w:tcBorders>
              <w:top w:val="single" w:sz="12" w:space="0" w:color="auto"/>
              <w:left w:val="nil"/>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p>
        </w:tc>
        <w:tc>
          <w:tcPr>
            <w:tcW w:w="1138" w:type="pct"/>
            <w:tcBorders>
              <w:top w:val="single" w:sz="12" w:space="0" w:color="auto"/>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p>
        </w:tc>
      </w:tr>
      <w:tr w:rsidR="00F45EA8" w:rsidRPr="00C1780A" w:rsidTr="00F1330D">
        <w:trPr>
          <w:trHeight w:val="300"/>
        </w:trPr>
        <w:tc>
          <w:tcPr>
            <w:tcW w:w="1834" w:type="pct"/>
            <w:tcBorders>
              <w:top w:val="nil"/>
              <w:left w:val="single" w:sz="2" w:space="0" w:color="auto"/>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 </w:t>
            </w:r>
          </w:p>
        </w:tc>
        <w:tc>
          <w:tcPr>
            <w:tcW w:w="2028" w:type="pct"/>
            <w:tcBorders>
              <w:top w:val="nil"/>
              <w:left w:val="nil"/>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Yes</w:t>
            </w:r>
          </w:p>
        </w:tc>
        <w:tc>
          <w:tcPr>
            <w:tcW w:w="1138" w:type="pct"/>
            <w:tcBorders>
              <w:top w:val="nil"/>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270 (61.6%)</w:t>
            </w:r>
          </w:p>
        </w:tc>
      </w:tr>
      <w:tr w:rsidR="00F45EA8" w:rsidRPr="00C1780A" w:rsidTr="00F1330D">
        <w:trPr>
          <w:trHeight w:val="300"/>
        </w:trPr>
        <w:tc>
          <w:tcPr>
            <w:tcW w:w="1834" w:type="pct"/>
            <w:tcBorders>
              <w:top w:val="nil"/>
              <w:left w:val="single" w:sz="2" w:space="0" w:color="auto"/>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 </w:t>
            </w:r>
          </w:p>
        </w:tc>
        <w:tc>
          <w:tcPr>
            <w:tcW w:w="2028" w:type="pct"/>
            <w:tcBorders>
              <w:top w:val="nil"/>
              <w:left w:val="nil"/>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No</w:t>
            </w:r>
          </w:p>
        </w:tc>
        <w:tc>
          <w:tcPr>
            <w:tcW w:w="1138" w:type="pct"/>
            <w:tcBorders>
              <w:top w:val="nil"/>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22 (5.0%)</w:t>
            </w:r>
          </w:p>
        </w:tc>
      </w:tr>
      <w:tr w:rsidR="00F45EA8" w:rsidRPr="00C1780A" w:rsidTr="00F1330D">
        <w:trPr>
          <w:trHeight w:val="315"/>
        </w:trPr>
        <w:tc>
          <w:tcPr>
            <w:tcW w:w="1834" w:type="pct"/>
            <w:tcBorders>
              <w:top w:val="nil"/>
              <w:left w:val="single" w:sz="2" w:space="0" w:color="auto"/>
              <w:bottom w:val="single" w:sz="8" w:space="0" w:color="auto"/>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 </w:t>
            </w:r>
          </w:p>
        </w:tc>
        <w:tc>
          <w:tcPr>
            <w:tcW w:w="2028" w:type="pct"/>
            <w:tcBorders>
              <w:top w:val="nil"/>
              <w:left w:val="nil"/>
              <w:bottom w:val="single" w:sz="8" w:space="0" w:color="auto"/>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Not reported</w:t>
            </w:r>
          </w:p>
        </w:tc>
        <w:tc>
          <w:tcPr>
            <w:tcW w:w="1138" w:type="pct"/>
            <w:tcBorders>
              <w:top w:val="nil"/>
              <w:left w:val="nil"/>
              <w:bottom w:val="single" w:sz="8" w:space="0" w:color="auto"/>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146 (33.3%)</w:t>
            </w:r>
          </w:p>
        </w:tc>
      </w:tr>
      <w:tr w:rsidR="00F45EA8" w:rsidRPr="00C1780A" w:rsidTr="00F1330D">
        <w:trPr>
          <w:trHeight w:val="300"/>
        </w:trPr>
        <w:tc>
          <w:tcPr>
            <w:tcW w:w="1834" w:type="pct"/>
            <w:tcBorders>
              <w:top w:val="nil"/>
              <w:left w:val="single" w:sz="2" w:space="0" w:color="auto"/>
              <w:bottom w:val="nil"/>
              <w:right w:val="nil"/>
            </w:tcBorders>
            <w:shd w:val="clear" w:color="auto" w:fill="auto"/>
            <w:noWrap/>
            <w:vAlign w:val="center"/>
            <w:hideMark/>
          </w:tcPr>
          <w:p w:rsidR="00F45EA8" w:rsidRPr="00C1780A" w:rsidRDefault="00F1330D" w:rsidP="002D6C43">
            <w:pPr>
              <w:spacing w:after="0" w:line="240" w:lineRule="auto"/>
              <w:rPr>
                <w:rFonts w:ascii="Times New Roman" w:eastAsia="Times New Roman" w:hAnsi="Times New Roman" w:cs="Times New Roman"/>
                <w:b/>
                <w:bCs/>
                <w:color w:val="000000"/>
                <w:lang w:val="en-CA" w:eastAsia="en-CA"/>
              </w:rPr>
            </w:pPr>
            <w:r>
              <w:rPr>
                <w:rFonts w:ascii="Times New Roman" w:eastAsia="Times New Roman" w:hAnsi="Times New Roman" w:cs="Times New Roman"/>
                <w:b/>
                <w:bCs/>
                <w:color w:val="000000"/>
                <w:lang w:val="en-CA" w:eastAsia="en-CA"/>
              </w:rPr>
              <w:t>Grey Literature Source (n=270)</w:t>
            </w:r>
          </w:p>
        </w:tc>
        <w:tc>
          <w:tcPr>
            <w:tcW w:w="2028" w:type="pct"/>
            <w:tcBorders>
              <w:top w:val="nil"/>
              <w:left w:val="nil"/>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lang w:val="en-CA" w:eastAsia="en-CA"/>
              </w:rPr>
            </w:pPr>
          </w:p>
        </w:tc>
        <w:tc>
          <w:tcPr>
            <w:tcW w:w="1138" w:type="pct"/>
            <w:tcBorders>
              <w:top w:val="nil"/>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p>
        </w:tc>
      </w:tr>
      <w:tr w:rsidR="00F45EA8" w:rsidRPr="00C1780A" w:rsidTr="00F1330D">
        <w:trPr>
          <w:trHeight w:val="600"/>
        </w:trPr>
        <w:tc>
          <w:tcPr>
            <w:tcW w:w="1834" w:type="pct"/>
            <w:tcBorders>
              <w:top w:val="nil"/>
              <w:left w:val="single" w:sz="2" w:space="0" w:color="auto"/>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 </w:t>
            </w:r>
          </w:p>
        </w:tc>
        <w:tc>
          <w:tcPr>
            <w:tcW w:w="2028" w:type="pct"/>
            <w:tcBorders>
              <w:top w:val="nil"/>
              <w:left w:val="nil"/>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lang w:val="en-CA" w:eastAsia="en-CA"/>
              </w:rPr>
            </w:pPr>
            <w:r w:rsidRPr="00C1780A">
              <w:rPr>
                <w:rFonts w:ascii="Times New Roman" w:eastAsia="Times New Roman" w:hAnsi="Times New Roman" w:cs="Times New Roman"/>
                <w:lang w:val="en-CA" w:eastAsia="en-CA"/>
              </w:rPr>
              <w:t>Conference/Dissertation Abstracts or Proceedings</w:t>
            </w:r>
          </w:p>
        </w:tc>
        <w:tc>
          <w:tcPr>
            <w:tcW w:w="1138" w:type="pct"/>
            <w:tcBorders>
              <w:top w:val="nil"/>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133 (49.3%)</w:t>
            </w:r>
          </w:p>
        </w:tc>
      </w:tr>
      <w:tr w:rsidR="00F45EA8" w:rsidRPr="00C1780A" w:rsidTr="00F1330D">
        <w:trPr>
          <w:trHeight w:val="300"/>
        </w:trPr>
        <w:tc>
          <w:tcPr>
            <w:tcW w:w="1834" w:type="pct"/>
            <w:tcBorders>
              <w:top w:val="nil"/>
              <w:left w:val="single" w:sz="2" w:space="0" w:color="auto"/>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 </w:t>
            </w:r>
          </w:p>
        </w:tc>
        <w:tc>
          <w:tcPr>
            <w:tcW w:w="2028" w:type="pct"/>
            <w:tcBorders>
              <w:top w:val="nil"/>
              <w:left w:val="nil"/>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lang w:val="en-CA" w:eastAsia="en-CA"/>
              </w:rPr>
            </w:pPr>
            <w:r w:rsidRPr="00C1780A">
              <w:rPr>
                <w:rFonts w:ascii="Times New Roman" w:eastAsia="Times New Roman" w:hAnsi="Times New Roman" w:cs="Times New Roman"/>
                <w:lang w:val="en-CA" w:eastAsia="en-CA"/>
              </w:rPr>
              <w:t>Trial Registers</w:t>
            </w:r>
          </w:p>
        </w:tc>
        <w:tc>
          <w:tcPr>
            <w:tcW w:w="1138" w:type="pct"/>
            <w:tcBorders>
              <w:top w:val="nil"/>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131 (48.5%)</w:t>
            </w:r>
          </w:p>
        </w:tc>
      </w:tr>
      <w:tr w:rsidR="00F45EA8" w:rsidRPr="00C1780A" w:rsidTr="00F1330D">
        <w:trPr>
          <w:trHeight w:val="600"/>
        </w:trPr>
        <w:tc>
          <w:tcPr>
            <w:tcW w:w="1834" w:type="pct"/>
            <w:tcBorders>
              <w:top w:val="nil"/>
              <w:left w:val="single" w:sz="2" w:space="0" w:color="auto"/>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 </w:t>
            </w:r>
          </w:p>
        </w:tc>
        <w:tc>
          <w:tcPr>
            <w:tcW w:w="2028" w:type="pct"/>
            <w:tcBorders>
              <w:top w:val="nil"/>
              <w:left w:val="nil"/>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lang w:val="en-CA" w:eastAsia="en-CA"/>
              </w:rPr>
            </w:pPr>
            <w:r w:rsidRPr="00C1780A">
              <w:rPr>
                <w:rFonts w:ascii="Times New Roman" w:eastAsia="Times New Roman" w:hAnsi="Times New Roman" w:cs="Times New Roman"/>
                <w:lang w:val="en-CA" w:eastAsia="en-CA"/>
              </w:rPr>
              <w:t>Relevant Organization and Agency Websites (</w:t>
            </w:r>
            <w:r w:rsidR="000720A2">
              <w:rPr>
                <w:rFonts w:ascii="Times New Roman" w:eastAsia="Times New Roman" w:hAnsi="Times New Roman" w:cs="Times New Roman"/>
                <w:lang w:val="en-CA" w:eastAsia="en-CA"/>
              </w:rPr>
              <w:t>e.g</w:t>
            </w:r>
            <w:r w:rsidRPr="00C1780A">
              <w:rPr>
                <w:rFonts w:ascii="Times New Roman" w:eastAsia="Times New Roman" w:hAnsi="Times New Roman" w:cs="Times New Roman"/>
                <w:lang w:val="en-CA" w:eastAsia="en-CA"/>
              </w:rPr>
              <w:t>., WHO, CADTH)</w:t>
            </w:r>
          </w:p>
        </w:tc>
        <w:tc>
          <w:tcPr>
            <w:tcW w:w="1138" w:type="pct"/>
            <w:tcBorders>
              <w:top w:val="nil"/>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90 (33.3%)</w:t>
            </w:r>
          </w:p>
        </w:tc>
      </w:tr>
      <w:tr w:rsidR="00F45EA8" w:rsidRPr="00C1780A" w:rsidTr="00F1330D">
        <w:trPr>
          <w:trHeight w:val="300"/>
        </w:trPr>
        <w:tc>
          <w:tcPr>
            <w:tcW w:w="1834" w:type="pct"/>
            <w:tcBorders>
              <w:top w:val="nil"/>
              <w:left w:val="single" w:sz="2" w:space="0" w:color="auto"/>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 </w:t>
            </w:r>
          </w:p>
        </w:tc>
        <w:tc>
          <w:tcPr>
            <w:tcW w:w="2028" w:type="pct"/>
            <w:tcBorders>
              <w:top w:val="nil"/>
              <w:left w:val="nil"/>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lang w:val="en-CA" w:eastAsia="en-CA"/>
              </w:rPr>
            </w:pPr>
            <w:r w:rsidRPr="00C1780A">
              <w:rPr>
                <w:rFonts w:ascii="Times New Roman" w:eastAsia="Times New Roman" w:hAnsi="Times New Roman" w:cs="Times New Roman"/>
                <w:lang w:val="en-CA" w:eastAsia="en-CA"/>
              </w:rPr>
              <w:t>Pharmaceutical Companies</w:t>
            </w:r>
          </w:p>
        </w:tc>
        <w:tc>
          <w:tcPr>
            <w:tcW w:w="1138" w:type="pct"/>
            <w:tcBorders>
              <w:top w:val="nil"/>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65 (24.1%)</w:t>
            </w:r>
          </w:p>
        </w:tc>
      </w:tr>
      <w:tr w:rsidR="00F45EA8" w:rsidRPr="00C1780A" w:rsidTr="00F1330D">
        <w:trPr>
          <w:trHeight w:val="900"/>
        </w:trPr>
        <w:tc>
          <w:tcPr>
            <w:tcW w:w="1834" w:type="pct"/>
            <w:tcBorders>
              <w:top w:val="nil"/>
              <w:left w:val="single" w:sz="2" w:space="0" w:color="auto"/>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 </w:t>
            </w:r>
          </w:p>
        </w:tc>
        <w:tc>
          <w:tcPr>
            <w:tcW w:w="2028" w:type="pct"/>
            <w:tcBorders>
              <w:top w:val="nil"/>
              <w:left w:val="nil"/>
              <w:bottom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lang w:val="en-CA" w:eastAsia="en-CA"/>
              </w:rPr>
            </w:pPr>
            <w:r w:rsidRPr="00C1780A">
              <w:rPr>
                <w:rFonts w:ascii="Times New Roman" w:eastAsia="Times New Roman" w:hAnsi="Times New Roman" w:cs="Times New Roman"/>
                <w:lang w:val="en-CA" w:eastAsia="en-CA"/>
              </w:rPr>
              <w:t>Grey Literature Databases and Library Catalogues (</w:t>
            </w:r>
            <w:r w:rsidR="00BF3322">
              <w:rPr>
                <w:rFonts w:ascii="Times New Roman" w:eastAsia="Times New Roman" w:hAnsi="Times New Roman" w:cs="Times New Roman"/>
                <w:lang w:val="en-CA" w:eastAsia="en-CA"/>
              </w:rPr>
              <w:t>e.g</w:t>
            </w:r>
            <w:r w:rsidRPr="00C1780A">
              <w:rPr>
                <w:rFonts w:ascii="Times New Roman" w:eastAsia="Times New Roman" w:hAnsi="Times New Roman" w:cs="Times New Roman"/>
                <w:lang w:val="en-CA" w:eastAsia="en-CA"/>
              </w:rPr>
              <w:t xml:space="preserve">., </w:t>
            </w:r>
            <w:proofErr w:type="spellStart"/>
            <w:r w:rsidRPr="00C1780A">
              <w:rPr>
                <w:rFonts w:ascii="Times New Roman" w:eastAsia="Times New Roman" w:hAnsi="Times New Roman" w:cs="Times New Roman"/>
                <w:lang w:val="en-CA" w:eastAsia="en-CA"/>
              </w:rPr>
              <w:t>Univeristy</w:t>
            </w:r>
            <w:proofErr w:type="spellEnd"/>
            <w:r w:rsidRPr="00C1780A">
              <w:rPr>
                <w:rFonts w:ascii="Times New Roman" w:eastAsia="Times New Roman" w:hAnsi="Times New Roman" w:cs="Times New Roman"/>
                <w:lang w:val="en-CA" w:eastAsia="en-CA"/>
              </w:rPr>
              <w:t xml:space="preserve"> Catalogue, </w:t>
            </w:r>
            <w:proofErr w:type="spellStart"/>
            <w:r w:rsidRPr="00C1780A">
              <w:rPr>
                <w:rFonts w:ascii="Times New Roman" w:eastAsia="Times New Roman" w:hAnsi="Times New Roman" w:cs="Times New Roman"/>
                <w:lang w:val="en-CA" w:eastAsia="en-CA"/>
              </w:rPr>
              <w:t>OpenSigle</w:t>
            </w:r>
            <w:proofErr w:type="spellEnd"/>
            <w:r w:rsidRPr="00C1780A">
              <w:rPr>
                <w:rFonts w:ascii="Times New Roman" w:eastAsia="Times New Roman" w:hAnsi="Times New Roman" w:cs="Times New Roman"/>
                <w:lang w:val="en-CA" w:eastAsia="en-CA"/>
              </w:rPr>
              <w:t>, LILACS)</w:t>
            </w:r>
          </w:p>
        </w:tc>
        <w:tc>
          <w:tcPr>
            <w:tcW w:w="1138" w:type="pct"/>
            <w:tcBorders>
              <w:top w:val="nil"/>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26 (9.6%)</w:t>
            </w:r>
          </w:p>
        </w:tc>
      </w:tr>
      <w:tr w:rsidR="00F45EA8" w:rsidRPr="00C1780A" w:rsidTr="00F1330D">
        <w:trPr>
          <w:trHeight w:val="630"/>
        </w:trPr>
        <w:tc>
          <w:tcPr>
            <w:tcW w:w="1834" w:type="pct"/>
            <w:tcBorders>
              <w:top w:val="nil"/>
              <w:left w:val="single" w:sz="2" w:space="0" w:color="auto"/>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 </w:t>
            </w:r>
          </w:p>
        </w:tc>
        <w:tc>
          <w:tcPr>
            <w:tcW w:w="2028" w:type="pct"/>
            <w:tcBorders>
              <w:top w:val="nil"/>
              <w:left w:val="nil"/>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lang w:val="en-CA" w:eastAsia="en-CA"/>
              </w:rPr>
            </w:pPr>
            <w:r w:rsidRPr="00C1780A">
              <w:rPr>
                <w:rFonts w:ascii="Times New Roman" w:eastAsia="Times New Roman" w:hAnsi="Times New Roman" w:cs="Times New Roman"/>
                <w:lang w:val="en-CA" w:eastAsia="en-CA"/>
              </w:rPr>
              <w:t>Other sources (</w:t>
            </w:r>
            <w:r w:rsidR="00BF3322">
              <w:rPr>
                <w:rFonts w:ascii="Times New Roman" w:eastAsia="Times New Roman" w:hAnsi="Times New Roman" w:cs="Times New Roman"/>
                <w:lang w:val="en-CA" w:eastAsia="en-CA"/>
              </w:rPr>
              <w:t>e.g</w:t>
            </w:r>
            <w:r w:rsidRPr="00C1780A">
              <w:rPr>
                <w:rFonts w:ascii="Times New Roman" w:eastAsia="Times New Roman" w:hAnsi="Times New Roman" w:cs="Times New Roman"/>
                <w:lang w:val="en-CA" w:eastAsia="en-CA"/>
              </w:rPr>
              <w:t>., personal communication, textbook</w:t>
            </w:r>
          </w:p>
        </w:tc>
        <w:tc>
          <w:tcPr>
            <w:tcW w:w="1138" w:type="pct"/>
            <w:tcBorders>
              <w:top w:val="nil"/>
              <w:left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22 (8.1%)</w:t>
            </w:r>
          </w:p>
        </w:tc>
      </w:tr>
      <w:tr w:rsidR="00F45EA8" w:rsidRPr="00C1780A" w:rsidTr="00F1330D">
        <w:trPr>
          <w:trHeight w:val="600"/>
        </w:trPr>
        <w:tc>
          <w:tcPr>
            <w:tcW w:w="1834" w:type="pct"/>
            <w:tcBorders>
              <w:top w:val="nil"/>
              <w:left w:val="single" w:sz="2" w:space="0" w:color="auto"/>
              <w:bottom w:val="single" w:sz="2" w:space="0" w:color="auto"/>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 </w:t>
            </w:r>
          </w:p>
        </w:tc>
        <w:tc>
          <w:tcPr>
            <w:tcW w:w="2028" w:type="pct"/>
            <w:tcBorders>
              <w:top w:val="nil"/>
              <w:left w:val="nil"/>
              <w:bottom w:val="single" w:sz="2" w:space="0" w:color="auto"/>
              <w:right w:val="nil"/>
            </w:tcBorders>
            <w:shd w:val="clear" w:color="auto" w:fill="auto"/>
            <w:vAlign w:val="center"/>
            <w:hideMark/>
          </w:tcPr>
          <w:p w:rsidR="00F45EA8" w:rsidRPr="00C1780A" w:rsidRDefault="00F45EA8" w:rsidP="002D6C43">
            <w:pPr>
              <w:spacing w:after="0" w:line="240" w:lineRule="auto"/>
              <w:rPr>
                <w:rFonts w:ascii="Times New Roman" w:eastAsia="Times New Roman" w:hAnsi="Times New Roman" w:cs="Times New Roman"/>
                <w:lang w:val="en-CA" w:eastAsia="en-CA"/>
              </w:rPr>
            </w:pPr>
            <w:r w:rsidRPr="00C1780A">
              <w:rPr>
                <w:rFonts w:ascii="Times New Roman" w:eastAsia="Times New Roman" w:hAnsi="Times New Roman" w:cs="Times New Roman"/>
                <w:lang w:val="en-CA" w:eastAsia="en-CA"/>
              </w:rPr>
              <w:t>Web Search Engines (</w:t>
            </w:r>
            <w:r w:rsidR="00BF3322">
              <w:rPr>
                <w:rFonts w:ascii="Times New Roman" w:eastAsia="Times New Roman" w:hAnsi="Times New Roman" w:cs="Times New Roman"/>
                <w:lang w:val="en-CA" w:eastAsia="en-CA"/>
              </w:rPr>
              <w:t>e.g</w:t>
            </w:r>
            <w:r w:rsidRPr="00C1780A">
              <w:rPr>
                <w:rFonts w:ascii="Times New Roman" w:eastAsia="Times New Roman" w:hAnsi="Times New Roman" w:cs="Times New Roman"/>
                <w:lang w:val="en-CA" w:eastAsia="en-CA"/>
              </w:rPr>
              <w:t>., Google, Google Scholar, Yahoo, Bing)</w:t>
            </w:r>
          </w:p>
        </w:tc>
        <w:tc>
          <w:tcPr>
            <w:tcW w:w="1138" w:type="pct"/>
            <w:tcBorders>
              <w:top w:val="nil"/>
              <w:left w:val="nil"/>
              <w:bottom w:val="single" w:sz="2" w:space="0" w:color="auto"/>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19 (7.0%)</w:t>
            </w:r>
          </w:p>
        </w:tc>
      </w:tr>
    </w:tbl>
    <w:p w:rsidR="00F1330D" w:rsidRPr="00F1330D" w:rsidRDefault="00F1330D" w:rsidP="00F1330D">
      <w:pPr>
        <w:rPr>
          <w:rFonts w:ascii="Times New Roman" w:hAnsi="Times New Roman" w:cs="Times New Roman"/>
          <w:i/>
        </w:rPr>
      </w:pPr>
      <w:r w:rsidRPr="00F1330D">
        <w:rPr>
          <w:rFonts w:ascii="Times New Roman" w:hAnsi="Times New Roman" w:cs="Times New Roman"/>
          <w:i/>
        </w:rPr>
        <w:t xml:space="preserve">* </w:t>
      </w:r>
      <w:r w:rsidR="00263569">
        <w:rPr>
          <w:rFonts w:ascii="Times New Roman" w:hAnsi="Times New Roman" w:cs="Times New Roman"/>
          <w:i/>
        </w:rPr>
        <w:t xml:space="preserve">18 </w:t>
      </w:r>
      <w:r w:rsidRPr="00F1330D">
        <w:rPr>
          <w:rFonts w:ascii="Times New Roman" w:hAnsi="Times New Roman" w:cs="Times New Roman"/>
          <w:i/>
        </w:rPr>
        <w:t xml:space="preserve">NMAs </w:t>
      </w:r>
      <w:r w:rsidR="00263569">
        <w:rPr>
          <w:rFonts w:ascii="Times New Roman" w:hAnsi="Times New Roman" w:cs="Times New Roman"/>
          <w:i/>
        </w:rPr>
        <w:t>did not</w:t>
      </w:r>
      <w:r w:rsidRPr="00F1330D">
        <w:rPr>
          <w:rFonts w:ascii="Times New Roman" w:hAnsi="Times New Roman" w:cs="Times New Roman"/>
          <w:i/>
        </w:rPr>
        <w:t xml:space="preserve"> </w:t>
      </w:r>
      <w:r w:rsidR="00263569">
        <w:rPr>
          <w:rFonts w:ascii="Times New Roman" w:hAnsi="Times New Roman" w:cs="Times New Roman"/>
          <w:i/>
        </w:rPr>
        <w:t>provide details on the review method (e.g.,</w:t>
      </w:r>
      <w:r w:rsidRPr="00F1330D">
        <w:rPr>
          <w:rFonts w:ascii="Times New Roman" w:hAnsi="Times New Roman" w:cs="Times New Roman"/>
          <w:i/>
        </w:rPr>
        <w:t xml:space="preserve"> literature search, study select</w:t>
      </w:r>
      <w:r w:rsidR="00263569">
        <w:rPr>
          <w:rFonts w:ascii="Times New Roman" w:hAnsi="Times New Roman" w:cs="Times New Roman"/>
          <w:i/>
        </w:rPr>
        <w:t>ion</w:t>
      </w:r>
      <w:r w:rsidRPr="00F1330D">
        <w:rPr>
          <w:rFonts w:ascii="Times New Roman" w:hAnsi="Times New Roman" w:cs="Times New Roman"/>
          <w:i/>
        </w:rPr>
        <w:t>, data a</w:t>
      </w:r>
      <w:r w:rsidR="00263569">
        <w:rPr>
          <w:rFonts w:ascii="Times New Roman" w:hAnsi="Times New Roman" w:cs="Times New Roman"/>
          <w:i/>
        </w:rPr>
        <w:t>bstract and quality assessment)</w:t>
      </w:r>
    </w:p>
    <w:p w:rsidR="00F45EA8" w:rsidRPr="00C1780A" w:rsidRDefault="00F45EA8" w:rsidP="00F45EA8">
      <w:pPr>
        <w:rPr>
          <w:rFonts w:ascii="Times New Roman" w:hAnsi="Times New Roman" w:cs="Times New Roman"/>
        </w:rPr>
      </w:pPr>
    </w:p>
    <w:p w:rsidR="00F45EA8" w:rsidRPr="00C1780A" w:rsidRDefault="00F45EA8">
      <w:pPr>
        <w:rPr>
          <w:rFonts w:ascii="Times New Roman" w:hAnsi="Times New Roman" w:cs="Times New Roman"/>
        </w:rPr>
        <w:sectPr w:rsidR="00F45EA8" w:rsidRPr="00C1780A">
          <w:pgSz w:w="12240" w:h="15840"/>
          <w:pgMar w:top="1440" w:right="1440" w:bottom="1440" w:left="1440" w:header="720" w:footer="720" w:gutter="0"/>
          <w:cols w:space="720"/>
          <w:docGrid w:linePitch="360"/>
        </w:sectPr>
      </w:pPr>
    </w:p>
    <w:p w:rsidR="00F45EA8" w:rsidRPr="00C1780A" w:rsidRDefault="00C17EE5" w:rsidP="00F45EA8">
      <w:pPr>
        <w:spacing w:after="240" w:line="240" w:lineRule="auto"/>
        <w:jc w:val="both"/>
        <w:outlineLvl w:val="0"/>
        <w:rPr>
          <w:rFonts w:ascii="Times New Roman" w:eastAsia="MS PGothic" w:hAnsi="Times New Roman" w:cs="Times New Roman"/>
          <w:b/>
          <w:color w:val="000000"/>
          <w:sz w:val="28"/>
          <w:szCs w:val="28"/>
        </w:rPr>
      </w:pPr>
      <w:r>
        <w:rPr>
          <w:rFonts w:ascii="Times New Roman" w:eastAsia="MS PGothic" w:hAnsi="Times New Roman" w:cs="Times New Roman"/>
          <w:b/>
          <w:color w:val="000000"/>
          <w:sz w:val="28"/>
          <w:szCs w:val="28"/>
        </w:rPr>
        <w:lastRenderedPageBreak/>
        <w:t xml:space="preserve">Appendix </w:t>
      </w:r>
      <w:r w:rsidR="00214B4D">
        <w:rPr>
          <w:rFonts w:ascii="Times New Roman" w:eastAsia="MS PGothic" w:hAnsi="Times New Roman" w:cs="Times New Roman"/>
          <w:b/>
          <w:color w:val="000000"/>
          <w:sz w:val="28"/>
          <w:szCs w:val="28"/>
        </w:rPr>
        <w:t>7</w:t>
      </w:r>
      <w:r w:rsidR="00F45EA8" w:rsidRPr="00C1780A">
        <w:rPr>
          <w:rFonts w:ascii="Times New Roman" w:eastAsia="MS PGothic" w:hAnsi="Times New Roman" w:cs="Times New Roman"/>
          <w:b/>
          <w:color w:val="000000"/>
          <w:sz w:val="28"/>
          <w:szCs w:val="28"/>
        </w:rPr>
        <w:t>. Quality appraisal tools used</w:t>
      </w:r>
    </w:p>
    <w:tbl>
      <w:tblPr>
        <w:tblW w:w="5000" w:type="pct"/>
        <w:tblLook w:val="04A0" w:firstRow="1" w:lastRow="0" w:firstColumn="1" w:lastColumn="0" w:noHBand="0" w:noVBand="1"/>
      </w:tblPr>
      <w:tblGrid>
        <w:gridCol w:w="3890"/>
        <w:gridCol w:w="4629"/>
        <w:gridCol w:w="1777"/>
      </w:tblGrid>
      <w:tr w:rsidR="00F45EA8" w:rsidRPr="00F1330D" w:rsidTr="00F1330D">
        <w:trPr>
          <w:trHeight w:val="315"/>
        </w:trPr>
        <w:tc>
          <w:tcPr>
            <w:tcW w:w="1889" w:type="pct"/>
            <w:tcBorders>
              <w:top w:val="single" w:sz="2" w:space="0" w:color="auto"/>
              <w:left w:val="single" w:sz="2" w:space="0" w:color="auto"/>
              <w:bottom w:val="single" w:sz="12" w:space="0" w:color="auto"/>
              <w:right w:val="nil"/>
            </w:tcBorders>
            <w:shd w:val="clear" w:color="auto" w:fill="auto"/>
            <w:noWrap/>
            <w:vAlign w:val="bottom"/>
            <w:hideMark/>
          </w:tcPr>
          <w:p w:rsidR="00F45EA8" w:rsidRPr="00F1330D" w:rsidRDefault="00F45EA8" w:rsidP="00F1330D">
            <w:pPr>
              <w:spacing w:before="120" w:after="120" w:line="240" w:lineRule="auto"/>
              <w:rPr>
                <w:rFonts w:ascii="Times New Roman" w:eastAsia="Times New Roman" w:hAnsi="Times New Roman" w:cs="Times New Roman"/>
                <w:b/>
                <w:bCs/>
                <w:color w:val="000000"/>
                <w:sz w:val="24"/>
                <w:szCs w:val="24"/>
                <w:lang w:val="en-CA" w:eastAsia="en-CA"/>
              </w:rPr>
            </w:pPr>
            <w:r w:rsidRPr="00F1330D">
              <w:rPr>
                <w:rFonts w:ascii="Times New Roman" w:eastAsia="Times New Roman" w:hAnsi="Times New Roman" w:cs="Times New Roman"/>
                <w:b/>
                <w:bCs/>
                <w:color w:val="000000"/>
                <w:sz w:val="24"/>
                <w:szCs w:val="24"/>
                <w:lang w:val="en-CA" w:eastAsia="en-CA"/>
              </w:rPr>
              <w:t>Quality Tools Used</w:t>
            </w:r>
          </w:p>
        </w:tc>
        <w:tc>
          <w:tcPr>
            <w:tcW w:w="2248" w:type="pct"/>
            <w:tcBorders>
              <w:top w:val="single" w:sz="2" w:space="0" w:color="auto"/>
              <w:left w:val="nil"/>
              <w:bottom w:val="single" w:sz="12" w:space="0" w:color="auto"/>
              <w:right w:val="nil"/>
            </w:tcBorders>
            <w:shd w:val="clear" w:color="auto" w:fill="auto"/>
            <w:noWrap/>
            <w:vAlign w:val="bottom"/>
            <w:hideMark/>
          </w:tcPr>
          <w:p w:rsidR="00F45EA8" w:rsidRPr="00F1330D" w:rsidRDefault="00F45EA8" w:rsidP="00F1330D">
            <w:pPr>
              <w:spacing w:before="120" w:after="120" w:line="240" w:lineRule="auto"/>
              <w:rPr>
                <w:rFonts w:ascii="Times New Roman" w:eastAsia="Times New Roman" w:hAnsi="Times New Roman" w:cs="Times New Roman"/>
                <w:b/>
                <w:bCs/>
                <w:color w:val="000000"/>
                <w:sz w:val="24"/>
                <w:szCs w:val="24"/>
                <w:lang w:val="en-CA" w:eastAsia="en-CA"/>
              </w:rPr>
            </w:pPr>
            <w:r w:rsidRPr="00F1330D">
              <w:rPr>
                <w:rFonts w:ascii="Times New Roman" w:eastAsia="Times New Roman" w:hAnsi="Times New Roman" w:cs="Times New Roman"/>
                <w:b/>
                <w:bCs/>
                <w:color w:val="000000"/>
                <w:sz w:val="24"/>
                <w:szCs w:val="24"/>
                <w:lang w:val="en-CA" w:eastAsia="en-CA"/>
              </w:rPr>
              <w:t> </w:t>
            </w:r>
          </w:p>
        </w:tc>
        <w:tc>
          <w:tcPr>
            <w:tcW w:w="863" w:type="pct"/>
            <w:tcBorders>
              <w:top w:val="single" w:sz="2" w:space="0" w:color="auto"/>
              <w:left w:val="nil"/>
              <w:bottom w:val="single" w:sz="12" w:space="0" w:color="auto"/>
              <w:right w:val="single" w:sz="2" w:space="0" w:color="auto"/>
            </w:tcBorders>
            <w:shd w:val="clear" w:color="auto" w:fill="auto"/>
            <w:noWrap/>
            <w:vAlign w:val="bottom"/>
            <w:hideMark/>
          </w:tcPr>
          <w:p w:rsidR="00F45EA8" w:rsidRPr="00F1330D" w:rsidRDefault="00F45EA8" w:rsidP="00F1330D">
            <w:pPr>
              <w:spacing w:before="120" w:after="120" w:line="240" w:lineRule="auto"/>
              <w:jc w:val="center"/>
              <w:rPr>
                <w:rFonts w:ascii="Times New Roman" w:eastAsia="Times New Roman" w:hAnsi="Times New Roman" w:cs="Times New Roman"/>
                <w:bCs/>
                <w:i/>
                <w:color w:val="000000"/>
                <w:sz w:val="24"/>
                <w:szCs w:val="24"/>
                <w:lang w:val="en-CA" w:eastAsia="en-CA"/>
              </w:rPr>
            </w:pPr>
            <w:r w:rsidRPr="00F1330D">
              <w:rPr>
                <w:rFonts w:ascii="Times New Roman" w:eastAsia="Times New Roman" w:hAnsi="Times New Roman" w:cs="Times New Roman"/>
                <w:bCs/>
                <w:i/>
                <w:color w:val="000000"/>
                <w:sz w:val="24"/>
                <w:szCs w:val="24"/>
                <w:lang w:val="en-CA" w:eastAsia="en-CA"/>
              </w:rPr>
              <w:t>Count (%)</w:t>
            </w:r>
          </w:p>
        </w:tc>
      </w:tr>
      <w:tr w:rsidR="00F45EA8" w:rsidRPr="00C1780A" w:rsidTr="00F1330D">
        <w:trPr>
          <w:trHeight w:val="300"/>
        </w:trPr>
        <w:tc>
          <w:tcPr>
            <w:tcW w:w="1889" w:type="pct"/>
            <w:tcBorders>
              <w:top w:val="single" w:sz="12" w:space="0" w:color="auto"/>
              <w:left w:val="single" w:sz="2" w:space="0" w:color="auto"/>
              <w:bottom w:val="nil"/>
              <w:right w:val="nil"/>
            </w:tcBorders>
            <w:shd w:val="clear" w:color="auto" w:fill="auto"/>
            <w:noWrap/>
            <w:vAlign w:val="center"/>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Quality Appraisal (n=438)</w:t>
            </w:r>
            <w:r w:rsidR="00F1330D">
              <w:rPr>
                <w:rFonts w:ascii="Times New Roman" w:eastAsia="Times New Roman" w:hAnsi="Times New Roman" w:cs="Times New Roman"/>
                <w:b/>
                <w:bCs/>
                <w:color w:val="000000"/>
                <w:lang w:val="en-CA" w:eastAsia="en-CA"/>
              </w:rPr>
              <w:t>*</w:t>
            </w:r>
          </w:p>
        </w:tc>
        <w:tc>
          <w:tcPr>
            <w:tcW w:w="2248" w:type="pct"/>
            <w:tcBorders>
              <w:top w:val="single" w:sz="12" w:space="0" w:color="auto"/>
              <w:left w:val="nil"/>
              <w:bottom w:val="nil"/>
              <w:right w:val="nil"/>
            </w:tcBorders>
            <w:shd w:val="clear" w:color="auto" w:fill="auto"/>
            <w:noWrap/>
            <w:vAlign w:val="center"/>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Reported</w:t>
            </w:r>
          </w:p>
        </w:tc>
        <w:tc>
          <w:tcPr>
            <w:tcW w:w="863" w:type="pct"/>
            <w:tcBorders>
              <w:top w:val="single" w:sz="12" w:space="0" w:color="auto"/>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345 (78.8%)</w:t>
            </w:r>
          </w:p>
        </w:tc>
      </w:tr>
      <w:tr w:rsidR="00F45EA8" w:rsidRPr="00C1780A" w:rsidTr="00F1330D">
        <w:trPr>
          <w:trHeight w:val="300"/>
        </w:trPr>
        <w:tc>
          <w:tcPr>
            <w:tcW w:w="1889" w:type="pct"/>
            <w:tcBorders>
              <w:top w:val="nil"/>
              <w:left w:val="single" w:sz="2" w:space="0" w:color="auto"/>
              <w:bottom w:val="single" w:sz="4" w:space="0" w:color="auto"/>
              <w:right w:val="nil"/>
            </w:tcBorders>
            <w:shd w:val="clear" w:color="auto" w:fill="auto"/>
            <w:noWrap/>
            <w:vAlign w:val="center"/>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 </w:t>
            </w:r>
          </w:p>
        </w:tc>
        <w:tc>
          <w:tcPr>
            <w:tcW w:w="2248" w:type="pct"/>
            <w:tcBorders>
              <w:top w:val="nil"/>
              <w:left w:val="nil"/>
              <w:bottom w:val="single" w:sz="4" w:space="0" w:color="auto"/>
              <w:right w:val="nil"/>
            </w:tcBorders>
            <w:shd w:val="clear" w:color="auto" w:fill="auto"/>
            <w:noWrap/>
            <w:vAlign w:val="center"/>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Not reported</w:t>
            </w:r>
          </w:p>
        </w:tc>
        <w:tc>
          <w:tcPr>
            <w:tcW w:w="863" w:type="pct"/>
            <w:tcBorders>
              <w:top w:val="nil"/>
              <w:left w:val="nil"/>
              <w:bottom w:val="single" w:sz="4" w:space="0" w:color="auto"/>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93 (21.2%)</w:t>
            </w:r>
          </w:p>
        </w:tc>
      </w:tr>
      <w:tr w:rsidR="00F45EA8" w:rsidRPr="00C1780A" w:rsidTr="00F1330D">
        <w:trPr>
          <w:trHeight w:val="300"/>
        </w:trPr>
        <w:tc>
          <w:tcPr>
            <w:tcW w:w="1889" w:type="pct"/>
            <w:tcBorders>
              <w:top w:val="nil"/>
              <w:left w:val="single" w:sz="2" w:space="0" w:color="auto"/>
              <w:bottom w:val="nil"/>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b/>
                <w:bCs/>
                <w:color w:val="000000"/>
                <w:lang w:val="en-CA" w:eastAsia="en-CA"/>
              </w:rPr>
            </w:pPr>
            <w:r w:rsidRPr="00C1780A">
              <w:rPr>
                <w:rFonts w:ascii="Times New Roman" w:eastAsia="Times New Roman" w:hAnsi="Times New Roman" w:cs="Times New Roman"/>
                <w:b/>
                <w:bCs/>
                <w:color w:val="000000"/>
                <w:lang w:val="en-CA" w:eastAsia="en-CA"/>
              </w:rPr>
              <w:t>Quality Assessment Tool (n=345)</w:t>
            </w:r>
          </w:p>
        </w:tc>
        <w:tc>
          <w:tcPr>
            <w:tcW w:w="2248" w:type="pct"/>
            <w:tcBorders>
              <w:top w:val="nil"/>
              <w:left w:val="nil"/>
              <w:bottom w:val="nil"/>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Cochrane Risk of Bias tool</w:t>
            </w:r>
          </w:p>
        </w:tc>
        <w:tc>
          <w:tcPr>
            <w:tcW w:w="863" w:type="pct"/>
            <w:tcBorders>
              <w:top w:val="nil"/>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130 (37.7%)</w:t>
            </w:r>
          </w:p>
        </w:tc>
      </w:tr>
      <w:tr w:rsidR="00F45EA8" w:rsidRPr="00C1780A" w:rsidTr="00F1330D">
        <w:trPr>
          <w:trHeight w:val="300"/>
        </w:trPr>
        <w:tc>
          <w:tcPr>
            <w:tcW w:w="1889" w:type="pct"/>
            <w:tcBorders>
              <w:top w:val="nil"/>
              <w:left w:val="single" w:sz="2" w:space="0" w:color="auto"/>
              <w:bottom w:val="nil"/>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 </w:t>
            </w:r>
          </w:p>
        </w:tc>
        <w:tc>
          <w:tcPr>
            <w:tcW w:w="2248" w:type="pct"/>
            <w:tcBorders>
              <w:top w:val="nil"/>
              <w:left w:val="nil"/>
              <w:bottom w:val="nil"/>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proofErr w:type="spellStart"/>
            <w:r w:rsidRPr="00C1780A">
              <w:rPr>
                <w:rFonts w:ascii="Times New Roman" w:eastAsia="Times New Roman" w:hAnsi="Times New Roman" w:cs="Times New Roman"/>
                <w:color w:val="000000"/>
                <w:lang w:val="en-CA" w:eastAsia="en-CA"/>
              </w:rPr>
              <w:t>Jadad</w:t>
            </w:r>
            <w:proofErr w:type="spellEnd"/>
            <w:r w:rsidRPr="00C1780A">
              <w:rPr>
                <w:rFonts w:ascii="Times New Roman" w:eastAsia="Times New Roman" w:hAnsi="Times New Roman" w:cs="Times New Roman"/>
                <w:color w:val="000000"/>
                <w:lang w:val="en-CA" w:eastAsia="en-CA"/>
              </w:rPr>
              <w:t xml:space="preserve"> scale</w:t>
            </w:r>
          </w:p>
        </w:tc>
        <w:tc>
          <w:tcPr>
            <w:tcW w:w="863" w:type="pct"/>
            <w:tcBorders>
              <w:top w:val="nil"/>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75 (21.7%)</w:t>
            </w:r>
          </w:p>
        </w:tc>
      </w:tr>
      <w:tr w:rsidR="00F45EA8" w:rsidRPr="00C1780A" w:rsidTr="00F1330D">
        <w:trPr>
          <w:trHeight w:val="300"/>
        </w:trPr>
        <w:tc>
          <w:tcPr>
            <w:tcW w:w="1889" w:type="pct"/>
            <w:tcBorders>
              <w:top w:val="nil"/>
              <w:left w:val="single" w:sz="2" w:space="0" w:color="auto"/>
              <w:bottom w:val="nil"/>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 </w:t>
            </w:r>
          </w:p>
        </w:tc>
        <w:tc>
          <w:tcPr>
            <w:tcW w:w="2248" w:type="pct"/>
            <w:tcBorders>
              <w:top w:val="nil"/>
              <w:left w:val="nil"/>
              <w:bottom w:val="nil"/>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Other</w:t>
            </w:r>
          </w:p>
        </w:tc>
        <w:tc>
          <w:tcPr>
            <w:tcW w:w="863" w:type="pct"/>
            <w:tcBorders>
              <w:top w:val="nil"/>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68 (19.7%)</w:t>
            </w:r>
          </w:p>
        </w:tc>
      </w:tr>
      <w:tr w:rsidR="00F45EA8" w:rsidRPr="00C1780A" w:rsidTr="00F1330D">
        <w:trPr>
          <w:trHeight w:val="300"/>
        </w:trPr>
        <w:tc>
          <w:tcPr>
            <w:tcW w:w="1889" w:type="pct"/>
            <w:tcBorders>
              <w:top w:val="nil"/>
              <w:left w:val="single" w:sz="2" w:space="0" w:color="auto"/>
              <w:bottom w:val="nil"/>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 </w:t>
            </w:r>
          </w:p>
        </w:tc>
        <w:tc>
          <w:tcPr>
            <w:tcW w:w="2248" w:type="pct"/>
            <w:tcBorders>
              <w:top w:val="nil"/>
              <w:left w:val="nil"/>
              <w:bottom w:val="nil"/>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Author defined checklist</w:t>
            </w:r>
          </w:p>
        </w:tc>
        <w:tc>
          <w:tcPr>
            <w:tcW w:w="863" w:type="pct"/>
            <w:tcBorders>
              <w:top w:val="nil"/>
              <w:left w:val="nil"/>
              <w:bottom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36 (10.4%)</w:t>
            </w:r>
          </w:p>
        </w:tc>
      </w:tr>
      <w:tr w:rsidR="00F45EA8" w:rsidRPr="00C1780A" w:rsidTr="00F1330D">
        <w:trPr>
          <w:trHeight w:val="300"/>
        </w:trPr>
        <w:tc>
          <w:tcPr>
            <w:tcW w:w="1889" w:type="pct"/>
            <w:tcBorders>
              <w:top w:val="nil"/>
              <w:left w:val="single" w:sz="2" w:space="0" w:color="auto"/>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 </w:t>
            </w:r>
          </w:p>
        </w:tc>
        <w:tc>
          <w:tcPr>
            <w:tcW w:w="2248" w:type="pct"/>
            <w:tcBorders>
              <w:top w:val="nil"/>
              <w:left w:val="nil"/>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Cochrane ROB plus additional tool</w:t>
            </w:r>
          </w:p>
        </w:tc>
        <w:tc>
          <w:tcPr>
            <w:tcW w:w="863" w:type="pct"/>
            <w:tcBorders>
              <w:top w:val="nil"/>
              <w:left w:val="nil"/>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17 (4.9%)</w:t>
            </w:r>
          </w:p>
        </w:tc>
      </w:tr>
      <w:tr w:rsidR="00F45EA8" w:rsidRPr="00C1780A" w:rsidTr="00F1330D">
        <w:trPr>
          <w:trHeight w:val="300"/>
        </w:trPr>
        <w:tc>
          <w:tcPr>
            <w:tcW w:w="1889" w:type="pct"/>
            <w:tcBorders>
              <w:top w:val="nil"/>
              <w:left w:val="single" w:sz="2" w:space="0" w:color="auto"/>
              <w:bottom w:val="single" w:sz="2" w:space="0" w:color="auto"/>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 </w:t>
            </w:r>
          </w:p>
        </w:tc>
        <w:tc>
          <w:tcPr>
            <w:tcW w:w="2248" w:type="pct"/>
            <w:tcBorders>
              <w:top w:val="nil"/>
              <w:left w:val="nil"/>
              <w:bottom w:val="single" w:sz="2" w:space="0" w:color="auto"/>
              <w:right w:val="nil"/>
            </w:tcBorders>
            <w:shd w:val="clear" w:color="auto" w:fill="auto"/>
            <w:noWrap/>
            <w:vAlign w:val="bottom"/>
            <w:hideMark/>
          </w:tcPr>
          <w:p w:rsidR="00F45EA8" w:rsidRPr="00C1780A" w:rsidRDefault="00F45EA8" w:rsidP="002D6C43">
            <w:pPr>
              <w:spacing w:after="0" w:line="240" w:lineRule="auto"/>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No tools reported</w:t>
            </w:r>
          </w:p>
        </w:tc>
        <w:tc>
          <w:tcPr>
            <w:tcW w:w="863" w:type="pct"/>
            <w:tcBorders>
              <w:top w:val="nil"/>
              <w:left w:val="nil"/>
              <w:bottom w:val="single" w:sz="2" w:space="0" w:color="auto"/>
              <w:right w:val="single" w:sz="2" w:space="0" w:color="auto"/>
            </w:tcBorders>
            <w:shd w:val="clear" w:color="auto" w:fill="auto"/>
            <w:noWrap/>
            <w:vAlign w:val="center"/>
            <w:hideMark/>
          </w:tcPr>
          <w:p w:rsidR="00F45EA8" w:rsidRPr="00C1780A" w:rsidRDefault="00F45EA8" w:rsidP="002D6C43">
            <w:pPr>
              <w:spacing w:after="0" w:line="240" w:lineRule="auto"/>
              <w:jc w:val="center"/>
              <w:rPr>
                <w:rFonts w:ascii="Times New Roman" w:eastAsia="Times New Roman" w:hAnsi="Times New Roman" w:cs="Times New Roman"/>
                <w:color w:val="000000"/>
                <w:lang w:val="en-CA" w:eastAsia="en-CA"/>
              </w:rPr>
            </w:pPr>
            <w:r w:rsidRPr="00C1780A">
              <w:rPr>
                <w:rFonts w:ascii="Times New Roman" w:eastAsia="Times New Roman" w:hAnsi="Times New Roman" w:cs="Times New Roman"/>
                <w:color w:val="000000"/>
                <w:lang w:val="en-CA" w:eastAsia="en-CA"/>
              </w:rPr>
              <w:t>19 (5.5%)</w:t>
            </w:r>
          </w:p>
        </w:tc>
      </w:tr>
    </w:tbl>
    <w:p w:rsidR="00F1330D" w:rsidRPr="00F1330D" w:rsidRDefault="00F1330D" w:rsidP="00F1330D">
      <w:pPr>
        <w:rPr>
          <w:rFonts w:ascii="Times New Roman" w:hAnsi="Times New Roman" w:cs="Times New Roman"/>
          <w:i/>
        </w:rPr>
      </w:pPr>
      <w:r w:rsidRPr="00F1330D">
        <w:rPr>
          <w:rFonts w:ascii="Times New Roman" w:hAnsi="Times New Roman" w:cs="Times New Roman"/>
          <w:i/>
        </w:rPr>
        <w:t>* NMAs without adequate r</w:t>
      </w:r>
      <w:r w:rsidR="00263569">
        <w:rPr>
          <w:rFonts w:ascii="Times New Roman" w:hAnsi="Times New Roman" w:cs="Times New Roman"/>
          <w:i/>
        </w:rPr>
        <w:t>eporting of review methods (e.g.,</w:t>
      </w:r>
      <w:r w:rsidRPr="00F1330D">
        <w:rPr>
          <w:rFonts w:ascii="Times New Roman" w:hAnsi="Times New Roman" w:cs="Times New Roman"/>
          <w:i/>
        </w:rPr>
        <w:t>, literature search, study select</w:t>
      </w:r>
      <w:r w:rsidR="00263569">
        <w:rPr>
          <w:rFonts w:ascii="Times New Roman" w:hAnsi="Times New Roman" w:cs="Times New Roman"/>
          <w:i/>
        </w:rPr>
        <w:t>ion</w:t>
      </w:r>
      <w:r w:rsidRPr="00F1330D">
        <w:rPr>
          <w:rFonts w:ascii="Times New Roman" w:hAnsi="Times New Roman" w:cs="Times New Roman"/>
          <w:i/>
        </w:rPr>
        <w:t>, data abstract and quality assessment) could not b</w:t>
      </w:r>
      <w:r w:rsidR="00263569">
        <w:rPr>
          <w:rFonts w:ascii="Times New Roman" w:hAnsi="Times New Roman" w:cs="Times New Roman"/>
          <w:i/>
        </w:rPr>
        <w:t>e included in AMSTAR assessment.</w:t>
      </w:r>
    </w:p>
    <w:p w:rsidR="0038188A" w:rsidRDefault="0038188A">
      <w:pPr>
        <w:sectPr w:rsidR="0038188A" w:rsidSect="002D6C43">
          <w:pgSz w:w="12240" w:h="15840"/>
          <w:pgMar w:top="1440" w:right="1080" w:bottom="1440" w:left="1080" w:header="720" w:footer="720" w:gutter="0"/>
          <w:cols w:space="720"/>
          <w:docGrid w:linePitch="360"/>
        </w:sectPr>
      </w:pPr>
    </w:p>
    <w:p w:rsidR="004E59EF" w:rsidRPr="00B70AFD" w:rsidRDefault="007A59D3" w:rsidP="00B70AFD">
      <w:pPr>
        <w:pStyle w:val="Heading1"/>
      </w:pPr>
      <w:r w:rsidRPr="00C1780A">
        <w:lastRenderedPageBreak/>
        <w:t>Ap</w:t>
      </w:r>
      <w:r w:rsidR="00C17EE5">
        <w:t xml:space="preserve">pendix </w:t>
      </w:r>
      <w:r w:rsidR="00F51E0C">
        <w:t>8</w:t>
      </w:r>
      <w:r w:rsidR="00840AFD">
        <w:t xml:space="preserve">. </w:t>
      </w:r>
      <w:r w:rsidR="004E59EF">
        <w:t>AMSTAR assessment by items (n=438)*</w:t>
      </w:r>
    </w:p>
    <w:p w:rsidR="004E59EF" w:rsidRPr="004E59EF" w:rsidRDefault="004E59EF" w:rsidP="004E59EF">
      <w:pPr>
        <w:tabs>
          <w:tab w:val="left" w:pos="1708"/>
        </w:tabs>
        <w:spacing w:after="0" w:line="240" w:lineRule="auto"/>
        <w:rPr>
          <w:rFonts w:ascii="Times New Roman" w:eastAsia="Times New Roman" w:hAnsi="Times New Roman" w:cs="Times New Roman"/>
          <w:color w:val="000000"/>
          <w:kern w:val="28"/>
          <w:sz w:val="20"/>
          <w:szCs w:val="20"/>
          <w:lang w:val="en-CA" w:eastAsia="en-CA"/>
        </w:rPr>
      </w:pPr>
      <w:r w:rsidRPr="0038240D">
        <w:rPr>
          <w:rFonts w:ascii="Times New Roman" w:eastAsia="Times New Roman" w:hAnsi="Times New Roman" w:cs="Times New Roman"/>
          <w:noProof/>
          <w:color w:val="000000"/>
          <w:kern w:val="28"/>
          <w:sz w:val="20"/>
          <w:szCs w:val="20"/>
        </w:rPr>
        <w:drawing>
          <wp:inline distT="0" distB="0" distL="0" distR="0" wp14:anchorId="68C40B24" wp14:editId="43EC560B">
            <wp:extent cx="5985164" cy="3455719"/>
            <wp:effectExtent l="0" t="0" r="15875"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84A91" w:rsidRDefault="004E59EF" w:rsidP="00B70AFD">
      <w:pPr>
        <w:spacing w:after="120" w:line="240" w:lineRule="auto"/>
      </w:pPr>
      <w:r w:rsidRPr="00471F43">
        <w:rPr>
          <w:rFonts w:ascii="Times New Roman" w:hAnsi="Times New Roman" w:cs="Times New Roman"/>
          <w:i/>
          <w:noProof/>
          <w:sz w:val="24"/>
          <w:lang w:val="en-CA" w:eastAsia="en-CA"/>
        </w:rPr>
        <w:t>* NMAs without adequate reporting of review methods (i.e., literature search, study selection, data abstract and quality assessment) could not be included in AMSTAR assessment.</w:t>
      </w:r>
      <w:r w:rsidR="00F87B44" w:rsidRPr="00F87B44">
        <w:t xml:space="preserve"> </w:t>
      </w:r>
    </w:p>
    <w:p w:rsidR="004E59EF" w:rsidRPr="00471F43" w:rsidRDefault="004E59EF" w:rsidP="00B70AFD">
      <w:pPr>
        <w:numPr>
          <w:ilvl w:val="0"/>
          <w:numId w:val="1"/>
        </w:numPr>
        <w:tabs>
          <w:tab w:val="left" w:pos="1708"/>
        </w:tabs>
        <w:spacing w:before="240" w:after="0" w:line="240" w:lineRule="auto"/>
        <w:contextualSpacing/>
        <w:rPr>
          <w:rFonts w:ascii="Times New Roman" w:eastAsia="Times New Roman" w:hAnsi="Times New Roman" w:cs="Times New Roman"/>
          <w:color w:val="000000"/>
          <w:kern w:val="28"/>
          <w:szCs w:val="20"/>
          <w:lang w:val="en-CA" w:eastAsia="en-CA"/>
        </w:rPr>
      </w:pPr>
      <w:r w:rsidRPr="00471F43">
        <w:rPr>
          <w:rFonts w:ascii="Times New Roman" w:eastAsia="Times New Roman" w:hAnsi="Times New Roman" w:cs="Times New Roman"/>
          <w:color w:val="000000"/>
          <w:kern w:val="28"/>
          <w:szCs w:val="20"/>
          <w:lang w:val="en-CA" w:eastAsia="en-CA"/>
        </w:rPr>
        <w:t>Was an 'a priori' design provided?</w:t>
      </w:r>
    </w:p>
    <w:p w:rsidR="004E59EF" w:rsidRPr="00471F43" w:rsidRDefault="004E59EF" w:rsidP="00B70AFD">
      <w:pPr>
        <w:numPr>
          <w:ilvl w:val="0"/>
          <w:numId w:val="1"/>
        </w:numPr>
        <w:tabs>
          <w:tab w:val="left" w:pos="1708"/>
        </w:tabs>
        <w:spacing w:after="0" w:line="240" w:lineRule="auto"/>
        <w:contextualSpacing/>
        <w:rPr>
          <w:rFonts w:ascii="Times New Roman" w:eastAsia="Times New Roman" w:hAnsi="Times New Roman" w:cs="Times New Roman"/>
          <w:color w:val="000000"/>
          <w:kern w:val="28"/>
          <w:szCs w:val="20"/>
          <w:lang w:val="en-CA" w:eastAsia="en-CA"/>
        </w:rPr>
      </w:pPr>
      <w:r w:rsidRPr="00471F43">
        <w:rPr>
          <w:rFonts w:ascii="Times New Roman" w:eastAsia="Times New Roman" w:hAnsi="Times New Roman" w:cs="Times New Roman"/>
          <w:color w:val="000000"/>
          <w:kern w:val="28"/>
          <w:szCs w:val="20"/>
          <w:lang w:val="en-CA" w:eastAsia="en-CA"/>
        </w:rPr>
        <w:t>Was there duplicate study selection and data extraction?</w:t>
      </w:r>
    </w:p>
    <w:p w:rsidR="004E59EF" w:rsidRPr="00471F43" w:rsidRDefault="004E59EF" w:rsidP="00B70AFD">
      <w:pPr>
        <w:numPr>
          <w:ilvl w:val="0"/>
          <w:numId w:val="1"/>
        </w:numPr>
        <w:tabs>
          <w:tab w:val="left" w:pos="1708"/>
        </w:tabs>
        <w:spacing w:after="0" w:line="240" w:lineRule="auto"/>
        <w:contextualSpacing/>
        <w:rPr>
          <w:rFonts w:ascii="Times New Roman" w:eastAsia="Times New Roman" w:hAnsi="Times New Roman" w:cs="Times New Roman"/>
          <w:color w:val="000000"/>
          <w:kern w:val="28"/>
          <w:szCs w:val="20"/>
          <w:lang w:val="en-CA" w:eastAsia="en-CA"/>
        </w:rPr>
      </w:pPr>
      <w:r w:rsidRPr="00471F43">
        <w:rPr>
          <w:rFonts w:ascii="Times New Roman" w:eastAsia="Times New Roman" w:hAnsi="Times New Roman" w:cs="Times New Roman"/>
          <w:color w:val="000000"/>
          <w:kern w:val="28"/>
          <w:szCs w:val="20"/>
          <w:lang w:val="en-CA" w:eastAsia="en-CA"/>
        </w:rPr>
        <w:t>Was a comprehensive literature search performed?</w:t>
      </w:r>
    </w:p>
    <w:p w:rsidR="004E59EF" w:rsidRPr="00471F43" w:rsidRDefault="004E59EF" w:rsidP="00B70AFD">
      <w:pPr>
        <w:numPr>
          <w:ilvl w:val="0"/>
          <w:numId w:val="1"/>
        </w:numPr>
        <w:tabs>
          <w:tab w:val="left" w:pos="1708"/>
        </w:tabs>
        <w:spacing w:after="0" w:line="240" w:lineRule="auto"/>
        <w:contextualSpacing/>
        <w:rPr>
          <w:rFonts w:ascii="Times New Roman" w:eastAsia="Times New Roman" w:hAnsi="Times New Roman" w:cs="Times New Roman"/>
          <w:color w:val="000000"/>
          <w:kern w:val="28"/>
          <w:szCs w:val="20"/>
          <w:lang w:val="en-CA" w:eastAsia="en-CA"/>
        </w:rPr>
      </w:pPr>
      <w:r w:rsidRPr="00471F43">
        <w:rPr>
          <w:rFonts w:ascii="Times New Roman" w:eastAsia="Times New Roman" w:hAnsi="Times New Roman" w:cs="Times New Roman"/>
          <w:color w:val="000000"/>
          <w:kern w:val="28"/>
          <w:szCs w:val="20"/>
          <w:lang w:val="en-CA" w:eastAsia="en-CA"/>
        </w:rPr>
        <w:t>Was the status of publication (i.e. grey literature) used as an inclusion criterion?</w:t>
      </w:r>
    </w:p>
    <w:p w:rsidR="004E59EF" w:rsidRPr="00471F43" w:rsidRDefault="004E59EF" w:rsidP="00B70AFD">
      <w:pPr>
        <w:numPr>
          <w:ilvl w:val="0"/>
          <w:numId w:val="1"/>
        </w:numPr>
        <w:tabs>
          <w:tab w:val="left" w:pos="1708"/>
        </w:tabs>
        <w:spacing w:after="0" w:line="240" w:lineRule="auto"/>
        <w:contextualSpacing/>
        <w:rPr>
          <w:rFonts w:ascii="Times New Roman" w:eastAsia="Times New Roman" w:hAnsi="Times New Roman" w:cs="Times New Roman"/>
          <w:color w:val="000000"/>
          <w:kern w:val="28"/>
          <w:szCs w:val="20"/>
          <w:lang w:val="en-CA" w:eastAsia="en-CA"/>
        </w:rPr>
      </w:pPr>
      <w:r w:rsidRPr="00471F43">
        <w:rPr>
          <w:rFonts w:ascii="Times New Roman" w:eastAsia="Times New Roman" w:hAnsi="Times New Roman" w:cs="Times New Roman"/>
          <w:color w:val="000000"/>
          <w:kern w:val="28"/>
          <w:szCs w:val="20"/>
          <w:lang w:val="en-CA" w:eastAsia="en-CA"/>
        </w:rPr>
        <w:t>Was a list of studies (included and excluded) provided?</w:t>
      </w:r>
      <w:bookmarkStart w:id="22" w:name="_GoBack"/>
      <w:bookmarkEnd w:id="22"/>
    </w:p>
    <w:p w:rsidR="004E59EF" w:rsidRPr="00471F43" w:rsidRDefault="004E59EF" w:rsidP="00B70AFD">
      <w:pPr>
        <w:numPr>
          <w:ilvl w:val="0"/>
          <w:numId w:val="1"/>
        </w:numPr>
        <w:tabs>
          <w:tab w:val="left" w:pos="1708"/>
        </w:tabs>
        <w:spacing w:after="0" w:line="240" w:lineRule="auto"/>
        <w:contextualSpacing/>
        <w:rPr>
          <w:rFonts w:ascii="Times New Roman" w:eastAsia="Times New Roman" w:hAnsi="Times New Roman" w:cs="Times New Roman"/>
          <w:color w:val="000000"/>
          <w:kern w:val="28"/>
          <w:szCs w:val="20"/>
          <w:lang w:val="en-CA" w:eastAsia="en-CA"/>
        </w:rPr>
      </w:pPr>
      <w:r w:rsidRPr="00471F43">
        <w:rPr>
          <w:rFonts w:ascii="Times New Roman" w:eastAsia="Times New Roman" w:hAnsi="Times New Roman" w:cs="Times New Roman"/>
          <w:color w:val="000000"/>
          <w:kern w:val="28"/>
          <w:szCs w:val="20"/>
          <w:lang w:val="en-CA" w:eastAsia="en-CA"/>
        </w:rPr>
        <w:t>Were the characteristics of the included studies provided?</w:t>
      </w:r>
    </w:p>
    <w:p w:rsidR="004E59EF" w:rsidRPr="00471F43" w:rsidRDefault="004E59EF" w:rsidP="00B70AFD">
      <w:pPr>
        <w:numPr>
          <w:ilvl w:val="0"/>
          <w:numId w:val="1"/>
        </w:numPr>
        <w:tabs>
          <w:tab w:val="left" w:pos="1708"/>
        </w:tabs>
        <w:spacing w:after="0" w:line="240" w:lineRule="auto"/>
        <w:contextualSpacing/>
        <w:rPr>
          <w:rFonts w:ascii="Times New Roman" w:eastAsia="Times New Roman" w:hAnsi="Times New Roman" w:cs="Times New Roman"/>
          <w:color w:val="000000"/>
          <w:kern w:val="28"/>
          <w:szCs w:val="20"/>
          <w:lang w:val="en-CA" w:eastAsia="en-CA"/>
        </w:rPr>
      </w:pPr>
      <w:r w:rsidRPr="00471F43">
        <w:rPr>
          <w:rFonts w:ascii="Times New Roman" w:eastAsia="Times New Roman" w:hAnsi="Times New Roman" w:cs="Times New Roman"/>
          <w:color w:val="000000"/>
          <w:kern w:val="28"/>
          <w:szCs w:val="20"/>
          <w:lang w:val="en-CA" w:eastAsia="en-CA"/>
        </w:rPr>
        <w:t>Was the scientific quality of the included studies assessed and documented?</w:t>
      </w:r>
    </w:p>
    <w:p w:rsidR="004E59EF" w:rsidRPr="00471F43" w:rsidRDefault="004E59EF" w:rsidP="00B70AFD">
      <w:pPr>
        <w:numPr>
          <w:ilvl w:val="0"/>
          <w:numId w:val="1"/>
        </w:numPr>
        <w:tabs>
          <w:tab w:val="left" w:pos="1708"/>
        </w:tabs>
        <w:spacing w:after="0" w:line="240" w:lineRule="auto"/>
        <w:contextualSpacing/>
        <w:rPr>
          <w:rFonts w:ascii="Times New Roman" w:eastAsia="Times New Roman" w:hAnsi="Times New Roman" w:cs="Times New Roman"/>
          <w:color w:val="000000"/>
          <w:kern w:val="28"/>
          <w:szCs w:val="20"/>
          <w:lang w:val="en-CA" w:eastAsia="en-CA"/>
        </w:rPr>
      </w:pPr>
      <w:r w:rsidRPr="00471F43">
        <w:rPr>
          <w:rFonts w:ascii="Times New Roman" w:eastAsia="Times New Roman" w:hAnsi="Times New Roman" w:cs="Times New Roman"/>
          <w:color w:val="000000"/>
          <w:kern w:val="28"/>
          <w:szCs w:val="20"/>
          <w:lang w:val="en-CA" w:eastAsia="en-CA"/>
        </w:rPr>
        <w:t>Was the scientific quality of the included studies used appropriately in formulating conclusions?</w:t>
      </w:r>
    </w:p>
    <w:p w:rsidR="004E59EF" w:rsidRPr="00471F43" w:rsidRDefault="004E59EF" w:rsidP="00B70AFD">
      <w:pPr>
        <w:numPr>
          <w:ilvl w:val="0"/>
          <w:numId w:val="1"/>
        </w:numPr>
        <w:tabs>
          <w:tab w:val="left" w:pos="1708"/>
        </w:tabs>
        <w:spacing w:after="0" w:line="240" w:lineRule="auto"/>
        <w:contextualSpacing/>
        <w:rPr>
          <w:rFonts w:ascii="Times New Roman" w:eastAsia="Times New Roman" w:hAnsi="Times New Roman" w:cs="Times New Roman"/>
          <w:color w:val="000000"/>
          <w:kern w:val="28"/>
          <w:szCs w:val="20"/>
          <w:lang w:val="en-CA" w:eastAsia="en-CA"/>
        </w:rPr>
      </w:pPr>
      <w:r w:rsidRPr="00471F43">
        <w:rPr>
          <w:rFonts w:ascii="Times New Roman" w:eastAsia="Times New Roman" w:hAnsi="Times New Roman" w:cs="Times New Roman"/>
          <w:color w:val="000000"/>
          <w:kern w:val="28"/>
          <w:szCs w:val="20"/>
          <w:lang w:val="en-CA" w:eastAsia="en-CA"/>
        </w:rPr>
        <w:t>Were the methods used to combine the findings of studies appropriate?</w:t>
      </w:r>
    </w:p>
    <w:p w:rsidR="004E59EF" w:rsidRPr="00471F43" w:rsidRDefault="004E59EF" w:rsidP="00B70AFD">
      <w:pPr>
        <w:numPr>
          <w:ilvl w:val="0"/>
          <w:numId w:val="1"/>
        </w:numPr>
        <w:tabs>
          <w:tab w:val="left" w:pos="1708"/>
        </w:tabs>
        <w:spacing w:after="0" w:line="240" w:lineRule="auto"/>
        <w:contextualSpacing/>
        <w:rPr>
          <w:rFonts w:ascii="Times New Roman" w:eastAsia="Times New Roman" w:hAnsi="Times New Roman" w:cs="Times New Roman"/>
          <w:color w:val="000000"/>
          <w:kern w:val="28"/>
          <w:szCs w:val="20"/>
          <w:lang w:val="en-CA" w:eastAsia="en-CA"/>
        </w:rPr>
      </w:pPr>
      <w:r w:rsidRPr="00471F43">
        <w:rPr>
          <w:rFonts w:ascii="Times New Roman" w:eastAsia="Times New Roman" w:hAnsi="Times New Roman" w:cs="Times New Roman"/>
          <w:color w:val="000000"/>
          <w:kern w:val="28"/>
          <w:szCs w:val="20"/>
          <w:lang w:val="en-CA" w:eastAsia="en-CA"/>
        </w:rPr>
        <w:t>Was the likelihood of publication bias assessed?</w:t>
      </w:r>
    </w:p>
    <w:p w:rsidR="004E59EF" w:rsidRDefault="004E59EF" w:rsidP="00B70AFD">
      <w:pPr>
        <w:numPr>
          <w:ilvl w:val="0"/>
          <w:numId w:val="1"/>
        </w:numPr>
        <w:tabs>
          <w:tab w:val="left" w:pos="1708"/>
        </w:tabs>
        <w:spacing w:after="0" w:line="240" w:lineRule="auto"/>
        <w:contextualSpacing/>
        <w:rPr>
          <w:rFonts w:ascii="Times New Roman" w:eastAsia="Times New Roman" w:hAnsi="Times New Roman" w:cs="Times New Roman"/>
          <w:color w:val="000000"/>
          <w:kern w:val="28"/>
          <w:szCs w:val="20"/>
          <w:lang w:val="en-CA" w:eastAsia="en-CA"/>
        </w:rPr>
      </w:pPr>
      <w:r w:rsidRPr="00471F43">
        <w:rPr>
          <w:rFonts w:ascii="Times New Roman" w:eastAsia="Times New Roman" w:hAnsi="Times New Roman" w:cs="Times New Roman"/>
          <w:color w:val="000000"/>
          <w:kern w:val="28"/>
          <w:szCs w:val="20"/>
          <w:lang w:val="en-CA" w:eastAsia="en-CA"/>
        </w:rPr>
        <w:t>Was the conflict of interest included?</w:t>
      </w:r>
    </w:p>
    <w:p w:rsidR="00B70AFD" w:rsidRPr="008B6AF8" w:rsidRDefault="008B6AF8" w:rsidP="00B70AFD">
      <w:pPr>
        <w:spacing w:before="120" w:after="0"/>
        <w:rPr>
          <w:rFonts w:ascii="Times New Roman" w:hAnsi="Times New Roman" w:cs="Times New Roman"/>
          <w:i/>
          <w:noProof/>
          <w:szCs w:val="20"/>
          <w:lang w:val="en-CA" w:eastAsia="en-CA"/>
        </w:rPr>
      </w:pPr>
      <w:r w:rsidRPr="008B6AF8">
        <w:rPr>
          <w:i/>
        </w:rPr>
        <w:t>Assessed</w:t>
      </w:r>
      <w:r w:rsidR="00B70AFD" w:rsidRPr="008B6AF8">
        <w:rPr>
          <w:i/>
        </w:rPr>
        <w:t xml:space="preserve"> based on guidance provided on: </w:t>
      </w:r>
      <w:hyperlink r:id="rId14" w:history="1">
        <w:r w:rsidR="00B70AFD" w:rsidRPr="008B6AF8">
          <w:rPr>
            <w:rStyle w:val="Hyperlink"/>
            <w:rFonts w:ascii="Times New Roman" w:hAnsi="Times New Roman" w:cs="Times New Roman"/>
            <w:i/>
            <w:noProof/>
            <w:szCs w:val="20"/>
            <w:lang w:val="en-CA" w:eastAsia="en-CA"/>
          </w:rPr>
          <w:t>https://amstar.ca/Amstar_Checklist.php</w:t>
        </w:r>
      </w:hyperlink>
    </w:p>
    <w:p w:rsidR="00B70AFD" w:rsidRDefault="00B70AFD" w:rsidP="008B1C60">
      <w:pPr>
        <w:tabs>
          <w:tab w:val="left" w:pos="1708"/>
        </w:tabs>
        <w:spacing w:after="0" w:line="240" w:lineRule="auto"/>
        <w:contextualSpacing/>
        <w:rPr>
          <w:rFonts w:ascii="Times New Roman" w:eastAsia="Times New Roman" w:hAnsi="Times New Roman" w:cs="Times New Roman"/>
          <w:color w:val="000000"/>
          <w:kern w:val="28"/>
          <w:szCs w:val="20"/>
          <w:lang w:val="en-CA" w:eastAsia="en-CA"/>
        </w:rPr>
        <w:sectPr w:rsidR="00B70AFD" w:rsidSect="0038188A">
          <w:headerReference w:type="default" r:id="rId15"/>
          <w:pgSz w:w="15840" w:h="12240" w:orient="landscape"/>
          <w:pgMar w:top="1080" w:right="1440" w:bottom="1080" w:left="1440" w:header="720" w:footer="720" w:gutter="0"/>
          <w:cols w:space="720"/>
          <w:docGrid w:linePitch="360"/>
        </w:sectPr>
      </w:pPr>
    </w:p>
    <w:p w:rsidR="00C834A9" w:rsidRDefault="00C834A9" w:rsidP="0038188A">
      <w:pPr>
        <w:pStyle w:val="Heading1"/>
      </w:pPr>
      <w:r>
        <w:lastRenderedPageBreak/>
        <w:t>Appendix 9. Correlation between review duration and AMSTAR quality</w:t>
      </w:r>
    </w:p>
    <w:p w:rsidR="00671C75" w:rsidRDefault="00C834A9">
      <w:pPr>
        <w:rPr>
          <w:rFonts w:ascii="Times New Roman" w:eastAsiaTheme="majorEastAsia" w:hAnsi="Times New Roman" w:cs="Times New Roman"/>
          <w:b/>
          <w:bCs/>
          <w:sz w:val="28"/>
          <w:szCs w:val="28"/>
        </w:rPr>
        <w:sectPr w:rsidR="00671C75" w:rsidSect="0038188A">
          <w:pgSz w:w="15840" w:h="12240" w:orient="landscape"/>
          <w:pgMar w:top="1080" w:right="1440" w:bottom="1080" w:left="1440" w:header="720" w:footer="720" w:gutter="0"/>
          <w:cols w:space="720"/>
          <w:docGrid w:linePitch="360"/>
        </w:sectPr>
      </w:pPr>
      <w:r>
        <w:rPr>
          <w:noProof/>
        </w:rPr>
        <w:drawing>
          <wp:inline distT="0" distB="0" distL="0" distR="0" wp14:anchorId="05FF9AB2" wp14:editId="39DE4720">
            <wp:extent cx="7386452" cy="4476998"/>
            <wp:effectExtent l="0" t="0" r="2413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8188A" w:rsidRPr="00C1780A" w:rsidRDefault="0038188A" w:rsidP="0038188A">
      <w:pPr>
        <w:pStyle w:val="Heading1"/>
      </w:pPr>
      <w:r>
        <w:lastRenderedPageBreak/>
        <w:t xml:space="preserve">Appendix </w:t>
      </w:r>
      <w:r w:rsidR="00E408E0">
        <w:t>10</w:t>
      </w:r>
      <w:r w:rsidRPr="00C1780A">
        <w:t>. AMSTAR quality overtime</w:t>
      </w:r>
    </w:p>
    <w:p w:rsidR="0038188A" w:rsidRPr="00C1780A" w:rsidRDefault="0038188A" w:rsidP="0038188A">
      <w:pPr>
        <w:spacing w:after="0"/>
        <w:rPr>
          <w:rFonts w:ascii="Times New Roman" w:hAnsi="Times New Roman" w:cs="Times New Roman"/>
        </w:rPr>
      </w:pPr>
      <w:r>
        <w:rPr>
          <w:rFonts w:ascii="Times New Roman" w:hAnsi="Times New Roman" w:cs="Times New Roman"/>
          <w:noProof/>
        </w:rPr>
        <w:drawing>
          <wp:inline distT="0" distB="0" distL="0" distR="0" wp14:anchorId="088AF374" wp14:editId="55AA4EFA">
            <wp:extent cx="8257032" cy="4572000"/>
            <wp:effectExtent l="0" t="0" r="0" b="0"/>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25000"/>
                              </a14:imgEffect>
                              <a14:imgEffect>
                                <a14:saturation sat="20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8257032" cy="4572000"/>
                    </a:xfrm>
                    <a:prstGeom prst="rect">
                      <a:avLst/>
                    </a:prstGeom>
                    <a:noFill/>
                  </pic:spPr>
                </pic:pic>
              </a:graphicData>
            </a:graphic>
          </wp:inline>
        </w:drawing>
      </w:r>
    </w:p>
    <w:p w:rsidR="00F1330D" w:rsidRDefault="00F1330D">
      <w:pPr>
        <w:rPr>
          <w:rFonts w:ascii="Times New Roman" w:eastAsiaTheme="majorEastAsia" w:hAnsi="Times New Roman" w:cs="Times New Roman"/>
          <w:b/>
          <w:bCs/>
          <w:sz w:val="28"/>
          <w:szCs w:val="28"/>
        </w:rPr>
      </w:pPr>
    </w:p>
    <w:sectPr w:rsidR="00F1330D" w:rsidSect="0038188A">
      <w:pgSz w:w="15840" w:h="12240" w:orient="landscape"/>
      <w:pgMar w:top="1080" w:right="1440" w:bottom="108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3C5490" w15:done="0"/>
  <w15:commentEx w15:paraId="325237A4" w15:done="0"/>
  <w15:commentEx w15:paraId="49DDB96B" w15:done="0"/>
  <w15:commentEx w15:paraId="00880032" w15:done="0"/>
  <w15:commentEx w15:paraId="0D67785D" w15:done="0"/>
  <w15:commentEx w15:paraId="7ECA4812" w15:done="0"/>
  <w15:commentEx w15:paraId="7DE0DC32" w15:done="0"/>
  <w15:commentEx w15:paraId="7476640B" w15:done="0"/>
  <w15:commentEx w15:paraId="727C7207" w15:done="0"/>
  <w15:commentEx w15:paraId="3A3DED32" w15:done="0"/>
  <w15:commentEx w15:paraId="509D390A" w15:done="0"/>
  <w15:commentEx w15:paraId="7DFDEF4C" w15:done="0"/>
  <w15:commentEx w15:paraId="5884DD63" w15:done="0"/>
  <w15:commentEx w15:paraId="2B889305" w15:done="0"/>
  <w15:commentEx w15:paraId="64043CDF" w15:done="0"/>
  <w15:commentEx w15:paraId="6FF1CB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BC2" w:rsidRDefault="00FE4BC2">
      <w:pPr>
        <w:spacing w:after="0" w:line="240" w:lineRule="auto"/>
      </w:pPr>
      <w:r>
        <w:separator/>
      </w:r>
    </w:p>
  </w:endnote>
  <w:endnote w:type="continuationSeparator" w:id="0">
    <w:p w:rsidR="00FE4BC2" w:rsidRDefault="00FE4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499137"/>
      <w:docPartObj>
        <w:docPartGallery w:val="Page Numbers (Bottom of Page)"/>
        <w:docPartUnique/>
      </w:docPartObj>
    </w:sdtPr>
    <w:sdtEndPr>
      <w:rPr>
        <w:noProof/>
        <w:sz w:val="20"/>
      </w:rPr>
    </w:sdtEndPr>
    <w:sdtContent>
      <w:p w:rsidR="00FE4BC2" w:rsidRPr="006B3C92" w:rsidRDefault="00FE4BC2">
        <w:pPr>
          <w:pStyle w:val="Footer"/>
          <w:jc w:val="right"/>
          <w:rPr>
            <w:sz w:val="20"/>
          </w:rPr>
        </w:pPr>
        <w:r w:rsidRPr="006B3C92">
          <w:rPr>
            <w:sz w:val="20"/>
          </w:rPr>
          <w:fldChar w:fldCharType="begin"/>
        </w:r>
        <w:r w:rsidRPr="006B3C92">
          <w:rPr>
            <w:sz w:val="20"/>
          </w:rPr>
          <w:instrText xml:space="preserve"> PAGE   \* MERGEFORMAT </w:instrText>
        </w:r>
        <w:r w:rsidRPr="006B3C92">
          <w:rPr>
            <w:sz w:val="20"/>
          </w:rPr>
          <w:fldChar w:fldCharType="separate"/>
        </w:r>
        <w:r w:rsidR="008B6AF8">
          <w:rPr>
            <w:noProof/>
            <w:sz w:val="20"/>
          </w:rPr>
          <w:t>35</w:t>
        </w:r>
        <w:r w:rsidRPr="006B3C92">
          <w:rPr>
            <w:noProof/>
            <w:sz w:val="20"/>
          </w:rPr>
          <w:fldChar w:fldCharType="end"/>
        </w:r>
      </w:p>
    </w:sdtContent>
  </w:sdt>
  <w:p w:rsidR="00FE4BC2" w:rsidRDefault="00FE4B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BC2" w:rsidRDefault="00FE4BC2">
      <w:pPr>
        <w:spacing w:after="0" w:line="240" w:lineRule="auto"/>
      </w:pPr>
      <w:r>
        <w:separator/>
      </w:r>
    </w:p>
  </w:footnote>
  <w:footnote w:type="continuationSeparator" w:id="0">
    <w:p w:rsidR="00FE4BC2" w:rsidRDefault="00FE4BC2">
      <w:pPr>
        <w:spacing w:after="0" w:line="240" w:lineRule="auto"/>
      </w:pPr>
      <w:r>
        <w:continuationSeparator/>
      </w:r>
    </w:p>
  </w:footnote>
  <w:footnote w:id="1">
    <w:p w:rsidR="00F94503" w:rsidRPr="00F94503" w:rsidRDefault="00F94503" w:rsidP="00F94503">
      <w:pPr>
        <w:pStyle w:val="FootnoteText"/>
        <w:rPr>
          <w:rFonts w:ascii="Times New Roman" w:hAnsi="Times New Roman" w:cs="Times New Roman"/>
        </w:rPr>
      </w:pPr>
      <w:r w:rsidRPr="00F94503">
        <w:rPr>
          <w:rStyle w:val="FootnoteReference"/>
          <w:rFonts w:ascii="Times New Roman" w:hAnsi="Times New Roman" w:cs="Times New Roman"/>
        </w:rPr>
        <w:footnoteRef/>
      </w:r>
      <w:r w:rsidRPr="00F94503">
        <w:rPr>
          <w:rFonts w:ascii="Times New Roman" w:hAnsi="Times New Roman" w:cs="Times New Roman"/>
        </w:rPr>
        <w:t xml:space="preserve"> </w:t>
      </w:r>
      <w:proofErr w:type="spellStart"/>
      <w:r w:rsidRPr="00F94503">
        <w:rPr>
          <w:rFonts w:ascii="Times New Roman" w:hAnsi="Times New Roman" w:cs="Times New Roman"/>
        </w:rPr>
        <w:t>Nikolakopoulou</w:t>
      </w:r>
      <w:proofErr w:type="spellEnd"/>
      <w:r w:rsidRPr="00F94503">
        <w:rPr>
          <w:rFonts w:ascii="Times New Roman" w:hAnsi="Times New Roman" w:cs="Times New Roman"/>
        </w:rPr>
        <w:t xml:space="preserve"> A, </w:t>
      </w:r>
      <w:proofErr w:type="spellStart"/>
      <w:r w:rsidRPr="00F94503">
        <w:rPr>
          <w:rFonts w:ascii="Times New Roman" w:hAnsi="Times New Roman" w:cs="Times New Roman"/>
        </w:rPr>
        <w:t>Chaimani</w:t>
      </w:r>
      <w:proofErr w:type="spellEnd"/>
      <w:r w:rsidRPr="00F94503">
        <w:rPr>
          <w:rFonts w:ascii="Times New Roman" w:hAnsi="Times New Roman" w:cs="Times New Roman"/>
        </w:rPr>
        <w:t xml:space="preserve"> A, </w:t>
      </w:r>
      <w:proofErr w:type="spellStart"/>
      <w:r w:rsidRPr="00F94503">
        <w:rPr>
          <w:rFonts w:ascii="Times New Roman" w:hAnsi="Times New Roman" w:cs="Times New Roman"/>
        </w:rPr>
        <w:t>Veroniki</w:t>
      </w:r>
      <w:proofErr w:type="spellEnd"/>
      <w:r w:rsidRPr="00F94503">
        <w:rPr>
          <w:rFonts w:ascii="Times New Roman" w:hAnsi="Times New Roman" w:cs="Times New Roman"/>
        </w:rPr>
        <w:t xml:space="preserve"> AA, </w:t>
      </w:r>
      <w:proofErr w:type="spellStart"/>
      <w:r w:rsidRPr="00F94503">
        <w:rPr>
          <w:rFonts w:ascii="Times New Roman" w:hAnsi="Times New Roman" w:cs="Times New Roman"/>
        </w:rPr>
        <w:t>Vasiliadis</w:t>
      </w:r>
      <w:proofErr w:type="spellEnd"/>
      <w:r w:rsidRPr="00F94503">
        <w:rPr>
          <w:rFonts w:ascii="Times New Roman" w:hAnsi="Times New Roman" w:cs="Times New Roman"/>
        </w:rPr>
        <w:t xml:space="preserve"> HS, </w:t>
      </w:r>
      <w:proofErr w:type="spellStart"/>
      <w:r w:rsidRPr="00F94503">
        <w:rPr>
          <w:rFonts w:ascii="Times New Roman" w:hAnsi="Times New Roman" w:cs="Times New Roman"/>
        </w:rPr>
        <w:t>Schmid</w:t>
      </w:r>
      <w:proofErr w:type="spellEnd"/>
      <w:r w:rsidRPr="00F94503">
        <w:rPr>
          <w:rFonts w:ascii="Times New Roman" w:hAnsi="Times New Roman" w:cs="Times New Roman"/>
        </w:rPr>
        <w:t xml:space="preserve"> CH, </w:t>
      </w:r>
      <w:proofErr w:type="spellStart"/>
      <w:r w:rsidRPr="00F94503">
        <w:rPr>
          <w:rFonts w:ascii="Times New Roman" w:hAnsi="Times New Roman" w:cs="Times New Roman"/>
        </w:rPr>
        <w:t>Salanti</w:t>
      </w:r>
      <w:proofErr w:type="spellEnd"/>
      <w:r w:rsidRPr="00F94503">
        <w:rPr>
          <w:rFonts w:ascii="Times New Roman" w:hAnsi="Times New Roman" w:cs="Times New Roman"/>
        </w:rPr>
        <w:t xml:space="preserve"> G. Characteristics of networks of interventions: a description of a database of 186 published networks. </w:t>
      </w:r>
      <w:proofErr w:type="spellStart"/>
      <w:r w:rsidRPr="00F94503">
        <w:rPr>
          <w:rFonts w:ascii="Times New Roman" w:hAnsi="Times New Roman" w:cs="Times New Roman"/>
        </w:rPr>
        <w:t>PLoS</w:t>
      </w:r>
      <w:proofErr w:type="spellEnd"/>
      <w:r w:rsidRPr="00F94503">
        <w:rPr>
          <w:rFonts w:ascii="Times New Roman" w:hAnsi="Times New Roman" w:cs="Times New Roman"/>
        </w:rPr>
        <w:t xml:space="preserve"> One. 2014 Jan 22;9(1):e86754.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BC2" w:rsidRDefault="00FE4B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81DC9"/>
    <w:multiLevelType w:val="hybridMultilevel"/>
    <w:tmpl w:val="9AF060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49C4B43"/>
    <w:multiLevelType w:val="hybridMultilevel"/>
    <w:tmpl w:val="1C983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B85584"/>
    <w:multiLevelType w:val="hybridMultilevel"/>
    <w:tmpl w:val="FACC1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4B9A11A3"/>
    <w:multiLevelType w:val="hybridMultilevel"/>
    <w:tmpl w:val="C7CE9E0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4E026AEC"/>
    <w:multiLevelType w:val="hybridMultilevel"/>
    <w:tmpl w:val="6596C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lanti Georgia">
    <w15:presenceInfo w15:providerId="AD" w15:userId="S-1-5-21-3646812789-412261960-844357938-166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_BMC MED_Rapid Review N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25r2r50s9vvfxe5x0spf5rws59ws5apvzxv&quot;&gt;Rapid Review NMA Jan 2016&lt;record-ids&gt;&lt;item&gt;608&lt;/item&gt;&lt;item&gt;645&lt;/item&gt;&lt;item&gt;646&lt;/item&gt;&lt;item&gt;647&lt;/item&gt;&lt;item&gt;648&lt;/item&gt;&lt;item&gt;649&lt;/item&gt;&lt;item&gt;650&lt;/item&gt;&lt;item&gt;654&lt;/item&gt;&lt;item&gt;677&lt;/item&gt;&lt;item&gt;691&lt;/item&gt;&lt;item&gt;713&lt;/item&gt;&lt;item&gt;718&lt;/item&gt;&lt;item&gt;720&lt;/item&gt;&lt;item&gt;761&lt;/item&gt;&lt;item&gt;773&lt;/item&gt;&lt;item&gt;774&lt;/item&gt;&lt;item&gt;775&lt;/item&gt;&lt;item&gt;776&lt;/item&gt;&lt;item&gt;777&lt;/item&gt;&lt;item&gt;778&lt;/item&gt;&lt;item&gt;779&lt;/item&gt;&lt;item&gt;780&lt;/item&gt;&lt;/record-ids&gt;&lt;/item&gt;&lt;/Libraries&gt;"/>
  </w:docVars>
  <w:rsids>
    <w:rsidRoot w:val="00E91F9C"/>
    <w:rsid w:val="00003837"/>
    <w:rsid w:val="00021C43"/>
    <w:rsid w:val="00044C5B"/>
    <w:rsid w:val="00051ADA"/>
    <w:rsid w:val="000718C5"/>
    <w:rsid w:val="000720A2"/>
    <w:rsid w:val="0009083E"/>
    <w:rsid w:val="000C68E0"/>
    <w:rsid w:val="000D55B7"/>
    <w:rsid w:val="000E6E31"/>
    <w:rsid w:val="000E7CA6"/>
    <w:rsid w:val="000F41A4"/>
    <w:rsid w:val="0010709A"/>
    <w:rsid w:val="00112D99"/>
    <w:rsid w:val="0012028C"/>
    <w:rsid w:val="0013775C"/>
    <w:rsid w:val="00161532"/>
    <w:rsid w:val="00163B1D"/>
    <w:rsid w:val="00195DED"/>
    <w:rsid w:val="001B398F"/>
    <w:rsid w:val="001C45BF"/>
    <w:rsid w:val="001E26FA"/>
    <w:rsid w:val="001F02E7"/>
    <w:rsid w:val="001F6A90"/>
    <w:rsid w:val="00214B4D"/>
    <w:rsid w:val="002422F8"/>
    <w:rsid w:val="00263569"/>
    <w:rsid w:val="0027775A"/>
    <w:rsid w:val="002A0A20"/>
    <w:rsid w:val="002D6C43"/>
    <w:rsid w:val="002E11C2"/>
    <w:rsid w:val="003011A6"/>
    <w:rsid w:val="0030687F"/>
    <w:rsid w:val="00311B89"/>
    <w:rsid w:val="003363E0"/>
    <w:rsid w:val="0033702B"/>
    <w:rsid w:val="00357112"/>
    <w:rsid w:val="00375151"/>
    <w:rsid w:val="0038188A"/>
    <w:rsid w:val="0038240D"/>
    <w:rsid w:val="003919A9"/>
    <w:rsid w:val="003C3E6B"/>
    <w:rsid w:val="003D22B6"/>
    <w:rsid w:val="0041234D"/>
    <w:rsid w:val="00471F43"/>
    <w:rsid w:val="004B3953"/>
    <w:rsid w:val="004C5D0B"/>
    <w:rsid w:val="004E59EF"/>
    <w:rsid w:val="00515D92"/>
    <w:rsid w:val="00517DC2"/>
    <w:rsid w:val="00541841"/>
    <w:rsid w:val="00544294"/>
    <w:rsid w:val="005460F6"/>
    <w:rsid w:val="00585BA9"/>
    <w:rsid w:val="005B1164"/>
    <w:rsid w:val="005D2D7D"/>
    <w:rsid w:val="005F39FC"/>
    <w:rsid w:val="00602E0E"/>
    <w:rsid w:val="00635A11"/>
    <w:rsid w:val="0064180D"/>
    <w:rsid w:val="006565D9"/>
    <w:rsid w:val="00656A66"/>
    <w:rsid w:val="00661777"/>
    <w:rsid w:val="00671C75"/>
    <w:rsid w:val="00690735"/>
    <w:rsid w:val="006C5450"/>
    <w:rsid w:val="006E05E2"/>
    <w:rsid w:val="006F503B"/>
    <w:rsid w:val="00712A99"/>
    <w:rsid w:val="00723816"/>
    <w:rsid w:val="00737255"/>
    <w:rsid w:val="007507EC"/>
    <w:rsid w:val="007952E4"/>
    <w:rsid w:val="00797239"/>
    <w:rsid w:val="007A25A2"/>
    <w:rsid w:val="007A3A41"/>
    <w:rsid w:val="007A59D3"/>
    <w:rsid w:val="007B19A6"/>
    <w:rsid w:val="007F3788"/>
    <w:rsid w:val="00813C01"/>
    <w:rsid w:val="00840AFD"/>
    <w:rsid w:val="00884A91"/>
    <w:rsid w:val="00893DD5"/>
    <w:rsid w:val="00897DE1"/>
    <w:rsid w:val="008A5928"/>
    <w:rsid w:val="008B1C60"/>
    <w:rsid w:val="008B45B5"/>
    <w:rsid w:val="008B6AF8"/>
    <w:rsid w:val="008E4A10"/>
    <w:rsid w:val="008F76BC"/>
    <w:rsid w:val="00900CFF"/>
    <w:rsid w:val="00913B5B"/>
    <w:rsid w:val="00962B3A"/>
    <w:rsid w:val="009802A6"/>
    <w:rsid w:val="009B6023"/>
    <w:rsid w:val="009D4095"/>
    <w:rsid w:val="00A5185D"/>
    <w:rsid w:val="00A6049A"/>
    <w:rsid w:val="00A8750A"/>
    <w:rsid w:val="00A913F4"/>
    <w:rsid w:val="00A97481"/>
    <w:rsid w:val="00AB10AB"/>
    <w:rsid w:val="00B25573"/>
    <w:rsid w:val="00B52A4E"/>
    <w:rsid w:val="00B60287"/>
    <w:rsid w:val="00B679CB"/>
    <w:rsid w:val="00B70AFD"/>
    <w:rsid w:val="00B82FF1"/>
    <w:rsid w:val="00B87E06"/>
    <w:rsid w:val="00BD4DFF"/>
    <w:rsid w:val="00BE0B90"/>
    <w:rsid w:val="00BF3322"/>
    <w:rsid w:val="00C1780A"/>
    <w:rsid w:val="00C17EE5"/>
    <w:rsid w:val="00C34FAA"/>
    <w:rsid w:val="00C446F5"/>
    <w:rsid w:val="00C6491E"/>
    <w:rsid w:val="00C834A9"/>
    <w:rsid w:val="00CA7A63"/>
    <w:rsid w:val="00D05024"/>
    <w:rsid w:val="00D078B2"/>
    <w:rsid w:val="00D1407F"/>
    <w:rsid w:val="00D33AB5"/>
    <w:rsid w:val="00D619A1"/>
    <w:rsid w:val="00D6261D"/>
    <w:rsid w:val="00D81236"/>
    <w:rsid w:val="00D9490F"/>
    <w:rsid w:val="00D959B6"/>
    <w:rsid w:val="00DE18F5"/>
    <w:rsid w:val="00DE777B"/>
    <w:rsid w:val="00E0004D"/>
    <w:rsid w:val="00E03BA8"/>
    <w:rsid w:val="00E22E6E"/>
    <w:rsid w:val="00E408E0"/>
    <w:rsid w:val="00E47DBD"/>
    <w:rsid w:val="00E54096"/>
    <w:rsid w:val="00E56FDD"/>
    <w:rsid w:val="00E73AE6"/>
    <w:rsid w:val="00E80AE8"/>
    <w:rsid w:val="00E91F9C"/>
    <w:rsid w:val="00EA43FF"/>
    <w:rsid w:val="00EB0729"/>
    <w:rsid w:val="00EC56DB"/>
    <w:rsid w:val="00ED7FA7"/>
    <w:rsid w:val="00EF0F03"/>
    <w:rsid w:val="00F06DA8"/>
    <w:rsid w:val="00F1330D"/>
    <w:rsid w:val="00F45EA8"/>
    <w:rsid w:val="00F51E0C"/>
    <w:rsid w:val="00F60E76"/>
    <w:rsid w:val="00F87B44"/>
    <w:rsid w:val="00F94503"/>
    <w:rsid w:val="00FC105B"/>
    <w:rsid w:val="00FC7DFD"/>
    <w:rsid w:val="00FD510E"/>
    <w:rsid w:val="00FE4B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F9C"/>
  </w:style>
  <w:style w:type="paragraph" w:styleId="Heading1">
    <w:name w:val="heading 1"/>
    <w:basedOn w:val="Normal"/>
    <w:next w:val="Normal"/>
    <w:link w:val="Heading1Char"/>
    <w:qFormat/>
    <w:rsid w:val="00E91F9C"/>
    <w:pPr>
      <w:keepNext/>
      <w:keepLines/>
      <w:spacing w:after="240"/>
      <w:outlineLvl w:val="0"/>
    </w:pPr>
    <w:rPr>
      <w:rFonts w:ascii="Times New Roman" w:eastAsiaTheme="majorEastAsia" w:hAnsi="Times New Roman" w:cs="Times New Roman"/>
      <w:b/>
      <w:bCs/>
      <w:sz w:val="28"/>
      <w:szCs w:val="28"/>
    </w:rPr>
  </w:style>
  <w:style w:type="paragraph" w:styleId="Heading2">
    <w:name w:val="heading 2"/>
    <w:basedOn w:val="Normal"/>
    <w:next w:val="Normal"/>
    <w:link w:val="Heading2Char"/>
    <w:uiPriority w:val="9"/>
    <w:unhideWhenUsed/>
    <w:qFormat/>
    <w:rsid w:val="004B3953"/>
    <w:pPr>
      <w:keepNext/>
      <w:keepLines/>
      <w:spacing w:before="200" w:after="0"/>
      <w:outlineLvl w:val="1"/>
    </w:pPr>
    <w:rPr>
      <w:rFonts w:ascii="Times New Roman" w:eastAsiaTheme="majorEastAsia" w:hAnsi="Times New Roman" w:cs="Times New Roman"/>
      <w:b/>
      <w:bCs/>
      <w:sz w:val="24"/>
      <w:szCs w:val="24"/>
    </w:rPr>
  </w:style>
  <w:style w:type="paragraph" w:styleId="Heading4">
    <w:name w:val="heading 4"/>
    <w:basedOn w:val="Normal"/>
    <w:next w:val="Normal"/>
    <w:link w:val="Heading4Char"/>
    <w:uiPriority w:val="9"/>
    <w:semiHidden/>
    <w:unhideWhenUsed/>
    <w:qFormat/>
    <w:rsid w:val="008B1C6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1F9C"/>
    <w:rPr>
      <w:rFonts w:ascii="Times New Roman" w:eastAsiaTheme="majorEastAsia" w:hAnsi="Times New Roman" w:cs="Times New Roman"/>
      <w:b/>
      <w:bCs/>
      <w:sz w:val="28"/>
      <w:szCs w:val="28"/>
    </w:rPr>
  </w:style>
  <w:style w:type="paragraph" w:styleId="PlainText">
    <w:name w:val="Plain Text"/>
    <w:basedOn w:val="Normal"/>
    <w:link w:val="PlainTextChar"/>
    <w:uiPriority w:val="99"/>
    <w:semiHidden/>
    <w:unhideWhenUsed/>
    <w:rsid w:val="00E91F9C"/>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E91F9C"/>
    <w:rPr>
      <w:rFonts w:ascii="Calibri" w:hAnsi="Calibri" w:cs="Times New Roman"/>
    </w:rPr>
  </w:style>
  <w:style w:type="character" w:customStyle="1" w:styleId="Heading2Char">
    <w:name w:val="Heading 2 Char"/>
    <w:basedOn w:val="DefaultParagraphFont"/>
    <w:link w:val="Heading2"/>
    <w:uiPriority w:val="9"/>
    <w:rsid w:val="004B3953"/>
    <w:rPr>
      <w:rFonts w:ascii="Times New Roman" w:eastAsiaTheme="majorEastAsia" w:hAnsi="Times New Roman" w:cs="Times New Roman"/>
      <w:b/>
      <w:bCs/>
      <w:sz w:val="24"/>
      <w:szCs w:val="24"/>
    </w:rPr>
  </w:style>
  <w:style w:type="paragraph" w:customStyle="1" w:styleId="EndNoteBibliography">
    <w:name w:val="EndNote Bibliography"/>
    <w:basedOn w:val="Normal"/>
    <w:link w:val="EndNoteBibliographyChar"/>
    <w:qFormat/>
    <w:rsid w:val="00F45EA8"/>
    <w:pPr>
      <w:spacing w:line="240" w:lineRule="auto"/>
    </w:pPr>
    <w:rPr>
      <w:rFonts w:ascii="Calibri" w:hAnsi="Calibri" w:cs="Times New Roman"/>
      <w:noProof/>
    </w:rPr>
  </w:style>
  <w:style w:type="character" w:customStyle="1" w:styleId="EndNoteBibliographyChar">
    <w:name w:val="EndNote Bibliography Char"/>
    <w:basedOn w:val="DefaultParagraphFont"/>
    <w:link w:val="EndNoteBibliography"/>
    <w:rsid w:val="00F45EA8"/>
    <w:rPr>
      <w:rFonts w:ascii="Calibri" w:hAnsi="Calibri" w:cs="Times New Roman"/>
      <w:noProof/>
    </w:rPr>
  </w:style>
  <w:style w:type="character" w:styleId="CommentReference">
    <w:name w:val="annotation reference"/>
    <w:uiPriority w:val="99"/>
    <w:rsid w:val="00F45EA8"/>
    <w:rPr>
      <w:sz w:val="16"/>
      <w:szCs w:val="16"/>
    </w:rPr>
  </w:style>
  <w:style w:type="paragraph" w:styleId="CommentText">
    <w:name w:val="annotation text"/>
    <w:basedOn w:val="Normal"/>
    <w:link w:val="CommentTextChar"/>
    <w:uiPriority w:val="99"/>
    <w:rsid w:val="00F45EA8"/>
    <w:pPr>
      <w:spacing w:after="0" w:line="240" w:lineRule="auto"/>
    </w:pPr>
    <w:rPr>
      <w:rFonts w:ascii="Times New Roman" w:eastAsia="Times New Roman" w:hAnsi="Times New Roman" w:cs="Times New Roman"/>
      <w:color w:val="000000"/>
      <w:kern w:val="28"/>
      <w:sz w:val="20"/>
      <w:szCs w:val="20"/>
      <w:lang w:val="en-CA" w:eastAsia="en-CA"/>
    </w:rPr>
  </w:style>
  <w:style w:type="character" w:customStyle="1" w:styleId="CommentTextChar">
    <w:name w:val="Comment Text Char"/>
    <w:basedOn w:val="DefaultParagraphFont"/>
    <w:link w:val="CommentText"/>
    <w:uiPriority w:val="99"/>
    <w:rsid w:val="00F45EA8"/>
    <w:rPr>
      <w:rFonts w:ascii="Times New Roman" w:eastAsia="Times New Roman" w:hAnsi="Times New Roman" w:cs="Times New Roman"/>
      <w:color w:val="000000"/>
      <w:kern w:val="28"/>
      <w:sz w:val="20"/>
      <w:szCs w:val="20"/>
      <w:lang w:val="en-CA" w:eastAsia="en-CA"/>
    </w:rPr>
  </w:style>
  <w:style w:type="paragraph" w:styleId="BalloonText">
    <w:name w:val="Balloon Text"/>
    <w:basedOn w:val="Normal"/>
    <w:link w:val="BalloonTextChar"/>
    <w:uiPriority w:val="99"/>
    <w:semiHidden/>
    <w:unhideWhenUsed/>
    <w:rsid w:val="00F45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EA8"/>
    <w:rPr>
      <w:rFonts w:ascii="Tahoma" w:hAnsi="Tahoma" w:cs="Tahoma"/>
      <w:sz w:val="16"/>
      <w:szCs w:val="16"/>
    </w:rPr>
  </w:style>
  <w:style w:type="paragraph" w:customStyle="1" w:styleId="EndNoteBibliographyTitle">
    <w:name w:val="EndNote Bibliography Title"/>
    <w:basedOn w:val="Normal"/>
    <w:link w:val="EndNoteBibliographyTitleChar"/>
    <w:rsid w:val="00F45EA8"/>
    <w:pPr>
      <w:spacing w:after="0"/>
      <w:jc w:val="center"/>
    </w:pPr>
    <w:rPr>
      <w:rFonts w:ascii="Calibri" w:hAnsi="Calibri" w:cs="Times New Roman"/>
      <w:noProof/>
    </w:rPr>
  </w:style>
  <w:style w:type="character" w:customStyle="1" w:styleId="EndNoteBibliographyTitleChar">
    <w:name w:val="EndNote Bibliography Title Char"/>
    <w:basedOn w:val="DefaultParagraphFont"/>
    <w:link w:val="EndNoteBibliographyTitle"/>
    <w:rsid w:val="00F45EA8"/>
    <w:rPr>
      <w:rFonts w:ascii="Calibri" w:hAnsi="Calibri" w:cs="Times New Roman"/>
      <w:noProof/>
    </w:rPr>
  </w:style>
  <w:style w:type="paragraph" w:styleId="Header">
    <w:name w:val="header"/>
    <w:basedOn w:val="Normal"/>
    <w:link w:val="HeaderChar"/>
    <w:uiPriority w:val="99"/>
    <w:unhideWhenUsed/>
    <w:rsid w:val="00F45EA8"/>
    <w:pPr>
      <w:tabs>
        <w:tab w:val="center" w:pos="4680"/>
        <w:tab w:val="right" w:pos="9360"/>
      </w:tabs>
      <w:spacing w:after="0" w:line="240" w:lineRule="auto"/>
    </w:pPr>
    <w:rPr>
      <w:rFonts w:ascii="Times New Roman" w:hAnsi="Times New Roman" w:cs="Times New Roman"/>
    </w:rPr>
  </w:style>
  <w:style w:type="character" w:customStyle="1" w:styleId="HeaderChar">
    <w:name w:val="Header Char"/>
    <w:basedOn w:val="DefaultParagraphFont"/>
    <w:link w:val="Header"/>
    <w:uiPriority w:val="99"/>
    <w:rsid w:val="00F45EA8"/>
    <w:rPr>
      <w:rFonts w:ascii="Times New Roman" w:hAnsi="Times New Roman" w:cs="Times New Roman"/>
    </w:rPr>
  </w:style>
  <w:style w:type="paragraph" w:styleId="Footer">
    <w:name w:val="footer"/>
    <w:basedOn w:val="Normal"/>
    <w:link w:val="FooterChar"/>
    <w:uiPriority w:val="99"/>
    <w:unhideWhenUsed/>
    <w:rsid w:val="00F45EA8"/>
    <w:pPr>
      <w:tabs>
        <w:tab w:val="center" w:pos="4680"/>
        <w:tab w:val="right" w:pos="9360"/>
      </w:tabs>
      <w:spacing w:after="0" w:line="240" w:lineRule="auto"/>
    </w:pPr>
    <w:rPr>
      <w:rFonts w:ascii="Times New Roman" w:hAnsi="Times New Roman" w:cs="Times New Roman"/>
    </w:rPr>
  </w:style>
  <w:style w:type="character" w:customStyle="1" w:styleId="FooterChar">
    <w:name w:val="Footer Char"/>
    <w:basedOn w:val="DefaultParagraphFont"/>
    <w:link w:val="Footer"/>
    <w:uiPriority w:val="99"/>
    <w:rsid w:val="00F45EA8"/>
    <w:rPr>
      <w:rFonts w:ascii="Times New Roman" w:hAnsi="Times New Roman" w:cs="Times New Roman"/>
    </w:rPr>
  </w:style>
  <w:style w:type="character" w:styleId="Hyperlink">
    <w:name w:val="Hyperlink"/>
    <w:basedOn w:val="DefaultParagraphFont"/>
    <w:uiPriority w:val="99"/>
    <w:unhideWhenUsed/>
    <w:rsid w:val="00F45EA8"/>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602E0E"/>
    <w:pPr>
      <w:spacing w:after="200"/>
    </w:pPr>
    <w:rPr>
      <w:rFonts w:asciiTheme="minorHAnsi" w:eastAsiaTheme="minorHAnsi" w:hAnsiTheme="minorHAnsi" w:cstheme="minorBidi"/>
      <w:b/>
      <w:bCs/>
      <w:color w:val="auto"/>
      <w:kern w:val="0"/>
      <w:lang w:val="en-US" w:eastAsia="en-US"/>
    </w:rPr>
  </w:style>
  <w:style w:type="character" w:customStyle="1" w:styleId="CommentSubjectChar">
    <w:name w:val="Comment Subject Char"/>
    <w:basedOn w:val="CommentTextChar"/>
    <w:link w:val="CommentSubject"/>
    <w:uiPriority w:val="99"/>
    <w:semiHidden/>
    <w:rsid w:val="00602E0E"/>
    <w:rPr>
      <w:rFonts w:ascii="Times New Roman" w:eastAsia="Times New Roman" w:hAnsi="Times New Roman" w:cs="Times New Roman"/>
      <w:b/>
      <w:bCs/>
      <w:color w:val="000000"/>
      <w:kern w:val="28"/>
      <w:sz w:val="20"/>
      <w:szCs w:val="20"/>
      <w:lang w:val="en-CA" w:eastAsia="en-CA"/>
    </w:rPr>
  </w:style>
  <w:style w:type="paragraph" w:styleId="ListParagraph">
    <w:name w:val="List Paragraph"/>
    <w:basedOn w:val="Normal"/>
    <w:uiPriority w:val="34"/>
    <w:qFormat/>
    <w:rsid w:val="00CA7A63"/>
    <w:pPr>
      <w:ind w:left="720"/>
      <w:contextualSpacing/>
    </w:pPr>
  </w:style>
  <w:style w:type="paragraph" w:styleId="Revision">
    <w:name w:val="Revision"/>
    <w:hidden/>
    <w:uiPriority w:val="99"/>
    <w:semiHidden/>
    <w:rsid w:val="006F503B"/>
    <w:pPr>
      <w:spacing w:after="0" w:line="240" w:lineRule="auto"/>
    </w:pPr>
  </w:style>
  <w:style w:type="paragraph" w:styleId="FootnoteText">
    <w:name w:val="footnote text"/>
    <w:basedOn w:val="Normal"/>
    <w:link w:val="FootnoteTextChar"/>
    <w:uiPriority w:val="99"/>
    <w:semiHidden/>
    <w:unhideWhenUsed/>
    <w:rsid w:val="008E4A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4A10"/>
    <w:rPr>
      <w:sz w:val="20"/>
      <w:szCs w:val="20"/>
    </w:rPr>
  </w:style>
  <w:style w:type="character" w:styleId="FootnoteReference">
    <w:name w:val="footnote reference"/>
    <w:basedOn w:val="DefaultParagraphFont"/>
    <w:uiPriority w:val="99"/>
    <w:semiHidden/>
    <w:unhideWhenUsed/>
    <w:rsid w:val="008E4A10"/>
    <w:rPr>
      <w:vertAlign w:val="superscript"/>
    </w:rPr>
  </w:style>
  <w:style w:type="character" w:customStyle="1" w:styleId="Heading4Char">
    <w:name w:val="Heading 4 Char"/>
    <w:basedOn w:val="DefaultParagraphFont"/>
    <w:link w:val="Heading4"/>
    <w:uiPriority w:val="9"/>
    <w:semiHidden/>
    <w:rsid w:val="008B1C60"/>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8B1C60"/>
    <w:rPr>
      <w:b/>
      <w:bCs/>
    </w:rPr>
  </w:style>
  <w:style w:type="character" w:customStyle="1" w:styleId="apple-converted-space">
    <w:name w:val="apple-converted-space"/>
    <w:basedOn w:val="DefaultParagraphFont"/>
    <w:rsid w:val="008B1C60"/>
  </w:style>
  <w:style w:type="paragraph" w:styleId="NormalWeb">
    <w:name w:val="Normal (Web)"/>
    <w:basedOn w:val="Normal"/>
    <w:uiPriority w:val="99"/>
    <w:unhideWhenUsed/>
    <w:rsid w:val="008B1C6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B1C60"/>
    <w:rPr>
      <w:i/>
      <w:iCs/>
    </w:rPr>
  </w:style>
  <w:style w:type="paragraph" w:customStyle="1" w:styleId="normaltxt">
    <w:name w:val="normaltxt"/>
    <w:basedOn w:val="Normal"/>
    <w:rsid w:val="008B1C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xt1">
    <w:name w:val="normaltxt1"/>
    <w:basedOn w:val="DefaultParagraphFont"/>
    <w:rsid w:val="008B1C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F9C"/>
  </w:style>
  <w:style w:type="paragraph" w:styleId="Heading1">
    <w:name w:val="heading 1"/>
    <w:basedOn w:val="Normal"/>
    <w:next w:val="Normal"/>
    <w:link w:val="Heading1Char"/>
    <w:qFormat/>
    <w:rsid w:val="00E91F9C"/>
    <w:pPr>
      <w:keepNext/>
      <w:keepLines/>
      <w:spacing w:after="240"/>
      <w:outlineLvl w:val="0"/>
    </w:pPr>
    <w:rPr>
      <w:rFonts w:ascii="Times New Roman" w:eastAsiaTheme="majorEastAsia" w:hAnsi="Times New Roman" w:cs="Times New Roman"/>
      <w:b/>
      <w:bCs/>
      <w:sz w:val="28"/>
      <w:szCs w:val="28"/>
    </w:rPr>
  </w:style>
  <w:style w:type="paragraph" w:styleId="Heading2">
    <w:name w:val="heading 2"/>
    <w:basedOn w:val="Normal"/>
    <w:next w:val="Normal"/>
    <w:link w:val="Heading2Char"/>
    <w:uiPriority w:val="9"/>
    <w:unhideWhenUsed/>
    <w:qFormat/>
    <w:rsid w:val="004B3953"/>
    <w:pPr>
      <w:keepNext/>
      <w:keepLines/>
      <w:spacing w:before="200" w:after="0"/>
      <w:outlineLvl w:val="1"/>
    </w:pPr>
    <w:rPr>
      <w:rFonts w:ascii="Times New Roman" w:eastAsiaTheme="majorEastAsia" w:hAnsi="Times New Roman" w:cs="Times New Roman"/>
      <w:b/>
      <w:bCs/>
      <w:sz w:val="24"/>
      <w:szCs w:val="24"/>
    </w:rPr>
  </w:style>
  <w:style w:type="paragraph" w:styleId="Heading4">
    <w:name w:val="heading 4"/>
    <w:basedOn w:val="Normal"/>
    <w:next w:val="Normal"/>
    <w:link w:val="Heading4Char"/>
    <w:uiPriority w:val="9"/>
    <w:semiHidden/>
    <w:unhideWhenUsed/>
    <w:qFormat/>
    <w:rsid w:val="008B1C6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1F9C"/>
    <w:rPr>
      <w:rFonts w:ascii="Times New Roman" w:eastAsiaTheme="majorEastAsia" w:hAnsi="Times New Roman" w:cs="Times New Roman"/>
      <w:b/>
      <w:bCs/>
      <w:sz w:val="28"/>
      <w:szCs w:val="28"/>
    </w:rPr>
  </w:style>
  <w:style w:type="paragraph" w:styleId="PlainText">
    <w:name w:val="Plain Text"/>
    <w:basedOn w:val="Normal"/>
    <w:link w:val="PlainTextChar"/>
    <w:uiPriority w:val="99"/>
    <w:semiHidden/>
    <w:unhideWhenUsed/>
    <w:rsid w:val="00E91F9C"/>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E91F9C"/>
    <w:rPr>
      <w:rFonts w:ascii="Calibri" w:hAnsi="Calibri" w:cs="Times New Roman"/>
    </w:rPr>
  </w:style>
  <w:style w:type="character" w:customStyle="1" w:styleId="Heading2Char">
    <w:name w:val="Heading 2 Char"/>
    <w:basedOn w:val="DefaultParagraphFont"/>
    <w:link w:val="Heading2"/>
    <w:uiPriority w:val="9"/>
    <w:rsid w:val="004B3953"/>
    <w:rPr>
      <w:rFonts w:ascii="Times New Roman" w:eastAsiaTheme="majorEastAsia" w:hAnsi="Times New Roman" w:cs="Times New Roman"/>
      <w:b/>
      <w:bCs/>
      <w:sz w:val="24"/>
      <w:szCs w:val="24"/>
    </w:rPr>
  </w:style>
  <w:style w:type="paragraph" w:customStyle="1" w:styleId="EndNoteBibliography">
    <w:name w:val="EndNote Bibliography"/>
    <w:basedOn w:val="Normal"/>
    <w:link w:val="EndNoteBibliographyChar"/>
    <w:qFormat/>
    <w:rsid w:val="00F45EA8"/>
    <w:pPr>
      <w:spacing w:line="240" w:lineRule="auto"/>
    </w:pPr>
    <w:rPr>
      <w:rFonts w:ascii="Calibri" w:hAnsi="Calibri" w:cs="Times New Roman"/>
      <w:noProof/>
    </w:rPr>
  </w:style>
  <w:style w:type="character" w:customStyle="1" w:styleId="EndNoteBibliographyChar">
    <w:name w:val="EndNote Bibliography Char"/>
    <w:basedOn w:val="DefaultParagraphFont"/>
    <w:link w:val="EndNoteBibliography"/>
    <w:rsid w:val="00F45EA8"/>
    <w:rPr>
      <w:rFonts w:ascii="Calibri" w:hAnsi="Calibri" w:cs="Times New Roman"/>
      <w:noProof/>
    </w:rPr>
  </w:style>
  <w:style w:type="character" w:styleId="CommentReference">
    <w:name w:val="annotation reference"/>
    <w:uiPriority w:val="99"/>
    <w:rsid w:val="00F45EA8"/>
    <w:rPr>
      <w:sz w:val="16"/>
      <w:szCs w:val="16"/>
    </w:rPr>
  </w:style>
  <w:style w:type="paragraph" w:styleId="CommentText">
    <w:name w:val="annotation text"/>
    <w:basedOn w:val="Normal"/>
    <w:link w:val="CommentTextChar"/>
    <w:uiPriority w:val="99"/>
    <w:rsid w:val="00F45EA8"/>
    <w:pPr>
      <w:spacing w:after="0" w:line="240" w:lineRule="auto"/>
    </w:pPr>
    <w:rPr>
      <w:rFonts w:ascii="Times New Roman" w:eastAsia="Times New Roman" w:hAnsi="Times New Roman" w:cs="Times New Roman"/>
      <w:color w:val="000000"/>
      <w:kern w:val="28"/>
      <w:sz w:val="20"/>
      <w:szCs w:val="20"/>
      <w:lang w:val="en-CA" w:eastAsia="en-CA"/>
    </w:rPr>
  </w:style>
  <w:style w:type="character" w:customStyle="1" w:styleId="CommentTextChar">
    <w:name w:val="Comment Text Char"/>
    <w:basedOn w:val="DefaultParagraphFont"/>
    <w:link w:val="CommentText"/>
    <w:uiPriority w:val="99"/>
    <w:rsid w:val="00F45EA8"/>
    <w:rPr>
      <w:rFonts w:ascii="Times New Roman" w:eastAsia="Times New Roman" w:hAnsi="Times New Roman" w:cs="Times New Roman"/>
      <w:color w:val="000000"/>
      <w:kern w:val="28"/>
      <w:sz w:val="20"/>
      <w:szCs w:val="20"/>
      <w:lang w:val="en-CA" w:eastAsia="en-CA"/>
    </w:rPr>
  </w:style>
  <w:style w:type="paragraph" w:styleId="BalloonText">
    <w:name w:val="Balloon Text"/>
    <w:basedOn w:val="Normal"/>
    <w:link w:val="BalloonTextChar"/>
    <w:uiPriority w:val="99"/>
    <w:semiHidden/>
    <w:unhideWhenUsed/>
    <w:rsid w:val="00F45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EA8"/>
    <w:rPr>
      <w:rFonts w:ascii="Tahoma" w:hAnsi="Tahoma" w:cs="Tahoma"/>
      <w:sz w:val="16"/>
      <w:szCs w:val="16"/>
    </w:rPr>
  </w:style>
  <w:style w:type="paragraph" w:customStyle="1" w:styleId="EndNoteBibliographyTitle">
    <w:name w:val="EndNote Bibliography Title"/>
    <w:basedOn w:val="Normal"/>
    <w:link w:val="EndNoteBibliographyTitleChar"/>
    <w:rsid w:val="00F45EA8"/>
    <w:pPr>
      <w:spacing w:after="0"/>
      <w:jc w:val="center"/>
    </w:pPr>
    <w:rPr>
      <w:rFonts w:ascii="Calibri" w:hAnsi="Calibri" w:cs="Times New Roman"/>
      <w:noProof/>
    </w:rPr>
  </w:style>
  <w:style w:type="character" w:customStyle="1" w:styleId="EndNoteBibliographyTitleChar">
    <w:name w:val="EndNote Bibliography Title Char"/>
    <w:basedOn w:val="DefaultParagraphFont"/>
    <w:link w:val="EndNoteBibliographyTitle"/>
    <w:rsid w:val="00F45EA8"/>
    <w:rPr>
      <w:rFonts w:ascii="Calibri" w:hAnsi="Calibri" w:cs="Times New Roman"/>
      <w:noProof/>
    </w:rPr>
  </w:style>
  <w:style w:type="paragraph" w:styleId="Header">
    <w:name w:val="header"/>
    <w:basedOn w:val="Normal"/>
    <w:link w:val="HeaderChar"/>
    <w:uiPriority w:val="99"/>
    <w:unhideWhenUsed/>
    <w:rsid w:val="00F45EA8"/>
    <w:pPr>
      <w:tabs>
        <w:tab w:val="center" w:pos="4680"/>
        <w:tab w:val="right" w:pos="9360"/>
      </w:tabs>
      <w:spacing w:after="0" w:line="240" w:lineRule="auto"/>
    </w:pPr>
    <w:rPr>
      <w:rFonts w:ascii="Times New Roman" w:hAnsi="Times New Roman" w:cs="Times New Roman"/>
    </w:rPr>
  </w:style>
  <w:style w:type="character" w:customStyle="1" w:styleId="HeaderChar">
    <w:name w:val="Header Char"/>
    <w:basedOn w:val="DefaultParagraphFont"/>
    <w:link w:val="Header"/>
    <w:uiPriority w:val="99"/>
    <w:rsid w:val="00F45EA8"/>
    <w:rPr>
      <w:rFonts w:ascii="Times New Roman" w:hAnsi="Times New Roman" w:cs="Times New Roman"/>
    </w:rPr>
  </w:style>
  <w:style w:type="paragraph" w:styleId="Footer">
    <w:name w:val="footer"/>
    <w:basedOn w:val="Normal"/>
    <w:link w:val="FooterChar"/>
    <w:uiPriority w:val="99"/>
    <w:unhideWhenUsed/>
    <w:rsid w:val="00F45EA8"/>
    <w:pPr>
      <w:tabs>
        <w:tab w:val="center" w:pos="4680"/>
        <w:tab w:val="right" w:pos="9360"/>
      </w:tabs>
      <w:spacing w:after="0" w:line="240" w:lineRule="auto"/>
    </w:pPr>
    <w:rPr>
      <w:rFonts w:ascii="Times New Roman" w:hAnsi="Times New Roman" w:cs="Times New Roman"/>
    </w:rPr>
  </w:style>
  <w:style w:type="character" w:customStyle="1" w:styleId="FooterChar">
    <w:name w:val="Footer Char"/>
    <w:basedOn w:val="DefaultParagraphFont"/>
    <w:link w:val="Footer"/>
    <w:uiPriority w:val="99"/>
    <w:rsid w:val="00F45EA8"/>
    <w:rPr>
      <w:rFonts w:ascii="Times New Roman" w:hAnsi="Times New Roman" w:cs="Times New Roman"/>
    </w:rPr>
  </w:style>
  <w:style w:type="character" w:styleId="Hyperlink">
    <w:name w:val="Hyperlink"/>
    <w:basedOn w:val="DefaultParagraphFont"/>
    <w:uiPriority w:val="99"/>
    <w:unhideWhenUsed/>
    <w:rsid w:val="00F45EA8"/>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602E0E"/>
    <w:pPr>
      <w:spacing w:after="200"/>
    </w:pPr>
    <w:rPr>
      <w:rFonts w:asciiTheme="minorHAnsi" w:eastAsiaTheme="minorHAnsi" w:hAnsiTheme="minorHAnsi" w:cstheme="minorBidi"/>
      <w:b/>
      <w:bCs/>
      <w:color w:val="auto"/>
      <w:kern w:val="0"/>
      <w:lang w:val="en-US" w:eastAsia="en-US"/>
    </w:rPr>
  </w:style>
  <w:style w:type="character" w:customStyle="1" w:styleId="CommentSubjectChar">
    <w:name w:val="Comment Subject Char"/>
    <w:basedOn w:val="CommentTextChar"/>
    <w:link w:val="CommentSubject"/>
    <w:uiPriority w:val="99"/>
    <w:semiHidden/>
    <w:rsid w:val="00602E0E"/>
    <w:rPr>
      <w:rFonts w:ascii="Times New Roman" w:eastAsia="Times New Roman" w:hAnsi="Times New Roman" w:cs="Times New Roman"/>
      <w:b/>
      <w:bCs/>
      <w:color w:val="000000"/>
      <w:kern w:val="28"/>
      <w:sz w:val="20"/>
      <w:szCs w:val="20"/>
      <w:lang w:val="en-CA" w:eastAsia="en-CA"/>
    </w:rPr>
  </w:style>
  <w:style w:type="paragraph" w:styleId="ListParagraph">
    <w:name w:val="List Paragraph"/>
    <w:basedOn w:val="Normal"/>
    <w:uiPriority w:val="34"/>
    <w:qFormat/>
    <w:rsid w:val="00CA7A63"/>
    <w:pPr>
      <w:ind w:left="720"/>
      <w:contextualSpacing/>
    </w:pPr>
  </w:style>
  <w:style w:type="paragraph" w:styleId="Revision">
    <w:name w:val="Revision"/>
    <w:hidden/>
    <w:uiPriority w:val="99"/>
    <w:semiHidden/>
    <w:rsid w:val="006F503B"/>
    <w:pPr>
      <w:spacing w:after="0" w:line="240" w:lineRule="auto"/>
    </w:pPr>
  </w:style>
  <w:style w:type="paragraph" w:styleId="FootnoteText">
    <w:name w:val="footnote text"/>
    <w:basedOn w:val="Normal"/>
    <w:link w:val="FootnoteTextChar"/>
    <w:uiPriority w:val="99"/>
    <w:semiHidden/>
    <w:unhideWhenUsed/>
    <w:rsid w:val="008E4A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4A10"/>
    <w:rPr>
      <w:sz w:val="20"/>
      <w:szCs w:val="20"/>
    </w:rPr>
  </w:style>
  <w:style w:type="character" w:styleId="FootnoteReference">
    <w:name w:val="footnote reference"/>
    <w:basedOn w:val="DefaultParagraphFont"/>
    <w:uiPriority w:val="99"/>
    <w:semiHidden/>
    <w:unhideWhenUsed/>
    <w:rsid w:val="008E4A10"/>
    <w:rPr>
      <w:vertAlign w:val="superscript"/>
    </w:rPr>
  </w:style>
  <w:style w:type="character" w:customStyle="1" w:styleId="Heading4Char">
    <w:name w:val="Heading 4 Char"/>
    <w:basedOn w:val="DefaultParagraphFont"/>
    <w:link w:val="Heading4"/>
    <w:uiPriority w:val="9"/>
    <w:semiHidden/>
    <w:rsid w:val="008B1C60"/>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8B1C60"/>
    <w:rPr>
      <w:b/>
      <w:bCs/>
    </w:rPr>
  </w:style>
  <w:style w:type="character" w:customStyle="1" w:styleId="apple-converted-space">
    <w:name w:val="apple-converted-space"/>
    <w:basedOn w:val="DefaultParagraphFont"/>
    <w:rsid w:val="008B1C60"/>
  </w:style>
  <w:style w:type="paragraph" w:styleId="NormalWeb">
    <w:name w:val="Normal (Web)"/>
    <w:basedOn w:val="Normal"/>
    <w:uiPriority w:val="99"/>
    <w:unhideWhenUsed/>
    <w:rsid w:val="008B1C6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B1C60"/>
    <w:rPr>
      <w:i/>
      <w:iCs/>
    </w:rPr>
  </w:style>
  <w:style w:type="paragraph" w:customStyle="1" w:styleId="normaltxt">
    <w:name w:val="normaltxt"/>
    <w:basedOn w:val="Normal"/>
    <w:rsid w:val="008B1C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xt1">
    <w:name w:val="normaltxt1"/>
    <w:basedOn w:val="DefaultParagraphFont"/>
    <w:rsid w:val="008B1C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639996">
      <w:bodyDiv w:val="1"/>
      <w:marLeft w:val="0"/>
      <w:marRight w:val="0"/>
      <w:marTop w:val="0"/>
      <w:marBottom w:val="0"/>
      <w:divBdr>
        <w:top w:val="none" w:sz="0" w:space="0" w:color="auto"/>
        <w:left w:val="none" w:sz="0" w:space="0" w:color="auto"/>
        <w:bottom w:val="none" w:sz="0" w:space="0" w:color="auto"/>
        <w:right w:val="none" w:sz="0" w:space="0" w:color="auto"/>
      </w:divBdr>
    </w:div>
    <w:div w:id="1962226185">
      <w:bodyDiv w:val="1"/>
      <w:marLeft w:val="0"/>
      <w:marRight w:val="0"/>
      <w:marTop w:val="0"/>
      <w:marBottom w:val="0"/>
      <w:divBdr>
        <w:top w:val="none" w:sz="0" w:space="0" w:color="auto"/>
        <w:left w:val="none" w:sz="0" w:space="0" w:color="auto"/>
        <w:bottom w:val="none" w:sz="0" w:space="0" w:color="auto"/>
        <w:right w:val="none" w:sz="0" w:space="0" w:color="auto"/>
      </w:divBdr>
    </w:div>
    <w:div w:id="2070959276">
      <w:bodyDiv w:val="1"/>
      <w:marLeft w:val="0"/>
      <w:marRight w:val="0"/>
      <w:marTop w:val="0"/>
      <w:marBottom w:val="0"/>
      <w:divBdr>
        <w:top w:val="none" w:sz="0" w:space="0" w:color="auto"/>
        <w:left w:val="none" w:sz="0" w:space="0" w:color="auto"/>
        <w:bottom w:val="none" w:sz="0" w:space="0" w:color="auto"/>
        <w:right w:val="none" w:sz="0" w:space="0" w:color="auto"/>
      </w:divBdr>
      <w:divsChild>
        <w:div w:id="1370453891">
          <w:marLeft w:val="0"/>
          <w:marRight w:val="0"/>
          <w:marTop w:val="0"/>
          <w:marBottom w:val="0"/>
          <w:divBdr>
            <w:top w:val="none" w:sz="0" w:space="0" w:color="auto"/>
            <w:left w:val="none" w:sz="0" w:space="0" w:color="auto"/>
            <w:bottom w:val="none" w:sz="0" w:space="0" w:color="auto"/>
            <w:right w:val="none" w:sz="0" w:space="0" w:color="auto"/>
          </w:divBdr>
        </w:div>
        <w:div w:id="2111663664">
          <w:marLeft w:val="0"/>
          <w:marRight w:val="0"/>
          <w:marTop w:val="0"/>
          <w:marBottom w:val="0"/>
          <w:divBdr>
            <w:top w:val="none" w:sz="0" w:space="0" w:color="auto"/>
            <w:left w:val="none" w:sz="0" w:space="0" w:color="auto"/>
            <w:bottom w:val="none" w:sz="0" w:space="0" w:color="auto"/>
            <w:right w:val="none" w:sz="0" w:space="0" w:color="auto"/>
          </w:divBdr>
        </w:div>
        <w:div w:id="1157107994">
          <w:marLeft w:val="0"/>
          <w:marRight w:val="0"/>
          <w:marTop w:val="0"/>
          <w:marBottom w:val="0"/>
          <w:divBdr>
            <w:top w:val="none" w:sz="0" w:space="0" w:color="auto"/>
            <w:left w:val="none" w:sz="0" w:space="0" w:color="auto"/>
            <w:bottom w:val="none" w:sz="0" w:space="0" w:color="auto"/>
            <w:right w:val="none" w:sz="0" w:space="0" w:color="auto"/>
          </w:divBdr>
        </w:div>
        <w:div w:id="459761849">
          <w:marLeft w:val="0"/>
          <w:marRight w:val="0"/>
          <w:marTop w:val="0"/>
          <w:marBottom w:val="0"/>
          <w:divBdr>
            <w:top w:val="none" w:sz="0" w:space="0" w:color="auto"/>
            <w:left w:val="none" w:sz="0" w:space="0" w:color="auto"/>
            <w:bottom w:val="none" w:sz="0" w:space="0" w:color="auto"/>
            <w:right w:val="none" w:sz="0" w:space="0" w:color="auto"/>
          </w:divBdr>
        </w:div>
        <w:div w:id="385186265">
          <w:marLeft w:val="0"/>
          <w:marRight w:val="0"/>
          <w:marTop w:val="0"/>
          <w:marBottom w:val="0"/>
          <w:divBdr>
            <w:top w:val="none" w:sz="0" w:space="0" w:color="auto"/>
            <w:left w:val="none" w:sz="0" w:space="0" w:color="auto"/>
            <w:bottom w:val="none" w:sz="0" w:space="0" w:color="auto"/>
            <w:right w:val="none" w:sz="0" w:space="0" w:color="auto"/>
          </w:divBdr>
        </w:div>
        <w:div w:id="854344425">
          <w:marLeft w:val="0"/>
          <w:marRight w:val="0"/>
          <w:marTop w:val="0"/>
          <w:marBottom w:val="0"/>
          <w:divBdr>
            <w:top w:val="none" w:sz="0" w:space="0" w:color="auto"/>
            <w:left w:val="none" w:sz="0" w:space="0" w:color="auto"/>
            <w:bottom w:val="none" w:sz="0" w:space="0" w:color="auto"/>
            <w:right w:val="none" w:sz="0" w:space="0" w:color="auto"/>
          </w:divBdr>
        </w:div>
      </w:divsChild>
    </w:div>
    <w:div w:id="212881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microsoft.com/office/2007/relationships/hdphoto" Target="media/hdphoto2.wd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icedsu.org.uk" TargetMode="External"/><Relationship Id="rId17" Type="http://schemas.openxmlformats.org/officeDocument/2006/relationships/image" Target="media/image2.png"/><Relationship Id="rId6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66" Type="http://schemas.microsoft.com/office/2011/relationships/people" Target="people.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amstar.ca/Amstar_Checklist.php"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Owner\Dropbox\NMA%20Manuscript%20writing\Rapid%20Review%20NMA_Table&amp;Figures_31MAR2016.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Owner\Dropbox\NMA%20Manuscript%20writing\Formatted%20for%20BMC\Rapid%20Review%20NMA_Table&amp;Figures_2AUG20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v>YES</c:v>
          </c:tx>
          <c:spPr>
            <a:solidFill>
              <a:srgbClr val="99FF66"/>
            </a:solidFill>
            <a:ln>
              <a:solidFill>
                <a:srgbClr val="92D050"/>
              </a:solidFill>
            </a:ln>
            <a:effectLst/>
          </c:spPr>
          <c:invertIfNegative val="0"/>
          <c:dLbls>
            <c:txPr>
              <a:bodyPr/>
              <a:lstStyle/>
              <a:p>
                <a:pPr>
                  <a:defRPr sz="1100">
                    <a:solidFill>
                      <a:sysClr val="windowText" lastClr="000000"/>
                    </a:solidFill>
                  </a:defRPr>
                </a:pPr>
                <a:endParaRPr lang="en-US"/>
              </a:p>
            </c:txPr>
            <c:dLblPos val="ctr"/>
            <c:showLegendKey val="0"/>
            <c:showVal val="1"/>
            <c:showCatName val="0"/>
            <c:showSerName val="0"/>
            <c:showPercent val="0"/>
            <c:showBubbleSize val="0"/>
            <c:showLeaderLines val="0"/>
          </c:dLbls>
          <c:cat>
            <c:strRef>
              <c:f>'Figure 5|AMSTAR Score'!$A$2:$A$12</c:f>
              <c:strCache>
                <c:ptCount val="11"/>
                <c:pt idx="0">
                  <c:v>1.A priori design </c:v>
                </c:pt>
                <c:pt idx="1">
                  <c:v>2. Screening and data extraction </c:v>
                </c:pt>
                <c:pt idx="2">
                  <c:v>3. Literature search </c:v>
                </c:pt>
                <c:pt idx="3">
                  <c:v>4. Grey literature </c:v>
                </c:pt>
                <c:pt idx="4">
                  <c:v>5. List of includes/excludes </c:v>
                </c:pt>
                <c:pt idx="5">
                  <c:v>6. Study characteristics </c:v>
                </c:pt>
                <c:pt idx="6">
                  <c:v>7. Quality appraisal </c:v>
                </c:pt>
                <c:pt idx="7">
                  <c:v>8. Conclusions </c:v>
                </c:pt>
                <c:pt idx="8">
                  <c:v>9. Pooling methods</c:v>
                </c:pt>
                <c:pt idx="9">
                  <c:v>10. Publication bias</c:v>
                </c:pt>
                <c:pt idx="10">
                  <c:v>11. Conflict of interest</c:v>
                </c:pt>
              </c:strCache>
            </c:strRef>
          </c:cat>
          <c:val>
            <c:numRef>
              <c:f>'Figure 5|AMSTAR Score'!$F$2:$F$12</c:f>
              <c:numCache>
                <c:formatCode>0%</c:formatCode>
                <c:ptCount val="11"/>
                <c:pt idx="0">
                  <c:v>0.31278538812785389</c:v>
                </c:pt>
                <c:pt idx="1">
                  <c:v>0.5821917808219178</c:v>
                </c:pt>
                <c:pt idx="2">
                  <c:v>0.84246575342465757</c:v>
                </c:pt>
                <c:pt idx="3">
                  <c:v>0.61643835616438358</c:v>
                </c:pt>
                <c:pt idx="4">
                  <c:v>0.17808219178082191</c:v>
                </c:pt>
                <c:pt idx="5">
                  <c:v>0.82648401826484019</c:v>
                </c:pt>
                <c:pt idx="6">
                  <c:v>0.61643835616438358</c:v>
                </c:pt>
                <c:pt idx="7">
                  <c:v>0.48401826484018262</c:v>
                </c:pt>
                <c:pt idx="8">
                  <c:v>0.86073059360730597</c:v>
                </c:pt>
                <c:pt idx="9">
                  <c:v>0.36073059360730592</c:v>
                </c:pt>
                <c:pt idx="10">
                  <c:v>0.15525114155251141</c:v>
                </c:pt>
              </c:numCache>
            </c:numRef>
          </c:val>
        </c:ser>
        <c:ser>
          <c:idx val="1"/>
          <c:order val="1"/>
          <c:tx>
            <c:v>UNCLEAR</c:v>
          </c:tx>
          <c:spPr>
            <a:solidFill>
              <a:srgbClr val="FFFF99"/>
            </a:solidFill>
            <a:ln>
              <a:solidFill>
                <a:srgbClr val="FFDE9B"/>
              </a:solidFill>
            </a:ln>
          </c:spPr>
          <c:invertIfNegative val="0"/>
          <c:dLbls>
            <c:dLbl>
              <c:idx val="0"/>
              <c:delete val="1"/>
            </c:dLbl>
            <c:dLbl>
              <c:idx val="10"/>
              <c:delete val="1"/>
            </c:dLbl>
            <c:txPr>
              <a:bodyPr/>
              <a:lstStyle/>
              <a:p>
                <a:pPr>
                  <a:defRPr sz="1100">
                    <a:solidFill>
                      <a:sysClr val="windowText" lastClr="000000"/>
                    </a:solidFill>
                  </a:defRPr>
                </a:pPr>
                <a:endParaRPr lang="en-US"/>
              </a:p>
            </c:txPr>
            <c:dLblPos val="ctr"/>
            <c:showLegendKey val="0"/>
            <c:showVal val="1"/>
            <c:showCatName val="0"/>
            <c:showSerName val="0"/>
            <c:showPercent val="0"/>
            <c:showBubbleSize val="0"/>
            <c:showLeaderLines val="0"/>
          </c:dLbls>
          <c:cat>
            <c:strRef>
              <c:f>'Figure 5|AMSTAR Score'!$A$2:$A$12</c:f>
              <c:strCache>
                <c:ptCount val="11"/>
                <c:pt idx="0">
                  <c:v>1.A priori design </c:v>
                </c:pt>
                <c:pt idx="1">
                  <c:v>2. Screening and data extraction </c:v>
                </c:pt>
                <c:pt idx="2">
                  <c:v>3. Literature search </c:v>
                </c:pt>
                <c:pt idx="3">
                  <c:v>4. Grey literature </c:v>
                </c:pt>
                <c:pt idx="4">
                  <c:v>5. List of includes/excludes </c:v>
                </c:pt>
                <c:pt idx="5">
                  <c:v>6. Study characteristics </c:v>
                </c:pt>
                <c:pt idx="6">
                  <c:v>7. Quality appraisal </c:v>
                </c:pt>
                <c:pt idx="7">
                  <c:v>8. Conclusions </c:v>
                </c:pt>
                <c:pt idx="8">
                  <c:v>9. Pooling methods</c:v>
                </c:pt>
                <c:pt idx="9">
                  <c:v>10. Publication bias</c:v>
                </c:pt>
                <c:pt idx="10">
                  <c:v>11. Conflict of interest</c:v>
                </c:pt>
              </c:strCache>
            </c:strRef>
          </c:cat>
          <c:val>
            <c:numRef>
              <c:f>'Figure 5|AMSTAR Score'!$G$2:$G$12</c:f>
              <c:numCache>
                <c:formatCode>0%</c:formatCode>
                <c:ptCount val="11"/>
                <c:pt idx="0">
                  <c:v>0</c:v>
                </c:pt>
                <c:pt idx="1">
                  <c:v>0.3904109589041096</c:v>
                </c:pt>
                <c:pt idx="2" formatCode="0.0%">
                  <c:v>4.5662100456621002E-3</c:v>
                </c:pt>
                <c:pt idx="3">
                  <c:v>0.33333333333333331</c:v>
                </c:pt>
                <c:pt idx="4">
                  <c:v>6.8493150684931503E-3</c:v>
                </c:pt>
                <c:pt idx="5">
                  <c:v>0.12785388127853881</c:v>
                </c:pt>
                <c:pt idx="6">
                  <c:v>0.21461187214611871</c:v>
                </c:pt>
                <c:pt idx="7">
                  <c:v>1.1415525114155251E-2</c:v>
                </c:pt>
                <c:pt idx="8">
                  <c:v>0.12328767123287671</c:v>
                </c:pt>
                <c:pt idx="9" formatCode="0.0%">
                  <c:v>4.5662100456621002E-3</c:v>
                </c:pt>
                <c:pt idx="10" formatCode="0.0%">
                  <c:v>0</c:v>
                </c:pt>
              </c:numCache>
            </c:numRef>
          </c:val>
        </c:ser>
        <c:ser>
          <c:idx val="2"/>
          <c:order val="2"/>
          <c:tx>
            <c:v>NO</c:v>
          </c:tx>
          <c:spPr>
            <a:solidFill>
              <a:srgbClr val="FF6970"/>
            </a:solidFill>
            <a:ln>
              <a:solidFill>
                <a:srgbClr val="FF4F4F"/>
              </a:solidFill>
            </a:ln>
          </c:spPr>
          <c:invertIfNegative val="0"/>
          <c:dLbls>
            <c:dLbl>
              <c:idx val="8"/>
              <c:layout>
                <c:manualLayout>
                  <c:x val="8.4854307826039317E-3"/>
                  <c:y val="2.8908484987245575E-7"/>
                </c:manualLayout>
              </c:layout>
              <c:dLblPos val="ctr"/>
              <c:showLegendKey val="0"/>
              <c:showVal val="1"/>
              <c:showCatName val="0"/>
              <c:showSerName val="0"/>
              <c:showPercent val="0"/>
              <c:showBubbleSize val="0"/>
            </c:dLbl>
            <c:txPr>
              <a:bodyPr/>
              <a:lstStyle/>
              <a:p>
                <a:pPr>
                  <a:defRPr sz="1100">
                    <a:solidFill>
                      <a:sysClr val="windowText" lastClr="000000"/>
                    </a:solidFill>
                  </a:defRPr>
                </a:pPr>
                <a:endParaRPr lang="en-US"/>
              </a:p>
            </c:txPr>
            <c:dLblPos val="ctr"/>
            <c:showLegendKey val="0"/>
            <c:showVal val="1"/>
            <c:showCatName val="0"/>
            <c:showSerName val="0"/>
            <c:showPercent val="0"/>
            <c:showBubbleSize val="0"/>
            <c:showLeaderLines val="0"/>
          </c:dLbls>
          <c:cat>
            <c:strRef>
              <c:f>'Figure 5|AMSTAR Score'!$A$2:$A$12</c:f>
              <c:strCache>
                <c:ptCount val="11"/>
                <c:pt idx="0">
                  <c:v>1.A priori design </c:v>
                </c:pt>
                <c:pt idx="1">
                  <c:v>2. Screening and data extraction </c:v>
                </c:pt>
                <c:pt idx="2">
                  <c:v>3. Literature search </c:v>
                </c:pt>
                <c:pt idx="3">
                  <c:v>4. Grey literature </c:v>
                </c:pt>
                <c:pt idx="4">
                  <c:v>5. List of includes/excludes </c:v>
                </c:pt>
                <c:pt idx="5">
                  <c:v>6. Study characteristics </c:v>
                </c:pt>
                <c:pt idx="6">
                  <c:v>7. Quality appraisal </c:v>
                </c:pt>
                <c:pt idx="7">
                  <c:v>8. Conclusions </c:v>
                </c:pt>
                <c:pt idx="8">
                  <c:v>9. Pooling methods</c:v>
                </c:pt>
                <c:pt idx="9">
                  <c:v>10. Publication bias</c:v>
                </c:pt>
                <c:pt idx="10">
                  <c:v>11. Conflict of interest</c:v>
                </c:pt>
              </c:strCache>
            </c:strRef>
          </c:cat>
          <c:val>
            <c:numRef>
              <c:f>'Figure 5|AMSTAR Score'!$H$2:$H$12</c:f>
              <c:numCache>
                <c:formatCode>0%</c:formatCode>
                <c:ptCount val="11"/>
                <c:pt idx="0">
                  <c:v>0.68721461187214616</c:v>
                </c:pt>
                <c:pt idx="1">
                  <c:v>2.7397260273972601E-2</c:v>
                </c:pt>
                <c:pt idx="2">
                  <c:v>0.15296803652968036</c:v>
                </c:pt>
                <c:pt idx="3">
                  <c:v>5.0228310502283102E-2</c:v>
                </c:pt>
                <c:pt idx="4">
                  <c:v>0.81506849315068497</c:v>
                </c:pt>
                <c:pt idx="5">
                  <c:v>4.5662100456621002E-2</c:v>
                </c:pt>
                <c:pt idx="6">
                  <c:v>0.16894977168949771</c:v>
                </c:pt>
                <c:pt idx="7">
                  <c:v>0.29452054794520549</c:v>
                </c:pt>
                <c:pt idx="8">
                  <c:v>1.5981735159817351E-2</c:v>
                </c:pt>
                <c:pt idx="9">
                  <c:v>0.63470319634703198</c:v>
                </c:pt>
                <c:pt idx="10">
                  <c:v>0.84246575342465757</c:v>
                </c:pt>
              </c:numCache>
            </c:numRef>
          </c:val>
        </c:ser>
        <c:ser>
          <c:idx val="3"/>
          <c:order val="3"/>
          <c:tx>
            <c:v>NOT APPLICABLE</c:v>
          </c:tx>
          <c:spPr>
            <a:solidFill>
              <a:schemeClr val="bg1">
                <a:lumMod val="65000"/>
              </a:schemeClr>
            </a:solidFill>
          </c:spPr>
          <c:invertIfNegative val="0"/>
          <c:cat>
            <c:strRef>
              <c:f>'Figure 5|AMSTAR Score'!$A$2:$A$12</c:f>
              <c:strCache>
                <c:ptCount val="11"/>
                <c:pt idx="0">
                  <c:v>1.A priori design </c:v>
                </c:pt>
                <c:pt idx="1">
                  <c:v>2. Screening and data extraction </c:v>
                </c:pt>
                <c:pt idx="2">
                  <c:v>3. Literature search </c:v>
                </c:pt>
                <c:pt idx="3">
                  <c:v>4. Grey literature </c:v>
                </c:pt>
                <c:pt idx="4">
                  <c:v>5. List of includes/excludes </c:v>
                </c:pt>
                <c:pt idx="5">
                  <c:v>6. Study characteristics </c:v>
                </c:pt>
                <c:pt idx="6">
                  <c:v>7. Quality appraisal </c:v>
                </c:pt>
                <c:pt idx="7">
                  <c:v>8. Conclusions </c:v>
                </c:pt>
                <c:pt idx="8">
                  <c:v>9. Pooling methods</c:v>
                </c:pt>
                <c:pt idx="9">
                  <c:v>10. Publication bias</c:v>
                </c:pt>
                <c:pt idx="10">
                  <c:v>11. Conflict of interest</c:v>
                </c:pt>
              </c:strCache>
            </c:strRef>
          </c:cat>
          <c:val>
            <c:numRef>
              <c:f>'Figure 5|AMSTAR Score'!$I$2:$I$12</c:f>
              <c:numCache>
                <c:formatCode>General</c:formatCode>
                <c:ptCount val="11"/>
                <c:pt idx="7" formatCode="0%">
                  <c:v>0.21004566210045661</c:v>
                </c:pt>
              </c:numCache>
            </c:numRef>
          </c:val>
        </c:ser>
        <c:dLbls>
          <c:dLblPos val="ctr"/>
          <c:showLegendKey val="0"/>
          <c:showVal val="1"/>
          <c:showCatName val="0"/>
          <c:showSerName val="0"/>
          <c:showPercent val="0"/>
          <c:showBubbleSize val="0"/>
        </c:dLbls>
        <c:gapWidth val="65"/>
        <c:overlap val="100"/>
        <c:axId val="45629824"/>
        <c:axId val="45631360"/>
      </c:barChart>
      <c:catAx>
        <c:axId val="45629824"/>
        <c:scaling>
          <c:orientation val="maxMin"/>
        </c:scaling>
        <c:delete val="0"/>
        <c:axPos val="l"/>
        <c:majorTickMark val="none"/>
        <c:minorTickMark val="none"/>
        <c:tickLblPos val="nextTo"/>
        <c:txPr>
          <a:bodyPr/>
          <a:lstStyle/>
          <a:p>
            <a:pPr>
              <a:defRPr sz="1000"/>
            </a:pPr>
            <a:endParaRPr lang="en-US"/>
          </a:p>
        </c:txPr>
        <c:crossAx val="45631360"/>
        <c:crosses val="autoZero"/>
        <c:auto val="1"/>
        <c:lblAlgn val="ctr"/>
        <c:lblOffset val="100"/>
        <c:noMultiLvlLbl val="0"/>
      </c:catAx>
      <c:valAx>
        <c:axId val="45631360"/>
        <c:scaling>
          <c:orientation val="minMax"/>
        </c:scaling>
        <c:delete val="0"/>
        <c:axPos val="b"/>
        <c:majorGridlines>
          <c:spPr>
            <a:ln>
              <a:solidFill>
                <a:schemeClr val="bg1">
                  <a:lumMod val="85000"/>
                </a:schemeClr>
              </a:solidFill>
            </a:ln>
          </c:spPr>
        </c:majorGridlines>
        <c:numFmt formatCode="0%" sourceLinked="1"/>
        <c:majorTickMark val="none"/>
        <c:minorTickMark val="none"/>
        <c:tickLblPos val="nextTo"/>
        <c:crossAx val="45629824"/>
        <c:crosses val="max"/>
        <c:crossBetween val="between"/>
        <c:majorUnit val="0.2"/>
        <c:minorUnit val="0.1"/>
      </c:valAx>
      <c:spPr>
        <a:ln>
          <a:solidFill>
            <a:schemeClr val="bg1">
              <a:lumMod val="85000"/>
            </a:schemeClr>
          </a:solidFill>
        </a:ln>
      </c:spPr>
    </c:plotArea>
    <c:legend>
      <c:legendPos val="b"/>
      <c:layout/>
      <c:overlay val="0"/>
      <c:txPr>
        <a:bodyPr/>
        <a:lstStyle/>
        <a:p>
          <a:pPr>
            <a:defRPr sz="1000" b="0"/>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Duration vs. Quality</c:v>
          </c:tx>
          <c:spPr>
            <a:ln w="28575">
              <a:noFill/>
            </a:ln>
          </c:spPr>
          <c:marker>
            <c:spPr>
              <a:solidFill>
                <a:schemeClr val="accent5">
                  <a:lumMod val="50000"/>
                </a:schemeClr>
              </a:solidFill>
              <a:ln>
                <a:solidFill>
                  <a:schemeClr val="accent6">
                    <a:lumMod val="50000"/>
                  </a:schemeClr>
                </a:solidFill>
              </a:ln>
            </c:spPr>
          </c:marker>
          <c:dPt>
            <c:idx val="283"/>
            <c:marker>
              <c:symbol val="diamond"/>
              <c:size val="7"/>
            </c:marker>
            <c:bubble3D val="0"/>
          </c:dPt>
          <c:trendline>
            <c:trendlineType val="linear"/>
            <c:dispRSqr val="1"/>
            <c:dispEq val="0"/>
            <c:trendlineLbl>
              <c:layout>
                <c:manualLayout>
                  <c:x val="5.1469942277183212E-2"/>
                  <c:y val="3.0503973888509839E-2"/>
                </c:manualLayout>
              </c:layout>
              <c:numFmt formatCode="General" sourceLinked="0"/>
            </c:trendlineLbl>
          </c:trendline>
          <c:xVal>
            <c:numRef>
              <c:f>'Figure| Duration vs. Quality'!$F$2:$F$375</c:f>
              <c:numCache>
                <c:formatCode>General</c:formatCode>
                <c:ptCount val="374"/>
                <c:pt idx="0">
                  <c:v>10</c:v>
                </c:pt>
                <c:pt idx="1">
                  <c:v>7</c:v>
                </c:pt>
                <c:pt idx="2">
                  <c:v>6</c:v>
                </c:pt>
                <c:pt idx="3">
                  <c:v>6</c:v>
                </c:pt>
                <c:pt idx="4">
                  <c:v>7</c:v>
                </c:pt>
                <c:pt idx="5">
                  <c:v>7</c:v>
                </c:pt>
                <c:pt idx="6">
                  <c:v>2</c:v>
                </c:pt>
                <c:pt idx="7">
                  <c:v>6</c:v>
                </c:pt>
                <c:pt idx="8">
                  <c:v>6</c:v>
                </c:pt>
                <c:pt idx="9">
                  <c:v>8</c:v>
                </c:pt>
                <c:pt idx="10">
                  <c:v>0</c:v>
                </c:pt>
                <c:pt idx="11">
                  <c:v>0</c:v>
                </c:pt>
                <c:pt idx="12">
                  <c:v>5</c:v>
                </c:pt>
                <c:pt idx="13">
                  <c:v>4</c:v>
                </c:pt>
                <c:pt idx="14">
                  <c:v>5</c:v>
                </c:pt>
                <c:pt idx="15">
                  <c:v>11</c:v>
                </c:pt>
                <c:pt idx="16">
                  <c:v>11</c:v>
                </c:pt>
                <c:pt idx="17">
                  <c:v>3</c:v>
                </c:pt>
                <c:pt idx="18">
                  <c:v>1</c:v>
                </c:pt>
                <c:pt idx="19">
                  <c:v>5</c:v>
                </c:pt>
                <c:pt idx="20">
                  <c:v>10</c:v>
                </c:pt>
                <c:pt idx="21">
                  <c:v>7</c:v>
                </c:pt>
                <c:pt idx="22">
                  <c:v>8</c:v>
                </c:pt>
                <c:pt idx="23">
                  <c:v>8</c:v>
                </c:pt>
                <c:pt idx="24">
                  <c:v>6</c:v>
                </c:pt>
                <c:pt idx="25">
                  <c:v>5</c:v>
                </c:pt>
                <c:pt idx="26">
                  <c:v>4</c:v>
                </c:pt>
                <c:pt idx="27">
                  <c:v>8</c:v>
                </c:pt>
                <c:pt idx="28">
                  <c:v>6</c:v>
                </c:pt>
                <c:pt idx="29">
                  <c:v>7</c:v>
                </c:pt>
                <c:pt idx="30">
                  <c:v>10</c:v>
                </c:pt>
                <c:pt idx="31">
                  <c:v>4</c:v>
                </c:pt>
                <c:pt idx="32">
                  <c:v>2</c:v>
                </c:pt>
                <c:pt idx="33">
                  <c:v>5</c:v>
                </c:pt>
                <c:pt idx="34">
                  <c:v>7</c:v>
                </c:pt>
                <c:pt idx="35">
                  <c:v>7</c:v>
                </c:pt>
                <c:pt idx="36">
                  <c:v>8</c:v>
                </c:pt>
                <c:pt idx="37">
                  <c:v>6</c:v>
                </c:pt>
                <c:pt idx="38">
                  <c:v>8</c:v>
                </c:pt>
                <c:pt idx="39">
                  <c:v>5</c:v>
                </c:pt>
                <c:pt idx="40">
                  <c:v>8</c:v>
                </c:pt>
                <c:pt idx="41">
                  <c:v>6</c:v>
                </c:pt>
                <c:pt idx="42">
                  <c:v>5</c:v>
                </c:pt>
                <c:pt idx="43">
                  <c:v>7</c:v>
                </c:pt>
                <c:pt idx="44">
                  <c:v>8</c:v>
                </c:pt>
                <c:pt idx="45">
                  <c:v>4</c:v>
                </c:pt>
                <c:pt idx="46">
                  <c:v>4</c:v>
                </c:pt>
                <c:pt idx="47">
                  <c:v>8</c:v>
                </c:pt>
                <c:pt idx="48">
                  <c:v>3</c:v>
                </c:pt>
                <c:pt idx="49">
                  <c:v>6</c:v>
                </c:pt>
                <c:pt idx="50">
                  <c:v>8</c:v>
                </c:pt>
                <c:pt idx="51">
                  <c:v>6</c:v>
                </c:pt>
                <c:pt idx="52">
                  <c:v>2</c:v>
                </c:pt>
                <c:pt idx="53">
                  <c:v>8</c:v>
                </c:pt>
                <c:pt idx="54">
                  <c:v>11</c:v>
                </c:pt>
                <c:pt idx="55">
                  <c:v>11</c:v>
                </c:pt>
                <c:pt idx="56">
                  <c:v>8</c:v>
                </c:pt>
                <c:pt idx="57">
                  <c:v>2</c:v>
                </c:pt>
                <c:pt idx="58">
                  <c:v>6</c:v>
                </c:pt>
                <c:pt idx="59">
                  <c:v>6</c:v>
                </c:pt>
                <c:pt idx="60">
                  <c:v>7</c:v>
                </c:pt>
                <c:pt idx="61">
                  <c:v>11</c:v>
                </c:pt>
                <c:pt idx="62">
                  <c:v>6</c:v>
                </c:pt>
                <c:pt idx="63">
                  <c:v>8</c:v>
                </c:pt>
                <c:pt idx="64">
                  <c:v>6</c:v>
                </c:pt>
                <c:pt idx="65">
                  <c:v>5</c:v>
                </c:pt>
                <c:pt idx="66">
                  <c:v>5</c:v>
                </c:pt>
                <c:pt idx="67">
                  <c:v>6</c:v>
                </c:pt>
                <c:pt idx="68">
                  <c:v>6</c:v>
                </c:pt>
                <c:pt idx="69">
                  <c:v>6</c:v>
                </c:pt>
                <c:pt idx="70">
                  <c:v>10</c:v>
                </c:pt>
                <c:pt idx="71">
                  <c:v>2</c:v>
                </c:pt>
                <c:pt idx="72">
                  <c:v>4</c:v>
                </c:pt>
                <c:pt idx="73">
                  <c:v>6</c:v>
                </c:pt>
                <c:pt idx="74">
                  <c:v>7</c:v>
                </c:pt>
                <c:pt idx="75">
                  <c:v>4</c:v>
                </c:pt>
                <c:pt idx="76">
                  <c:v>7</c:v>
                </c:pt>
                <c:pt idx="77">
                  <c:v>7</c:v>
                </c:pt>
                <c:pt idx="78">
                  <c:v>9</c:v>
                </c:pt>
                <c:pt idx="79">
                  <c:v>9</c:v>
                </c:pt>
                <c:pt idx="80">
                  <c:v>8</c:v>
                </c:pt>
                <c:pt idx="81">
                  <c:v>4</c:v>
                </c:pt>
                <c:pt idx="82">
                  <c:v>2</c:v>
                </c:pt>
                <c:pt idx="83">
                  <c:v>6</c:v>
                </c:pt>
                <c:pt idx="84">
                  <c:v>7</c:v>
                </c:pt>
                <c:pt idx="85">
                  <c:v>2</c:v>
                </c:pt>
                <c:pt idx="86">
                  <c:v>7</c:v>
                </c:pt>
                <c:pt idx="87">
                  <c:v>4</c:v>
                </c:pt>
                <c:pt idx="88">
                  <c:v>3</c:v>
                </c:pt>
                <c:pt idx="89">
                  <c:v>6</c:v>
                </c:pt>
                <c:pt idx="90">
                  <c:v>7</c:v>
                </c:pt>
                <c:pt idx="91">
                  <c:v>5</c:v>
                </c:pt>
                <c:pt idx="92">
                  <c:v>4</c:v>
                </c:pt>
                <c:pt idx="93">
                  <c:v>9</c:v>
                </c:pt>
                <c:pt idx="94">
                  <c:v>10</c:v>
                </c:pt>
                <c:pt idx="95">
                  <c:v>4</c:v>
                </c:pt>
                <c:pt idx="96">
                  <c:v>5</c:v>
                </c:pt>
                <c:pt idx="97">
                  <c:v>5</c:v>
                </c:pt>
                <c:pt idx="98">
                  <c:v>2</c:v>
                </c:pt>
                <c:pt idx="99">
                  <c:v>6</c:v>
                </c:pt>
                <c:pt idx="100">
                  <c:v>7</c:v>
                </c:pt>
                <c:pt idx="101">
                  <c:v>6</c:v>
                </c:pt>
                <c:pt idx="102">
                  <c:v>5</c:v>
                </c:pt>
                <c:pt idx="103">
                  <c:v>4</c:v>
                </c:pt>
                <c:pt idx="104">
                  <c:v>6</c:v>
                </c:pt>
                <c:pt idx="105">
                  <c:v>9</c:v>
                </c:pt>
                <c:pt idx="106">
                  <c:v>3</c:v>
                </c:pt>
                <c:pt idx="107">
                  <c:v>5</c:v>
                </c:pt>
                <c:pt idx="108">
                  <c:v>7</c:v>
                </c:pt>
                <c:pt idx="109">
                  <c:v>6</c:v>
                </c:pt>
                <c:pt idx="110">
                  <c:v>7</c:v>
                </c:pt>
                <c:pt idx="111">
                  <c:v>9</c:v>
                </c:pt>
                <c:pt idx="112">
                  <c:v>6</c:v>
                </c:pt>
                <c:pt idx="113">
                  <c:v>6</c:v>
                </c:pt>
                <c:pt idx="114">
                  <c:v>7</c:v>
                </c:pt>
                <c:pt idx="115">
                  <c:v>8</c:v>
                </c:pt>
                <c:pt idx="116">
                  <c:v>2</c:v>
                </c:pt>
                <c:pt idx="117">
                  <c:v>4</c:v>
                </c:pt>
                <c:pt idx="118">
                  <c:v>4</c:v>
                </c:pt>
                <c:pt idx="119">
                  <c:v>3</c:v>
                </c:pt>
                <c:pt idx="120">
                  <c:v>0</c:v>
                </c:pt>
                <c:pt idx="121">
                  <c:v>6</c:v>
                </c:pt>
                <c:pt idx="122">
                  <c:v>3</c:v>
                </c:pt>
                <c:pt idx="123">
                  <c:v>6</c:v>
                </c:pt>
                <c:pt idx="124">
                  <c:v>4</c:v>
                </c:pt>
                <c:pt idx="125">
                  <c:v>9</c:v>
                </c:pt>
                <c:pt idx="126">
                  <c:v>9</c:v>
                </c:pt>
                <c:pt idx="127">
                  <c:v>9</c:v>
                </c:pt>
                <c:pt idx="128">
                  <c:v>7</c:v>
                </c:pt>
                <c:pt idx="129">
                  <c:v>5</c:v>
                </c:pt>
                <c:pt idx="130">
                  <c:v>5</c:v>
                </c:pt>
                <c:pt idx="131">
                  <c:v>3</c:v>
                </c:pt>
                <c:pt idx="132">
                  <c:v>4</c:v>
                </c:pt>
                <c:pt idx="133">
                  <c:v>5</c:v>
                </c:pt>
                <c:pt idx="134">
                  <c:v>7</c:v>
                </c:pt>
                <c:pt idx="135">
                  <c:v>7</c:v>
                </c:pt>
                <c:pt idx="136">
                  <c:v>11</c:v>
                </c:pt>
                <c:pt idx="137">
                  <c:v>9</c:v>
                </c:pt>
                <c:pt idx="138">
                  <c:v>5</c:v>
                </c:pt>
                <c:pt idx="139">
                  <c:v>6</c:v>
                </c:pt>
                <c:pt idx="140">
                  <c:v>7</c:v>
                </c:pt>
                <c:pt idx="141">
                  <c:v>8</c:v>
                </c:pt>
                <c:pt idx="142">
                  <c:v>8</c:v>
                </c:pt>
                <c:pt idx="143">
                  <c:v>8</c:v>
                </c:pt>
                <c:pt idx="144">
                  <c:v>3</c:v>
                </c:pt>
                <c:pt idx="145">
                  <c:v>6</c:v>
                </c:pt>
                <c:pt idx="146">
                  <c:v>6</c:v>
                </c:pt>
                <c:pt idx="147">
                  <c:v>3</c:v>
                </c:pt>
                <c:pt idx="148">
                  <c:v>5</c:v>
                </c:pt>
                <c:pt idx="149">
                  <c:v>2</c:v>
                </c:pt>
                <c:pt idx="150">
                  <c:v>3</c:v>
                </c:pt>
                <c:pt idx="151">
                  <c:v>4</c:v>
                </c:pt>
                <c:pt idx="152">
                  <c:v>10</c:v>
                </c:pt>
                <c:pt idx="153">
                  <c:v>8</c:v>
                </c:pt>
                <c:pt idx="154">
                  <c:v>2</c:v>
                </c:pt>
                <c:pt idx="155">
                  <c:v>9</c:v>
                </c:pt>
                <c:pt idx="156">
                  <c:v>10</c:v>
                </c:pt>
                <c:pt idx="157">
                  <c:v>4</c:v>
                </c:pt>
                <c:pt idx="158">
                  <c:v>6</c:v>
                </c:pt>
                <c:pt idx="159">
                  <c:v>10</c:v>
                </c:pt>
                <c:pt idx="160">
                  <c:v>4</c:v>
                </c:pt>
                <c:pt idx="161">
                  <c:v>1</c:v>
                </c:pt>
                <c:pt idx="162">
                  <c:v>8</c:v>
                </c:pt>
                <c:pt idx="163">
                  <c:v>9</c:v>
                </c:pt>
                <c:pt idx="164">
                  <c:v>8</c:v>
                </c:pt>
                <c:pt idx="165">
                  <c:v>4</c:v>
                </c:pt>
                <c:pt idx="166">
                  <c:v>4</c:v>
                </c:pt>
                <c:pt idx="167">
                  <c:v>7</c:v>
                </c:pt>
                <c:pt idx="168">
                  <c:v>7</c:v>
                </c:pt>
                <c:pt idx="169">
                  <c:v>4</c:v>
                </c:pt>
                <c:pt idx="170">
                  <c:v>8</c:v>
                </c:pt>
                <c:pt idx="171">
                  <c:v>9</c:v>
                </c:pt>
                <c:pt idx="172">
                  <c:v>8</c:v>
                </c:pt>
                <c:pt idx="173">
                  <c:v>8</c:v>
                </c:pt>
                <c:pt idx="174">
                  <c:v>6</c:v>
                </c:pt>
                <c:pt idx="175">
                  <c:v>3</c:v>
                </c:pt>
                <c:pt idx="176">
                  <c:v>6</c:v>
                </c:pt>
                <c:pt idx="177">
                  <c:v>0</c:v>
                </c:pt>
                <c:pt idx="178">
                  <c:v>5</c:v>
                </c:pt>
                <c:pt idx="179">
                  <c:v>7</c:v>
                </c:pt>
                <c:pt idx="180">
                  <c:v>7</c:v>
                </c:pt>
                <c:pt idx="181">
                  <c:v>9</c:v>
                </c:pt>
                <c:pt idx="182">
                  <c:v>8</c:v>
                </c:pt>
                <c:pt idx="183">
                  <c:v>7</c:v>
                </c:pt>
                <c:pt idx="184">
                  <c:v>9</c:v>
                </c:pt>
                <c:pt idx="185">
                  <c:v>3</c:v>
                </c:pt>
                <c:pt idx="186">
                  <c:v>4</c:v>
                </c:pt>
                <c:pt idx="187">
                  <c:v>6</c:v>
                </c:pt>
                <c:pt idx="188">
                  <c:v>4</c:v>
                </c:pt>
                <c:pt idx="189">
                  <c:v>6</c:v>
                </c:pt>
                <c:pt idx="190">
                  <c:v>7</c:v>
                </c:pt>
                <c:pt idx="191">
                  <c:v>6</c:v>
                </c:pt>
                <c:pt idx="192">
                  <c:v>8</c:v>
                </c:pt>
                <c:pt idx="193">
                  <c:v>8</c:v>
                </c:pt>
                <c:pt idx="194">
                  <c:v>5</c:v>
                </c:pt>
                <c:pt idx="195">
                  <c:v>7</c:v>
                </c:pt>
                <c:pt idx="196">
                  <c:v>4</c:v>
                </c:pt>
                <c:pt idx="197">
                  <c:v>3</c:v>
                </c:pt>
                <c:pt idx="198">
                  <c:v>7</c:v>
                </c:pt>
                <c:pt idx="199">
                  <c:v>8</c:v>
                </c:pt>
                <c:pt idx="200">
                  <c:v>6</c:v>
                </c:pt>
                <c:pt idx="201">
                  <c:v>7</c:v>
                </c:pt>
                <c:pt idx="202">
                  <c:v>7</c:v>
                </c:pt>
                <c:pt idx="203">
                  <c:v>7</c:v>
                </c:pt>
                <c:pt idx="204">
                  <c:v>6</c:v>
                </c:pt>
                <c:pt idx="205">
                  <c:v>7</c:v>
                </c:pt>
                <c:pt idx="206">
                  <c:v>9</c:v>
                </c:pt>
                <c:pt idx="207">
                  <c:v>5</c:v>
                </c:pt>
                <c:pt idx="208">
                  <c:v>2</c:v>
                </c:pt>
                <c:pt idx="209">
                  <c:v>4</c:v>
                </c:pt>
                <c:pt idx="210">
                  <c:v>8</c:v>
                </c:pt>
                <c:pt idx="211">
                  <c:v>7</c:v>
                </c:pt>
                <c:pt idx="212">
                  <c:v>3</c:v>
                </c:pt>
                <c:pt idx="213">
                  <c:v>8</c:v>
                </c:pt>
                <c:pt idx="214">
                  <c:v>5</c:v>
                </c:pt>
                <c:pt idx="215">
                  <c:v>4</c:v>
                </c:pt>
                <c:pt idx="216">
                  <c:v>5</c:v>
                </c:pt>
                <c:pt idx="217">
                  <c:v>7</c:v>
                </c:pt>
                <c:pt idx="218">
                  <c:v>7</c:v>
                </c:pt>
                <c:pt idx="219">
                  <c:v>2</c:v>
                </c:pt>
                <c:pt idx="220">
                  <c:v>9</c:v>
                </c:pt>
                <c:pt idx="221">
                  <c:v>4</c:v>
                </c:pt>
                <c:pt idx="222">
                  <c:v>9</c:v>
                </c:pt>
                <c:pt idx="223">
                  <c:v>6</c:v>
                </c:pt>
                <c:pt idx="224">
                  <c:v>2</c:v>
                </c:pt>
                <c:pt idx="225">
                  <c:v>6</c:v>
                </c:pt>
                <c:pt idx="226">
                  <c:v>11</c:v>
                </c:pt>
                <c:pt idx="227">
                  <c:v>6</c:v>
                </c:pt>
                <c:pt idx="228">
                  <c:v>9</c:v>
                </c:pt>
                <c:pt idx="229">
                  <c:v>9</c:v>
                </c:pt>
                <c:pt idx="230">
                  <c:v>7</c:v>
                </c:pt>
                <c:pt idx="231">
                  <c:v>7</c:v>
                </c:pt>
                <c:pt idx="232">
                  <c:v>8</c:v>
                </c:pt>
                <c:pt idx="233">
                  <c:v>6</c:v>
                </c:pt>
                <c:pt idx="234">
                  <c:v>5</c:v>
                </c:pt>
                <c:pt idx="235">
                  <c:v>11</c:v>
                </c:pt>
                <c:pt idx="236">
                  <c:v>6</c:v>
                </c:pt>
                <c:pt idx="237">
                  <c:v>3</c:v>
                </c:pt>
                <c:pt idx="238">
                  <c:v>7</c:v>
                </c:pt>
                <c:pt idx="239">
                  <c:v>7</c:v>
                </c:pt>
                <c:pt idx="240">
                  <c:v>5</c:v>
                </c:pt>
                <c:pt idx="241">
                  <c:v>5</c:v>
                </c:pt>
                <c:pt idx="242">
                  <c:v>8</c:v>
                </c:pt>
                <c:pt idx="243">
                  <c:v>7</c:v>
                </c:pt>
                <c:pt idx="244">
                  <c:v>3</c:v>
                </c:pt>
                <c:pt idx="245">
                  <c:v>2</c:v>
                </c:pt>
                <c:pt idx="246">
                  <c:v>5</c:v>
                </c:pt>
                <c:pt idx="247">
                  <c:v>3</c:v>
                </c:pt>
                <c:pt idx="248">
                  <c:v>5</c:v>
                </c:pt>
                <c:pt idx="249">
                  <c:v>2</c:v>
                </c:pt>
                <c:pt idx="250">
                  <c:v>5</c:v>
                </c:pt>
                <c:pt idx="251">
                  <c:v>5</c:v>
                </c:pt>
                <c:pt idx="252">
                  <c:v>6</c:v>
                </c:pt>
                <c:pt idx="253">
                  <c:v>6</c:v>
                </c:pt>
                <c:pt idx="254">
                  <c:v>6</c:v>
                </c:pt>
                <c:pt idx="255">
                  <c:v>6</c:v>
                </c:pt>
                <c:pt idx="256">
                  <c:v>2</c:v>
                </c:pt>
                <c:pt idx="257">
                  <c:v>8</c:v>
                </c:pt>
                <c:pt idx="258">
                  <c:v>4</c:v>
                </c:pt>
                <c:pt idx="259">
                  <c:v>8</c:v>
                </c:pt>
                <c:pt idx="260">
                  <c:v>6</c:v>
                </c:pt>
                <c:pt idx="261">
                  <c:v>4</c:v>
                </c:pt>
                <c:pt idx="262">
                  <c:v>7</c:v>
                </c:pt>
                <c:pt idx="263">
                  <c:v>4</c:v>
                </c:pt>
                <c:pt idx="264">
                  <c:v>6</c:v>
                </c:pt>
                <c:pt idx="265">
                  <c:v>3</c:v>
                </c:pt>
                <c:pt idx="266">
                  <c:v>3</c:v>
                </c:pt>
                <c:pt idx="267">
                  <c:v>5</c:v>
                </c:pt>
                <c:pt idx="268">
                  <c:v>2</c:v>
                </c:pt>
                <c:pt idx="269">
                  <c:v>4</c:v>
                </c:pt>
                <c:pt idx="270">
                  <c:v>3</c:v>
                </c:pt>
                <c:pt idx="271">
                  <c:v>5</c:v>
                </c:pt>
                <c:pt idx="272">
                  <c:v>9</c:v>
                </c:pt>
                <c:pt idx="273">
                  <c:v>5</c:v>
                </c:pt>
                <c:pt idx="274">
                  <c:v>8</c:v>
                </c:pt>
                <c:pt idx="275">
                  <c:v>6</c:v>
                </c:pt>
                <c:pt idx="276">
                  <c:v>2</c:v>
                </c:pt>
                <c:pt idx="277">
                  <c:v>4</c:v>
                </c:pt>
                <c:pt idx="278">
                  <c:v>3</c:v>
                </c:pt>
                <c:pt idx="279">
                  <c:v>2</c:v>
                </c:pt>
                <c:pt idx="280">
                  <c:v>5</c:v>
                </c:pt>
                <c:pt idx="281">
                  <c:v>10</c:v>
                </c:pt>
                <c:pt idx="282">
                  <c:v>4</c:v>
                </c:pt>
                <c:pt idx="283">
                  <c:v>6</c:v>
                </c:pt>
                <c:pt idx="284">
                  <c:v>7</c:v>
                </c:pt>
                <c:pt idx="285">
                  <c:v>5</c:v>
                </c:pt>
                <c:pt idx="286">
                  <c:v>8</c:v>
                </c:pt>
                <c:pt idx="287">
                  <c:v>3</c:v>
                </c:pt>
                <c:pt idx="288">
                  <c:v>4</c:v>
                </c:pt>
                <c:pt idx="289">
                  <c:v>6</c:v>
                </c:pt>
                <c:pt idx="290">
                  <c:v>3</c:v>
                </c:pt>
                <c:pt idx="291">
                  <c:v>6</c:v>
                </c:pt>
                <c:pt idx="292">
                  <c:v>4</c:v>
                </c:pt>
                <c:pt idx="293">
                  <c:v>6</c:v>
                </c:pt>
                <c:pt idx="294">
                  <c:v>9</c:v>
                </c:pt>
                <c:pt idx="295">
                  <c:v>4</c:v>
                </c:pt>
                <c:pt idx="296">
                  <c:v>3</c:v>
                </c:pt>
                <c:pt idx="297">
                  <c:v>6</c:v>
                </c:pt>
                <c:pt idx="298">
                  <c:v>6</c:v>
                </c:pt>
                <c:pt idx="299">
                  <c:v>7</c:v>
                </c:pt>
                <c:pt idx="300">
                  <c:v>2</c:v>
                </c:pt>
                <c:pt idx="301">
                  <c:v>10</c:v>
                </c:pt>
                <c:pt idx="302">
                  <c:v>7</c:v>
                </c:pt>
                <c:pt idx="303">
                  <c:v>9</c:v>
                </c:pt>
                <c:pt idx="304">
                  <c:v>7</c:v>
                </c:pt>
                <c:pt idx="305">
                  <c:v>3</c:v>
                </c:pt>
                <c:pt idx="306">
                  <c:v>10</c:v>
                </c:pt>
                <c:pt idx="307">
                  <c:v>10</c:v>
                </c:pt>
                <c:pt idx="308">
                  <c:v>4</c:v>
                </c:pt>
                <c:pt idx="309">
                  <c:v>6</c:v>
                </c:pt>
                <c:pt idx="310">
                  <c:v>6</c:v>
                </c:pt>
                <c:pt idx="311">
                  <c:v>11</c:v>
                </c:pt>
                <c:pt idx="312">
                  <c:v>3</c:v>
                </c:pt>
                <c:pt idx="313">
                  <c:v>1</c:v>
                </c:pt>
                <c:pt idx="314">
                  <c:v>8</c:v>
                </c:pt>
                <c:pt idx="315">
                  <c:v>3</c:v>
                </c:pt>
                <c:pt idx="316">
                  <c:v>5</c:v>
                </c:pt>
                <c:pt idx="317">
                  <c:v>4</c:v>
                </c:pt>
                <c:pt idx="318">
                  <c:v>8</c:v>
                </c:pt>
                <c:pt idx="319">
                  <c:v>5</c:v>
                </c:pt>
                <c:pt idx="320">
                  <c:v>8</c:v>
                </c:pt>
                <c:pt idx="321">
                  <c:v>6</c:v>
                </c:pt>
                <c:pt idx="322">
                  <c:v>3</c:v>
                </c:pt>
                <c:pt idx="323">
                  <c:v>9</c:v>
                </c:pt>
                <c:pt idx="324">
                  <c:v>8</c:v>
                </c:pt>
                <c:pt idx="325">
                  <c:v>9</c:v>
                </c:pt>
                <c:pt idx="326">
                  <c:v>6</c:v>
                </c:pt>
                <c:pt idx="327">
                  <c:v>3</c:v>
                </c:pt>
                <c:pt idx="328">
                  <c:v>2</c:v>
                </c:pt>
                <c:pt idx="329">
                  <c:v>5</c:v>
                </c:pt>
                <c:pt idx="330">
                  <c:v>4</c:v>
                </c:pt>
                <c:pt idx="331">
                  <c:v>4</c:v>
                </c:pt>
                <c:pt idx="332">
                  <c:v>7</c:v>
                </c:pt>
                <c:pt idx="333">
                  <c:v>5</c:v>
                </c:pt>
                <c:pt idx="334">
                  <c:v>11</c:v>
                </c:pt>
                <c:pt idx="335">
                  <c:v>3</c:v>
                </c:pt>
                <c:pt idx="336">
                  <c:v>6</c:v>
                </c:pt>
                <c:pt idx="337">
                  <c:v>6</c:v>
                </c:pt>
                <c:pt idx="338">
                  <c:v>2</c:v>
                </c:pt>
                <c:pt idx="339">
                  <c:v>10</c:v>
                </c:pt>
                <c:pt idx="340">
                  <c:v>3</c:v>
                </c:pt>
                <c:pt idx="341">
                  <c:v>8</c:v>
                </c:pt>
                <c:pt idx="342">
                  <c:v>2</c:v>
                </c:pt>
                <c:pt idx="343">
                  <c:v>6</c:v>
                </c:pt>
                <c:pt idx="344">
                  <c:v>7</c:v>
                </c:pt>
                <c:pt idx="345">
                  <c:v>1</c:v>
                </c:pt>
                <c:pt idx="346">
                  <c:v>3</c:v>
                </c:pt>
                <c:pt idx="347">
                  <c:v>4</c:v>
                </c:pt>
                <c:pt idx="348">
                  <c:v>9</c:v>
                </c:pt>
                <c:pt idx="349">
                  <c:v>9</c:v>
                </c:pt>
                <c:pt idx="350">
                  <c:v>2</c:v>
                </c:pt>
                <c:pt idx="351">
                  <c:v>7</c:v>
                </c:pt>
                <c:pt idx="352">
                  <c:v>5</c:v>
                </c:pt>
                <c:pt idx="353">
                  <c:v>1</c:v>
                </c:pt>
                <c:pt idx="354">
                  <c:v>4</c:v>
                </c:pt>
                <c:pt idx="355">
                  <c:v>7</c:v>
                </c:pt>
                <c:pt idx="356">
                  <c:v>4</c:v>
                </c:pt>
                <c:pt idx="357">
                  <c:v>7</c:v>
                </c:pt>
                <c:pt idx="358">
                  <c:v>7</c:v>
                </c:pt>
                <c:pt idx="359">
                  <c:v>10</c:v>
                </c:pt>
                <c:pt idx="360">
                  <c:v>5</c:v>
                </c:pt>
                <c:pt idx="361">
                  <c:v>9</c:v>
                </c:pt>
                <c:pt idx="362">
                  <c:v>9</c:v>
                </c:pt>
                <c:pt idx="363">
                  <c:v>9</c:v>
                </c:pt>
                <c:pt idx="364">
                  <c:v>1</c:v>
                </c:pt>
                <c:pt idx="365">
                  <c:v>7</c:v>
                </c:pt>
                <c:pt idx="366">
                  <c:v>9</c:v>
                </c:pt>
                <c:pt idx="367">
                  <c:v>5</c:v>
                </c:pt>
                <c:pt idx="368">
                  <c:v>10</c:v>
                </c:pt>
                <c:pt idx="369">
                  <c:v>11</c:v>
                </c:pt>
                <c:pt idx="370">
                  <c:v>5</c:v>
                </c:pt>
                <c:pt idx="371">
                  <c:v>9</c:v>
                </c:pt>
                <c:pt idx="372">
                  <c:v>3</c:v>
                </c:pt>
                <c:pt idx="373">
                  <c:v>11</c:v>
                </c:pt>
              </c:numCache>
            </c:numRef>
          </c:xVal>
          <c:yVal>
            <c:numRef>
              <c:f>'Figure| Duration vs. Quality'!$E$2:$E$375</c:f>
              <c:numCache>
                <c:formatCode>0.0</c:formatCode>
                <c:ptCount val="374"/>
                <c:pt idx="0">
                  <c:v>0.29508196721311475</c:v>
                </c:pt>
                <c:pt idx="1">
                  <c:v>0.78688524590163933</c:v>
                </c:pt>
                <c:pt idx="2">
                  <c:v>1.4754098360655739</c:v>
                </c:pt>
                <c:pt idx="3">
                  <c:v>1.639344262295082</c:v>
                </c:pt>
                <c:pt idx="4">
                  <c:v>1.8360655737704918</c:v>
                </c:pt>
                <c:pt idx="5">
                  <c:v>2</c:v>
                </c:pt>
                <c:pt idx="6">
                  <c:v>2.1967213114754101</c:v>
                </c:pt>
                <c:pt idx="7">
                  <c:v>2.1967213114754101</c:v>
                </c:pt>
                <c:pt idx="8">
                  <c:v>2.3934426229508197</c:v>
                </c:pt>
                <c:pt idx="9">
                  <c:v>2.4262295081967213</c:v>
                </c:pt>
                <c:pt idx="10">
                  <c:v>2.557377049180328</c:v>
                </c:pt>
                <c:pt idx="11">
                  <c:v>2.7868852459016393</c:v>
                </c:pt>
                <c:pt idx="12">
                  <c:v>3.0163934426229506</c:v>
                </c:pt>
                <c:pt idx="13">
                  <c:v>3.1147540983606556</c:v>
                </c:pt>
                <c:pt idx="14">
                  <c:v>3.1147540983606556</c:v>
                </c:pt>
                <c:pt idx="15">
                  <c:v>3.180327868852459</c:v>
                </c:pt>
                <c:pt idx="16">
                  <c:v>3.2459016393442623</c:v>
                </c:pt>
                <c:pt idx="17">
                  <c:v>3.3442622950819674</c:v>
                </c:pt>
                <c:pt idx="18">
                  <c:v>3.377049180327869</c:v>
                </c:pt>
                <c:pt idx="19">
                  <c:v>3.377049180327869</c:v>
                </c:pt>
                <c:pt idx="20">
                  <c:v>3.4098360655737703</c:v>
                </c:pt>
                <c:pt idx="21">
                  <c:v>3.5081967213114753</c:v>
                </c:pt>
                <c:pt idx="22">
                  <c:v>3.5081967213114753</c:v>
                </c:pt>
                <c:pt idx="23">
                  <c:v>3.5737704918032787</c:v>
                </c:pt>
                <c:pt idx="24">
                  <c:v>3.639344262295082</c:v>
                </c:pt>
                <c:pt idx="25">
                  <c:v>3.737704918032787</c:v>
                </c:pt>
                <c:pt idx="26">
                  <c:v>3.7704918032786887</c:v>
                </c:pt>
                <c:pt idx="27">
                  <c:v>3.9344262295081966</c:v>
                </c:pt>
                <c:pt idx="28">
                  <c:v>3.9344262295081966</c:v>
                </c:pt>
                <c:pt idx="29">
                  <c:v>3.9672131147540983</c:v>
                </c:pt>
                <c:pt idx="30">
                  <c:v>3.9672131147540983</c:v>
                </c:pt>
                <c:pt idx="31">
                  <c:v>4.0655737704918034</c:v>
                </c:pt>
                <c:pt idx="32">
                  <c:v>4.0983606557377046</c:v>
                </c:pt>
                <c:pt idx="33">
                  <c:v>4.1639344262295079</c:v>
                </c:pt>
                <c:pt idx="34">
                  <c:v>4.2622950819672134</c:v>
                </c:pt>
                <c:pt idx="35">
                  <c:v>4.2950819672131146</c:v>
                </c:pt>
                <c:pt idx="36">
                  <c:v>4.4918032786885247</c:v>
                </c:pt>
                <c:pt idx="37">
                  <c:v>4.6885245901639347</c:v>
                </c:pt>
                <c:pt idx="38">
                  <c:v>4.721311475409836</c:v>
                </c:pt>
                <c:pt idx="39">
                  <c:v>4.721311475409836</c:v>
                </c:pt>
                <c:pt idx="40">
                  <c:v>4.8196721311475406</c:v>
                </c:pt>
                <c:pt idx="41">
                  <c:v>4.8852459016393439</c:v>
                </c:pt>
                <c:pt idx="42">
                  <c:v>4.9508196721311473</c:v>
                </c:pt>
                <c:pt idx="43">
                  <c:v>5.0163934426229506</c:v>
                </c:pt>
                <c:pt idx="44">
                  <c:v>5.081967213114754</c:v>
                </c:pt>
                <c:pt idx="45">
                  <c:v>5.1147540983606561</c:v>
                </c:pt>
                <c:pt idx="46">
                  <c:v>5.1803278688524594</c:v>
                </c:pt>
                <c:pt idx="47">
                  <c:v>5.1803278688524594</c:v>
                </c:pt>
                <c:pt idx="48">
                  <c:v>5.2459016393442619</c:v>
                </c:pt>
                <c:pt idx="49">
                  <c:v>5.3114754098360653</c:v>
                </c:pt>
                <c:pt idx="50">
                  <c:v>5.3770491803278686</c:v>
                </c:pt>
                <c:pt idx="51">
                  <c:v>5.3770491803278686</c:v>
                </c:pt>
                <c:pt idx="52">
                  <c:v>5.4754098360655741</c:v>
                </c:pt>
                <c:pt idx="53">
                  <c:v>5.4754098360655741</c:v>
                </c:pt>
                <c:pt idx="54">
                  <c:v>5.5081967213114753</c:v>
                </c:pt>
                <c:pt idx="55">
                  <c:v>5.5737704918032787</c:v>
                </c:pt>
                <c:pt idx="56">
                  <c:v>5.6065573770491799</c:v>
                </c:pt>
                <c:pt idx="57">
                  <c:v>5.6065573770491799</c:v>
                </c:pt>
                <c:pt idx="58">
                  <c:v>5.7049180327868854</c:v>
                </c:pt>
                <c:pt idx="59">
                  <c:v>5.7377049180327866</c:v>
                </c:pt>
                <c:pt idx="60">
                  <c:v>5.7377049180327866</c:v>
                </c:pt>
                <c:pt idx="61">
                  <c:v>5.8032786885245899</c:v>
                </c:pt>
                <c:pt idx="62">
                  <c:v>5.8360655737704921</c:v>
                </c:pt>
                <c:pt idx="63">
                  <c:v>5.8360655737704921</c:v>
                </c:pt>
                <c:pt idx="64">
                  <c:v>5.8688524590163933</c:v>
                </c:pt>
                <c:pt idx="65">
                  <c:v>6.0327868852459012</c:v>
                </c:pt>
                <c:pt idx="66">
                  <c:v>6.0327868852459012</c:v>
                </c:pt>
                <c:pt idx="67">
                  <c:v>6.0327868852459012</c:v>
                </c:pt>
                <c:pt idx="68">
                  <c:v>6.2950819672131146</c:v>
                </c:pt>
                <c:pt idx="69">
                  <c:v>6.2950819672131146</c:v>
                </c:pt>
                <c:pt idx="70">
                  <c:v>6.3934426229508201</c:v>
                </c:pt>
                <c:pt idx="71">
                  <c:v>6.4262295081967213</c:v>
                </c:pt>
                <c:pt idx="72">
                  <c:v>6.4262295081967213</c:v>
                </c:pt>
                <c:pt idx="73">
                  <c:v>6.4590163934426226</c:v>
                </c:pt>
                <c:pt idx="74">
                  <c:v>6.5901639344262293</c:v>
                </c:pt>
                <c:pt idx="75">
                  <c:v>6.5901639344262293</c:v>
                </c:pt>
                <c:pt idx="76">
                  <c:v>6.5901639344262293</c:v>
                </c:pt>
                <c:pt idx="77">
                  <c:v>6.6229508196721314</c:v>
                </c:pt>
                <c:pt idx="78">
                  <c:v>6.6229508196721314</c:v>
                </c:pt>
                <c:pt idx="79">
                  <c:v>6.7540983606557381</c:v>
                </c:pt>
                <c:pt idx="80">
                  <c:v>6.8196721311475406</c:v>
                </c:pt>
                <c:pt idx="81">
                  <c:v>6.8196721311475406</c:v>
                </c:pt>
                <c:pt idx="82">
                  <c:v>6.8524590163934427</c:v>
                </c:pt>
                <c:pt idx="83">
                  <c:v>6.918032786885246</c:v>
                </c:pt>
                <c:pt idx="84">
                  <c:v>6.918032786885246</c:v>
                </c:pt>
                <c:pt idx="85">
                  <c:v>6.9508196721311473</c:v>
                </c:pt>
                <c:pt idx="86">
                  <c:v>6.9508196721311473</c:v>
                </c:pt>
                <c:pt idx="87">
                  <c:v>6.9508196721311473</c:v>
                </c:pt>
                <c:pt idx="88">
                  <c:v>6.9836065573770494</c:v>
                </c:pt>
                <c:pt idx="89">
                  <c:v>7.0163934426229506</c:v>
                </c:pt>
                <c:pt idx="90">
                  <c:v>7.0163934426229506</c:v>
                </c:pt>
                <c:pt idx="91">
                  <c:v>7.0491803278688527</c:v>
                </c:pt>
                <c:pt idx="92">
                  <c:v>7.1475409836065573</c:v>
                </c:pt>
                <c:pt idx="93">
                  <c:v>7.2459016393442619</c:v>
                </c:pt>
                <c:pt idx="94">
                  <c:v>7.278688524590164</c:v>
                </c:pt>
                <c:pt idx="95">
                  <c:v>7.3770491803278686</c:v>
                </c:pt>
                <c:pt idx="96">
                  <c:v>7.442622950819672</c:v>
                </c:pt>
                <c:pt idx="97">
                  <c:v>7.442622950819672</c:v>
                </c:pt>
                <c:pt idx="98">
                  <c:v>7.5409836065573774</c:v>
                </c:pt>
                <c:pt idx="99">
                  <c:v>7.5737704918032787</c:v>
                </c:pt>
                <c:pt idx="100">
                  <c:v>7.6065573770491799</c:v>
                </c:pt>
                <c:pt idx="101">
                  <c:v>7.6065573770491799</c:v>
                </c:pt>
                <c:pt idx="102">
                  <c:v>7.639344262295082</c:v>
                </c:pt>
                <c:pt idx="103">
                  <c:v>7.7049180327868854</c:v>
                </c:pt>
                <c:pt idx="104">
                  <c:v>7.7704918032786887</c:v>
                </c:pt>
                <c:pt idx="105">
                  <c:v>7.8360655737704921</c:v>
                </c:pt>
                <c:pt idx="106">
                  <c:v>7.9672131147540988</c:v>
                </c:pt>
                <c:pt idx="107">
                  <c:v>7.9672131147540988</c:v>
                </c:pt>
                <c:pt idx="108">
                  <c:v>8.3606557377049189</c:v>
                </c:pt>
                <c:pt idx="109">
                  <c:v>8.4262295081967213</c:v>
                </c:pt>
                <c:pt idx="110">
                  <c:v>8.4590163934426226</c:v>
                </c:pt>
                <c:pt idx="111">
                  <c:v>8.557377049180328</c:v>
                </c:pt>
                <c:pt idx="112">
                  <c:v>8.5901639344262293</c:v>
                </c:pt>
                <c:pt idx="113">
                  <c:v>8.6557377049180335</c:v>
                </c:pt>
                <c:pt idx="114">
                  <c:v>8.6557377049180335</c:v>
                </c:pt>
                <c:pt idx="115">
                  <c:v>8.7540983606557372</c:v>
                </c:pt>
                <c:pt idx="116">
                  <c:v>8.7540983606557372</c:v>
                </c:pt>
                <c:pt idx="117">
                  <c:v>8.8196721311475414</c:v>
                </c:pt>
                <c:pt idx="118">
                  <c:v>8.8196721311475414</c:v>
                </c:pt>
                <c:pt idx="119">
                  <c:v>8.9180327868852451</c:v>
                </c:pt>
                <c:pt idx="120">
                  <c:v>8.9508196721311482</c:v>
                </c:pt>
                <c:pt idx="121">
                  <c:v>8.9836065573770494</c:v>
                </c:pt>
                <c:pt idx="122">
                  <c:v>8.9836065573770494</c:v>
                </c:pt>
                <c:pt idx="123">
                  <c:v>8.9836065573770494</c:v>
                </c:pt>
                <c:pt idx="124">
                  <c:v>9.0163934426229506</c:v>
                </c:pt>
                <c:pt idx="125">
                  <c:v>9.1475409836065573</c:v>
                </c:pt>
                <c:pt idx="126">
                  <c:v>9.278688524590164</c:v>
                </c:pt>
                <c:pt idx="127">
                  <c:v>9.3442622950819665</c:v>
                </c:pt>
                <c:pt idx="128">
                  <c:v>9.3770491803278695</c:v>
                </c:pt>
                <c:pt idx="129">
                  <c:v>9.4098360655737707</c:v>
                </c:pt>
                <c:pt idx="130">
                  <c:v>9.442622950819672</c:v>
                </c:pt>
                <c:pt idx="131">
                  <c:v>9.5737704918032787</c:v>
                </c:pt>
                <c:pt idx="132">
                  <c:v>9.6393442622950811</c:v>
                </c:pt>
                <c:pt idx="133">
                  <c:v>9.7377049180327866</c:v>
                </c:pt>
                <c:pt idx="134">
                  <c:v>9.7704918032786878</c:v>
                </c:pt>
                <c:pt idx="135">
                  <c:v>9.8032786885245908</c:v>
                </c:pt>
                <c:pt idx="136">
                  <c:v>9.8360655737704921</c:v>
                </c:pt>
                <c:pt idx="137">
                  <c:v>9.8688524590163933</c:v>
                </c:pt>
                <c:pt idx="138">
                  <c:v>9.9672131147540988</c:v>
                </c:pt>
                <c:pt idx="139">
                  <c:v>9.9672131147540988</c:v>
                </c:pt>
                <c:pt idx="140">
                  <c:v>10</c:v>
                </c:pt>
                <c:pt idx="141">
                  <c:v>10</c:v>
                </c:pt>
                <c:pt idx="142">
                  <c:v>10</c:v>
                </c:pt>
                <c:pt idx="143">
                  <c:v>10.098360655737705</c:v>
                </c:pt>
                <c:pt idx="144">
                  <c:v>10.327868852459016</c:v>
                </c:pt>
                <c:pt idx="145">
                  <c:v>10.327868852459016</c:v>
                </c:pt>
                <c:pt idx="146">
                  <c:v>10.426229508196721</c:v>
                </c:pt>
                <c:pt idx="147">
                  <c:v>10.426229508196721</c:v>
                </c:pt>
                <c:pt idx="148">
                  <c:v>10.491803278688524</c:v>
                </c:pt>
                <c:pt idx="149">
                  <c:v>10.491803278688524</c:v>
                </c:pt>
                <c:pt idx="150">
                  <c:v>10.524590163934427</c:v>
                </c:pt>
                <c:pt idx="151">
                  <c:v>10.524590163934427</c:v>
                </c:pt>
                <c:pt idx="152">
                  <c:v>10.78688524590164</c:v>
                </c:pt>
                <c:pt idx="153">
                  <c:v>10.852459016393443</c:v>
                </c:pt>
                <c:pt idx="154">
                  <c:v>10.852459016393443</c:v>
                </c:pt>
                <c:pt idx="155">
                  <c:v>10.918032786885245</c:v>
                </c:pt>
                <c:pt idx="156">
                  <c:v>10.983606557377049</c:v>
                </c:pt>
                <c:pt idx="157">
                  <c:v>11.081967213114755</c:v>
                </c:pt>
                <c:pt idx="158">
                  <c:v>11.180327868852459</c:v>
                </c:pt>
                <c:pt idx="159">
                  <c:v>11.180327868852459</c:v>
                </c:pt>
                <c:pt idx="160">
                  <c:v>11.21311475409836</c:v>
                </c:pt>
                <c:pt idx="161">
                  <c:v>11.245901639344263</c:v>
                </c:pt>
                <c:pt idx="162">
                  <c:v>11.245901639344263</c:v>
                </c:pt>
                <c:pt idx="163">
                  <c:v>11.409836065573771</c:v>
                </c:pt>
                <c:pt idx="164">
                  <c:v>11.409836065573771</c:v>
                </c:pt>
                <c:pt idx="165">
                  <c:v>11.409836065573771</c:v>
                </c:pt>
                <c:pt idx="166">
                  <c:v>11.409836065573771</c:v>
                </c:pt>
                <c:pt idx="167">
                  <c:v>11.475409836065573</c:v>
                </c:pt>
                <c:pt idx="168">
                  <c:v>11.475409836065573</c:v>
                </c:pt>
                <c:pt idx="169">
                  <c:v>11.540983606557377</c:v>
                </c:pt>
                <c:pt idx="170">
                  <c:v>11.540983606557377</c:v>
                </c:pt>
                <c:pt idx="171">
                  <c:v>11.573770491803279</c:v>
                </c:pt>
                <c:pt idx="172">
                  <c:v>11.737704918032787</c:v>
                </c:pt>
                <c:pt idx="173">
                  <c:v>11.836065573770492</c:v>
                </c:pt>
                <c:pt idx="174">
                  <c:v>11.836065573770492</c:v>
                </c:pt>
                <c:pt idx="175">
                  <c:v>11.868852459016393</c:v>
                </c:pt>
                <c:pt idx="176">
                  <c:v>11.967213114754099</c:v>
                </c:pt>
                <c:pt idx="177">
                  <c:v>12</c:v>
                </c:pt>
                <c:pt idx="178">
                  <c:v>12.032786885245901</c:v>
                </c:pt>
                <c:pt idx="179">
                  <c:v>12.065573770491802</c:v>
                </c:pt>
                <c:pt idx="180">
                  <c:v>12.163934426229508</c:v>
                </c:pt>
                <c:pt idx="181">
                  <c:v>12.262295081967213</c:v>
                </c:pt>
                <c:pt idx="182">
                  <c:v>12.295081967213115</c:v>
                </c:pt>
                <c:pt idx="183">
                  <c:v>12.327868852459016</c:v>
                </c:pt>
                <c:pt idx="184">
                  <c:v>12.491803278688524</c:v>
                </c:pt>
                <c:pt idx="185">
                  <c:v>12.524590163934427</c:v>
                </c:pt>
                <c:pt idx="186">
                  <c:v>12.524590163934427</c:v>
                </c:pt>
                <c:pt idx="187">
                  <c:v>12.557377049180328</c:v>
                </c:pt>
                <c:pt idx="188">
                  <c:v>12.655737704918034</c:v>
                </c:pt>
                <c:pt idx="189">
                  <c:v>12.688524590163935</c:v>
                </c:pt>
                <c:pt idx="190">
                  <c:v>12.819672131147541</c:v>
                </c:pt>
                <c:pt idx="191">
                  <c:v>12.852459016393443</c:v>
                </c:pt>
                <c:pt idx="192">
                  <c:v>12.918032786885245</c:v>
                </c:pt>
                <c:pt idx="193">
                  <c:v>12.918032786885245</c:v>
                </c:pt>
                <c:pt idx="194">
                  <c:v>13.081967213114755</c:v>
                </c:pt>
                <c:pt idx="195">
                  <c:v>13.508196721311476</c:v>
                </c:pt>
                <c:pt idx="196">
                  <c:v>13.573770491803279</c:v>
                </c:pt>
                <c:pt idx="197">
                  <c:v>13.639344262295081</c:v>
                </c:pt>
                <c:pt idx="198">
                  <c:v>13.672131147540984</c:v>
                </c:pt>
                <c:pt idx="199">
                  <c:v>13.803278688524591</c:v>
                </c:pt>
                <c:pt idx="200">
                  <c:v>13.836065573770492</c:v>
                </c:pt>
                <c:pt idx="201">
                  <c:v>13.901639344262295</c:v>
                </c:pt>
                <c:pt idx="202">
                  <c:v>13.934426229508198</c:v>
                </c:pt>
                <c:pt idx="203">
                  <c:v>13.934426229508198</c:v>
                </c:pt>
                <c:pt idx="204">
                  <c:v>14.065573770491802</c:v>
                </c:pt>
                <c:pt idx="205">
                  <c:v>14.196721311475409</c:v>
                </c:pt>
                <c:pt idx="206">
                  <c:v>14.426229508196721</c:v>
                </c:pt>
                <c:pt idx="207">
                  <c:v>14.622950819672131</c:v>
                </c:pt>
                <c:pt idx="208">
                  <c:v>14.622950819672131</c:v>
                </c:pt>
                <c:pt idx="209">
                  <c:v>14.983606557377049</c:v>
                </c:pt>
                <c:pt idx="210">
                  <c:v>15.180327868852459</c:v>
                </c:pt>
                <c:pt idx="211">
                  <c:v>15.311475409836065</c:v>
                </c:pt>
                <c:pt idx="212">
                  <c:v>15.344262295081966</c:v>
                </c:pt>
                <c:pt idx="213">
                  <c:v>15.377049180327869</c:v>
                </c:pt>
                <c:pt idx="214">
                  <c:v>15.442622950819672</c:v>
                </c:pt>
                <c:pt idx="215">
                  <c:v>15.540983606557377</c:v>
                </c:pt>
                <c:pt idx="216">
                  <c:v>15.60655737704918</c:v>
                </c:pt>
                <c:pt idx="217">
                  <c:v>15.60655737704918</c:v>
                </c:pt>
                <c:pt idx="218">
                  <c:v>15.737704918032787</c:v>
                </c:pt>
                <c:pt idx="219">
                  <c:v>15.803278688524591</c:v>
                </c:pt>
                <c:pt idx="220">
                  <c:v>15.803278688524591</c:v>
                </c:pt>
                <c:pt idx="221">
                  <c:v>15.901639344262295</c:v>
                </c:pt>
                <c:pt idx="222">
                  <c:v>15.901639344262295</c:v>
                </c:pt>
                <c:pt idx="223">
                  <c:v>15.967213114754099</c:v>
                </c:pt>
                <c:pt idx="224">
                  <c:v>15.967213114754099</c:v>
                </c:pt>
                <c:pt idx="225">
                  <c:v>16</c:v>
                </c:pt>
                <c:pt idx="226">
                  <c:v>16.098360655737704</c:v>
                </c:pt>
                <c:pt idx="227">
                  <c:v>16.262295081967213</c:v>
                </c:pt>
                <c:pt idx="228">
                  <c:v>16.295081967213115</c:v>
                </c:pt>
                <c:pt idx="229">
                  <c:v>16.360655737704917</c:v>
                </c:pt>
                <c:pt idx="230">
                  <c:v>16.42622950819672</c:v>
                </c:pt>
                <c:pt idx="231">
                  <c:v>16.42622950819672</c:v>
                </c:pt>
                <c:pt idx="232">
                  <c:v>16.590163934426229</c:v>
                </c:pt>
                <c:pt idx="233">
                  <c:v>16.78688524590164</c:v>
                </c:pt>
                <c:pt idx="234">
                  <c:v>16.918032786885245</c:v>
                </c:pt>
                <c:pt idx="235">
                  <c:v>16.950819672131146</c:v>
                </c:pt>
                <c:pt idx="236">
                  <c:v>17.081967213114755</c:v>
                </c:pt>
                <c:pt idx="237">
                  <c:v>17.081967213114755</c:v>
                </c:pt>
                <c:pt idx="238">
                  <c:v>17.114754098360656</c:v>
                </c:pt>
                <c:pt idx="239">
                  <c:v>17.278688524590162</c:v>
                </c:pt>
                <c:pt idx="240">
                  <c:v>17.475409836065573</c:v>
                </c:pt>
                <c:pt idx="241">
                  <c:v>17.934426229508198</c:v>
                </c:pt>
                <c:pt idx="242">
                  <c:v>17.967213114754099</c:v>
                </c:pt>
                <c:pt idx="243">
                  <c:v>17.967213114754099</c:v>
                </c:pt>
                <c:pt idx="244">
                  <c:v>18</c:v>
                </c:pt>
                <c:pt idx="245">
                  <c:v>18</c:v>
                </c:pt>
                <c:pt idx="246">
                  <c:v>18.196721311475411</c:v>
                </c:pt>
                <c:pt idx="247">
                  <c:v>18.262295081967213</c:v>
                </c:pt>
                <c:pt idx="248">
                  <c:v>18.42622950819672</c:v>
                </c:pt>
                <c:pt idx="249">
                  <c:v>18.459016393442624</c:v>
                </c:pt>
                <c:pt idx="250">
                  <c:v>18.491803278688526</c:v>
                </c:pt>
                <c:pt idx="251">
                  <c:v>18.524590163934427</c:v>
                </c:pt>
                <c:pt idx="252">
                  <c:v>18.622950819672131</c:v>
                </c:pt>
                <c:pt idx="253">
                  <c:v>18.622950819672131</c:v>
                </c:pt>
                <c:pt idx="254">
                  <c:v>18.754098360655739</c:v>
                </c:pt>
                <c:pt idx="255">
                  <c:v>18.754098360655739</c:v>
                </c:pt>
                <c:pt idx="256">
                  <c:v>18.819672131147541</c:v>
                </c:pt>
                <c:pt idx="257">
                  <c:v>18.950819672131146</c:v>
                </c:pt>
                <c:pt idx="258">
                  <c:v>19.016393442622952</c:v>
                </c:pt>
                <c:pt idx="259">
                  <c:v>19.114754098360656</c:v>
                </c:pt>
                <c:pt idx="260">
                  <c:v>19.245901639344261</c:v>
                </c:pt>
                <c:pt idx="261">
                  <c:v>19.475409836065573</c:v>
                </c:pt>
                <c:pt idx="262">
                  <c:v>19.606557377049182</c:v>
                </c:pt>
                <c:pt idx="263">
                  <c:v>19.770491803278688</c:v>
                </c:pt>
                <c:pt idx="264">
                  <c:v>20</c:v>
                </c:pt>
                <c:pt idx="265">
                  <c:v>20.295081967213115</c:v>
                </c:pt>
                <c:pt idx="266">
                  <c:v>20.360655737704917</c:v>
                </c:pt>
                <c:pt idx="267">
                  <c:v>20.524590163934427</c:v>
                </c:pt>
                <c:pt idx="268">
                  <c:v>20.524590163934427</c:v>
                </c:pt>
                <c:pt idx="269">
                  <c:v>20.557377049180328</c:v>
                </c:pt>
                <c:pt idx="270">
                  <c:v>20.655737704918032</c:v>
                </c:pt>
                <c:pt idx="271">
                  <c:v>20.688524590163933</c:v>
                </c:pt>
                <c:pt idx="272">
                  <c:v>20.754098360655739</c:v>
                </c:pt>
                <c:pt idx="273">
                  <c:v>20.918032786885245</c:v>
                </c:pt>
                <c:pt idx="274">
                  <c:v>20.918032786885245</c:v>
                </c:pt>
                <c:pt idx="275">
                  <c:v>21.081967213114755</c:v>
                </c:pt>
                <c:pt idx="276">
                  <c:v>21.311475409836067</c:v>
                </c:pt>
                <c:pt idx="277">
                  <c:v>21.508196721311474</c:v>
                </c:pt>
                <c:pt idx="278">
                  <c:v>21.639344262295083</c:v>
                </c:pt>
                <c:pt idx="279">
                  <c:v>21.770491803278688</c:v>
                </c:pt>
                <c:pt idx="280">
                  <c:v>21.83606557377049</c:v>
                </c:pt>
                <c:pt idx="281">
                  <c:v>21.934426229508198</c:v>
                </c:pt>
                <c:pt idx="282">
                  <c:v>21.967213114754099</c:v>
                </c:pt>
                <c:pt idx="283">
                  <c:v>22.590163934426229</c:v>
                </c:pt>
                <c:pt idx="284">
                  <c:v>22.721311475409838</c:v>
                </c:pt>
                <c:pt idx="285">
                  <c:v>22.78688524590164</c:v>
                </c:pt>
                <c:pt idx="286">
                  <c:v>23.21311475409836</c:v>
                </c:pt>
                <c:pt idx="287">
                  <c:v>23.672131147540984</c:v>
                </c:pt>
                <c:pt idx="288">
                  <c:v>23.770491803278688</c:v>
                </c:pt>
                <c:pt idx="289">
                  <c:v>23.770491803278688</c:v>
                </c:pt>
                <c:pt idx="290">
                  <c:v>23.934426229508198</c:v>
                </c:pt>
                <c:pt idx="291">
                  <c:v>24.032786885245901</c:v>
                </c:pt>
                <c:pt idx="292">
                  <c:v>24.42622950819672</c:v>
                </c:pt>
                <c:pt idx="293">
                  <c:v>24.721311475409838</c:v>
                </c:pt>
                <c:pt idx="294">
                  <c:v>24.918032786885245</c:v>
                </c:pt>
                <c:pt idx="295">
                  <c:v>24.983606557377048</c:v>
                </c:pt>
                <c:pt idx="296">
                  <c:v>25.081967213114755</c:v>
                </c:pt>
                <c:pt idx="297">
                  <c:v>25.409836065573771</c:v>
                </c:pt>
                <c:pt idx="298">
                  <c:v>25.409836065573771</c:v>
                </c:pt>
                <c:pt idx="299">
                  <c:v>25.508196721311474</c:v>
                </c:pt>
                <c:pt idx="300">
                  <c:v>25.639344262295083</c:v>
                </c:pt>
                <c:pt idx="301">
                  <c:v>25.737704918032787</c:v>
                </c:pt>
                <c:pt idx="302">
                  <c:v>25.83606557377049</c:v>
                </c:pt>
                <c:pt idx="303">
                  <c:v>25.934426229508198</c:v>
                </c:pt>
                <c:pt idx="304">
                  <c:v>25.967213114754099</c:v>
                </c:pt>
                <c:pt idx="305">
                  <c:v>26</c:v>
                </c:pt>
                <c:pt idx="306">
                  <c:v>26.524590163934427</c:v>
                </c:pt>
                <c:pt idx="307">
                  <c:v>26.557377049180328</c:v>
                </c:pt>
                <c:pt idx="308">
                  <c:v>26.655737704918032</c:v>
                </c:pt>
                <c:pt idx="309">
                  <c:v>26.688524590163933</c:v>
                </c:pt>
                <c:pt idx="310">
                  <c:v>26.754098360655739</c:v>
                </c:pt>
                <c:pt idx="311">
                  <c:v>26.918032786885245</c:v>
                </c:pt>
                <c:pt idx="312">
                  <c:v>26.983606557377048</c:v>
                </c:pt>
                <c:pt idx="313">
                  <c:v>26.983606557377048</c:v>
                </c:pt>
                <c:pt idx="314">
                  <c:v>27.016393442622952</c:v>
                </c:pt>
                <c:pt idx="315">
                  <c:v>27.180327868852459</c:v>
                </c:pt>
                <c:pt idx="316">
                  <c:v>27.934426229508198</c:v>
                </c:pt>
                <c:pt idx="317">
                  <c:v>28.032786885245901</c:v>
                </c:pt>
                <c:pt idx="318">
                  <c:v>28.459016393442624</c:v>
                </c:pt>
                <c:pt idx="319">
                  <c:v>29.475409836065573</c:v>
                </c:pt>
                <c:pt idx="320">
                  <c:v>29.508196721311474</c:v>
                </c:pt>
                <c:pt idx="321">
                  <c:v>29.606557377049182</c:v>
                </c:pt>
                <c:pt idx="322">
                  <c:v>29.868852459016395</c:v>
                </c:pt>
                <c:pt idx="323">
                  <c:v>29.901639344262296</c:v>
                </c:pt>
                <c:pt idx="324">
                  <c:v>29.934426229508198</c:v>
                </c:pt>
                <c:pt idx="325">
                  <c:v>29.934426229508198</c:v>
                </c:pt>
                <c:pt idx="326">
                  <c:v>29.967213114754099</c:v>
                </c:pt>
                <c:pt idx="327">
                  <c:v>30.032786885245901</c:v>
                </c:pt>
                <c:pt idx="328">
                  <c:v>30.032786885245901</c:v>
                </c:pt>
                <c:pt idx="329">
                  <c:v>30.16393442622951</c:v>
                </c:pt>
                <c:pt idx="330">
                  <c:v>30.16393442622951</c:v>
                </c:pt>
                <c:pt idx="331">
                  <c:v>31.016393442622952</c:v>
                </c:pt>
                <c:pt idx="332">
                  <c:v>31.049180327868854</c:v>
                </c:pt>
                <c:pt idx="333">
                  <c:v>31.475409836065573</c:v>
                </c:pt>
                <c:pt idx="334">
                  <c:v>31.508196721311474</c:v>
                </c:pt>
                <c:pt idx="335">
                  <c:v>32.721311475409834</c:v>
                </c:pt>
                <c:pt idx="336">
                  <c:v>32.885245901639344</c:v>
                </c:pt>
                <c:pt idx="337">
                  <c:v>32.918032786885249</c:v>
                </c:pt>
                <c:pt idx="338">
                  <c:v>33.508196721311478</c:v>
                </c:pt>
                <c:pt idx="339">
                  <c:v>33.934426229508198</c:v>
                </c:pt>
                <c:pt idx="340">
                  <c:v>33.934426229508198</c:v>
                </c:pt>
                <c:pt idx="341">
                  <c:v>33.967213114754095</c:v>
                </c:pt>
                <c:pt idx="342">
                  <c:v>34.950819672131146</c:v>
                </c:pt>
                <c:pt idx="343">
                  <c:v>35.114754098360656</c:v>
                </c:pt>
                <c:pt idx="344">
                  <c:v>35.770491803278688</c:v>
                </c:pt>
                <c:pt idx="345">
                  <c:v>35.901639344262293</c:v>
                </c:pt>
                <c:pt idx="346">
                  <c:v>36.754098360655739</c:v>
                </c:pt>
                <c:pt idx="347">
                  <c:v>36.786885245901637</c:v>
                </c:pt>
                <c:pt idx="348">
                  <c:v>36.852459016393439</c:v>
                </c:pt>
                <c:pt idx="349">
                  <c:v>36.918032786885249</c:v>
                </c:pt>
                <c:pt idx="350">
                  <c:v>37.081967213114751</c:v>
                </c:pt>
                <c:pt idx="351">
                  <c:v>37.540983606557376</c:v>
                </c:pt>
                <c:pt idx="352">
                  <c:v>38.819672131147541</c:v>
                </c:pt>
                <c:pt idx="353">
                  <c:v>39.213114754098363</c:v>
                </c:pt>
                <c:pt idx="354">
                  <c:v>39.245901639344261</c:v>
                </c:pt>
                <c:pt idx="355">
                  <c:v>39.377049180327866</c:v>
                </c:pt>
                <c:pt idx="356">
                  <c:v>39.540983606557376</c:v>
                </c:pt>
                <c:pt idx="357">
                  <c:v>39.934426229508198</c:v>
                </c:pt>
                <c:pt idx="358">
                  <c:v>40.688524590163937</c:v>
                </c:pt>
                <c:pt idx="359">
                  <c:v>40.950819672131146</c:v>
                </c:pt>
                <c:pt idx="360">
                  <c:v>41.73770491803279</c:v>
                </c:pt>
                <c:pt idx="361">
                  <c:v>42.295081967213115</c:v>
                </c:pt>
                <c:pt idx="362">
                  <c:v>43.57377049180328</c:v>
                </c:pt>
                <c:pt idx="363">
                  <c:v>43.73770491803279</c:v>
                </c:pt>
                <c:pt idx="364">
                  <c:v>44.360655737704917</c:v>
                </c:pt>
                <c:pt idx="365">
                  <c:v>46.360655737704917</c:v>
                </c:pt>
                <c:pt idx="366">
                  <c:v>48</c:v>
                </c:pt>
                <c:pt idx="367">
                  <c:v>49.213114754098363</c:v>
                </c:pt>
                <c:pt idx="368">
                  <c:v>51.245901639344261</c:v>
                </c:pt>
                <c:pt idx="369">
                  <c:v>52.918032786885249</c:v>
                </c:pt>
                <c:pt idx="370">
                  <c:v>55.57377049180328</c:v>
                </c:pt>
                <c:pt idx="371">
                  <c:v>63.475409836065573</c:v>
                </c:pt>
                <c:pt idx="372">
                  <c:v>63.508196721311478</c:v>
                </c:pt>
                <c:pt idx="373">
                  <c:v>75.344262295081961</c:v>
                </c:pt>
              </c:numCache>
            </c:numRef>
          </c:yVal>
          <c:smooth val="0"/>
        </c:ser>
        <c:dLbls>
          <c:showLegendKey val="0"/>
          <c:showVal val="0"/>
          <c:showCatName val="0"/>
          <c:showSerName val="0"/>
          <c:showPercent val="0"/>
          <c:showBubbleSize val="0"/>
        </c:dLbls>
        <c:axId val="45639936"/>
        <c:axId val="45642112"/>
      </c:scatterChart>
      <c:valAx>
        <c:axId val="45639936"/>
        <c:scaling>
          <c:orientation val="minMax"/>
          <c:max val="11.5"/>
          <c:min val="0"/>
        </c:scaling>
        <c:delete val="0"/>
        <c:axPos val="b"/>
        <c:title>
          <c:tx>
            <c:rich>
              <a:bodyPr/>
              <a:lstStyle/>
              <a:p>
                <a:pPr>
                  <a:defRPr/>
                </a:pPr>
                <a:r>
                  <a:rPr lang="en-CA"/>
                  <a:t>AMSTAR Score</a:t>
                </a:r>
              </a:p>
            </c:rich>
          </c:tx>
          <c:layout/>
          <c:overlay val="0"/>
        </c:title>
        <c:numFmt formatCode="General" sourceLinked="1"/>
        <c:majorTickMark val="out"/>
        <c:minorTickMark val="none"/>
        <c:tickLblPos val="nextTo"/>
        <c:crossAx val="45642112"/>
        <c:crosses val="autoZero"/>
        <c:crossBetween val="midCat"/>
        <c:majorUnit val="1"/>
        <c:minorUnit val="0.5"/>
      </c:valAx>
      <c:valAx>
        <c:axId val="45642112"/>
        <c:scaling>
          <c:orientation val="minMax"/>
        </c:scaling>
        <c:delete val="0"/>
        <c:axPos val="l"/>
        <c:majorGridlines>
          <c:spPr>
            <a:ln>
              <a:solidFill>
                <a:schemeClr val="bg1">
                  <a:lumMod val="75000"/>
                </a:schemeClr>
              </a:solidFill>
            </a:ln>
          </c:spPr>
        </c:majorGridlines>
        <c:title>
          <c:tx>
            <c:rich>
              <a:bodyPr rot="-5400000" vert="horz"/>
              <a:lstStyle/>
              <a:p>
                <a:pPr>
                  <a:defRPr/>
                </a:pPr>
                <a:r>
                  <a:rPr lang="en-US"/>
                  <a:t>Review Duration (months)</a:t>
                </a:r>
              </a:p>
            </c:rich>
          </c:tx>
          <c:layout/>
          <c:overlay val="0"/>
        </c:title>
        <c:numFmt formatCode="0.0" sourceLinked="1"/>
        <c:majorTickMark val="out"/>
        <c:minorTickMark val="none"/>
        <c:tickLblPos val="nextTo"/>
        <c:crossAx val="45639936"/>
        <c:crosses val="autoZero"/>
        <c:crossBetween val="midCat"/>
      </c:valAx>
      <c:spPr>
        <a:ln>
          <a:solidFill>
            <a:schemeClr val="bg1">
              <a:lumMod val="75000"/>
            </a:schemeClr>
          </a:solidFill>
        </a:ln>
      </c:spPr>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5849C-E549-4529-BCC8-AB9077C3D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22096</Words>
  <Characters>125949</Characters>
  <Application>Microsoft Office Word</Application>
  <DocSecurity>0</DocSecurity>
  <Lines>1049</Lines>
  <Paragraphs>295</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147750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Le</dc:creator>
  <cp:lastModifiedBy>Wasifa Zarin</cp:lastModifiedBy>
  <cp:revision>10</cp:revision>
  <cp:lastPrinted>2016-06-02T20:30:00Z</cp:lastPrinted>
  <dcterms:created xsi:type="dcterms:W3CDTF">2016-12-15T19:40:00Z</dcterms:created>
  <dcterms:modified xsi:type="dcterms:W3CDTF">2016-12-15T20:22:00Z</dcterms:modified>
</cp:coreProperties>
</file>