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754D3" w14:textId="41E8179F" w:rsidR="00D90D16" w:rsidRDefault="00FC7CE5" w:rsidP="00D90D16">
      <w:pPr>
        <w:spacing w:after="0" w:line="480" w:lineRule="auto"/>
        <w:rPr>
          <w:rStyle w:val="mixed-citation"/>
          <w:rFonts w:ascii="Times New Roman" w:hAnsi="Times New Roman"/>
          <w:b/>
          <w:caps/>
          <w:lang w:val="en-US"/>
        </w:rPr>
      </w:pPr>
      <w:r>
        <w:rPr>
          <w:rStyle w:val="mixed-citation"/>
          <w:rFonts w:ascii="Times New Roman" w:hAnsi="Times New Roman"/>
          <w:b/>
          <w:caps/>
          <w:lang w:val="en-US"/>
        </w:rPr>
        <w:t>Additional file 1</w:t>
      </w:r>
      <w:bookmarkStart w:id="0" w:name="_GoBack"/>
      <w:bookmarkEnd w:id="0"/>
    </w:p>
    <w:p w14:paraId="34BC344D" w14:textId="77777777" w:rsidR="00FC7CE5" w:rsidRPr="00BA5E6D" w:rsidRDefault="00FC7CE5" w:rsidP="00D90D16">
      <w:pPr>
        <w:spacing w:after="0" w:line="480" w:lineRule="auto"/>
        <w:rPr>
          <w:rStyle w:val="mixed-citation"/>
          <w:rFonts w:ascii="Times New Roman" w:hAnsi="Times New Roman"/>
          <w:b/>
          <w:lang w:val="en-US"/>
        </w:rPr>
      </w:pPr>
    </w:p>
    <w:p w14:paraId="66DDE27D" w14:textId="77777777" w:rsidR="00D90D16" w:rsidRPr="00BA5E6D" w:rsidRDefault="00D90D16" w:rsidP="006D5682">
      <w:pPr>
        <w:spacing w:after="0" w:line="480" w:lineRule="auto"/>
        <w:outlineLvl w:val="0"/>
        <w:rPr>
          <w:rStyle w:val="mixed-citation"/>
          <w:rFonts w:ascii="Times New Roman" w:hAnsi="Times New Roman"/>
          <w:b/>
          <w:lang w:val="en-US"/>
        </w:rPr>
      </w:pPr>
      <w:r w:rsidRPr="00BA5E6D">
        <w:rPr>
          <w:rStyle w:val="mixed-citation"/>
          <w:rFonts w:ascii="Times New Roman" w:hAnsi="Times New Roman"/>
          <w:b/>
          <w:lang w:val="en-US"/>
        </w:rPr>
        <w:t>Baseline characteristics</w:t>
      </w:r>
    </w:p>
    <w:p w14:paraId="6946CC52" w14:textId="3FE661B1" w:rsidR="00D90D16" w:rsidRPr="00BA5E6D" w:rsidRDefault="00D90D16" w:rsidP="00D90D16">
      <w:pPr>
        <w:spacing w:after="0" w:line="480" w:lineRule="auto"/>
        <w:jc w:val="both"/>
        <w:rPr>
          <w:rFonts w:ascii="Times New Roman" w:hAnsi="Times New Roman"/>
          <w:bCs/>
          <w:lang w:val="en-US" w:eastAsia="nl-NL"/>
        </w:rPr>
      </w:pPr>
      <w:r w:rsidRPr="00BA5E6D">
        <w:rPr>
          <w:rFonts w:ascii="Times New Roman" w:hAnsi="Times New Roman"/>
          <w:bCs/>
          <w:lang w:val="en-US" w:eastAsia="nl-NL"/>
        </w:rPr>
        <w:t xml:space="preserve">In the 7-day treatment arm, 23 (24%) patients had been pretreated for presumptive UTI with: norfloxacin (n=1, 4%), nitrofurantoin (n=5, 22%), trimethoprim ± sulfamethoxazole (n=3, 13%), amoxicillin ± clavulanic acid (n=12, 52%), </w:t>
      </w:r>
      <w:r w:rsidR="006B0671">
        <w:rPr>
          <w:rFonts w:ascii="Times New Roman" w:hAnsi="Times New Roman"/>
          <w:bCs/>
          <w:lang w:val="en-US" w:eastAsia="nl-NL"/>
        </w:rPr>
        <w:t>f</w:t>
      </w:r>
      <w:r w:rsidR="006B0671" w:rsidRPr="00BA5E6D">
        <w:rPr>
          <w:rFonts w:ascii="Times New Roman" w:hAnsi="Times New Roman"/>
          <w:bCs/>
          <w:lang w:val="en-US" w:eastAsia="nl-NL"/>
        </w:rPr>
        <w:t>os</w:t>
      </w:r>
      <w:r w:rsidR="006B0671">
        <w:rPr>
          <w:rFonts w:ascii="Times New Roman" w:hAnsi="Times New Roman"/>
          <w:bCs/>
          <w:lang w:val="en-US" w:eastAsia="nl-NL"/>
        </w:rPr>
        <w:t>f</w:t>
      </w:r>
      <w:r w:rsidR="006B0671" w:rsidRPr="00BA5E6D">
        <w:rPr>
          <w:rFonts w:ascii="Times New Roman" w:hAnsi="Times New Roman"/>
          <w:bCs/>
          <w:lang w:val="en-US" w:eastAsia="nl-NL"/>
        </w:rPr>
        <w:t xml:space="preserve">omycin </w:t>
      </w:r>
      <w:r w:rsidRPr="00BA5E6D">
        <w:rPr>
          <w:rFonts w:ascii="Times New Roman" w:hAnsi="Times New Roman"/>
          <w:bCs/>
          <w:lang w:val="en-US" w:eastAsia="nl-NL"/>
        </w:rPr>
        <w:t xml:space="preserve">(n=1, 4%) and others (n=1, 4%). Of those randomized to 14 days </w:t>
      </w:r>
      <w:r w:rsidR="00847113">
        <w:rPr>
          <w:rFonts w:ascii="Times New Roman" w:hAnsi="Times New Roman"/>
          <w:bCs/>
          <w:lang w:val="en-US" w:eastAsia="nl-NL"/>
        </w:rPr>
        <w:t>antimicrobial treatment</w:t>
      </w:r>
      <w:r w:rsidRPr="00BA5E6D">
        <w:rPr>
          <w:rFonts w:ascii="Times New Roman" w:hAnsi="Times New Roman"/>
          <w:bCs/>
          <w:lang w:val="en-US" w:eastAsia="nl-NL"/>
        </w:rPr>
        <w:t xml:space="preserve">, 29 (28%) had been pretreated with ciprofloxacin (n=3, 10%), norfloxacin (n=1, 3%), nitrofurantoin (n=6, 21%), trimethoprim ± sulfamethoxazole (n=7, 24%), amoxicillin ± clavulanic acid (n=8, 28%), others (n=3, 10%) and unknown (n=1, 3%). In the non-randomized group, 56 (36%) had been pretreated with ciprofloxacin (n=8, 14%), norfloxacin (n=2, 6%), nitrofurantoin (n=8, 14%), trimethoprim ± sulfamethoxazole (n=7, 13%), amoxicillin ± clavulanic acid (n=21, 38%), </w:t>
      </w:r>
      <w:r w:rsidR="006B0671">
        <w:rPr>
          <w:rFonts w:ascii="Times New Roman" w:hAnsi="Times New Roman"/>
          <w:bCs/>
          <w:lang w:val="en-US" w:eastAsia="nl-NL"/>
        </w:rPr>
        <w:t>f</w:t>
      </w:r>
      <w:r w:rsidR="006B0671" w:rsidRPr="00BA5E6D">
        <w:rPr>
          <w:rFonts w:ascii="Times New Roman" w:hAnsi="Times New Roman"/>
          <w:bCs/>
          <w:lang w:val="en-US" w:eastAsia="nl-NL"/>
        </w:rPr>
        <w:t>os</w:t>
      </w:r>
      <w:r w:rsidR="006B0671">
        <w:rPr>
          <w:rFonts w:ascii="Times New Roman" w:hAnsi="Times New Roman"/>
          <w:bCs/>
          <w:lang w:val="en-US" w:eastAsia="nl-NL"/>
        </w:rPr>
        <w:t>f</w:t>
      </w:r>
      <w:r w:rsidR="006B0671" w:rsidRPr="00BA5E6D">
        <w:rPr>
          <w:rFonts w:ascii="Times New Roman" w:hAnsi="Times New Roman"/>
          <w:bCs/>
          <w:lang w:val="en-US" w:eastAsia="nl-NL"/>
        </w:rPr>
        <w:t xml:space="preserve">omycin </w:t>
      </w:r>
      <w:r w:rsidRPr="00BA5E6D">
        <w:rPr>
          <w:rFonts w:ascii="Times New Roman" w:hAnsi="Times New Roman"/>
          <w:bCs/>
          <w:lang w:val="en-US" w:eastAsia="nl-NL"/>
        </w:rPr>
        <w:t>(n=1, 2%), others (n=4, 7%) and unknown (n=5, 9%).</w:t>
      </w:r>
    </w:p>
    <w:p w14:paraId="5C1949BE" w14:textId="7F7472DE" w:rsidR="00D90D16" w:rsidRPr="00BA5E6D" w:rsidRDefault="00D90D16" w:rsidP="00D90D16">
      <w:pPr>
        <w:spacing w:after="0" w:line="480" w:lineRule="auto"/>
        <w:jc w:val="both"/>
        <w:rPr>
          <w:rFonts w:ascii="Times New Roman" w:hAnsi="Times New Roman"/>
          <w:bCs/>
          <w:lang w:val="en-US" w:eastAsia="nl-NL"/>
        </w:rPr>
      </w:pPr>
      <w:r w:rsidRPr="00BA5E6D">
        <w:rPr>
          <w:rFonts w:ascii="Times New Roman" w:hAnsi="Times New Roman"/>
          <w:bCs/>
          <w:lang w:val="en-US" w:eastAsia="nl-NL"/>
        </w:rPr>
        <w:t>About half of the patients were initially treat</w:t>
      </w:r>
      <w:r w:rsidR="00FC36CE">
        <w:rPr>
          <w:rFonts w:ascii="Times New Roman" w:hAnsi="Times New Roman"/>
          <w:bCs/>
          <w:lang w:val="en-US" w:eastAsia="nl-NL"/>
        </w:rPr>
        <w:t>ed with intravenous antibiotics. This</w:t>
      </w:r>
      <w:r w:rsidRPr="00BA5E6D">
        <w:rPr>
          <w:rFonts w:ascii="Times New Roman" w:hAnsi="Times New Roman"/>
          <w:bCs/>
          <w:lang w:val="en-US" w:eastAsia="nl-NL"/>
        </w:rPr>
        <w:t xml:space="preserve"> did not differ between </w:t>
      </w:r>
      <w:r w:rsidR="00FC36CE">
        <w:rPr>
          <w:rFonts w:ascii="Times New Roman" w:hAnsi="Times New Roman"/>
          <w:bCs/>
          <w:lang w:val="en-US" w:eastAsia="nl-NL"/>
        </w:rPr>
        <w:t xml:space="preserve">the two </w:t>
      </w:r>
      <w:r w:rsidRPr="00BA5E6D">
        <w:rPr>
          <w:rFonts w:ascii="Times New Roman" w:hAnsi="Times New Roman"/>
          <w:bCs/>
          <w:lang w:val="en-US" w:eastAsia="nl-NL"/>
        </w:rPr>
        <w:t>treatment arms: in the 7</w:t>
      </w:r>
      <w:r w:rsidR="00847113">
        <w:rPr>
          <w:rFonts w:ascii="Times New Roman" w:hAnsi="Times New Roman"/>
          <w:bCs/>
          <w:lang w:val="en-US" w:eastAsia="nl-NL"/>
        </w:rPr>
        <w:t>-</w:t>
      </w:r>
      <w:r w:rsidRPr="00BA5E6D">
        <w:rPr>
          <w:rFonts w:ascii="Times New Roman" w:hAnsi="Times New Roman"/>
          <w:bCs/>
          <w:lang w:val="en-US" w:eastAsia="nl-NL"/>
        </w:rPr>
        <w:t xml:space="preserve">day </w:t>
      </w:r>
      <w:r w:rsidR="00847113">
        <w:rPr>
          <w:rFonts w:ascii="Times New Roman" w:hAnsi="Times New Roman"/>
          <w:bCs/>
          <w:lang w:val="en-US" w:eastAsia="nl-NL"/>
        </w:rPr>
        <w:t>treatment arm</w:t>
      </w:r>
      <w:r w:rsidRPr="00BA5E6D">
        <w:rPr>
          <w:rFonts w:ascii="Times New Roman" w:hAnsi="Times New Roman"/>
          <w:bCs/>
          <w:lang w:val="en-US" w:eastAsia="nl-NL"/>
        </w:rPr>
        <w:t>, 48 (50%) patients (cefuroxime n=21, 44%; cefuroxime + gentamicin n=22, 46%; other n=5, 10%) and in the 14</w:t>
      </w:r>
      <w:r w:rsidR="00847113">
        <w:rPr>
          <w:rFonts w:ascii="Times New Roman" w:hAnsi="Times New Roman"/>
          <w:bCs/>
          <w:lang w:val="en-US" w:eastAsia="nl-NL"/>
        </w:rPr>
        <w:t>-</w:t>
      </w:r>
      <w:r w:rsidRPr="00BA5E6D">
        <w:rPr>
          <w:rFonts w:ascii="Times New Roman" w:hAnsi="Times New Roman"/>
          <w:bCs/>
          <w:lang w:val="en-US" w:eastAsia="nl-NL"/>
        </w:rPr>
        <w:t>day</w:t>
      </w:r>
      <w:r w:rsidR="00847113">
        <w:rPr>
          <w:rFonts w:ascii="Times New Roman" w:hAnsi="Times New Roman"/>
          <w:bCs/>
          <w:lang w:val="en-US" w:eastAsia="nl-NL"/>
        </w:rPr>
        <w:t xml:space="preserve"> treatment arm</w:t>
      </w:r>
      <w:r w:rsidRPr="00BA5E6D">
        <w:rPr>
          <w:rFonts w:ascii="Times New Roman" w:hAnsi="Times New Roman"/>
          <w:bCs/>
          <w:lang w:val="en-US" w:eastAsia="nl-NL"/>
        </w:rPr>
        <w:t xml:space="preserve">, 55 (53%) patients (cefuroxime (n=32, 58%), cefuroxime ± gentamicin (n=20, 36%), ciprofloxacin i.v. (n=1, 2%) and other antibiotics (n=2, 4%)). In the non-randomized group, 133 (85%) patients had initial dose(s) of intravenous antibiotics, i.e., cefuroxime (n=61, 46%), cefuroxime ± gentamicin (n=49, 37%), ciprofloxacin (n=4, 3%) and other (n=18, 14%). Of note, the median time till switch from intravenous to oral antibiotics was 3 days (IQR 2-4), and did not differ between the groups. </w:t>
      </w:r>
    </w:p>
    <w:p w14:paraId="512EE3B3" w14:textId="77777777" w:rsidR="00D90D16" w:rsidRPr="00BA5E6D" w:rsidRDefault="00D90D16" w:rsidP="00D90D16">
      <w:pPr>
        <w:spacing w:after="0" w:line="480" w:lineRule="auto"/>
        <w:jc w:val="both"/>
        <w:rPr>
          <w:rFonts w:ascii="Times New Roman" w:hAnsi="Times New Roman"/>
          <w:bCs/>
          <w:lang w:val="en-US" w:eastAsia="nl-NL"/>
        </w:rPr>
      </w:pPr>
    </w:p>
    <w:p w14:paraId="0EE23687" w14:textId="77777777" w:rsidR="00D90D16" w:rsidRPr="00BA5E6D" w:rsidRDefault="00D90D16" w:rsidP="006D5682">
      <w:pPr>
        <w:spacing w:after="0" w:line="480" w:lineRule="auto"/>
        <w:jc w:val="both"/>
        <w:outlineLvl w:val="0"/>
        <w:rPr>
          <w:rFonts w:ascii="Times New Roman" w:hAnsi="Times New Roman"/>
          <w:b/>
          <w:bCs/>
          <w:lang w:val="en-US" w:eastAsia="nl-NL"/>
        </w:rPr>
      </w:pPr>
      <w:r w:rsidRPr="00BA5E6D">
        <w:rPr>
          <w:rFonts w:ascii="Times New Roman" w:hAnsi="Times New Roman"/>
          <w:b/>
          <w:bCs/>
          <w:lang w:val="en-US" w:eastAsia="nl-NL"/>
        </w:rPr>
        <w:t>Clinical outcome</w:t>
      </w:r>
    </w:p>
    <w:p w14:paraId="17528D1F" w14:textId="71EAF018" w:rsidR="00D90D16" w:rsidRPr="00BA5E6D" w:rsidRDefault="00D90D16" w:rsidP="00D90D16">
      <w:pPr>
        <w:spacing w:after="0" w:line="480" w:lineRule="auto"/>
        <w:jc w:val="both"/>
        <w:rPr>
          <w:rFonts w:ascii="Times New Roman" w:hAnsi="Times New Roman"/>
          <w:bCs/>
          <w:lang w:val="en-US" w:eastAsia="nl-NL"/>
        </w:rPr>
      </w:pPr>
      <w:r w:rsidRPr="00BA5E6D">
        <w:rPr>
          <w:rFonts w:ascii="Times New Roman" w:hAnsi="Times New Roman"/>
          <w:bCs/>
          <w:lang w:val="en-US" w:eastAsia="nl-NL"/>
        </w:rPr>
        <w:t xml:space="preserve">During short-term follow-up, nine patients assigned to </w:t>
      </w:r>
      <w:r w:rsidR="006D5682">
        <w:rPr>
          <w:rFonts w:ascii="Times New Roman" w:hAnsi="Times New Roman"/>
          <w:bCs/>
          <w:lang w:val="en-US" w:eastAsia="nl-NL"/>
        </w:rPr>
        <w:t>antibiotic treatment</w:t>
      </w:r>
      <w:r w:rsidR="006D5682" w:rsidRPr="00BA5E6D">
        <w:rPr>
          <w:rFonts w:ascii="Times New Roman" w:hAnsi="Times New Roman"/>
          <w:bCs/>
          <w:lang w:val="en-US" w:eastAsia="nl-NL"/>
        </w:rPr>
        <w:t xml:space="preserve"> </w:t>
      </w:r>
      <w:r w:rsidRPr="00BA5E6D">
        <w:rPr>
          <w:rFonts w:ascii="Times New Roman" w:hAnsi="Times New Roman"/>
          <w:bCs/>
          <w:lang w:val="en-US" w:eastAsia="nl-NL"/>
        </w:rPr>
        <w:t>for 7 days</w:t>
      </w:r>
      <w:r w:rsidR="00847113">
        <w:rPr>
          <w:rFonts w:ascii="Times New Roman" w:hAnsi="Times New Roman"/>
          <w:bCs/>
          <w:lang w:val="en-US" w:eastAsia="nl-NL"/>
        </w:rPr>
        <w:t>,</w:t>
      </w:r>
      <w:r w:rsidRPr="00BA5E6D">
        <w:rPr>
          <w:rFonts w:ascii="Times New Roman" w:hAnsi="Times New Roman"/>
          <w:bCs/>
          <w:lang w:val="en-US" w:eastAsia="nl-NL"/>
        </w:rPr>
        <w:t xml:space="preserve"> had a clinical recurrence. Three patients had an episode of (afebrile) acute cystitis at day 17, 18 and 20, whereas six patients had an additional episode of fUTI at day 9, 14, 15, 17, 20 and 26 after treatment. Among patients assigned to 14 days of </w:t>
      </w:r>
      <w:r w:rsidR="006D5682">
        <w:rPr>
          <w:rFonts w:ascii="Times New Roman" w:hAnsi="Times New Roman"/>
          <w:bCs/>
          <w:lang w:val="en-US" w:eastAsia="nl-NL"/>
        </w:rPr>
        <w:t>antibiotic treatment</w:t>
      </w:r>
      <w:r w:rsidRPr="00BA5E6D">
        <w:rPr>
          <w:rFonts w:ascii="Times New Roman" w:hAnsi="Times New Roman"/>
          <w:bCs/>
          <w:lang w:val="en-US" w:eastAsia="nl-NL"/>
        </w:rPr>
        <w:t xml:space="preserve">, one patient had an acute cystitis at day 30 and four patients had recurrent fUTI at day 8, 9, 19 and 20. </w:t>
      </w:r>
    </w:p>
    <w:p w14:paraId="54FC9AF4" w14:textId="31D9EB25" w:rsidR="00D90D16" w:rsidRPr="00BA5E6D" w:rsidRDefault="00D90D16" w:rsidP="00D90D16">
      <w:pPr>
        <w:spacing w:after="0" w:line="480" w:lineRule="auto"/>
        <w:jc w:val="both"/>
        <w:rPr>
          <w:rFonts w:ascii="Times New Roman" w:hAnsi="Times New Roman"/>
          <w:bCs/>
          <w:lang w:val="en-US" w:eastAsia="nl-NL"/>
        </w:rPr>
      </w:pPr>
      <w:r w:rsidRPr="00BA5E6D">
        <w:rPr>
          <w:rFonts w:ascii="Times New Roman" w:hAnsi="Times New Roman"/>
          <w:bCs/>
          <w:lang w:val="en-US" w:eastAsia="nl-NL"/>
        </w:rPr>
        <w:lastRenderedPageBreak/>
        <w:t>During late follow-up, seven patients assigned to 7 days had a clinical recurrence. Six patients had an episode of (afebrile) acute cystitis at day 38, 40, 56, 63, 64 and 83 and one patient had an additional episode of fUTI. Among patients assigned to 14 days, seven patients had an (afebrile) acute cystitis at day 40, 44, 71 and 77 (n</w:t>
      </w:r>
      <w:r w:rsidR="004C6867" w:rsidRPr="00BA5E6D">
        <w:rPr>
          <w:rFonts w:ascii="Times New Roman" w:hAnsi="Times New Roman"/>
          <w:bCs/>
          <w:lang w:val="en-US" w:eastAsia="nl-NL"/>
        </w:rPr>
        <w:t xml:space="preserve"> </w:t>
      </w:r>
      <w:r w:rsidRPr="00BA5E6D">
        <w:rPr>
          <w:rFonts w:ascii="Times New Roman" w:hAnsi="Times New Roman"/>
          <w:bCs/>
          <w:lang w:val="en-US" w:eastAsia="nl-NL"/>
        </w:rPr>
        <w:t>=</w:t>
      </w:r>
      <w:r w:rsidR="004C6867" w:rsidRPr="00BA5E6D">
        <w:rPr>
          <w:rFonts w:ascii="Times New Roman" w:hAnsi="Times New Roman"/>
          <w:bCs/>
          <w:lang w:val="en-US" w:eastAsia="nl-NL"/>
        </w:rPr>
        <w:t xml:space="preserve"> </w:t>
      </w:r>
      <w:r w:rsidRPr="00BA5E6D">
        <w:rPr>
          <w:rFonts w:ascii="Times New Roman" w:hAnsi="Times New Roman"/>
          <w:bCs/>
          <w:lang w:val="en-US" w:eastAsia="nl-NL"/>
        </w:rPr>
        <w:t>3</w:t>
      </w:r>
      <w:r w:rsidR="006B0671">
        <w:rPr>
          <w:rFonts w:ascii="Times New Roman" w:hAnsi="Times New Roman"/>
          <w:bCs/>
          <w:lang w:val="en-US" w:eastAsia="nl-NL"/>
        </w:rPr>
        <w:t xml:space="preserve">, </w:t>
      </w:r>
      <w:r w:rsidRPr="00BA5E6D">
        <w:rPr>
          <w:rFonts w:ascii="Times New Roman" w:hAnsi="Times New Roman"/>
          <w:bCs/>
          <w:lang w:val="en-US" w:eastAsia="nl-NL"/>
        </w:rPr>
        <w:t xml:space="preserve">day unknown) and one patients had recurrent signs of fUTI at day 90. </w:t>
      </w:r>
    </w:p>
    <w:p w14:paraId="79D1616C" w14:textId="5D09C180" w:rsidR="00D90D16" w:rsidRPr="00BA5E6D" w:rsidRDefault="00D90D16" w:rsidP="00D90D16">
      <w:pPr>
        <w:spacing w:after="0" w:line="480" w:lineRule="auto"/>
        <w:jc w:val="both"/>
        <w:rPr>
          <w:rFonts w:ascii="Times New Roman" w:hAnsi="Times New Roman"/>
          <w:bCs/>
          <w:lang w:val="en-US" w:eastAsia="nl-NL"/>
        </w:rPr>
      </w:pPr>
      <w:r w:rsidRPr="00BA5E6D">
        <w:rPr>
          <w:rFonts w:ascii="Times New Roman" w:hAnsi="Times New Roman"/>
          <w:bCs/>
          <w:lang w:val="en-US" w:eastAsia="nl-NL"/>
        </w:rPr>
        <w:t xml:space="preserve">One patient assigned to </w:t>
      </w:r>
      <w:r w:rsidR="006D5682">
        <w:rPr>
          <w:rFonts w:ascii="Times New Roman" w:hAnsi="Times New Roman"/>
          <w:bCs/>
          <w:lang w:val="en-US" w:eastAsia="nl-NL"/>
        </w:rPr>
        <w:t>antibiotic treatment</w:t>
      </w:r>
      <w:r w:rsidR="006D5682" w:rsidRPr="00BA5E6D">
        <w:rPr>
          <w:rFonts w:ascii="Times New Roman" w:hAnsi="Times New Roman"/>
          <w:bCs/>
          <w:lang w:val="en-US" w:eastAsia="nl-NL"/>
        </w:rPr>
        <w:t xml:space="preserve"> </w:t>
      </w:r>
      <w:r w:rsidRPr="00BA5E6D">
        <w:rPr>
          <w:rFonts w:ascii="Times New Roman" w:hAnsi="Times New Roman"/>
          <w:bCs/>
          <w:lang w:val="en-US" w:eastAsia="nl-NL"/>
        </w:rPr>
        <w:t xml:space="preserve">for 7 days was readmitted at day 9 because of treatment failure, and was treated intravenously with cefuroxime followed by oral ciprofloxacin for 14 days, now with good clinical response. None of the patients assigned to the 14-days treatment arm were readmitted because of treatment failure. </w:t>
      </w:r>
    </w:p>
    <w:p w14:paraId="22104F04" w14:textId="31E32DDD" w:rsidR="005258A3" w:rsidRPr="00BA5E6D" w:rsidRDefault="005258A3" w:rsidP="00D90D16">
      <w:pPr>
        <w:spacing w:after="0" w:line="480" w:lineRule="auto"/>
        <w:jc w:val="both"/>
        <w:rPr>
          <w:rFonts w:ascii="Times New Roman" w:hAnsi="Times New Roman"/>
          <w:bCs/>
          <w:lang w:val="en-US" w:eastAsia="nl-NL"/>
        </w:rPr>
      </w:pPr>
      <w:r w:rsidRPr="00BA5E6D">
        <w:rPr>
          <w:rFonts w:ascii="Times New Roman" w:hAnsi="Times New Roman"/>
          <w:bCs/>
          <w:lang w:val="en-US" w:eastAsia="nl-NL"/>
        </w:rPr>
        <w:t xml:space="preserve">For the primary outcome measure, additional subgroup analysis within the group of men and women are outlined in Figure A and B, respectively. </w:t>
      </w:r>
      <w:r w:rsidR="006D5682">
        <w:rPr>
          <w:rFonts w:ascii="Times New Roman" w:hAnsi="Times New Roman"/>
          <w:bCs/>
          <w:lang w:val="en-US" w:eastAsia="nl-NL"/>
        </w:rPr>
        <w:t>There were no apparent differences within all subgroups except for men without culture confirmed UTI and men &lt; 50 years old, in which 7 days of antibiotic treatment</w:t>
      </w:r>
      <w:r w:rsidR="006D5682" w:rsidRPr="00BA5E6D">
        <w:rPr>
          <w:rFonts w:ascii="Times New Roman" w:hAnsi="Times New Roman"/>
          <w:bCs/>
          <w:lang w:val="en-US" w:eastAsia="nl-NL"/>
        </w:rPr>
        <w:t xml:space="preserve"> </w:t>
      </w:r>
      <w:r w:rsidR="006D5682">
        <w:rPr>
          <w:rFonts w:ascii="Times New Roman" w:hAnsi="Times New Roman"/>
          <w:bCs/>
          <w:lang w:val="en-US" w:eastAsia="nl-NL"/>
        </w:rPr>
        <w:t xml:space="preserve">is non-inferior to 14 days (see Figure A). </w:t>
      </w:r>
      <w:r w:rsidR="003706D5" w:rsidRPr="0016371F">
        <w:rPr>
          <w:rFonts w:ascii="Times New Roman" w:hAnsi="Times New Roman"/>
          <w:color w:val="000000"/>
          <w:lang w:val="en-US"/>
        </w:rPr>
        <w:t xml:space="preserve">12 patients were aged &lt; 50 years. The clinical cure rate (10-to 18-days post treatment) </w:t>
      </w:r>
      <w:r w:rsidR="00912D54">
        <w:rPr>
          <w:rFonts w:ascii="Times New Roman" w:hAnsi="Times New Roman"/>
          <w:color w:val="000000"/>
          <w:lang w:val="en-US"/>
        </w:rPr>
        <w:t xml:space="preserve">in these men </w:t>
      </w:r>
      <w:r w:rsidR="003706D5" w:rsidRPr="0016371F">
        <w:rPr>
          <w:rFonts w:ascii="Times New Roman" w:hAnsi="Times New Roman"/>
          <w:color w:val="000000"/>
          <w:lang w:val="en-US"/>
        </w:rPr>
        <w:t>was 100% for both the 7-day and 14-day treatment arm</w:t>
      </w:r>
      <w:r w:rsidR="003706D5">
        <w:rPr>
          <w:rFonts w:ascii="Times New Roman" w:hAnsi="Times New Roman"/>
          <w:color w:val="000000"/>
          <w:lang w:val="en-US"/>
        </w:rPr>
        <w:t xml:space="preserve"> (see Figure A)</w:t>
      </w:r>
      <w:r w:rsidR="003706D5" w:rsidRPr="0016371F">
        <w:rPr>
          <w:rFonts w:ascii="Times New Roman" w:hAnsi="Times New Roman"/>
          <w:color w:val="000000"/>
          <w:lang w:val="en-US"/>
        </w:rPr>
        <w:t>. For men aged ≥ 50 years, the clinical cure rate was 85% versus 97% for 7 days versus 14 days of treatment (p</w:t>
      </w:r>
      <w:r w:rsidR="003706D5" w:rsidRPr="0016371F">
        <w:rPr>
          <w:rFonts w:ascii="Times New Roman" w:hAnsi="Times New Roman"/>
          <w:color w:val="000000"/>
          <w:vertAlign w:val="subscript"/>
          <w:lang w:val="en-US"/>
        </w:rPr>
        <w:t>superiority</w:t>
      </w:r>
      <w:r w:rsidR="003706D5" w:rsidRPr="0016371F">
        <w:rPr>
          <w:rFonts w:ascii="Times New Roman" w:hAnsi="Times New Roman"/>
          <w:color w:val="000000"/>
          <w:lang w:val="en-US"/>
        </w:rPr>
        <w:t xml:space="preserve"> = 0.027). For women aged &lt; 50 years the clinical cure rates were 95% and 92 % for the </w:t>
      </w:r>
      <w:r w:rsidR="00912D54" w:rsidRPr="00912D54">
        <w:rPr>
          <w:rFonts w:ascii="Times New Roman" w:hAnsi="Times New Roman"/>
          <w:color w:val="000000"/>
          <w:lang w:val="en-US"/>
        </w:rPr>
        <w:t xml:space="preserve">7-day and 14-day treatment arm </w:t>
      </w:r>
      <w:r w:rsidR="00912D54" w:rsidRPr="000823E5">
        <w:rPr>
          <w:rFonts w:ascii="Times New Roman" w:hAnsi="Times New Roman"/>
          <w:color w:val="000000"/>
          <w:lang w:val="en-US"/>
        </w:rPr>
        <w:t>respectively</w:t>
      </w:r>
      <w:r w:rsidR="00912D54">
        <w:rPr>
          <w:rFonts w:ascii="Times New Roman" w:hAnsi="Times New Roman"/>
          <w:color w:val="000000"/>
          <w:lang w:val="en-US"/>
        </w:rPr>
        <w:t>.</w:t>
      </w:r>
      <w:r w:rsidR="003706D5" w:rsidRPr="0016371F">
        <w:rPr>
          <w:rFonts w:ascii="Times New Roman" w:hAnsi="Times New Roman"/>
          <w:color w:val="000000"/>
          <w:lang w:val="en-US"/>
        </w:rPr>
        <w:t xml:space="preserve"> For women aged  ≥ 50 years this was 93% a</w:t>
      </w:r>
      <w:r w:rsidR="003706D5" w:rsidRPr="003706D5">
        <w:rPr>
          <w:rFonts w:ascii="Times New Roman" w:hAnsi="Times New Roman"/>
          <w:color w:val="000000"/>
          <w:lang w:val="en-US"/>
        </w:rPr>
        <w:t>nd 94%.</w:t>
      </w:r>
      <w:r w:rsidR="003706D5">
        <w:rPr>
          <w:rFonts w:ascii="Times New Roman" w:hAnsi="Times New Roman"/>
          <w:color w:val="000000"/>
          <w:lang w:val="en-US"/>
        </w:rPr>
        <w:t xml:space="preserve"> </w:t>
      </w:r>
      <w:r w:rsidRPr="00BA5E6D">
        <w:rPr>
          <w:rFonts w:ascii="Times New Roman" w:hAnsi="Times New Roman"/>
          <w:bCs/>
          <w:lang w:val="en-US" w:eastAsia="nl-NL"/>
        </w:rPr>
        <w:t xml:space="preserve">Other outcome measures </w:t>
      </w:r>
      <w:r w:rsidR="00912D54">
        <w:rPr>
          <w:rFonts w:ascii="Times New Roman" w:hAnsi="Times New Roman"/>
          <w:bCs/>
          <w:lang w:val="en-US" w:eastAsia="nl-NL"/>
        </w:rPr>
        <w:t xml:space="preserve">for men and women </w:t>
      </w:r>
      <w:r w:rsidRPr="00BA5E6D">
        <w:rPr>
          <w:rFonts w:ascii="Times New Roman" w:hAnsi="Times New Roman"/>
          <w:bCs/>
          <w:lang w:val="en-US" w:eastAsia="nl-NL"/>
        </w:rPr>
        <w:t xml:space="preserve">are outlined in Table A. </w:t>
      </w:r>
    </w:p>
    <w:p w14:paraId="709363D1" w14:textId="7AB296FE" w:rsidR="00D90D16" w:rsidRPr="00BA5E6D" w:rsidRDefault="00D90D16" w:rsidP="00D90D16">
      <w:pPr>
        <w:spacing w:after="0" w:line="480" w:lineRule="auto"/>
        <w:jc w:val="both"/>
        <w:rPr>
          <w:rFonts w:ascii="Times New Roman" w:hAnsi="Times New Roman"/>
          <w:bCs/>
          <w:lang w:val="en-US" w:eastAsia="nl-NL"/>
        </w:rPr>
      </w:pPr>
      <w:r w:rsidRPr="00BA5E6D">
        <w:rPr>
          <w:rFonts w:ascii="Times New Roman" w:hAnsi="Times New Roman"/>
          <w:bCs/>
          <w:lang w:val="en-US" w:eastAsia="nl-NL"/>
        </w:rPr>
        <w:t xml:space="preserve">During the study period, no patients </w:t>
      </w:r>
      <w:r w:rsidR="00BC3245">
        <w:rPr>
          <w:rFonts w:ascii="Times New Roman" w:hAnsi="Times New Roman"/>
          <w:bCs/>
          <w:lang w:val="en-US" w:eastAsia="nl-NL"/>
        </w:rPr>
        <w:t>treated for 7 days</w:t>
      </w:r>
      <w:r w:rsidRPr="00BA5E6D">
        <w:rPr>
          <w:rFonts w:ascii="Times New Roman" w:hAnsi="Times New Roman"/>
          <w:bCs/>
          <w:lang w:val="en-US" w:eastAsia="nl-NL"/>
        </w:rPr>
        <w:t xml:space="preserve"> died. One patient, a 84-year old man assigned to 14 days </w:t>
      </w:r>
      <w:r w:rsidR="00BC3245">
        <w:rPr>
          <w:rFonts w:ascii="Times New Roman" w:hAnsi="Times New Roman"/>
          <w:bCs/>
          <w:lang w:val="en-US" w:eastAsia="nl-NL"/>
        </w:rPr>
        <w:t>antimicrobial treatment</w:t>
      </w:r>
      <w:r w:rsidRPr="00BA5E6D">
        <w:rPr>
          <w:rFonts w:ascii="Times New Roman" w:hAnsi="Times New Roman"/>
          <w:bCs/>
          <w:lang w:val="en-US" w:eastAsia="nl-NL"/>
        </w:rPr>
        <w:t>, died on day 92 due to pneum</w:t>
      </w:r>
      <w:r w:rsidRPr="00BA5E6D">
        <w:rPr>
          <w:rFonts w:ascii="Times New Roman" w:hAnsi="Times New Roman"/>
          <w:bCs/>
          <w:lang w:val="en-GB" w:eastAsia="nl-NL"/>
        </w:rPr>
        <w:t>onia and sepsis</w:t>
      </w:r>
      <w:r w:rsidRPr="00BA5E6D">
        <w:rPr>
          <w:rFonts w:ascii="Times New Roman" w:hAnsi="Times New Roman"/>
          <w:bCs/>
          <w:lang w:val="en-US" w:eastAsia="nl-NL"/>
        </w:rPr>
        <w:t xml:space="preserve">. Five non-randomized patients died during follow-up due to concurrent medical problems. </w:t>
      </w:r>
      <w:r w:rsidR="009E53DB">
        <w:rPr>
          <w:rFonts w:ascii="Times New Roman" w:hAnsi="Times New Roman"/>
          <w:bCs/>
          <w:lang w:val="en-US" w:eastAsia="nl-NL"/>
        </w:rPr>
        <w:t xml:space="preserve">None of the patients developed pyonephrosis or renal stones requiring additional drainage. Ten patients were temporarily treated with a bladder catheter; 2 patients in the 14-day treatment arm and 8 patients in the 7-day treatment arm. </w:t>
      </w:r>
    </w:p>
    <w:p w14:paraId="6169453B" w14:textId="604AEC14" w:rsidR="00D90D16" w:rsidRPr="00BA5E6D" w:rsidRDefault="00D90D16" w:rsidP="00D90D16">
      <w:pPr>
        <w:spacing w:after="0" w:line="480" w:lineRule="auto"/>
        <w:jc w:val="both"/>
        <w:rPr>
          <w:rFonts w:ascii="Times New Roman" w:hAnsi="Times New Roman"/>
          <w:bCs/>
          <w:lang w:val="en-US" w:eastAsia="nl-NL"/>
        </w:rPr>
      </w:pPr>
      <w:r w:rsidRPr="00BA5E6D">
        <w:rPr>
          <w:rFonts w:ascii="Times New Roman" w:hAnsi="Times New Roman"/>
          <w:bCs/>
          <w:lang w:val="en-US" w:eastAsia="nl-NL"/>
        </w:rPr>
        <w:t xml:space="preserve">With respect to side effects, one patient who received placebo, discontinued </w:t>
      </w:r>
      <w:r w:rsidR="006B0671">
        <w:rPr>
          <w:rFonts w:ascii="Times New Roman" w:hAnsi="Times New Roman"/>
          <w:bCs/>
          <w:lang w:val="en-US" w:eastAsia="nl-NL"/>
        </w:rPr>
        <w:t xml:space="preserve">the </w:t>
      </w:r>
      <w:r w:rsidRPr="00BA5E6D">
        <w:rPr>
          <w:rFonts w:ascii="Times New Roman" w:hAnsi="Times New Roman"/>
          <w:bCs/>
          <w:lang w:val="en-US" w:eastAsia="nl-NL"/>
        </w:rPr>
        <w:t xml:space="preserve">trial drug because of mucosal candida infection (day 2 after start placebo). Five patients on ciprofloxacin discontinued trial drug because of itching exanthema (n=2, both on day 3, i.e., day 10 of treatment) or feeling tired (n=3; day 1,3 and 5). During trial drug period, patients reported the following adverse events in </w:t>
      </w:r>
      <w:r w:rsidR="004C6867" w:rsidRPr="00BA5E6D">
        <w:rPr>
          <w:rFonts w:ascii="Times New Roman" w:hAnsi="Times New Roman"/>
          <w:bCs/>
          <w:lang w:val="en-US" w:eastAsia="nl-NL"/>
        </w:rPr>
        <w:t xml:space="preserve">the </w:t>
      </w:r>
      <w:r w:rsidRPr="00BA5E6D">
        <w:rPr>
          <w:rFonts w:ascii="Times New Roman" w:hAnsi="Times New Roman"/>
          <w:bCs/>
          <w:lang w:val="en-US" w:eastAsia="nl-NL"/>
        </w:rPr>
        <w:t xml:space="preserve">7 </w:t>
      </w:r>
      <w:r w:rsidR="004C6867" w:rsidRPr="00BA5E6D">
        <w:rPr>
          <w:rFonts w:ascii="Times New Roman" w:hAnsi="Times New Roman"/>
          <w:bCs/>
          <w:lang w:val="en-US" w:eastAsia="nl-NL"/>
        </w:rPr>
        <w:t xml:space="preserve">versus </w:t>
      </w:r>
      <w:r w:rsidRPr="00BA5E6D">
        <w:rPr>
          <w:rFonts w:ascii="Times New Roman" w:hAnsi="Times New Roman"/>
          <w:bCs/>
          <w:lang w:val="en-US" w:eastAsia="nl-NL"/>
        </w:rPr>
        <w:t>14 days treatment arm: nausea (7% vs 4%), vomiting (2% vs 1%), diarrhea (3% vs 2%), headache (16% vs 4%), dizziness (10% vs 9%), itching exanthema or rash (4% vs 4%) and myalgia (10% vs 12%).</w:t>
      </w:r>
    </w:p>
    <w:p w14:paraId="1E91CF76" w14:textId="77777777" w:rsidR="00D90D16" w:rsidRPr="00BA5E6D" w:rsidRDefault="00D90D16" w:rsidP="00D90D16">
      <w:pPr>
        <w:spacing w:after="0" w:line="480" w:lineRule="auto"/>
        <w:jc w:val="both"/>
        <w:rPr>
          <w:rFonts w:ascii="Times New Roman" w:hAnsi="Times New Roman"/>
          <w:bCs/>
          <w:lang w:val="en-US" w:eastAsia="nl-NL"/>
        </w:rPr>
      </w:pPr>
    </w:p>
    <w:p w14:paraId="5AD0B257" w14:textId="77777777" w:rsidR="00D90D16" w:rsidRPr="00BA5E6D" w:rsidRDefault="00D90D16" w:rsidP="006D5682">
      <w:pPr>
        <w:spacing w:after="0" w:line="480" w:lineRule="auto"/>
        <w:jc w:val="both"/>
        <w:outlineLvl w:val="0"/>
        <w:rPr>
          <w:rFonts w:ascii="Times New Roman" w:hAnsi="Times New Roman"/>
          <w:b/>
          <w:bCs/>
          <w:lang w:val="en-US" w:eastAsia="nl-NL"/>
        </w:rPr>
      </w:pPr>
      <w:r w:rsidRPr="00BA5E6D">
        <w:rPr>
          <w:rFonts w:ascii="Times New Roman" w:hAnsi="Times New Roman"/>
          <w:b/>
          <w:bCs/>
          <w:lang w:val="en-US" w:eastAsia="nl-NL"/>
        </w:rPr>
        <w:t>Microbiological outcome</w:t>
      </w:r>
    </w:p>
    <w:p w14:paraId="1F5E382F" w14:textId="0ECD62E2" w:rsidR="00D86A10" w:rsidRDefault="00D90D16" w:rsidP="00D86A10">
      <w:pPr>
        <w:spacing w:after="0" w:line="480" w:lineRule="auto"/>
        <w:rPr>
          <w:rFonts w:ascii="Times New Roman" w:hAnsi="Times New Roman"/>
          <w:bCs/>
          <w:lang w:val="en-US" w:eastAsia="nl-NL"/>
        </w:rPr>
      </w:pPr>
      <w:r w:rsidRPr="00BA5E6D">
        <w:rPr>
          <w:rFonts w:ascii="Times New Roman" w:hAnsi="Times New Roman"/>
          <w:bCs/>
          <w:lang w:val="en-US" w:eastAsia="nl-NL"/>
        </w:rPr>
        <w:t xml:space="preserve">In the group assigned to 7 days of ciprofloxacin, seven patients had asymptomatic bacteriuria at short-term follow-up (five with </w:t>
      </w:r>
      <w:r w:rsidRPr="00BA5E6D">
        <w:rPr>
          <w:rFonts w:ascii="Times New Roman" w:hAnsi="Times New Roman"/>
          <w:bCs/>
          <w:i/>
          <w:lang w:val="en-US" w:eastAsia="nl-NL"/>
        </w:rPr>
        <w:t>E. coli</w:t>
      </w:r>
      <w:r w:rsidRPr="00BA5E6D">
        <w:rPr>
          <w:rFonts w:ascii="Times New Roman" w:hAnsi="Times New Roman"/>
          <w:bCs/>
          <w:lang w:val="en-US" w:eastAsia="nl-NL"/>
        </w:rPr>
        <w:t xml:space="preserve">, one with </w:t>
      </w:r>
      <w:r w:rsidRPr="00BA5E6D">
        <w:rPr>
          <w:rFonts w:ascii="Times New Roman" w:hAnsi="Times New Roman"/>
          <w:bCs/>
          <w:i/>
          <w:lang w:val="en-US" w:eastAsia="nl-NL"/>
        </w:rPr>
        <w:t>Klebsiella oxytoca</w:t>
      </w:r>
      <w:r w:rsidRPr="00BA5E6D">
        <w:rPr>
          <w:rFonts w:ascii="Times New Roman" w:hAnsi="Times New Roman"/>
          <w:bCs/>
          <w:lang w:val="en-US" w:eastAsia="nl-NL"/>
        </w:rPr>
        <w:t xml:space="preserve"> and one with </w:t>
      </w:r>
      <w:r w:rsidRPr="00BA5E6D">
        <w:rPr>
          <w:rFonts w:ascii="Times New Roman" w:hAnsi="Times New Roman"/>
          <w:bCs/>
          <w:i/>
          <w:lang w:val="en-US" w:eastAsia="nl-NL"/>
        </w:rPr>
        <w:t>Enterococcus faecalis</w:t>
      </w:r>
      <w:r w:rsidRPr="00BA5E6D">
        <w:rPr>
          <w:rFonts w:ascii="Times New Roman" w:hAnsi="Times New Roman"/>
          <w:bCs/>
          <w:lang w:val="en-US" w:eastAsia="nl-NL"/>
        </w:rPr>
        <w:t xml:space="preserve">). Three patients treated with ciprofloxacin for 14 days had asymptomatic bacteriuria at short-term follow-up (one with </w:t>
      </w:r>
      <w:r w:rsidRPr="00BA5E6D">
        <w:rPr>
          <w:rFonts w:ascii="Times New Roman" w:hAnsi="Times New Roman"/>
          <w:bCs/>
          <w:i/>
          <w:lang w:val="en-US" w:eastAsia="nl-NL"/>
        </w:rPr>
        <w:t>E. coli</w:t>
      </w:r>
      <w:r w:rsidRPr="00BA5E6D">
        <w:rPr>
          <w:rFonts w:ascii="Times New Roman" w:hAnsi="Times New Roman"/>
          <w:bCs/>
          <w:lang w:val="en-US" w:eastAsia="nl-NL"/>
        </w:rPr>
        <w:t xml:space="preserve">, one with </w:t>
      </w:r>
      <w:r w:rsidRPr="00BA5E6D">
        <w:rPr>
          <w:rFonts w:ascii="Times New Roman" w:hAnsi="Times New Roman"/>
          <w:bCs/>
          <w:i/>
          <w:lang w:val="en-US" w:eastAsia="nl-NL"/>
        </w:rPr>
        <w:t>E. faecalis</w:t>
      </w:r>
      <w:r w:rsidRPr="00BA5E6D">
        <w:rPr>
          <w:rFonts w:ascii="Times New Roman" w:hAnsi="Times New Roman"/>
          <w:bCs/>
          <w:lang w:val="en-US" w:eastAsia="nl-NL"/>
        </w:rPr>
        <w:t xml:space="preserve"> and one with coculture of </w:t>
      </w:r>
      <w:r w:rsidRPr="00BA5E6D">
        <w:rPr>
          <w:rFonts w:ascii="Times New Roman" w:hAnsi="Times New Roman"/>
          <w:bCs/>
          <w:i/>
          <w:lang w:val="en-US" w:eastAsia="nl-NL"/>
        </w:rPr>
        <w:t>E. faecalis</w:t>
      </w:r>
      <w:r w:rsidRPr="00BA5E6D">
        <w:rPr>
          <w:rFonts w:ascii="Times New Roman" w:hAnsi="Times New Roman"/>
          <w:bCs/>
          <w:lang w:val="en-US" w:eastAsia="nl-NL"/>
        </w:rPr>
        <w:t xml:space="preserve"> and </w:t>
      </w:r>
      <w:r w:rsidRPr="00BA5E6D">
        <w:rPr>
          <w:rFonts w:ascii="Times New Roman" w:hAnsi="Times New Roman"/>
          <w:bCs/>
          <w:i/>
          <w:lang w:val="en-US" w:eastAsia="nl-NL"/>
        </w:rPr>
        <w:t>S. aureus</w:t>
      </w:r>
      <w:r w:rsidRPr="00BA5E6D">
        <w:rPr>
          <w:rFonts w:ascii="Times New Roman" w:hAnsi="Times New Roman"/>
          <w:bCs/>
          <w:lang w:val="en-US" w:eastAsia="nl-NL"/>
        </w:rPr>
        <w:t xml:space="preserve">). Fifteen non-randomized patients had asymptomatic bacteriuria at short-term visit: seven with </w:t>
      </w:r>
      <w:r w:rsidRPr="00BA5E6D">
        <w:rPr>
          <w:rFonts w:ascii="Times New Roman" w:hAnsi="Times New Roman"/>
          <w:bCs/>
          <w:i/>
          <w:lang w:val="en-US" w:eastAsia="nl-NL"/>
        </w:rPr>
        <w:t>E. coli</w:t>
      </w:r>
      <w:r w:rsidRPr="00BA5E6D">
        <w:rPr>
          <w:rFonts w:ascii="Times New Roman" w:hAnsi="Times New Roman"/>
          <w:bCs/>
          <w:lang w:val="en-US" w:eastAsia="nl-NL"/>
        </w:rPr>
        <w:t xml:space="preserve">, one with </w:t>
      </w:r>
      <w:r w:rsidRPr="00BA5E6D">
        <w:rPr>
          <w:rFonts w:ascii="Times New Roman" w:hAnsi="Times New Roman"/>
          <w:bCs/>
          <w:i/>
          <w:lang w:val="en-US" w:eastAsia="nl-NL"/>
        </w:rPr>
        <w:t>E. coli</w:t>
      </w:r>
      <w:r w:rsidRPr="00BA5E6D">
        <w:rPr>
          <w:rFonts w:ascii="Times New Roman" w:hAnsi="Times New Roman"/>
          <w:bCs/>
          <w:lang w:val="en-US" w:eastAsia="nl-NL"/>
        </w:rPr>
        <w:t xml:space="preserve"> and </w:t>
      </w:r>
      <w:r w:rsidRPr="00BA5E6D">
        <w:rPr>
          <w:rFonts w:ascii="Times New Roman" w:hAnsi="Times New Roman"/>
          <w:bCs/>
          <w:i/>
          <w:lang w:val="en-US" w:eastAsia="nl-NL"/>
        </w:rPr>
        <w:t>E. faecalis</w:t>
      </w:r>
      <w:r w:rsidRPr="00BA5E6D">
        <w:rPr>
          <w:rFonts w:ascii="Times New Roman" w:hAnsi="Times New Roman"/>
          <w:bCs/>
          <w:lang w:val="en-US" w:eastAsia="nl-NL"/>
        </w:rPr>
        <w:t xml:space="preserve">, one with </w:t>
      </w:r>
      <w:r w:rsidRPr="00BA5E6D">
        <w:rPr>
          <w:rFonts w:ascii="Times New Roman" w:hAnsi="Times New Roman"/>
          <w:bCs/>
          <w:i/>
          <w:lang w:val="en-US" w:eastAsia="nl-NL"/>
        </w:rPr>
        <w:t xml:space="preserve">Klebsiella </w:t>
      </w:r>
      <w:r w:rsidRPr="00BA5E6D">
        <w:rPr>
          <w:rFonts w:ascii="Times New Roman" w:hAnsi="Times New Roman"/>
          <w:bCs/>
          <w:lang w:val="en-US" w:eastAsia="nl-NL"/>
        </w:rPr>
        <w:t xml:space="preserve">spp and </w:t>
      </w:r>
      <w:r w:rsidRPr="00BA5E6D">
        <w:rPr>
          <w:rFonts w:ascii="Times New Roman" w:hAnsi="Times New Roman"/>
          <w:bCs/>
          <w:i/>
          <w:lang w:val="en-US" w:eastAsia="nl-NL"/>
        </w:rPr>
        <w:t>S. saprophyticus</w:t>
      </w:r>
      <w:r w:rsidRPr="00BA5E6D">
        <w:rPr>
          <w:rFonts w:ascii="Times New Roman" w:hAnsi="Times New Roman"/>
          <w:bCs/>
          <w:lang w:val="en-US" w:eastAsia="nl-NL"/>
        </w:rPr>
        <w:t xml:space="preserve">, one with </w:t>
      </w:r>
      <w:r w:rsidRPr="00BA5E6D">
        <w:rPr>
          <w:rFonts w:ascii="Times New Roman" w:hAnsi="Times New Roman"/>
          <w:bCs/>
          <w:i/>
          <w:lang w:val="en-US" w:eastAsia="nl-NL"/>
        </w:rPr>
        <w:t xml:space="preserve">Proteus </w:t>
      </w:r>
      <w:r w:rsidRPr="00BA5E6D">
        <w:rPr>
          <w:rFonts w:ascii="Times New Roman" w:hAnsi="Times New Roman"/>
          <w:bCs/>
          <w:lang w:val="en-US" w:eastAsia="nl-NL"/>
        </w:rPr>
        <w:t xml:space="preserve">spp, two with </w:t>
      </w:r>
      <w:r w:rsidRPr="00BA5E6D">
        <w:rPr>
          <w:rFonts w:ascii="Times New Roman" w:hAnsi="Times New Roman"/>
          <w:bCs/>
          <w:i/>
          <w:lang w:val="en-US" w:eastAsia="nl-NL"/>
        </w:rPr>
        <w:t>E. faecalis</w:t>
      </w:r>
      <w:r w:rsidRPr="00BA5E6D">
        <w:rPr>
          <w:rFonts w:ascii="Times New Roman" w:hAnsi="Times New Roman"/>
          <w:bCs/>
          <w:lang w:val="en-US" w:eastAsia="nl-NL"/>
        </w:rPr>
        <w:t xml:space="preserve">, one with </w:t>
      </w:r>
      <w:r w:rsidRPr="00BA5E6D">
        <w:rPr>
          <w:rFonts w:ascii="Times New Roman" w:hAnsi="Times New Roman"/>
          <w:bCs/>
          <w:i/>
          <w:lang w:val="en-US" w:eastAsia="nl-NL"/>
        </w:rPr>
        <w:t xml:space="preserve">E. faecalis </w:t>
      </w:r>
      <w:r w:rsidRPr="00BA5E6D">
        <w:rPr>
          <w:rFonts w:ascii="Times New Roman" w:hAnsi="Times New Roman"/>
          <w:bCs/>
          <w:lang w:val="en-US" w:eastAsia="nl-NL"/>
        </w:rPr>
        <w:t xml:space="preserve">and </w:t>
      </w:r>
      <w:r w:rsidRPr="00BA5E6D">
        <w:rPr>
          <w:rFonts w:ascii="Times New Roman" w:hAnsi="Times New Roman"/>
          <w:bCs/>
          <w:i/>
          <w:lang w:val="en-US" w:eastAsia="nl-NL"/>
        </w:rPr>
        <w:t>P. aeruginosa</w:t>
      </w:r>
      <w:r w:rsidRPr="00BA5E6D">
        <w:rPr>
          <w:rFonts w:ascii="Times New Roman" w:hAnsi="Times New Roman"/>
          <w:bCs/>
          <w:lang w:val="en-US" w:eastAsia="nl-NL"/>
        </w:rPr>
        <w:t xml:space="preserve">, one with </w:t>
      </w:r>
      <w:r w:rsidRPr="00BA5E6D">
        <w:rPr>
          <w:rFonts w:ascii="Times New Roman" w:hAnsi="Times New Roman"/>
          <w:bCs/>
          <w:i/>
          <w:lang w:val="en-US" w:eastAsia="nl-NL"/>
        </w:rPr>
        <w:t>P. aeruginosa</w:t>
      </w:r>
      <w:r w:rsidRPr="00BA5E6D">
        <w:rPr>
          <w:rFonts w:ascii="Times New Roman" w:hAnsi="Times New Roman"/>
          <w:bCs/>
          <w:lang w:val="en-US" w:eastAsia="nl-NL"/>
        </w:rPr>
        <w:t xml:space="preserve"> and one with </w:t>
      </w:r>
      <w:r w:rsidRPr="00BA5E6D">
        <w:rPr>
          <w:rFonts w:ascii="Times New Roman" w:hAnsi="Times New Roman"/>
          <w:bCs/>
          <w:i/>
          <w:lang w:val="en-US" w:eastAsia="nl-NL"/>
        </w:rPr>
        <w:t>Enterobacter cloacae</w:t>
      </w:r>
      <w:r w:rsidR="00D86A10">
        <w:rPr>
          <w:rFonts w:ascii="Times New Roman" w:hAnsi="Times New Roman"/>
          <w:bCs/>
          <w:lang w:val="en-US" w:eastAsia="nl-NL"/>
        </w:rPr>
        <w:t>.</w:t>
      </w:r>
    </w:p>
    <w:p w14:paraId="78572162" w14:textId="77777777" w:rsidR="00D86A10" w:rsidRDefault="00D86A10" w:rsidP="00D86A10">
      <w:pPr>
        <w:spacing w:after="0" w:line="480" w:lineRule="auto"/>
        <w:rPr>
          <w:rFonts w:ascii="Times New Roman" w:hAnsi="Times New Roman"/>
          <w:bCs/>
          <w:lang w:val="en-US" w:eastAsia="nl-NL"/>
        </w:rPr>
      </w:pPr>
    </w:p>
    <w:p w14:paraId="7F75C718" w14:textId="77777777" w:rsidR="00D86A10" w:rsidRPr="00D86A10" w:rsidRDefault="00D86A10" w:rsidP="00D86A10">
      <w:pPr>
        <w:spacing w:after="0" w:line="480" w:lineRule="auto"/>
        <w:rPr>
          <w:rFonts w:ascii="Times New Roman" w:hAnsi="Times New Roman"/>
          <w:bCs/>
          <w:lang w:val="en-US" w:eastAsia="nl-NL"/>
        </w:rPr>
      </w:pPr>
    </w:p>
    <w:p w14:paraId="7C9E180C" w14:textId="287501EA" w:rsidR="00D86A10" w:rsidRPr="004E08DC" w:rsidRDefault="00D86A10" w:rsidP="00D86A10">
      <w:pPr>
        <w:rPr>
          <w:rFonts w:ascii="Times New Roman" w:hAnsi="Times New Roman"/>
          <w:b/>
          <w:lang w:val="en-US"/>
        </w:rPr>
      </w:pPr>
      <w:r w:rsidRPr="004E08DC">
        <w:rPr>
          <w:rFonts w:ascii="Times New Roman" w:hAnsi="Times New Roman"/>
          <w:b/>
          <w:lang w:val="en-US"/>
        </w:rPr>
        <w:t>Figure A. Difference in clinical cure rates (10- to 18-days post-treatment) of febrile UTI treated for 7 days versus 14 days in specific male subgroups.</w:t>
      </w:r>
    </w:p>
    <w:p w14:paraId="7AF5DAA7" w14:textId="3B14D827" w:rsidR="00D90D16" w:rsidRPr="00D86A10" w:rsidRDefault="00D86A10" w:rsidP="00D86A10">
      <w:pPr>
        <w:rPr>
          <w:rFonts w:ascii="Times New Roman" w:hAnsi="Times New Roman"/>
          <w:sz w:val="16"/>
          <w:szCs w:val="16"/>
        </w:rPr>
      </w:pPr>
      <w:r w:rsidRPr="004E08DC">
        <w:rPr>
          <w:rFonts w:ascii="Times New Roman" w:hAnsi="Times New Roman"/>
          <w:sz w:val="16"/>
          <w:szCs w:val="16"/>
          <w:lang w:val="en-US"/>
        </w:rPr>
        <w:t xml:space="preserve">Stepdown treatment implies initial empiric intravenous antibiotic treatment. </w:t>
      </w:r>
      <w:r w:rsidRPr="00BA5E6D">
        <w:rPr>
          <w:rFonts w:ascii="Times New Roman" w:hAnsi="Times New Roman"/>
          <w:sz w:val="16"/>
          <w:szCs w:val="16"/>
        </w:rPr>
        <w:t>UTI: urinary tract infection; CI: confidence interval.</w:t>
      </w:r>
    </w:p>
    <w:p w14:paraId="5A17D729" w14:textId="34B1F5AD" w:rsidR="00D86A10" w:rsidRDefault="00694DDB" w:rsidP="00D86A10">
      <w:pPr>
        <w:spacing w:after="0" w:line="480" w:lineRule="auto"/>
        <w:rPr>
          <w:rFonts w:ascii="Times New Roman" w:hAnsi="Times New Roman"/>
          <w:b/>
        </w:rPr>
      </w:pPr>
      <w:r>
        <w:rPr>
          <w:noProof/>
          <w:lang w:eastAsia="nl-NL"/>
        </w:rPr>
        <w:drawing>
          <wp:inline distT="0" distB="0" distL="0" distR="0" wp14:anchorId="2A2ABE53" wp14:editId="614D67A3">
            <wp:extent cx="5756910" cy="2901630"/>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6910" cy="2901630"/>
                    </a:xfrm>
                    <a:prstGeom prst="rect">
                      <a:avLst/>
                    </a:prstGeom>
                    <a:noFill/>
                    <a:ln>
                      <a:noFill/>
                    </a:ln>
                  </pic:spPr>
                </pic:pic>
              </a:graphicData>
            </a:graphic>
          </wp:inline>
        </w:drawing>
      </w:r>
    </w:p>
    <w:p w14:paraId="5FA620ED" w14:textId="77777777" w:rsidR="00D86A10" w:rsidRDefault="00D86A10" w:rsidP="00D86A10">
      <w:pPr>
        <w:spacing w:after="0" w:line="480" w:lineRule="auto"/>
        <w:rPr>
          <w:rFonts w:ascii="Times New Roman" w:hAnsi="Times New Roman"/>
          <w:b/>
        </w:rPr>
      </w:pPr>
    </w:p>
    <w:p w14:paraId="034A068F" w14:textId="77777777" w:rsidR="00D86A10" w:rsidRDefault="00D86A10" w:rsidP="00D86A10">
      <w:pPr>
        <w:spacing w:after="0" w:line="480" w:lineRule="auto"/>
        <w:rPr>
          <w:rFonts w:ascii="Times New Roman" w:hAnsi="Times New Roman"/>
          <w:b/>
        </w:rPr>
      </w:pPr>
    </w:p>
    <w:p w14:paraId="07B77DD9" w14:textId="7CE381E3" w:rsidR="00D86A10" w:rsidRPr="00D86A10" w:rsidRDefault="00D86A10" w:rsidP="00D86A10">
      <w:pPr>
        <w:spacing w:after="0" w:line="480" w:lineRule="auto"/>
        <w:rPr>
          <w:rFonts w:ascii="Times New Roman" w:hAnsi="Times New Roman"/>
          <w:b/>
          <w:lang w:val="en-US"/>
        </w:rPr>
      </w:pPr>
      <w:r w:rsidRPr="004E08DC">
        <w:rPr>
          <w:rFonts w:ascii="Times New Roman" w:hAnsi="Times New Roman"/>
          <w:b/>
          <w:lang w:val="en-US"/>
        </w:rPr>
        <w:t>Figure B. Difference in clinical cure rates (10- to 18-days post-treatment) of febrile UTI treated for 7 days versus 14 days in specific female subgroups.</w:t>
      </w:r>
    </w:p>
    <w:p w14:paraId="5798B35B" w14:textId="6B21AF8A" w:rsidR="00FC7A89" w:rsidRPr="00BA5E6D" w:rsidRDefault="00D86A10" w:rsidP="00D86A10">
      <w:pPr>
        <w:rPr>
          <w:rFonts w:ascii="Times New Roman" w:hAnsi="Times New Roman"/>
          <w:lang w:val="en-US"/>
        </w:rPr>
      </w:pPr>
      <w:r w:rsidRPr="004E08DC">
        <w:rPr>
          <w:rFonts w:ascii="Times New Roman" w:hAnsi="Times New Roman"/>
          <w:sz w:val="16"/>
          <w:szCs w:val="16"/>
          <w:lang w:val="en-US"/>
        </w:rPr>
        <w:t xml:space="preserve">Stepdown treatment implies initial empiric intravenous antibiotic treatment. UTI: urinary tract infection; CI: confidence interval. </w:t>
      </w:r>
    </w:p>
    <w:p w14:paraId="77E32BE5" w14:textId="77777777" w:rsidR="00F837A5" w:rsidRPr="004E08DC" w:rsidRDefault="00F837A5">
      <w:pPr>
        <w:rPr>
          <w:rFonts w:ascii="Times New Roman" w:hAnsi="Times New Roman"/>
          <w:lang w:val="en-US"/>
        </w:rPr>
      </w:pPr>
    </w:p>
    <w:p w14:paraId="68649D5F" w14:textId="69ECB307" w:rsidR="00D86A10" w:rsidRPr="004E08DC" w:rsidRDefault="00694DDB">
      <w:pPr>
        <w:rPr>
          <w:rFonts w:ascii="Times New Roman" w:hAnsi="Times New Roman"/>
          <w:lang w:val="en-US"/>
        </w:rPr>
      </w:pPr>
      <w:r>
        <w:rPr>
          <w:noProof/>
          <w:lang w:eastAsia="nl-NL"/>
        </w:rPr>
        <w:drawing>
          <wp:inline distT="0" distB="0" distL="0" distR="0" wp14:anchorId="1D47070C" wp14:editId="4D3D2F8D">
            <wp:extent cx="5756910" cy="3644694"/>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910" cy="3644694"/>
                    </a:xfrm>
                    <a:prstGeom prst="rect">
                      <a:avLst/>
                    </a:prstGeom>
                    <a:noFill/>
                    <a:ln>
                      <a:noFill/>
                    </a:ln>
                  </pic:spPr>
                </pic:pic>
              </a:graphicData>
            </a:graphic>
          </wp:inline>
        </w:drawing>
      </w:r>
    </w:p>
    <w:p w14:paraId="5DFA9063" w14:textId="77777777" w:rsidR="00D86A10" w:rsidRPr="004E08DC" w:rsidRDefault="00D86A10">
      <w:pPr>
        <w:rPr>
          <w:rFonts w:ascii="Times New Roman" w:hAnsi="Times New Roman"/>
          <w:lang w:val="en-US"/>
        </w:rPr>
      </w:pPr>
    </w:p>
    <w:p w14:paraId="708216BB" w14:textId="77777777" w:rsidR="00D86A10" w:rsidRPr="004E08DC" w:rsidRDefault="00D86A10">
      <w:pPr>
        <w:rPr>
          <w:rFonts w:ascii="Times New Roman" w:hAnsi="Times New Roman"/>
          <w:lang w:val="en-US"/>
        </w:rPr>
      </w:pPr>
    </w:p>
    <w:p w14:paraId="089208AC" w14:textId="77777777" w:rsidR="00D86A10" w:rsidRPr="004E08DC" w:rsidRDefault="00D86A10">
      <w:pPr>
        <w:rPr>
          <w:rFonts w:ascii="Times New Roman" w:hAnsi="Times New Roman"/>
          <w:lang w:val="en-US"/>
        </w:rPr>
      </w:pPr>
    </w:p>
    <w:p w14:paraId="2F70B0D5" w14:textId="3A5CD7F1" w:rsidR="00881BCB" w:rsidRDefault="00FC7A89">
      <w:pPr>
        <w:rPr>
          <w:rFonts w:ascii="Times New Roman" w:hAnsi="Times New Roman"/>
          <w:b/>
          <w:lang w:val="en-US"/>
        </w:rPr>
      </w:pPr>
      <w:r w:rsidRPr="004E08DC">
        <w:rPr>
          <w:rFonts w:ascii="Times New Roman" w:hAnsi="Times New Roman"/>
          <w:b/>
          <w:lang w:val="en-US"/>
        </w:rPr>
        <w:t xml:space="preserve">Table A. Difference in outcome measure of 7 days </w:t>
      </w:r>
      <w:r w:rsidR="00BC3245">
        <w:rPr>
          <w:rFonts w:ascii="Times New Roman" w:hAnsi="Times New Roman"/>
          <w:b/>
          <w:lang w:val="en-US"/>
        </w:rPr>
        <w:t xml:space="preserve">antimicrobial </w:t>
      </w:r>
      <w:r w:rsidRPr="004E08DC">
        <w:rPr>
          <w:rFonts w:ascii="Times New Roman" w:hAnsi="Times New Roman"/>
          <w:b/>
          <w:lang w:val="en-US"/>
        </w:rPr>
        <w:t>treatment for febrile UTI versus 14 days in men and women.</w:t>
      </w:r>
    </w:p>
    <w:p w14:paraId="0DBCA52D" w14:textId="2CBD3C1A" w:rsidR="00694DDB" w:rsidRPr="004E08DC" w:rsidRDefault="00694DDB">
      <w:pPr>
        <w:rPr>
          <w:rFonts w:ascii="Times New Roman" w:hAnsi="Times New Roman"/>
          <w:b/>
          <w:lang w:val="en-US"/>
        </w:rPr>
      </w:pPr>
      <w:r>
        <w:rPr>
          <w:noProof/>
          <w:lang w:eastAsia="nl-NL"/>
        </w:rPr>
        <w:drawing>
          <wp:inline distT="0" distB="0" distL="0" distR="0" wp14:anchorId="72B77388" wp14:editId="02D80A31">
            <wp:extent cx="5477510" cy="2023745"/>
            <wp:effectExtent l="0" t="0" r="889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7510" cy="2023745"/>
                    </a:xfrm>
                    <a:prstGeom prst="rect">
                      <a:avLst/>
                    </a:prstGeom>
                    <a:noFill/>
                    <a:ln>
                      <a:noFill/>
                    </a:ln>
                  </pic:spPr>
                </pic:pic>
              </a:graphicData>
            </a:graphic>
          </wp:inline>
        </w:drawing>
      </w:r>
    </w:p>
    <w:p w14:paraId="4943F930" w14:textId="4568A6F3" w:rsidR="00390F36" w:rsidRPr="004E08DC" w:rsidRDefault="00390F36">
      <w:pPr>
        <w:rPr>
          <w:lang w:val="en-US"/>
        </w:rPr>
      </w:pPr>
    </w:p>
    <w:sectPr w:rsidR="00390F36" w:rsidRPr="004E08DC" w:rsidSect="006D5682">
      <w:footerReference w:type="even" r:id="rId10"/>
      <w:footerReference w:type="default" r:id="rId11"/>
      <w:pgSz w:w="11900" w:h="16840"/>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96E12" w14:textId="77777777" w:rsidR="00B663F4" w:rsidRDefault="00B663F4" w:rsidP="004E08DC">
      <w:pPr>
        <w:spacing w:after="0" w:line="240" w:lineRule="auto"/>
      </w:pPr>
      <w:r>
        <w:separator/>
      </w:r>
    </w:p>
  </w:endnote>
  <w:endnote w:type="continuationSeparator" w:id="0">
    <w:p w14:paraId="676B40EF" w14:textId="77777777" w:rsidR="00B663F4" w:rsidRDefault="00B663F4" w:rsidP="004E0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4BAC4" w14:textId="77777777" w:rsidR="004E08DC" w:rsidRDefault="004E08DC" w:rsidP="00694A8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56E4547" w14:textId="77777777" w:rsidR="004E08DC" w:rsidRDefault="004E08DC" w:rsidP="004E08DC">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D1C31" w14:textId="77777777" w:rsidR="004E08DC" w:rsidRDefault="004E08DC" w:rsidP="00694A8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663F4">
      <w:rPr>
        <w:rStyle w:val="Paginanummer"/>
        <w:noProof/>
      </w:rPr>
      <w:t>1</w:t>
    </w:r>
    <w:r>
      <w:rPr>
        <w:rStyle w:val="Paginanummer"/>
      </w:rPr>
      <w:fldChar w:fldCharType="end"/>
    </w:r>
  </w:p>
  <w:p w14:paraId="60F5C5AB" w14:textId="77777777" w:rsidR="004E08DC" w:rsidRDefault="004E08DC" w:rsidP="004E08DC">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3A8C5" w14:textId="77777777" w:rsidR="00B663F4" w:rsidRDefault="00B663F4" w:rsidP="004E08DC">
      <w:pPr>
        <w:spacing w:after="0" w:line="240" w:lineRule="auto"/>
      </w:pPr>
      <w:r>
        <w:separator/>
      </w:r>
    </w:p>
  </w:footnote>
  <w:footnote w:type="continuationSeparator" w:id="0">
    <w:p w14:paraId="3118CB45" w14:textId="77777777" w:rsidR="00B663F4" w:rsidRDefault="00B663F4" w:rsidP="004E08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D16"/>
    <w:rsid w:val="000240F0"/>
    <w:rsid w:val="00045C7B"/>
    <w:rsid w:val="000B0497"/>
    <w:rsid w:val="000D4386"/>
    <w:rsid w:val="0016371F"/>
    <w:rsid w:val="001768A7"/>
    <w:rsid w:val="00353E51"/>
    <w:rsid w:val="003706D5"/>
    <w:rsid w:val="00390F36"/>
    <w:rsid w:val="00420F6D"/>
    <w:rsid w:val="00484B71"/>
    <w:rsid w:val="004C6867"/>
    <w:rsid w:val="004D6AE5"/>
    <w:rsid w:val="004E08DC"/>
    <w:rsid w:val="005223AD"/>
    <w:rsid w:val="005258A3"/>
    <w:rsid w:val="00694DDB"/>
    <w:rsid w:val="006B0671"/>
    <w:rsid w:val="006D5682"/>
    <w:rsid w:val="00712FC1"/>
    <w:rsid w:val="007B09B5"/>
    <w:rsid w:val="00847113"/>
    <w:rsid w:val="00881BCB"/>
    <w:rsid w:val="008B48F7"/>
    <w:rsid w:val="008F7A0C"/>
    <w:rsid w:val="00912D54"/>
    <w:rsid w:val="00950355"/>
    <w:rsid w:val="009E53DB"/>
    <w:rsid w:val="00B63359"/>
    <w:rsid w:val="00B663F4"/>
    <w:rsid w:val="00BA5E6D"/>
    <w:rsid w:val="00BC3245"/>
    <w:rsid w:val="00C24FB3"/>
    <w:rsid w:val="00CB424A"/>
    <w:rsid w:val="00D1772D"/>
    <w:rsid w:val="00D86A10"/>
    <w:rsid w:val="00D90D16"/>
    <w:rsid w:val="00DC355C"/>
    <w:rsid w:val="00EC596C"/>
    <w:rsid w:val="00F44F6C"/>
    <w:rsid w:val="00F82355"/>
    <w:rsid w:val="00F837A5"/>
    <w:rsid w:val="00FB4975"/>
    <w:rsid w:val="00FC36CE"/>
    <w:rsid w:val="00FC7A89"/>
    <w:rsid w:val="00FC7CE5"/>
  </w:rsids>
  <m:mathPr>
    <m:mathFont m:val="Cambria Math"/>
    <m:brkBin m:val="before"/>
    <m:brkBinSub m:val="--"/>
    <m:smallFrac m:val="0"/>
    <m:dispDef/>
    <m:lMargin m:val="0"/>
    <m:rMargin m:val="0"/>
    <m:defJc m:val="centerGroup"/>
    <m:wrapIndent m:val="1440"/>
    <m:intLim m:val="subSup"/>
    <m:naryLim m:val="undOvr"/>
  </m:mathPr>
  <w:themeFontLang w:val="nl-NL"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EA416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90D16"/>
    <w:pPr>
      <w:spacing w:after="200" w:line="276" w:lineRule="auto"/>
    </w:pPr>
    <w:rPr>
      <w:rFonts w:ascii="Calibri" w:eastAsia="Calibri" w:hAnsi="Calibri" w:cs="Times New Roman"/>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ixed-citation">
    <w:name w:val="mixed-citation"/>
    <w:rsid w:val="00D90D16"/>
  </w:style>
  <w:style w:type="paragraph" w:styleId="Ballontekst">
    <w:name w:val="Balloon Text"/>
    <w:basedOn w:val="Standaard"/>
    <w:link w:val="BallontekstTeken"/>
    <w:uiPriority w:val="99"/>
    <w:semiHidden/>
    <w:unhideWhenUsed/>
    <w:rsid w:val="004C6867"/>
    <w:pPr>
      <w:spacing w:after="0" w:line="240" w:lineRule="auto"/>
    </w:pPr>
    <w:rPr>
      <w:rFonts w:ascii="Times New Roman" w:hAnsi="Times New Roman"/>
      <w:sz w:val="18"/>
      <w:szCs w:val="18"/>
    </w:rPr>
  </w:style>
  <w:style w:type="character" w:customStyle="1" w:styleId="BallontekstTeken">
    <w:name w:val="Ballontekst Teken"/>
    <w:basedOn w:val="Standaardalinea-lettertype"/>
    <w:link w:val="Ballontekst"/>
    <w:uiPriority w:val="99"/>
    <w:semiHidden/>
    <w:rsid w:val="004C6867"/>
    <w:rPr>
      <w:rFonts w:ascii="Times New Roman" w:eastAsia="Calibri" w:hAnsi="Times New Roman" w:cs="Times New Roman"/>
      <w:sz w:val="18"/>
      <w:szCs w:val="18"/>
      <w:lang w:eastAsia="en-US"/>
    </w:rPr>
  </w:style>
  <w:style w:type="paragraph" w:styleId="Normaalweb">
    <w:name w:val="Normal (Web)"/>
    <w:basedOn w:val="Standaard"/>
    <w:uiPriority w:val="99"/>
    <w:semiHidden/>
    <w:unhideWhenUsed/>
    <w:rsid w:val="004D6AE5"/>
    <w:pPr>
      <w:spacing w:before="100" w:beforeAutospacing="1" w:after="100" w:afterAutospacing="1" w:line="240" w:lineRule="auto"/>
    </w:pPr>
    <w:rPr>
      <w:rFonts w:ascii="Times New Roman" w:eastAsiaTheme="minorEastAsia" w:hAnsi="Times New Roman"/>
      <w:sz w:val="24"/>
      <w:szCs w:val="24"/>
      <w:lang w:eastAsia="nl-NL"/>
    </w:rPr>
  </w:style>
  <w:style w:type="paragraph" w:styleId="Voettekst">
    <w:name w:val="footer"/>
    <w:basedOn w:val="Standaard"/>
    <w:link w:val="VoettekstTeken"/>
    <w:uiPriority w:val="99"/>
    <w:unhideWhenUsed/>
    <w:rsid w:val="004E08DC"/>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4E08DC"/>
    <w:rPr>
      <w:rFonts w:ascii="Calibri" w:eastAsia="Calibri" w:hAnsi="Calibri" w:cs="Times New Roman"/>
      <w:sz w:val="22"/>
      <w:szCs w:val="22"/>
      <w:lang w:eastAsia="en-US"/>
    </w:rPr>
  </w:style>
  <w:style w:type="character" w:styleId="Paginanummer">
    <w:name w:val="page number"/>
    <w:basedOn w:val="Standaardalinea-lettertype"/>
    <w:uiPriority w:val="99"/>
    <w:semiHidden/>
    <w:unhideWhenUsed/>
    <w:rsid w:val="004E08DC"/>
  </w:style>
  <w:style w:type="character" w:styleId="Regelnummer">
    <w:name w:val="line number"/>
    <w:basedOn w:val="Standaardalinea-lettertype"/>
    <w:uiPriority w:val="99"/>
    <w:semiHidden/>
    <w:unhideWhenUsed/>
    <w:rsid w:val="006D5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4371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6B4FB3-D0F2-8841-87CD-A0A016473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980</Words>
  <Characters>5392</Characters>
  <Application>Microsoft Macintosh Word</Application>
  <DocSecurity>0</DocSecurity>
  <Lines>44</Lines>
  <Paragraphs>12</Paragraphs>
  <ScaleCrop>false</ScaleCrop>
  <HeadingPairs>
    <vt:vector size="4" baseType="variant">
      <vt:variant>
        <vt:lpstr>Titel</vt:lpstr>
      </vt:variant>
      <vt:variant>
        <vt:i4>1</vt:i4>
      </vt:variant>
      <vt:variant>
        <vt:lpstr>Headings</vt:lpstr>
      </vt:variant>
      <vt:variant>
        <vt:i4>4</vt:i4>
      </vt:variant>
    </vt:vector>
  </HeadingPairs>
  <TitlesOfParts>
    <vt:vector size="5" baseType="lpstr">
      <vt:lpstr/>
      <vt:lpstr>Supplement</vt:lpstr>
      <vt:lpstr>Baseline characteristics</vt:lpstr>
      <vt:lpstr>Clinical outcome</vt:lpstr>
      <vt:lpstr>Microbiological outcome</vt:lpstr>
    </vt:vector>
  </TitlesOfParts>
  <Company>MacKees</Company>
  <LinksUpToDate>false</LinksUpToDate>
  <CharactersWithSpaces>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van Nieuwkoop</dc:creator>
  <cp:keywords/>
  <dc:description/>
  <cp:lastModifiedBy>Cees van Nieuwkoop</cp:lastModifiedBy>
  <cp:revision>3</cp:revision>
  <cp:lastPrinted>2016-01-01T16:12:00Z</cp:lastPrinted>
  <dcterms:created xsi:type="dcterms:W3CDTF">2017-03-18T09:24:00Z</dcterms:created>
  <dcterms:modified xsi:type="dcterms:W3CDTF">2017-03-18T09:24:00Z</dcterms:modified>
</cp:coreProperties>
</file>