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76D171" w14:textId="301119B7" w:rsidR="00346726" w:rsidRPr="00346726" w:rsidRDefault="00346726" w:rsidP="00346726">
      <w:pPr>
        <w:spacing w:before="240"/>
        <w:ind w:left="1418" w:hanging="1418"/>
        <w:jc w:val="center"/>
        <w:rPr>
          <w:rFonts w:cstheme="minorHAnsi"/>
          <w:b/>
          <w:sz w:val="40"/>
          <w:szCs w:val="40"/>
        </w:rPr>
      </w:pPr>
      <w:r w:rsidRPr="00346726">
        <w:rPr>
          <w:rFonts w:cstheme="minorHAnsi"/>
          <w:b/>
          <w:sz w:val="40"/>
          <w:szCs w:val="40"/>
        </w:rPr>
        <w:t xml:space="preserve">Supplement to </w:t>
      </w:r>
      <w:r>
        <w:rPr>
          <w:rFonts w:cstheme="minorHAnsi"/>
          <w:b/>
          <w:sz w:val="40"/>
          <w:szCs w:val="40"/>
        </w:rPr>
        <w:br/>
      </w:r>
      <w:r>
        <w:rPr>
          <w:rFonts w:cstheme="minorHAnsi"/>
          <w:b/>
          <w:sz w:val="40"/>
          <w:szCs w:val="40"/>
        </w:rPr>
        <w:br/>
        <w:t>“</w:t>
      </w:r>
      <w:r w:rsidRPr="00346726">
        <w:rPr>
          <w:rFonts w:cstheme="minorHAnsi"/>
          <w:b/>
          <w:sz w:val="40"/>
          <w:szCs w:val="40"/>
        </w:rPr>
        <w:t xml:space="preserve">Assessing the efficiency of catch-up campaigns for introduction of pneumococcal conjugate vaccine; a modelling study based on data from </w:t>
      </w:r>
      <w:proofErr w:type="spellStart"/>
      <w:r w:rsidRPr="00346726">
        <w:rPr>
          <w:rFonts w:cstheme="minorHAnsi"/>
          <w:b/>
          <w:sz w:val="40"/>
          <w:szCs w:val="40"/>
        </w:rPr>
        <w:t>Kilifi</w:t>
      </w:r>
      <w:proofErr w:type="spellEnd"/>
      <w:r w:rsidRPr="00346726">
        <w:rPr>
          <w:rFonts w:cstheme="minorHAnsi"/>
          <w:b/>
          <w:sz w:val="40"/>
          <w:szCs w:val="40"/>
        </w:rPr>
        <w:t>, Kenya</w:t>
      </w:r>
      <w:r>
        <w:rPr>
          <w:rFonts w:cstheme="minorHAnsi"/>
          <w:b/>
          <w:sz w:val="40"/>
          <w:szCs w:val="40"/>
        </w:rPr>
        <w:t>”</w:t>
      </w:r>
    </w:p>
    <w:p w14:paraId="56A81BAB" w14:textId="77777777" w:rsidR="00F0617F" w:rsidRPr="00A07B45" w:rsidRDefault="00F0617F" w:rsidP="00F0617F">
      <w:pPr>
        <w:spacing w:before="240"/>
        <w:ind w:left="1418" w:hanging="1418"/>
        <w:rPr>
          <w:rFonts w:cstheme="minorHAnsi"/>
          <w:b/>
          <w:sz w:val="36"/>
          <w:szCs w:val="36"/>
          <w:u w:val="single"/>
        </w:rPr>
      </w:pPr>
    </w:p>
    <w:p w14:paraId="4817D95F" w14:textId="77777777" w:rsidR="00643D87" w:rsidRDefault="001837FF" w:rsidP="00643D87">
      <w:pPr>
        <w:rPr>
          <w:rFonts w:cstheme="minorHAnsi"/>
          <w:b/>
          <w:sz w:val="36"/>
          <w:szCs w:val="36"/>
        </w:rPr>
      </w:pPr>
      <w:r>
        <w:rPr>
          <w:rFonts w:cstheme="minorHAnsi"/>
          <w:b/>
          <w:sz w:val="36"/>
          <w:szCs w:val="36"/>
        </w:rPr>
        <w:t>Model equations</w:t>
      </w:r>
    </w:p>
    <w:p w14:paraId="55FADD7D" w14:textId="77777777" w:rsidR="00643D87" w:rsidRDefault="001837FF" w:rsidP="00643D87">
      <w:pPr>
        <w:rPr>
          <w:noProof/>
        </w:rPr>
      </w:pPr>
      <w:r>
        <w:rPr>
          <w:noProof/>
          <w:lang w:val="en-GB" w:eastAsia="en-GB"/>
        </w:rPr>
        <w:drawing>
          <wp:inline distT="0" distB="0" distL="0" distR="0" wp14:anchorId="45B283F1" wp14:editId="6C7C888B">
            <wp:extent cx="4324350" cy="3086100"/>
            <wp:effectExtent l="0" t="0" r="0" b="0"/>
            <wp:docPr id="4" name="Picture 4" descr="H:\My Documents\_Projects\Flasche - GAVI PNC schedules\Paper\Drafts\Equations\Model_equation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ocuments\_Projects\Flasche - GAVI PNC schedules\Paper\Drafts\Equations\Model_equations.tif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24350" cy="3086100"/>
                    </a:xfrm>
                    <a:prstGeom prst="rect">
                      <a:avLst/>
                    </a:prstGeom>
                    <a:noFill/>
                    <a:ln>
                      <a:noFill/>
                    </a:ln>
                  </pic:spPr>
                </pic:pic>
              </a:graphicData>
            </a:graphic>
          </wp:inline>
        </w:drawing>
      </w:r>
    </w:p>
    <w:p w14:paraId="140FE54C" w14:textId="5AB46C1A" w:rsidR="00643D87" w:rsidRDefault="001837FF" w:rsidP="00643D87">
      <w:pPr>
        <w:rPr>
          <w:noProof/>
        </w:rPr>
      </w:pPr>
      <w:r>
        <w:rPr>
          <w:noProof/>
        </w:rPr>
        <w:t xml:space="preserve">Age and time dependencies were omitted for clarity.  </w:t>
      </w:r>
      <w:r w:rsidR="00F150D4">
        <w:rPr>
          <w:noProof/>
        </w:rPr>
        <w:t xml:space="preserve">S, V, N, B </w:t>
      </w:r>
      <w:r>
        <w:rPr>
          <w:noProof/>
        </w:rPr>
        <w:t>indicate Susceptible, Vaccine type carriers, Non-vaccine type carriers, and carries with both vaccine and non-vaccine types and subscripts represent the status of vaccine protection</w:t>
      </w:r>
      <w:r w:rsidR="00F150D4">
        <w:rPr>
          <w:noProof/>
        </w:rPr>
        <w:t>:</w:t>
      </w:r>
      <w:r>
        <w:rPr>
          <w:noProof/>
        </w:rPr>
        <w:t xml:space="preserve"> </w:t>
      </w:r>
      <w:r w:rsidR="00F150D4">
        <w:rPr>
          <w:noProof/>
        </w:rPr>
        <w:t xml:space="preserve">I and T represent </w:t>
      </w:r>
      <w:r>
        <w:rPr>
          <w:noProof/>
        </w:rPr>
        <w:t xml:space="preserve">infant and toddlers </w:t>
      </w:r>
      <w:r w:rsidR="00F150D4">
        <w:rPr>
          <w:noProof/>
        </w:rPr>
        <w:t>protection</w:t>
      </w:r>
      <w:r>
        <w:rPr>
          <w:noProof/>
        </w:rPr>
        <w:t>. An overview of the parameters and their meaning is given below.</w:t>
      </w:r>
    </w:p>
    <w:p w14:paraId="56A40CF7" w14:textId="77777777" w:rsidR="00372EA7" w:rsidRDefault="00372EA7" w:rsidP="00643D87">
      <w:pPr>
        <w:rPr>
          <w:noProof/>
        </w:rPr>
      </w:pPr>
    </w:p>
    <w:p w14:paraId="40DC42C4" w14:textId="77777777" w:rsidR="00643D87" w:rsidRDefault="001837FF" w:rsidP="00643D87">
      <w:pPr>
        <w:rPr>
          <w:rFonts w:ascii="Calibri" w:eastAsia="Times New Roman" w:hAnsi="Calibri" w:cs="Times New Roman"/>
        </w:rPr>
      </w:pPr>
      <w:r>
        <w:rPr>
          <w:noProof/>
          <w:lang w:val="en-GB" w:eastAsia="en-GB"/>
        </w:rPr>
        <w:drawing>
          <wp:inline distT="0" distB="0" distL="0" distR="0" wp14:anchorId="008F2E17" wp14:editId="0FE7E9EC">
            <wp:extent cx="5088890" cy="1343660"/>
            <wp:effectExtent l="0" t="0" r="0" b="0"/>
            <wp:docPr id="6" name="Picture 6" descr="H:\My Documents\_Projects\Flasche - GAVI PNC schedules\Paper\Drafts\Equations\Model_parameter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y Documents\_Projects\Flasche - GAVI PNC schedules\Paper\Drafts\Equations\Model_parameters.tif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88890" cy="1343660"/>
                    </a:xfrm>
                    <a:prstGeom prst="rect">
                      <a:avLst/>
                    </a:prstGeom>
                    <a:noFill/>
                    <a:ln>
                      <a:noFill/>
                    </a:ln>
                  </pic:spPr>
                </pic:pic>
              </a:graphicData>
            </a:graphic>
          </wp:inline>
        </w:drawing>
      </w:r>
    </w:p>
    <w:p w14:paraId="5CFA2ED8" w14:textId="77777777" w:rsidR="00643D87" w:rsidRDefault="00643D87" w:rsidP="00643D87"/>
    <w:p w14:paraId="4025E70B" w14:textId="77777777" w:rsidR="004E11E5" w:rsidRDefault="004E11E5" w:rsidP="00643D87">
      <w:pPr>
        <w:rPr>
          <w:rFonts w:cstheme="minorHAnsi"/>
          <w:b/>
          <w:sz w:val="36"/>
          <w:szCs w:val="36"/>
        </w:rPr>
      </w:pPr>
    </w:p>
    <w:p w14:paraId="7E7A5C62" w14:textId="77777777" w:rsidR="00372EA7" w:rsidRDefault="00372EA7" w:rsidP="00643D87">
      <w:pPr>
        <w:rPr>
          <w:rFonts w:cstheme="minorHAnsi"/>
          <w:b/>
          <w:sz w:val="36"/>
          <w:szCs w:val="36"/>
        </w:rPr>
      </w:pPr>
    </w:p>
    <w:p w14:paraId="04E405EA" w14:textId="6E9252AB" w:rsidR="00643D87" w:rsidRDefault="001837FF" w:rsidP="00643D87">
      <w:pPr>
        <w:rPr>
          <w:rFonts w:cstheme="minorHAnsi"/>
          <w:b/>
          <w:sz w:val="36"/>
          <w:szCs w:val="36"/>
        </w:rPr>
      </w:pPr>
      <w:r>
        <w:rPr>
          <w:rFonts w:cstheme="minorHAnsi"/>
          <w:b/>
          <w:sz w:val="36"/>
          <w:szCs w:val="36"/>
        </w:rPr>
        <w:lastRenderedPageBreak/>
        <w:t>Posteriors for all parameters</w:t>
      </w:r>
    </w:p>
    <w:tbl>
      <w:tblPr>
        <w:tblW w:w="5000" w:type="pct"/>
        <w:tblCellMar>
          <w:left w:w="10" w:type="dxa"/>
          <w:right w:w="10" w:type="dxa"/>
        </w:tblCellMar>
        <w:tblLook w:val="04A0" w:firstRow="1" w:lastRow="0" w:firstColumn="1" w:lastColumn="0" w:noHBand="0" w:noVBand="1"/>
      </w:tblPr>
      <w:tblGrid>
        <w:gridCol w:w="5383"/>
        <w:gridCol w:w="1157"/>
        <w:gridCol w:w="1034"/>
        <w:gridCol w:w="764"/>
        <w:gridCol w:w="688"/>
      </w:tblGrid>
      <w:tr w:rsidR="00643D87" w14:paraId="7B8F5880" w14:textId="77777777" w:rsidTr="007F33A5">
        <w:tc>
          <w:tcPr>
            <w:tcW w:w="2982" w:type="pct"/>
          </w:tcPr>
          <w:p w14:paraId="3AC395A2" w14:textId="77777777" w:rsidR="00643D87" w:rsidRPr="001B65C6" w:rsidRDefault="001837FF" w:rsidP="00643D87">
            <w:pPr>
              <w:rPr>
                <w:rFonts w:cstheme="minorHAnsi"/>
                <w:b/>
                <w:sz w:val="20"/>
                <w:szCs w:val="20"/>
              </w:rPr>
            </w:pPr>
            <w:r w:rsidRPr="001B65C6">
              <w:rPr>
                <w:rFonts w:cstheme="minorHAnsi"/>
                <w:b/>
                <w:sz w:val="20"/>
                <w:szCs w:val="20"/>
              </w:rPr>
              <w:t>Parameter</w:t>
            </w:r>
          </w:p>
        </w:tc>
        <w:tc>
          <w:tcPr>
            <w:tcW w:w="641" w:type="pct"/>
          </w:tcPr>
          <w:p w14:paraId="7C504775" w14:textId="77777777" w:rsidR="00643D87" w:rsidRPr="001B65C6" w:rsidRDefault="001837FF" w:rsidP="00643D87">
            <w:pPr>
              <w:rPr>
                <w:rFonts w:cstheme="minorHAnsi"/>
                <w:b/>
                <w:sz w:val="20"/>
                <w:szCs w:val="20"/>
              </w:rPr>
            </w:pPr>
            <w:r w:rsidRPr="001B65C6">
              <w:rPr>
                <w:rFonts w:cstheme="minorHAnsi"/>
                <w:b/>
                <w:sz w:val="20"/>
                <w:szCs w:val="20"/>
              </w:rPr>
              <w:t>&lt;1yrs</w:t>
            </w:r>
          </w:p>
        </w:tc>
        <w:tc>
          <w:tcPr>
            <w:tcW w:w="573" w:type="pct"/>
          </w:tcPr>
          <w:p w14:paraId="2ED24B04" w14:textId="77777777" w:rsidR="00643D87" w:rsidRPr="001B65C6" w:rsidRDefault="001837FF" w:rsidP="00643D87">
            <w:pPr>
              <w:rPr>
                <w:rFonts w:cstheme="minorHAnsi"/>
                <w:b/>
                <w:sz w:val="20"/>
                <w:szCs w:val="20"/>
              </w:rPr>
            </w:pPr>
            <w:r w:rsidRPr="001B65C6">
              <w:rPr>
                <w:rFonts w:cstheme="minorHAnsi"/>
                <w:b/>
                <w:sz w:val="20"/>
                <w:szCs w:val="20"/>
              </w:rPr>
              <w:t>1-5yrs</w:t>
            </w:r>
          </w:p>
        </w:tc>
        <w:tc>
          <w:tcPr>
            <w:tcW w:w="423" w:type="pct"/>
          </w:tcPr>
          <w:p w14:paraId="5494A780" w14:textId="77777777" w:rsidR="00643D87" w:rsidRPr="001B65C6" w:rsidRDefault="001837FF" w:rsidP="00643D87">
            <w:pPr>
              <w:rPr>
                <w:rFonts w:cstheme="minorHAnsi"/>
                <w:b/>
                <w:sz w:val="20"/>
                <w:szCs w:val="20"/>
              </w:rPr>
            </w:pPr>
            <w:r w:rsidRPr="001B65C6">
              <w:rPr>
                <w:rFonts w:cstheme="minorHAnsi"/>
                <w:b/>
                <w:sz w:val="20"/>
                <w:szCs w:val="20"/>
              </w:rPr>
              <w:t>6-14yrs</w:t>
            </w:r>
          </w:p>
        </w:tc>
        <w:tc>
          <w:tcPr>
            <w:tcW w:w="380" w:type="pct"/>
          </w:tcPr>
          <w:p w14:paraId="65EACB8A" w14:textId="77777777" w:rsidR="00643D87" w:rsidRPr="001B65C6" w:rsidRDefault="001837FF" w:rsidP="00643D87">
            <w:pPr>
              <w:rPr>
                <w:rFonts w:cstheme="minorHAnsi"/>
                <w:b/>
                <w:sz w:val="20"/>
                <w:szCs w:val="20"/>
              </w:rPr>
            </w:pPr>
            <w:r w:rsidRPr="001B65C6">
              <w:rPr>
                <w:rFonts w:cstheme="minorHAnsi"/>
                <w:b/>
                <w:sz w:val="20"/>
                <w:szCs w:val="20"/>
              </w:rPr>
              <w:t>15yrs+</w:t>
            </w:r>
          </w:p>
        </w:tc>
      </w:tr>
      <w:tr w:rsidR="00643D87" w14:paraId="72CFEAB4" w14:textId="77777777" w:rsidTr="007F33A5">
        <w:tc>
          <w:tcPr>
            <w:tcW w:w="2982" w:type="pct"/>
          </w:tcPr>
          <w:p w14:paraId="454331DE" w14:textId="77777777" w:rsidR="00643D87" w:rsidRPr="001B65C6" w:rsidRDefault="001837FF" w:rsidP="00643D87">
            <w:pPr>
              <w:rPr>
                <w:rFonts w:cstheme="minorHAnsi"/>
                <w:b/>
                <w:sz w:val="20"/>
                <w:szCs w:val="20"/>
              </w:rPr>
            </w:pPr>
            <w:r>
              <w:rPr>
                <w:rFonts w:cstheme="minorHAnsi"/>
                <w:b/>
                <w:sz w:val="20"/>
                <w:szCs w:val="20"/>
              </w:rPr>
              <w:t xml:space="preserve">Probability of </w:t>
            </w:r>
            <w:r w:rsidRPr="001B65C6">
              <w:rPr>
                <w:rFonts w:cstheme="minorHAnsi"/>
                <w:b/>
                <w:sz w:val="20"/>
                <w:szCs w:val="20"/>
              </w:rPr>
              <w:t xml:space="preserve">infection </w:t>
            </w:r>
            <w:r>
              <w:rPr>
                <w:rFonts w:cstheme="minorHAnsi"/>
                <w:b/>
                <w:sz w:val="20"/>
                <w:szCs w:val="20"/>
              </w:rPr>
              <w:t>with VT if contacted</w:t>
            </w:r>
            <w:r w:rsidRPr="001B65C6">
              <w:rPr>
                <w:rFonts w:cstheme="minorHAnsi"/>
                <w:b/>
                <w:sz w:val="20"/>
                <w:szCs w:val="20"/>
              </w:rPr>
              <w:t xml:space="preserve"> </w:t>
            </w:r>
            <w:r>
              <w:rPr>
                <w:rFonts w:cstheme="minorHAnsi"/>
                <w:b/>
                <w:sz w:val="20"/>
                <w:szCs w:val="20"/>
              </w:rPr>
              <w:t>(</w:t>
            </w:r>
            <w:r w:rsidRPr="001B65C6">
              <w:rPr>
                <w:rFonts w:cstheme="minorHAnsi"/>
                <w:b/>
                <w:sz w:val="20"/>
                <w:szCs w:val="20"/>
                <w:vertAlign w:val="subscript"/>
              </w:rPr>
              <w:t xml:space="preserve"> </w:t>
            </w:r>
            <w:r w:rsidRPr="001B65C6">
              <w:rPr>
                <w:rFonts w:cstheme="minorHAnsi"/>
                <w:b/>
                <w:sz w:val="20"/>
                <w:szCs w:val="20"/>
              </w:rPr>
              <w:t>in 10</w:t>
            </w:r>
            <w:r w:rsidRPr="001B65C6">
              <w:rPr>
                <w:rFonts w:cstheme="minorHAnsi"/>
                <w:b/>
                <w:sz w:val="20"/>
                <w:szCs w:val="20"/>
                <w:vertAlign w:val="superscript"/>
              </w:rPr>
              <w:t>-3</w:t>
            </w:r>
            <w:r w:rsidRPr="001B65C6">
              <w:rPr>
                <w:rFonts w:cstheme="minorHAnsi"/>
                <w:b/>
                <w:sz w:val="20"/>
                <w:szCs w:val="20"/>
              </w:rPr>
              <w:t>)</w:t>
            </w:r>
          </w:p>
        </w:tc>
        <w:tc>
          <w:tcPr>
            <w:tcW w:w="641" w:type="pct"/>
          </w:tcPr>
          <w:p w14:paraId="3DDCE5CB" w14:textId="003B43EA" w:rsidR="00643D87" w:rsidRPr="007E1F37" w:rsidRDefault="00861397">
            <w:pPr>
              <w:jc w:val="center"/>
              <w:rPr>
                <w:rFonts w:cstheme="minorHAnsi"/>
                <w:sz w:val="20"/>
                <w:szCs w:val="20"/>
              </w:rPr>
            </w:pPr>
            <w:r>
              <w:rPr>
                <w:rFonts w:cstheme="minorHAnsi"/>
                <w:sz w:val="20"/>
                <w:szCs w:val="20"/>
              </w:rPr>
              <w:t>3</w:t>
            </w:r>
            <w:r w:rsidR="001837FF">
              <w:rPr>
                <w:rFonts w:cstheme="minorHAnsi"/>
                <w:sz w:val="20"/>
                <w:szCs w:val="20"/>
              </w:rPr>
              <w:t xml:space="preserve"> (</w:t>
            </w:r>
            <w:r>
              <w:rPr>
                <w:rFonts w:cstheme="minorHAnsi"/>
                <w:sz w:val="20"/>
                <w:szCs w:val="20"/>
              </w:rPr>
              <w:t>2</w:t>
            </w:r>
            <w:r w:rsidR="001837FF">
              <w:rPr>
                <w:rFonts w:cstheme="minorHAnsi"/>
                <w:sz w:val="20"/>
                <w:szCs w:val="20"/>
              </w:rPr>
              <w:t>-</w:t>
            </w:r>
            <w:r>
              <w:rPr>
                <w:rFonts w:cstheme="minorHAnsi"/>
                <w:sz w:val="20"/>
                <w:szCs w:val="20"/>
              </w:rPr>
              <w:t>4</w:t>
            </w:r>
            <w:r w:rsidR="001837FF">
              <w:rPr>
                <w:rFonts w:cstheme="minorHAnsi"/>
                <w:sz w:val="20"/>
                <w:szCs w:val="20"/>
              </w:rPr>
              <w:t>)</w:t>
            </w:r>
          </w:p>
        </w:tc>
        <w:tc>
          <w:tcPr>
            <w:tcW w:w="573" w:type="pct"/>
          </w:tcPr>
          <w:p w14:paraId="5E6875E9" w14:textId="2EE7D2EE" w:rsidR="00643D87" w:rsidRPr="007E1F37" w:rsidRDefault="00861397">
            <w:pPr>
              <w:jc w:val="center"/>
              <w:rPr>
                <w:rFonts w:cstheme="minorHAnsi"/>
                <w:sz w:val="20"/>
                <w:szCs w:val="20"/>
              </w:rPr>
            </w:pPr>
            <w:r>
              <w:rPr>
                <w:rFonts w:cstheme="minorHAnsi"/>
                <w:sz w:val="20"/>
                <w:szCs w:val="20"/>
              </w:rPr>
              <w:t>6</w:t>
            </w:r>
            <w:r w:rsidR="001837FF">
              <w:rPr>
                <w:rFonts w:cstheme="minorHAnsi"/>
                <w:sz w:val="20"/>
                <w:szCs w:val="20"/>
              </w:rPr>
              <w:t xml:space="preserve"> (</w:t>
            </w:r>
            <w:r>
              <w:rPr>
                <w:rFonts w:cstheme="minorHAnsi"/>
                <w:sz w:val="20"/>
                <w:szCs w:val="20"/>
              </w:rPr>
              <w:t>5</w:t>
            </w:r>
            <w:r w:rsidR="001837FF">
              <w:rPr>
                <w:rFonts w:cstheme="minorHAnsi"/>
                <w:sz w:val="20"/>
                <w:szCs w:val="20"/>
              </w:rPr>
              <w:t>-</w:t>
            </w:r>
            <w:r>
              <w:rPr>
                <w:rFonts w:cstheme="minorHAnsi"/>
                <w:sz w:val="20"/>
                <w:szCs w:val="20"/>
              </w:rPr>
              <w:t>8</w:t>
            </w:r>
            <w:r w:rsidR="001837FF">
              <w:rPr>
                <w:rFonts w:cstheme="minorHAnsi"/>
                <w:sz w:val="20"/>
                <w:szCs w:val="20"/>
              </w:rPr>
              <w:t>)</w:t>
            </w:r>
          </w:p>
        </w:tc>
        <w:tc>
          <w:tcPr>
            <w:tcW w:w="423" w:type="pct"/>
          </w:tcPr>
          <w:p w14:paraId="68804B53" w14:textId="6FF770B8" w:rsidR="00643D87" w:rsidRPr="007E1F37" w:rsidRDefault="00861397">
            <w:pPr>
              <w:jc w:val="center"/>
              <w:rPr>
                <w:rFonts w:cstheme="minorHAnsi"/>
                <w:sz w:val="20"/>
                <w:szCs w:val="20"/>
              </w:rPr>
            </w:pPr>
            <w:r>
              <w:rPr>
                <w:rFonts w:cstheme="minorHAnsi"/>
                <w:sz w:val="20"/>
                <w:szCs w:val="20"/>
              </w:rPr>
              <w:t>3</w:t>
            </w:r>
            <w:r w:rsidR="001837FF">
              <w:rPr>
                <w:rFonts w:cstheme="minorHAnsi"/>
                <w:sz w:val="20"/>
                <w:szCs w:val="20"/>
              </w:rPr>
              <w:t xml:space="preserve"> (</w:t>
            </w:r>
            <w:r>
              <w:rPr>
                <w:rFonts w:cstheme="minorHAnsi"/>
                <w:sz w:val="20"/>
                <w:szCs w:val="20"/>
              </w:rPr>
              <w:t>2</w:t>
            </w:r>
            <w:r w:rsidR="001837FF">
              <w:rPr>
                <w:rFonts w:cstheme="minorHAnsi"/>
                <w:sz w:val="20"/>
                <w:szCs w:val="20"/>
              </w:rPr>
              <w:t>-</w:t>
            </w:r>
            <w:r>
              <w:rPr>
                <w:rFonts w:cstheme="minorHAnsi"/>
                <w:sz w:val="20"/>
                <w:szCs w:val="20"/>
              </w:rPr>
              <w:t>4</w:t>
            </w:r>
            <w:r w:rsidR="001837FF">
              <w:rPr>
                <w:rFonts w:cstheme="minorHAnsi"/>
                <w:sz w:val="20"/>
                <w:szCs w:val="20"/>
              </w:rPr>
              <w:t>)</w:t>
            </w:r>
          </w:p>
        </w:tc>
        <w:tc>
          <w:tcPr>
            <w:tcW w:w="380" w:type="pct"/>
          </w:tcPr>
          <w:p w14:paraId="1CD6ADA2" w14:textId="77777777" w:rsidR="00643D87" w:rsidRPr="007E1F37" w:rsidRDefault="001837FF" w:rsidP="00643D87">
            <w:pPr>
              <w:jc w:val="center"/>
              <w:rPr>
                <w:rFonts w:cstheme="minorHAnsi"/>
                <w:sz w:val="20"/>
                <w:szCs w:val="20"/>
              </w:rPr>
            </w:pPr>
            <w:r>
              <w:rPr>
                <w:rFonts w:cstheme="minorHAnsi"/>
                <w:sz w:val="20"/>
                <w:szCs w:val="20"/>
              </w:rPr>
              <w:t>1 (1-2)</w:t>
            </w:r>
          </w:p>
        </w:tc>
      </w:tr>
      <w:tr w:rsidR="00643D87" w14:paraId="0702CA62" w14:textId="77777777" w:rsidTr="007F33A5">
        <w:tc>
          <w:tcPr>
            <w:tcW w:w="2982" w:type="pct"/>
          </w:tcPr>
          <w:p w14:paraId="2D6BE6D7" w14:textId="77777777" w:rsidR="00643D87" w:rsidRPr="001B65C6" w:rsidRDefault="001837FF" w:rsidP="00643D87">
            <w:pPr>
              <w:rPr>
                <w:rFonts w:cstheme="minorHAnsi"/>
                <w:b/>
                <w:sz w:val="20"/>
                <w:szCs w:val="20"/>
              </w:rPr>
            </w:pPr>
            <w:r>
              <w:rPr>
                <w:rFonts w:cstheme="minorHAnsi"/>
                <w:b/>
                <w:sz w:val="20"/>
                <w:szCs w:val="20"/>
              </w:rPr>
              <w:t xml:space="preserve">Probability of </w:t>
            </w:r>
            <w:r w:rsidRPr="001B65C6">
              <w:rPr>
                <w:rFonts w:cstheme="minorHAnsi"/>
                <w:b/>
                <w:sz w:val="20"/>
                <w:szCs w:val="20"/>
              </w:rPr>
              <w:t xml:space="preserve">infection </w:t>
            </w:r>
            <w:r>
              <w:rPr>
                <w:rFonts w:cstheme="minorHAnsi"/>
                <w:b/>
                <w:sz w:val="20"/>
                <w:szCs w:val="20"/>
              </w:rPr>
              <w:t>with NVT if contacted</w:t>
            </w:r>
            <w:r w:rsidRPr="001B65C6">
              <w:rPr>
                <w:rFonts w:cstheme="minorHAnsi"/>
                <w:b/>
                <w:sz w:val="20"/>
                <w:szCs w:val="20"/>
              </w:rPr>
              <w:t xml:space="preserve"> </w:t>
            </w:r>
            <w:r>
              <w:rPr>
                <w:rFonts w:cstheme="minorHAnsi"/>
                <w:b/>
                <w:sz w:val="20"/>
                <w:szCs w:val="20"/>
              </w:rPr>
              <w:t>(i</w:t>
            </w:r>
            <w:r w:rsidRPr="001B65C6">
              <w:rPr>
                <w:rFonts w:cstheme="minorHAnsi"/>
                <w:b/>
                <w:sz w:val="20"/>
                <w:szCs w:val="20"/>
              </w:rPr>
              <w:t>n 10</w:t>
            </w:r>
            <w:r w:rsidRPr="001B65C6">
              <w:rPr>
                <w:rFonts w:cstheme="minorHAnsi"/>
                <w:b/>
                <w:sz w:val="20"/>
                <w:szCs w:val="20"/>
                <w:vertAlign w:val="superscript"/>
              </w:rPr>
              <w:t>-3</w:t>
            </w:r>
            <w:r w:rsidRPr="001B65C6">
              <w:rPr>
                <w:rFonts w:cstheme="minorHAnsi"/>
                <w:b/>
                <w:sz w:val="20"/>
                <w:szCs w:val="20"/>
              </w:rPr>
              <w:t>)</w:t>
            </w:r>
          </w:p>
        </w:tc>
        <w:tc>
          <w:tcPr>
            <w:tcW w:w="641" w:type="pct"/>
          </w:tcPr>
          <w:p w14:paraId="1F838BDE" w14:textId="5AE02204" w:rsidR="00643D87" w:rsidRPr="007E1F37" w:rsidRDefault="00861397">
            <w:pPr>
              <w:jc w:val="center"/>
              <w:rPr>
                <w:rFonts w:cstheme="minorHAnsi"/>
                <w:sz w:val="20"/>
                <w:szCs w:val="20"/>
              </w:rPr>
            </w:pPr>
            <w:r>
              <w:rPr>
                <w:rFonts w:cstheme="minorHAnsi"/>
                <w:sz w:val="20"/>
                <w:szCs w:val="20"/>
              </w:rPr>
              <w:t>4</w:t>
            </w:r>
            <w:r w:rsidR="001837FF">
              <w:rPr>
                <w:rFonts w:cstheme="minorHAnsi"/>
                <w:sz w:val="20"/>
                <w:szCs w:val="20"/>
              </w:rPr>
              <w:t xml:space="preserve"> (</w:t>
            </w:r>
            <w:r>
              <w:rPr>
                <w:rFonts w:cstheme="minorHAnsi"/>
                <w:sz w:val="20"/>
                <w:szCs w:val="20"/>
              </w:rPr>
              <w:t>3</w:t>
            </w:r>
            <w:r w:rsidR="001837FF">
              <w:rPr>
                <w:rFonts w:cstheme="minorHAnsi"/>
                <w:sz w:val="20"/>
                <w:szCs w:val="20"/>
              </w:rPr>
              <w:t>-</w:t>
            </w:r>
            <w:r>
              <w:rPr>
                <w:rFonts w:cstheme="minorHAnsi"/>
                <w:sz w:val="20"/>
                <w:szCs w:val="20"/>
              </w:rPr>
              <w:t>5)</w:t>
            </w:r>
          </w:p>
        </w:tc>
        <w:tc>
          <w:tcPr>
            <w:tcW w:w="573" w:type="pct"/>
          </w:tcPr>
          <w:p w14:paraId="14997B40" w14:textId="2368B6A6" w:rsidR="00643D87" w:rsidRPr="007E1F37" w:rsidRDefault="00861397">
            <w:pPr>
              <w:jc w:val="center"/>
              <w:rPr>
                <w:rFonts w:cstheme="minorHAnsi"/>
                <w:sz w:val="20"/>
                <w:szCs w:val="20"/>
              </w:rPr>
            </w:pPr>
            <w:r>
              <w:rPr>
                <w:rFonts w:cstheme="minorHAnsi"/>
                <w:sz w:val="20"/>
                <w:szCs w:val="20"/>
              </w:rPr>
              <w:t>7</w:t>
            </w:r>
            <w:r w:rsidR="001837FF">
              <w:rPr>
                <w:rFonts w:cstheme="minorHAnsi"/>
                <w:sz w:val="20"/>
                <w:szCs w:val="20"/>
              </w:rPr>
              <w:t xml:space="preserve"> (6-</w:t>
            </w:r>
            <w:r>
              <w:rPr>
                <w:rFonts w:cstheme="minorHAnsi"/>
                <w:sz w:val="20"/>
                <w:szCs w:val="20"/>
              </w:rPr>
              <w:t>8</w:t>
            </w:r>
            <w:r w:rsidR="001837FF">
              <w:rPr>
                <w:rFonts w:cstheme="minorHAnsi"/>
                <w:sz w:val="20"/>
                <w:szCs w:val="20"/>
              </w:rPr>
              <w:t>)</w:t>
            </w:r>
          </w:p>
        </w:tc>
        <w:tc>
          <w:tcPr>
            <w:tcW w:w="423" w:type="pct"/>
          </w:tcPr>
          <w:p w14:paraId="5F19F12F" w14:textId="71913351" w:rsidR="00643D87" w:rsidRPr="007E1F37" w:rsidRDefault="001837FF">
            <w:pPr>
              <w:jc w:val="center"/>
              <w:rPr>
                <w:rFonts w:cstheme="minorHAnsi"/>
                <w:sz w:val="20"/>
                <w:szCs w:val="20"/>
              </w:rPr>
            </w:pPr>
            <w:r>
              <w:rPr>
                <w:rFonts w:cstheme="minorHAnsi"/>
                <w:sz w:val="20"/>
                <w:szCs w:val="20"/>
              </w:rPr>
              <w:t>4 (</w:t>
            </w:r>
            <w:r w:rsidR="00861397">
              <w:rPr>
                <w:rFonts w:cstheme="minorHAnsi"/>
                <w:sz w:val="20"/>
                <w:szCs w:val="20"/>
              </w:rPr>
              <w:t>3</w:t>
            </w:r>
            <w:r>
              <w:rPr>
                <w:rFonts w:cstheme="minorHAnsi"/>
                <w:sz w:val="20"/>
                <w:szCs w:val="20"/>
              </w:rPr>
              <w:t>-</w:t>
            </w:r>
            <w:r w:rsidR="00861397">
              <w:rPr>
                <w:rFonts w:cstheme="minorHAnsi"/>
                <w:sz w:val="20"/>
                <w:szCs w:val="20"/>
              </w:rPr>
              <w:t>4</w:t>
            </w:r>
            <w:r>
              <w:rPr>
                <w:rFonts w:cstheme="minorHAnsi"/>
                <w:sz w:val="20"/>
                <w:szCs w:val="20"/>
              </w:rPr>
              <w:t>)</w:t>
            </w:r>
          </w:p>
        </w:tc>
        <w:tc>
          <w:tcPr>
            <w:tcW w:w="380" w:type="pct"/>
          </w:tcPr>
          <w:p w14:paraId="014674FD" w14:textId="77777777" w:rsidR="00643D87" w:rsidRPr="007E1F37" w:rsidRDefault="001837FF" w:rsidP="00643D87">
            <w:pPr>
              <w:jc w:val="center"/>
              <w:rPr>
                <w:rFonts w:cstheme="minorHAnsi"/>
                <w:sz w:val="20"/>
                <w:szCs w:val="20"/>
              </w:rPr>
            </w:pPr>
            <w:r>
              <w:rPr>
                <w:rFonts w:cstheme="minorHAnsi"/>
                <w:sz w:val="20"/>
                <w:szCs w:val="20"/>
              </w:rPr>
              <w:t>2 (2-2)</w:t>
            </w:r>
          </w:p>
        </w:tc>
      </w:tr>
      <w:tr w:rsidR="00643D87" w14:paraId="68AF5BA4" w14:textId="77777777" w:rsidTr="007F33A5">
        <w:tc>
          <w:tcPr>
            <w:tcW w:w="2982" w:type="pct"/>
          </w:tcPr>
          <w:p w14:paraId="111AB51F" w14:textId="77777777" w:rsidR="00643D87" w:rsidRPr="001B65C6" w:rsidRDefault="001837FF" w:rsidP="00643D87">
            <w:pPr>
              <w:rPr>
                <w:rFonts w:cstheme="minorHAnsi"/>
                <w:b/>
                <w:sz w:val="20"/>
                <w:szCs w:val="20"/>
                <w:vertAlign w:val="superscript"/>
              </w:rPr>
            </w:pPr>
            <w:r w:rsidRPr="001B65C6">
              <w:rPr>
                <w:rFonts w:cstheme="minorHAnsi"/>
                <w:b/>
                <w:sz w:val="20"/>
                <w:szCs w:val="20"/>
              </w:rPr>
              <w:t xml:space="preserve">Case to carrier ration </w:t>
            </w:r>
            <w:r>
              <w:rPr>
                <w:rFonts w:cstheme="minorHAnsi"/>
                <w:b/>
                <w:sz w:val="20"/>
                <w:szCs w:val="20"/>
              </w:rPr>
              <w:t xml:space="preserve">of </w:t>
            </w:r>
            <w:r w:rsidRPr="001B65C6">
              <w:rPr>
                <w:rFonts w:cstheme="minorHAnsi"/>
                <w:b/>
                <w:sz w:val="20"/>
                <w:szCs w:val="20"/>
              </w:rPr>
              <w:t>VT</w:t>
            </w:r>
            <w:r>
              <w:rPr>
                <w:rFonts w:cstheme="minorHAnsi"/>
                <w:b/>
                <w:sz w:val="20"/>
                <w:szCs w:val="20"/>
              </w:rPr>
              <w:t xml:space="preserve"> (in 10</w:t>
            </w:r>
            <w:r>
              <w:rPr>
                <w:rFonts w:cstheme="minorHAnsi"/>
                <w:b/>
                <w:sz w:val="20"/>
                <w:szCs w:val="20"/>
                <w:vertAlign w:val="superscript"/>
              </w:rPr>
              <w:t>-5</w:t>
            </w:r>
            <w:r>
              <w:rPr>
                <w:rFonts w:cstheme="minorHAnsi"/>
                <w:b/>
                <w:sz w:val="20"/>
                <w:szCs w:val="20"/>
              </w:rPr>
              <w:t>)</w:t>
            </w:r>
          </w:p>
        </w:tc>
        <w:tc>
          <w:tcPr>
            <w:tcW w:w="641" w:type="pct"/>
          </w:tcPr>
          <w:p w14:paraId="48A328FC" w14:textId="6A6A9D84" w:rsidR="00643D87" w:rsidRPr="007E1F37" w:rsidRDefault="001837FF" w:rsidP="00643D87">
            <w:pPr>
              <w:jc w:val="center"/>
              <w:rPr>
                <w:rFonts w:cstheme="minorHAnsi"/>
                <w:sz w:val="20"/>
                <w:szCs w:val="20"/>
              </w:rPr>
            </w:pPr>
            <w:r>
              <w:rPr>
                <w:rFonts w:cstheme="minorHAnsi"/>
                <w:sz w:val="20"/>
                <w:szCs w:val="20"/>
              </w:rPr>
              <w:t>6</w:t>
            </w:r>
            <w:r w:rsidR="00861397">
              <w:rPr>
                <w:rFonts w:cstheme="minorHAnsi"/>
                <w:sz w:val="20"/>
                <w:szCs w:val="20"/>
              </w:rPr>
              <w:t>8</w:t>
            </w:r>
            <w:r>
              <w:rPr>
                <w:rFonts w:cstheme="minorHAnsi"/>
                <w:sz w:val="20"/>
                <w:szCs w:val="20"/>
              </w:rPr>
              <w:t xml:space="preserve"> (42-108)</w:t>
            </w:r>
          </w:p>
        </w:tc>
        <w:tc>
          <w:tcPr>
            <w:tcW w:w="573" w:type="pct"/>
          </w:tcPr>
          <w:p w14:paraId="36682F04" w14:textId="77777777" w:rsidR="00643D87" w:rsidRPr="007E1F37" w:rsidRDefault="001837FF" w:rsidP="00643D87">
            <w:pPr>
              <w:jc w:val="center"/>
              <w:rPr>
                <w:rFonts w:cstheme="minorHAnsi"/>
                <w:sz w:val="20"/>
                <w:szCs w:val="20"/>
              </w:rPr>
            </w:pPr>
            <w:r>
              <w:rPr>
                <w:rFonts w:cstheme="minorHAnsi"/>
                <w:sz w:val="20"/>
                <w:szCs w:val="20"/>
              </w:rPr>
              <w:t>24 (18-32)</w:t>
            </w:r>
          </w:p>
        </w:tc>
        <w:tc>
          <w:tcPr>
            <w:tcW w:w="423" w:type="pct"/>
          </w:tcPr>
          <w:p w14:paraId="55E077FB" w14:textId="77777777" w:rsidR="00643D87" w:rsidRPr="007E1F37" w:rsidRDefault="001837FF" w:rsidP="00643D87">
            <w:pPr>
              <w:jc w:val="center"/>
              <w:rPr>
                <w:rFonts w:cstheme="minorHAnsi"/>
                <w:sz w:val="20"/>
                <w:szCs w:val="20"/>
              </w:rPr>
            </w:pPr>
            <w:r>
              <w:rPr>
                <w:rFonts w:cstheme="minorHAnsi"/>
                <w:sz w:val="20"/>
                <w:szCs w:val="20"/>
              </w:rPr>
              <w:t>4 (2-6)</w:t>
            </w:r>
          </w:p>
        </w:tc>
        <w:tc>
          <w:tcPr>
            <w:tcW w:w="380" w:type="pct"/>
          </w:tcPr>
          <w:p w14:paraId="1F67B59F" w14:textId="77777777" w:rsidR="00643D87" w:rsidRPr="007E1F37" w:rsidRDefault="001837FF" w:rsidP="00643D87">
            <w:pPr>
              <w:jc w:val="center"/>
              <w:rPr>
                <w:rFonts w:cstheme="minorHAnsi"/>
                <w:sz w:val="20"/>
                <w:szCs w:val="20"/>
              </w:rPr>
            </w:pPr>
            <w:r>
              <w:rPr>
                <w:rFonts w:cstheme="minorHAnsi"/>
                <w:sz w:val="20"/>
                <w:szCs w:val="20"/>
              </w:rPr>
              <w:t>2(1-3)</w:t>
            </w:r>
          </w:p>
        </w:tc>
      </w:tr>
      <w:tr w:rsidR="00643D87" w14:paraId="79520E34" w14:textId="77777777" w:rsidTr="007F33A5">
        <w:tc>
          <w:tcPr>
            <w:tcW w:w="2982" w:type="pct"/>
          </w:tcPr>
          <w:p w14:paraId="2A5B9C57" w14:textId="77777777" w:rsidR="00643D87" w:rsidRPr="001B65C6" w:rsidRDefault="001837FF" w:rsidP="00643D87">
            <w:pPr>
              <w:rPr>
                <w:rFonts w:cstheme="minorHAnsi"/>
                <w:b/>
                <w:sz w:val="20"/>
                <w:szCs w:val="20"/>
              </w:rPr>
            </w:pPr>
            <w:r>
              <w:rPr>
                <w:rFonts w:cstheme="minorHAnsi"/>
                <w:b/>
                <w:sz w:val="20"/>
                <w:szCs w:val="20"/>
              </w:rPr>
              <w:t xml:space="preserve">Case to carrier ration of </w:t>
            </w:r>
            <w:r w:rsidRPr="001B65C6">
              <w:rPr>
                <w:rFonts w:cstheme="minorHAnsi"/>
                <w:b/>
                <w:sz w:val="20"/>
                <w:szCs w:val="20"/>
              </w:rPr>
              <w:t>NVT</w:t>
            </w:r>
            <w:r>
              <w:rPr>
                <w:rFonts w:cstheme="minorHAnsi"/>
                <w:b/>
                <w:sz w:val="20"/>
                <w:szCs w:val="20"/>
              </w:rPr>
              <w:t xml:space="preserve"> (in 10</w:t>
            </w:r>
            <w:r>
              <w:rPr>
                <w:rFonts w:cstheme="minorHAnsi"/>
                <w:b/>
                <w:sz w:val="20"/>
                <w:szCs w:val="20"/>
                <w:vertAlign w:val="superscript"/>
              </w:rPr>
              <w:t>-5</w:t>
            </w:r>
            <w:r>
              <w:rPr>
                <w:rFonts w:cstheme="minorHAnsi"/>
                <w:b/>
                <w:sz w:val="20"/>
                <w:szCs w:val="20"/>
              </w:rPr>
              <w:t>)</w:t>
            </w:r>
          </w:p>
        </w:tc>
        <w:tc>
          <w:tcPr>
            <w:tcW w:w="641" w:type="pct"/>
          </w:tcPr>
          <w:p w14:paraId="17896F74" w14:textId="77777777" w:rsidR="00643D87" w:rsidRPr="007E1F37" w:rsidRDefault="001837FF" w:rsidP="00643D87">
            <w:pPr>
              <w:jc w:val="center"/>
              <w:rPr>
                <w:rFonts w:cstheme="minorHAnsi"/>
                <w:sz w:val="20"/>
                <w:szCs w:val="20"/>
              </w:rPr>
            </w:pPr>
            <w:r>
              <w:rPr>
                <w:rFonts w:cstheme="minorHAnsi"/>
                <w:sz w:val="20"/>
                <w:szCs w:val="20"/>
              </w:rPr>
              <w:t>15 (10-22)</w:t>
            </w:r>
          </w:p>
        </w:tc>
        <w:tc>
          <w:tcPr>
            <w:tcW w:w="573" w:type="pct"/>
          </w:tcPr>
          <w:p w14:paraId="0E857150" w14:textId="77777777" w:rsidR="00643D87" w:rsidRPr="007E1F37" w:rsidRDefault="001837FF" w:rsidP="00643D87">
            <w:pPr>
              <w:jc w:val="center"/>
              <w:rPr>
                <w:rFonts w:cstheme="minorHAnsi"/>
                <w:sz w:val="20"/>
                <w:szCs w:val="20"/>
              </w:rPr>
            </w:pPr>
            <w:r>
              <w:rPr>
                <w:rFonts w:cstheme="minorHAnsi"/>
                <w:sz w:val="20"/>
                <w:szCs w:val="20"/>
              </w:rPr>
              <w:t>2 (1-3)</w:t>
            </w:r>
          </w:p>
        </w:tc>
        <w:tc>
          <w:tcPr>
            <w:tcW w:w="423" w:type="pct"/>
          </w:tcPr>
          <w:p w14:paraId="3058B812" w14:textId="77777777" w:rsidR="00643D87" w:rsidRPr="007E1F37" w:rsidRDefault="001837FF" w:rsidP="00643D87">
            <w:pPr>
              <w:jc w:val="center"/>
              <w:rPr>
                <w:rFonts w:cstheme="minorHAnsi"/>
                <w:sz w:val="20"/>
                <w:szCs w:val="20"/>
              </w:rPr>
            </w:pPr>
            <w:r>
              <w:rPr>
                <w:rFonts w:cstheme="minorHAnsi"/>
                <w:sz w:val="20"/>
                <w:szCs w:val="20"/>
              </w:rPr>
              <w:t>0 (0-1)</w:t>
            </w:r>
          </w:p>
        </w:tc>
        <w:tc>
          <w:tcPr>
            <w:tcW w:w="380" w:type="pct"/>
          </w:tcPr>
          <w:p w14:paraId="569A523F" w14:textId="77777777" w:rsidR="00643D87" w:rsidRPr="007E1F37" w:rsidRDefault="001837FF" w:rsidP="00643D87">
            <w:pPr>
              <w:jc w:val="center"/>
              <w:rPr>
                <w:rFonts w:cstheme="minorHAnsi"/>
                <w:sz w:val="20"/>
                <w:szCs w:val="20"/>
              </w:rPr>
            </w:pPr>
            <w:r>
              <w:rPr>
                <w:rFonts w:cstheme="minorHAnsi"/>
                <w:sz w:val="20"/>
                <w:szCs w:val="20"/>
              </w:rPr>
              <w:t>0 (0-0)</w:t>
            </w:r>
          </w:p>
        </w:tc>
      </w:tr>
      <w:tr w:rsidR="00643D87" w14:paraId="035A9178" w14:textId="77777777" w:rsidTr="007F33A5">
        <w:tc>
          <w:tcPr>
            <w:tcW w:w="2982" w:type="pct"/>
          </w:tcPr>
          <w:p w14:paraId="5BF7E07E" w14:textId="77777777" w:rsidR="00643D87" w:rsidRPr="001B65C6" w:rsidRDefault="001837FF" w:rsidP="00643D87">
            <w:pPr>
              <w:rPr>
                <w:rFonts w:cstheme="minorHAnsi"/>
                <w:b/>
                <w:sz w:val="20"/>
                <w:szCs w:val="20"/>
              </w:rPr>
            </w:pPr>
            <w:r>
              <w:rPr>
                <w:rFonts w:cstheme="minorHAnsi"/>
                <w:b/>
                <w:sz w:val="20"/>
                <w:szCs w:val="20"/>
              </w:rPr>
              <w:t>Reduction in heterologous acquisition if carrying</w:t>
            </w:r>
            <w:r w:rsidRPr="001B65C6">
              <w:rPr>
                <w:rFonts w:cstheme="minorHAnsi"/>
                <w:b/>
                <w:sz w:val="20"/>
                <w:szCs w:val="20"/>
              </w:rPr>
              <w:t xml:space="preserve"> </w:t>
            </w:r>
          </w:p>
        </w:tc>
        <w:tc>
          <w:tcPr>
            <w:tcW w:w="2018" w:type="pct"/>
            <w:gridSpan w:val="4"/>
          </w:tcPr>
          <w:p w14:paraId="4F6C2880" w14:textId="37FF5796" w:rsidR="00643D87" w:rsidRPr="007E1F37" w:rsidRDefault="001837FF" w:rsidP="00643D87">
            <w:pPr>
              <w:jc w:val="center"/>
              <w:rPr>
                <w:rFonts w:cstheme="minorHAnsi"/>
                <w:sz w:val="20"/>
                <w:szCs w:val="20"/>
              </w:rPr>
            </w:pPr>
            <w:r w:rsidRPr="007E1F37">
              <w:rPr>
                <w:rFonts w:cstheme="minorHAnsi"/>
                <w:sz w:val="20"/>
                <w:szCs w:val="20"/>
              </w:rPr>
              <w:t>0.19 (0.0</w:t>
            </w:r>
            <w:r w:rsidR="008904B3">
              <w:rPr>
                <w:rFonts w:cstheme="minorHAnsi"/>
                <w:sz w:val="20"/>
                <w:szCs w:val="20"/>
              </w:rPr>
              <w:t>8</w:t>
            </w:r>
            <w:r w:rsidRPr="007E1F37">
              <w:rPr>
                <w:rFonts w:cstheme="minorHAnsi"/>
                <w:sz w:val="20"/>
                <w:szCs w:val="20"/>
              </w:rPr>
              <w:t>-0.4</w:t>
            </w:r>
            <w:r w:rsidR="008904B3">
              <w:rPr>
                <w:rFonts w:cstheme="minorHAnsi"/>
                <w:sz w:val="20"/>
                <w:szCs w:val="20"/>
              </w:rPr>
              <w:t>3</w:t>
            </w:r>
            <w:r w:rsidRPr="007E1F37">
              <w:rPr>
                <w:rFonts w:cstheme="minorHAnsi"/>
                <w:sz w:val="20"/>
                <w:szCs w:val="20"/>
              </w:rPr>
              <w:t>)</w:t>
            </w:r>
          </w:p>
        </w:tc>
      </w:tr>
      <w:tr w:rsidR="00643D87" w14:paraId="64E3B857" w14:textId="77777777" w:rsidTr="007F33A5">
        <w:tc>
          <w:tcPr>
            <w:tcW w:w="2982" w:type="pct"/>
          </w:tcPr>
          <w:p w14:paraId="448B4956" w14:textId="77777777" w:rsidR="00643D87" w:rsidRPr="001B65C6" w:rsidRDefault="001837FF" w:rsidP="00643D87">
            <w:pPr>
              <w:rPr>
                <w:rFonts w:cstheme="minorHAnsi"/>
                <w:b/>
                <w:sz w:val="20"/>
                <w:szCs w:val="20"/>
              </w:rPr>
            </w:pPr>
            <w:r w:rsidRPr="001B65C6">
              <w:rPr>
                <w:rFonts w:cstheme="minorHAnsi"/>
                <w:b/>
                <w:sz w:val="20"/>
                <w:szCs w:val="20"/>
              </w:rPr>
              <w:t>Vaccine efficacy against carriage</w:t>
            </w:r>
          </w:p>
        </w:tc>
        <w:tc>
          <w:tcPr>
            <w:tcW w:w="2018" w:type="pct"/>
            <w:gridSpan w:val="4"/>
          </w:tcPr>
          <w:p w14:paraId="2E89508B" w14:textId="59CFEB95" w:rsidR="00643D87" w:rsidRPr="007E1F37" w:rsidRDefault="001837FF">
            <w:pPr>
              <w:jc w:val="center"/>
              <w:rPr>
                <w:rFonts w:cstheme="minorHAnsi"/>
                <w:sz w:val="20"/>
                <w:szCs w:val="20"/>
              </w:rPr>
            </w:pPr>
            <w:r>
              <w:rPr>
                <w:rFonts w:cstheme="minorHAnsi"/>
                <w:sz w:val="20"/>
                <w:szCs w:val="20"/>
              </w:rPr>
              <w:t>0.56 (0.4</w:t>
            </w:r>
            <w:r w:rsidR="008904B3">
              <w:rPr>
                <w:rFonts w:cstheme="minorHAnsi"/>
                <w:sz w:val="20"/>
                <w:szCs w:val="20"/>
              </w:rPr>
              <w:t>2</w:t>
            </w:r>
            <w:r>
              <w:rPr>
                <w:rFonts w:cstheme="minorHAnsi"/>
                <w:sz w:val="20"/>
                <w:szCs w:val="20"/>
              </w:rPr>
              <w:t>-0.72)</w:t>
            </w:r>
          </w:p>
        </w:tc>
      </w:tr>
      <w:tr w:rsidR="00643D87" w14:paraId="1C5C1310" w14:textId="77777777" w:rsidTr="007F33A5">
        <w:tc>
          <w:tcPr>
            <w:tcW w:w="2982" w:type="pct"/>
          </w:tcPr>
          <w:p w14:paraId="0F23C543" w14:textId="27795B5D" w:rsidR="00643D87" w:rsidRPr="001B65C6" w:rsidRDefault="001837FF" w:rsidP="00643D87">
            <w:pPr>
              <w:rPr>
                <w:rFonts w:cstheme="minorHAnsi"/>
                <w:b/>
                <w:sz w:val="20"/>
                <w:szCs w:val="20"/>
              </w:rPr>
            </w:pPr>
            <w:r w:rsidRPr="001B65C6">
              <w:rPr>
                <w:rFonts w:cstheme="minorHAnsi"/>
                <w:b/>
                <w:sz w:val="20"/>
                <w:szCs w:val="20"/>
              </w:rPr>
              <w:t>Vaccine efficacy against disease</w:t>
            </w:r>
            <w:r>
              <w:rPr>
                <w:rFonts w:cstheme="minorHAnsi"/>
                <w:b/>
                <w:sz w:val="20"/>
                <w:szCs w:val="20"/>
              </w:rPr>
              <w:t xml:space="preserve"> if carrying</w:t>
            </w:r>
          </w:p>
        </w:tc>
        <w:tc>
          <w:tcPr>
            <w:tcW w:w="2018" w:type="pct"/>
            <w:gridSpan w:val="4"/>
          </w:tcPr>
          <w:p w14:paraId="6A536524" w14:textId="0D738915" w:rsidR="00643D87" w:rsidRPr="007E1F37" w:rsidRDefault="001837FF" w:rsidP="00643D87">
            <w:pPr>
              <w:jc w:val="center"/>
              <w:rPr>
                <w:rFonts w:cstheme="minorHAnsi"/>
                <w:sz w:val="20"/>
                <w:szCs w:val="20"/>
              </w:rPr>
            </w:pPr>
            <w:r>
              <w:rPr>
                <w:rFonts w:cstheme="minorHAnsi"/>
                <w:sz w:val="20"/>
                <w:szCs w:val="20"/>
              </w:rPr>
              <w:t>0.70 (0.2</w:t>
            </w:r>
            <w:r w:rsidR="00861397">
              <w:rPr>
                <w:rFonts w:cstheme="minorHAnsi"/>
                <w:sz w:val="20"/>
                <w:szCs w:val="20"/>
              </w:rPr>
              <w:t>5</w:t>
            </w:r>
            <w:r>
              <w:rPr>
                <w:rFonts w:cstheme="minorHAnsi"/>
                <w:sz w:val="20"/>
                <w:szCs w:val="20"/>
              </w:rPr>
              <w:t>-0.9</w:t>
            </w:r>
            <w:r w:rsidR="00861397">
              <w:rPr>
                <w:rFonts w:cstheme="minorHAnsi"/>
                <w:sz w:val="20"/>
                <w:szCs w:val="20"/>
              </w:rPr>
              <w:t>7</w:t>
            </w:r>
            <w:r>
              <w:rPr>
                <w:rFonts w:cstheme="minorHAnsi"/>
                <w:sz w:val="20"/>
                <w:szCs w:val="20"/>
              </w:rPr>
              <w:t>)</w:t>
            </w:r>
          </w:p>
        </w:tc>
      </w:tr>
      <w:tr w:rsidR="00643D87" w14:paraId="04E8724B" w14:textId="77777777" w:rsidTr="007F33A5">
        <w:tc>
          <w:tcPr>
            <w:tcW w:w="2982" w:type="pct"/>
          </w:tcPr>
          <w:p w14:paraId="1353FF64" w14:textId="77777777" w:rsidR="00643D87" w:rsidRPr="001B65C6" w:rsidRDefault="001837FF" w:rsidP="00643D87">
            <w:pPr>
              <w:rPr>
                <w:rFonts w:cstheme="minorHAnsi"/>
                <w:b/>
                <w:sz w:val="20"/>
                <w:szCs w:val="20"/>
              </w:rPr>
            </w:pPr>
            <w:r>
              <w:rPr>
                <w:rFonts w:cstheme="minorHAnsi"/>
                <w:b/>
                <w:sz w:val="20"/>
                <w:szCs w:val="20"/>
              </w:rPr>
              <w:t>Relative</w:t>
            </w:r>
            <w:r w:rsidRPr="001B65C6">
              <w:rPr>
                <w:rFonts w:cstheme="minorHAnsi"/>
                <w:b/>
                <w:sz w:val="20"/>
                <w:szCs w:val="20"/>
              </w:rPr>
              <w:t xml:space="preserve"> protection of infants</w:t>
            </w:r>
          </w:p>
        </w:tc>
        <w:tc>
          <w:tcPr>
            <w:tcW w:w="2018" w:type="pct"/>
            <w:gridSpan w:val="4"/>
          </w:tcPr>
          <w:p w14:paraId="18796A1C" w14:textId="5E17D5A4" w:rsidR="00643D87" w:rsidRPr="007E1F37" w:rsidRDefault="001837FF">
            <w:pPr>
              <w:jc w:val="center"/>
              <w:rPr>
                <w:rFonts w:cstheme="minorHAnsi"/>
                <w:sz w:val="20"/>
                <w:szCs w:val="20"/>
              </w:rPr>
            </w:pPr>
            <w:r>
              <w:rPr>
                <w:rFonts w:cstheme="minorHAnsi"/>
                <w:sz w:val="20"/>
                <w:szCs w:val="20"/>
              </w:rPr>
              <w:t>0.98 (0.7</w:t>
            </w:r>
            <w:r w:rsidR="008904B3">
              <w:rPr>
                <w:rFonts w:cstheme="minorHAnsi"/>
                <w:sz w:val="20"/>
                <w:szCs w:val="20"/>
              </w:rPr>
              <w:t>9</w:t>
            </w:r>
            <w:r>
              <w:rPr>
                <w:rFonts w:cstheme="minorHAnsi"/>
                <w:sz w:val="20"/>
                <w:szCs w:val="20"/>
              </w:rPr>
              <w:t>-1.1</w:t>
            </w:r>
            <w:r w:rsidR="008904B3">
              <w:rPr>
                <w:rFonts w:cstheme="minorHAnsi"/>
                <w:sz w:val="20"/>
                <w:szCs w:val="20"/>
              </w:rPr>
              <w:t>6</w:t>
            </w:r>
            <w:r>
              <w:rPr>
                <w:rFonts w:cstheme="minorHAnsi"/>
                <w:sz w:val="20"/>
                <w:szCs w:val="20"/>
              </w:rPr>
              <w:t>)</w:t>
            </w:r>
          </w:p>
        </w:tc>
      </w:tr>
      <w:tr w:rsidR="00643D87" w14:paraId="09D76EA4" w14:textId="77777777" w:rsidTr="007F33A5">
        <w:tc>
          <w:tcPr>
            <w:tcW w:w="2982" w:type="pct"/>
          </w:tcPr>
          <w:p w14:paraId="64754A9C" w14:textId="77777777" w:rsidR="00643D87" w:rsidRPr="001B65C6" w:rsidRDefault="001837FF" w:rsidP="00643D87">
            <w:pPr>
              <w:rPr>
                <w:rFonts w:cstheme="minorHAnsi"/>
                <w:b/>
                <w:sz w:val="20"/>
                <w:szCs w:val="20"/>
              </w:rPr>
            </w:pPr>
            <w:r w:rsidRPr="001B65C6">
              <w:rPr>
                <w:rFonts w:cstheme="minorHAnsi"/>
                <w:b/>
                <w:sz w:val="20"/>
                <w:szCs w:val="20"/>
              </w:rPr>
              <w:t>Duration of protection (</w:t>
            </w:r>
            <w:proofErr w:type="spellStart"/>
            <w:r w:rsidRPr="001B65C6">
              <w:rPr>
                <w:rFonts w:cstheme="minorHAnsi"/>
                <w:b/>
                <w:sz w:val="20"/>
                <w:szCs w:val="20"/>
              </w:rPr>
              <w:t>yrs</w:t>
            </w:r>
            <w:proofErr w:type="spellEnd"/>
            <w:r w:rsidRPr="001B65C6">
              <w:rPr>
                <w:rFonts w:cstheme="minorHAnsi"/>
                <w:b/>
                <w:sz w:val="20"/>
                <w:szCs w:val="20"/>
              </w:rPr>
              <w:t>)</w:t>
            </w:r>
          </w:p>
        </w:tc>
        <w:tc>
          <w:tcPr>
            <w:tcW w:w="2018" w:type="pct"/>
            <w:gridSpan w:val="4"/>
          </w:tcPr>
          <w:p w14:paraId="02BC38B0" w14:textId="014A443A" w:rsidR="00643D87" w:rsidRPr="007E1F37" w:rsidRDefault="001837FF">
            <w:pPr>
              <w:jc w:val="center"/>
              <w:rPr>
                <w:rFonts w:cstheme="minorHAnsi"/>
                <w:sz w:val="20"/>
                <w:szCs w:val="20"/>
              </w:rPr>
            </w:pPr>
            <w:r>
              <w:rPr>
                <w:rFonts w:cstheme="minorHAnsi"/>
                <w:sz w:val="20"/>
                <w:szCs w:val="20"/>
              </w:rPr>
              <w:t>5.</w:t>
            </w:r>
            <w:r w:rsidR="008904B3">
              <w:rPr>
                <w:rFonts w:cstheme="minorHAnsi"/>
                <w:sz w:val="20"/>
                <w:szCs w:val="20"/>
              </w:rPr>
              <w:t>8</w:t>
            </w:r>
            <w:r>
              <w:rPr>
                <w:rFonts w:cstheme="minorHAnsi"/>
                <w:sz w:val="20"/>
                <w:szCs w:val="20"/>
              </w:rPr>
              <w:t xml:space="preserve"> (2.</w:t>
            </w:r>
            <w:r w:rsidR="008904B3">
              <w:rPr>
                <w:rFonts w:cstheme="minorHAnsi"/>
                <w:sz w:val="20"/>
                <w:szCs w:val="20"/>
              </w:rPr>
              <w:t>1</w:t>
            </w:r>
            <w:r>
              <w:rPr>
                <w:rFonts w:cstheme="minorHAnsi"/>
                <w:sz w:val="20"/>
                <w:szCs w:val="20"/>
              </w:rPr>
              <w:t>-11.</w:t>
            </w:r>
            <w:r w:rsidR="008904B3">
              <w:rPr>
                <w:rFonts w:cstheme="minorHAnsi"/>
                <w:sz w:val="20"/>
                <w:szCs w:val="20"/>
              </w:rPr>
              <w:t>2</w:t>
            </w:r>
            <w:r>
              <w:rPr>
                <w:rFonts w:cstheme="minorHAnsi"/>
                <w:sz w:val="20"/>
                <w:szCs w:val="20"/>
              </w:rPr>
              <w:t>)</w:t>
            </w:r>
          </w:p>
        </w:tc>
      </w:tr>
    </w:tbl>
    <w:p w14:paraId="3345815E" w14:textId="0D97EFD0" w:rsidR="004E11E5" w:rsidRDefault="004E11E5" w:rsidP="00643D87">
      <w:pPr>
        <w:rPr>
          <w:rFonts w:cstheme="minorHAnsi"/>
          <w:b/>
          <w:sz w:val="36"/>
          <w:szCs w:val="36"/>
        </w:rPr>
      </w:pPr>
    </w:p>
    <w:p w14:paraId="31931021" w14:textId="6DA2857F" w:rsidR="008B276D" w:rsidRDefault="008B276D" w:rsidP="008B276D">
      <w:pPr>
        <w:rPr>
          <w:rFonts w:cstheme="minorHAnsi"/>
          <w:sz w:val="22"/>
          <w:szCs w:val="22"/>
        </w:rPr>
      </w:pPr>
      <w:r w:rsidRPr="00BC6B2D">
        <w:rPr>
          <w:rFonts w:cstheme="minorHAnsi"/>
          <w:sz w:val="22"/>
          <w:szCs w:val="22"/>
        </w:rPr>
        <w:t xml:space="preserve">Figure </w:t>
      </w:r>
      <w:r>
        <w:rPr>
          <w:rFonts w:cstheme="minorHAnsi"/>
          <w:sz w:val="22"/>
          <w:szCs w:val="22"/>
        </w:rPr>
        <w:t>S1:</w:t>
      </w:r>
      <w:r w:rsidR="00C54E34">
        <w:rPr>
          <w:rFonts w:cstheme="minorHAnsi"/>
          <w:sz w:val="22"/>
          <w:szCs w:val="22"/>
        </w:rPr>
        <w:t xml:space="preserve"> Model fit to data and age distribution of averted cases. Top panel: Model fit to carriage prevalence and IPD incidence. We assumed that serotyping methods would only pick up the predominant serotype and that such was always the vaccine serotype. Points with 95% confidence bounds represents data and lines with ribbons represent median model estimates with 95% credible intervals. Lower panel:</w:t>
      </w:r>
      <w:r>
        <w:rPr>
          <w:rFonts w:cstheme="minorHAnsi"/>
          <w:sz w:val="22"/>
          <w:szCs w:val="22"/>
        </w:rPr>
        <w:t xml:space="preserve"> Incremental number of IPD cases averted stratified by age group. The age distribution of additional cases averted through routine immunization, U1 catch-up, U2 catch-up, U5 catch-up vs no vaccination, routine immunization, U1 catch-up, U2 catch-up respectively.</w:t>
      </w:r>
    </w:p>
    <w:p w14:paraId="0FB6D4D2" w14:textId="77777777" w:rsidR="00C54E34" w:rsidRDefault="00C54E34" w:rsidP="008B276D">
      <w:pPr>
        <w:rPr>
          <w:rFonts w:cstheme="minorHAnsi"/>
          <w:sz w:val="22"/>
          <w:szCs w:val="22"/>
        </w:rPr>
      </w:pPr>
    </w:p>
    <w:p w14:paraId="65D957FF" w14:textId="261C58F6" w:rsidR="00C54E34" w:rsidRDefault="00C54E34" w:rsidP="008B276D">
      <w:pPr>
        <w:rPr>
          <w:rFonts w:cstheme="minorHAnsi"/>
          <w:b/>
          <w:noProof/>
          <w:sz w:val="36"/>
          <w:szCs w:val="36"/>
          <w:lang w:val="en-GB" w:eastAsia="en-GB"/>
        </w:rPr>
      </w:pPr>
      <w:r w:rsidRPr="00C54E34">
        <w:rPr>
          <w:rFonts w:cstheme="minorHAnsi"/>
          <w:b/>
          <w:noProof/>
          <w:sz w:val="36"/>
          <w:szCs w:val="36"/>
          <w:lang w:val="en-GB" w:eastAsia="en-GB"/>
        </w:rPr>
        <w:drawing>
          <wp:inline distT="0" distB="0" distL="0" distR="0" wp14:anchorId="0CEFE92D" wp14:editId="2939341D">
            <wp:extent cx="5731510" cy="2456361"/>
            <wp:effectExtent l="0" t="0" r="0" b="0"/>
            <wp:docPr id="3" name="Picture 3" descr="H:\My Documents\_Projects\Flasche - GAVI PNC schedules\Code\Simulations\Sim1\Figure0a_fit_sup.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y Documents\_Projects\Flasche - GAVI PNC schedules\Code\Simulations\Sim1\Figure0a_fit_sup.tif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456361"/>
                    </a:xfrm>
                    <a:prstGeom prst="rect">
                      <a:avLst/>
                    </a:prstGeom>
                    <a:noFill/>
                    <a:ln>
                      <a:noFill/>
                    </a:ln>
                  </pic:spPr>
                </pic:pic>
              </a:graphicData>
            </a:graphic>
          </wp:inline>
        </w:drawing>
      </w:r>
    </w:p>
    <w:p w14:paraId="18D7B63D" w14:textId="0E9A8A25" w:rsidR="008B276D" w:rsidRDefault="00C54E34" w:rsidP="00643D87">
      <w:pPr>
        <w:rPr>
          <w:rFonts w:cstheme="minorHAnsi"/>
          <w:b/>
          <w:sz w:val="36"/>
          <w:szCs w:val="36"/>
        </w:rPr>
      </w:pPr>
      <w:r>
        <w:rPr>
          <w:rFonts w:cstheme="minorHAnsi"/>
          <w:b/>
          <w:noProof/>
          <w:sz w:val="36"/>
          <w:szCs w:val="36"/>
          <w:lang w:val="en-GB" w:eastAsia="en-GB"/>
        </w:rPr>
        <w:drawing>
          <wp:inline distT="0" distB="0" distL="0" distR="0" wp14:anchorId="7ACF18A1" wp14:editId="05D8DFCF">
            <wp:extent cx="5724525" cy="1638300"/>
            <wp:effectExtent l="0" t="0" r="0" b="0"/>
            <wp:docPr id="5" name="Picture 5" descr="H:\My Documents\_Projects\Flasche - GAVI PNC schedules\Code\Simulations\Sim1\Figure_Supp_Agedistraverted.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y Documents\_Projects\Flasche - GAVI PNC schedules\Code\Simulations\Sim1\Figure_Supp_Agedistraverted.tif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525" cy="1638300"/>
                    </a:xfrm>
                    <a:prstGeom prst="rect">
                      <a:avLst/>
                    </a:prstGeom>
                    <a:noFill/>
                    <a:ln>
                      <a:noFill/>
                    </a:ln>
                  </pic:spPr>
                </pic:pic>
              </a:graphicData>
            </a:graphic>
          </wp:inline>
        </w:drawing>
      </w:r>
    </w:p>
    <w:p w14:paraId="6EE97770" w14:textId="77777777" w:rsidR="008B276D" w:rsidRDefault="008B276D" w:rsidP="00643D87">
      <w:pPr>
        <w:rPr>
          <w:rFonts w:cstheme="minorHAnsi"/>
          <w:b/>
          <w:sz w:val="36"/>
          <w:szCs w:val="36"/>
        </w:rPr>
      </w:pPr>
    </w:p>
    <w:p w14:paraId="63B82228" w14:textId="77777777" w:rsidR="005133BF" w:rsidRDefault="005133BF" w:rsidP="00643D87">
      <w:pPr>
        <w:rPr>
          <w:rFonts w:cstheme="minorHAnsi"/>
          <w:sz w:val="22"/>
          <w:szCs w:val="22"/>
        </w:rPr>
      </w:pPr>
    </w:p>
    <w:p w14:paraId="58FAD7B2" w14:textId="77777777" w:rsidR="005133BF" w:rsidRDefault="005133BF" w:rsidP="00643D87">
      <w:pPr>
        <w:rPr>
          <w:rFonts w:cstheme="minorHAnsi"/>
          <w:sz w:val="22"/>
          <w:szCs w:val="22"/>
        </w:rPr>
      </w:pPr>
    </w:p>
    <w:p w14:paraId="4FFBE1C8" w14:textId="77777777" w:rsidR="005133BF" w:rsidRDefault="005133BF" w:rsidP="00643D87">
      <w:pPr>
        <w:rPr>
          <w:rFonts w:cstheme="minorHAnsi"/>
          <w:sz w:val="22"/>
          <w:szCs w:val="22"/>
        </w:rPr>
      </w:pPr>
    </w:p>
    <w:p w14:paraId="7572F00A" w14:textId="77777777" w:rsidR="005133BF" w:rsidRDefault="005133BF" w:rsidP="00643D87">
      <w:pPr>
        <w:rPr>
          <w:rFonts w:cstheme="minorHAnsi"/>
          <w:sz w:val="22"/>
          <w:szCs w:val="22"/>
        </w:rPr>
      </w:pPr>
    </w:p>
    <w:p w14:paraId="36D96C03" w14:textId="77777777" w:rsidR="005133BF" w:rsidRDefault="005133BF" w:rsidP="00643D87">
      <w:pPr>
        <w:rPr>
          <w:rFonts w:cstheme="minorHAnsi"/>
          <w:sz w:val="22"/>
          <w:szCs w:val="22"/>
        </w:rPr>
      </w:pPr>
    </w:p>
    <w:p w14:paraId="115488EC" w14:textId="77777777" w:rsidR="005133BF" w:rsidRDefault="005133BF" w:rsidP="00643D87">
      <w:pPr>
        <w:rPr>
          <w:rFonts w:cstheme="minorHAnsi"/>
          <w:sz w:val="22"/>
          <w:szCs w:val="22"/>
        </w:rPr>
      </w:pPr>
    </w:p>
    <w:p w14:paraId="19A140C0" w14:textId="77777777" w:rsidR="005133BF" w:rsidRDefault="005133BF" w:rsidP="00643D87">
      <w:pPr>
        <w:rPr>
          <w:rFonts w:cstheme="minorHAnsi"/>
          <w:sz w:val="22"/>
          <w:szCs w:val="22"/>
        </w:rPr>
      </w:pPr>
    </w:p>
    <w:p w14:paraId="0D25B5AD" w14:textId="77777777" w:rsidR="005133BF" w:rsidRDefault="005133BF" w:rsidP="00643D87">
      <w:pPr>
        <w:rPr>
          <w:rFonts w:cstheme="minorHAnsi"/>
          <w:sz w:val="22"/>
          <w:szCs w:val="22"/>
        </w:rPr>
      </w:pPr>
    </w:p>
    <w:p w14:paraId="4AFE711F" w14:textId="102835C8" w:rsidR="005133BF" w:rsidRDefault="005133BF" w:rsidP="00643D87">
      <w:pPr>
        <w:rPr>
          <w:rFonts w:cstheme="minorHAnsi"/>
          <w:sz w:val="22"/>
          <w:szCs w:val="22"/>
        </w:rPr>
      </w:pPr>
      <w:r w:rsidRPr="00BC6B2D">
        <w:rPr>
          <w:rFonts w:cstheme="minorHAnsi"/>
          <w:sz w:val="22"/>
          <w:szCs w:val="22"/>
        </w:rPr>
        <w:t xml:space="preserve">Figure </w:t>
      </w:r>
      <w:r>
        <w:rPr>
          <w:rFonts w:cstheme="minorHAnsi"/>
          <w:sz w:val="22"/>
          <w:szCs w:val="22"/>
        </w:rPr>
        <w:t xml:space="preserve">S2: Observed vaccine coverage in age and time in </w:t>
      </w:r>
      <w:proofErr w:type="spellStart"/>
      <w:r>
        <w:rPr>
          <w:rFonts w:cstheme="minorHAnsi"/>
          <w:sz w:val="22"/>
          <w:szCs w:val="22"/>
        </w:rPr>
        <w:t>Kilifi</w:t>
      </w:r>
      <w:proofErr w:type="spellEnd"/>
      <w:r>
        <w:rPr>
          <w:rFonts w:cstheme="minorHAnsi"/>
          <w:sz w:val="22"/>
          <w:szCs w:val="22"/>
        </w:rPr>
        <w:t xml:space="preserve"> in Infants (upper panel) and older children (lower panel). Beyond 100 weeks after PCV introduction coverage trends </w:t>
      </w:r>
      <w:proofErr w:type="gramStart"/>
      <w:r>
        <w:rPr>
          <w:rFonts w:cstheme="minorHAnsi"/>
          <w:sz w:val="22"/>
          <w:szCs w:val="22"/>
        </w:rPr>
        <w:t>were extrapolated</w:t>
      </w:r>
      <w:proofErr w:type="gramEnd"/>
      <w:r>
        <w:rPr>
          <w:rFonts w:cstheme="minorHAnsi"/>
          <w:sz w:val="22"/>
          <w:szCs w:val="22"/>
        </w:rPr>
        <w:t xml:space="preserve"> based on the observed coverage in week 100.</w:t>
      </w:r>
    </w:p>
    <w:p w14:paraId="11546BE0" w14:textId="722B3FDD" w:rsidR="005133BF" w:rsidRDefault="005133BF" w:rsidP="00643D87">
      <w:pPr>
        <w:rPr>
          <w:rFonts w:cstheme="minorHAnsi"/>
          <w:sz w:val="22"/>
          <w:szCs w:val="22"/>
        </w:rPr>
      </w:pPr>
      <w:r>
        <w:rPr>
          <w:rFonts w:cstheme="minorHAnsi"/>
          <w:noProof/>
          <w:sz w:val="22"/>
          <w:szCs w:val="22"/>
          <w:lang w:val="en-GB" w:eastAsia="en-GB"/>
        </w:rPr>
        <w:drawing>
          <wp:inline distT="0" distB="0" distL="0" distR="0" wp14:anchorId="1E822027" wp14:editId="0E55F589">
            <wp:extent cx="5724525" cy="3009900"/>
            <wp:effectExtent l="0" t="0" r="0" b="0"/>
            <wp:docPr id="7" name="Picture 7" descr="H:\My Documents\_Projects\Flasche - GAVI PNC schedules\Code\Figure_Supp_CovInf.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y Documents\_Projects\Flasche - GAVI PNC schedules\Code\Figure_Supp_CovInf.tif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4525" cy="3009900"/>
                    </a:xfrm>
                    <a:prstGeom prst="rect">
                      <a:avLst/>
                    </a:prstGeom>
                    <a:noFill/>
                    <a:ln>
                      <a:noFill/>
                    </a:ln>
                  </pic:spPr>
                </pic:pic>
              </a:graphicData>
            </a:graphic>
          </wp:inline>
        </w:drawing>
      </w:r>
      <w:r>
        <w:rPr>
          <w:rFonts w:cstheme="minorHAnsi"/>
          <w:noProof/>
          <w:sz w:val="22"/>
          <w:szCs w:val="22"/>
          <w:lang w:val="en-GB" w:eastAsia="en-GB"/>
        </w:rPr>
        <w:drawing>
          <wp:inline distT="0" distB="0" distL="0" distR="0" wp14:anchorId="24B2722C" wp14:editId="1EDF28C1">
            <wp:extent cx="5724525" cy="3009900"/>
            <wp:effectExtent l="0" t="0" r="0" b="0"/>
            <wp:docPr id="8" name="Picture 8" descr="H:\My Documents\_Projects\Flasche - GAVI PNC schedules\Code\Figure_Supp_CovTod.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y Documents\_Projects\Flasche - GAVI PNC schedules\Code\Figure_Supp_CovTod.tif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3009900"/>
                    </a:xfrm>
                    <a:prstGeom prst="rect">
                      <a:avLst/>
                    </a:prstGeom>
                    <a:noFill/>
                    <a:ln>
                      <a:noFill/>
                    </a:ln>
                  </pic:spPr>
                </pic:pic>
              </a:graphicData>
            </a:graphic>
          </wp:inline>
        </w:drawing>
      </w:r>
    </w:p>
    <w:p w14:paraId="57AD2235" w14:textId="77777777" w:rsidR="005133BF" w:rsidRDefault="005133BF" w:rsidP="00643D87">
      <w:pPr>
        <w:rPr>
          <w:rFonts w:cstheme="minorHAnsi"/>
          <w:b/>
          <w:sz w:val="36"/>
          <w:szCs w:val="36"/>
        </w:rPr>
      </w:pPr>
    </w:p>
    <w:p w14:paraId="58383F53" w14:textId="77777777" w:rsidR="00372EA7" w:rsidRDefault="00372EA7" w:rsidP="00643D87">
      <w:pPr>
        <w:rPr>
          <w:rFonts w:cstheme="minorHAnsi"/>
          <w:b/>
          <w:sz w:val="36"/>
          <w:szCs w:val="36"/>
        </w:rPr>
      </w:pPr>
    </w:p>
    <w:p w14:paraId="7FA2C0EB" w14:textId="77777777" w:rsidR="00372EA7" w:rsidRDefault="00372EA7" w:rsidP="00643D87">
      <w:pPr>
        <w:rPr>
          <w:rFonts w:cstheme="minorHAnsi"/>
          <w:b/>
          <w:sz w:val="36"/>
          <w:szCs w:val="36"/>
        </w:rPr>
      </w:pPr>
    </w:p>
    <w:p w14:paraId="3F3D6370" w14:textId="77777777" w:rsidR="00372EA7" w:rsidRDefault="00372EA7" w:rsidP="00643D87">
      <w:pPr>
        <w:rPr>
          <w:rFonts w:cstheme="minorHAnsi"/>
          <w:b/>
          <w:sz w:val="36"/>
          <w:szCs w:val="36"/>
        </w:rPr>
      </w:pPr>
    </w:p>
    <w:p w14:paraId="2F99D478" w14:textId="77777777" w:rsidR="00372EA7" w:rsidRDefault="00372EA7" w:rsidP="00643D87">
      <w:pPr>
        <w:rPr>
          <w:rFonts w:cstheme="minorHAnsi"/>
          <w:b/>
          <w:sz w:val="36"/>
          <w:szCs w:val="36"/>
        </w:rPr>
      </w:pPr>
    </w:p>
    <w:p w14:paraId="23B945D6" w14:textId="77777777" w:rsidR="00372EA7" w:rsidRDefault="00372EA7" w:rsidP="00643D87">
      <w:pPr>
        <w:rPr>
          <w:rFonts w:cstheme="minorHAnsi"/>
          <w:b/>
          <w:sz w:val="36"/>
          <w:szCs w:val="36"/>
        </w:rPr>
      </w:pPr>
    </w:p>
    <w:p w14:paraId="28BC2D9F" w14:textId="3B78C8B9" w:rsidR="00643D87" w:rsidRDefault="001837FF" w:rsidP="00643D87">
      <w:pPr>
        <w:rPr>
          <w:rFonts w:cstheme="minorHAnsi"/>
          <w:b/>
          <w:sz w:val="36"/>
          <w:szCs w:val="36"/>
        </w:rPr>
      </w:pPr>
      <w:bookmarkStart w:id="0" w:name="_GoBack"/>
      <w:bookmarkEnd w:id="0"/>
      <w:r>
        <w:rPr>
          <w:rFonts w:cstheme="minorHAnsi"/>
          <w:b/>
          <w:sz w:val="36"/>
          <w:szCs w:val="36"/>
        </w:rPr>
        <w:lastRenderedPageBreak/>
        <w:t>Sensitivity analysis</w:t>
      </w:r>
    </w:p>
    <w:p w14:paraId="123EF578" w14:textId="31A3D7C0" w:rsidR="0026714D" w:rsidRPr="0026714D" w:rsidRDefault="0026714D" w:rsidP="0026714D">
      <w:pPr>
        <w:rPr>
          <w:rFonts w:cstheme="minorHAnsi"/>
          <w:sz w:val="22"/>
          <w:szCs w:val="22"/>
        </w:rPr>
      </w:pPr>
      <w:r w:rsidRPr="0026714D">
        <w:rPr>
          <w:rFonts w:cstheme="minorHAnsi"/>
          <w:sz w:val="22"/>
          <w:szCs w:val="22"/>
        </w:rPr>
        <w:t>Table S</w:t>
      </w:r>
      <w:r w:rsidR="00A45DD6">
        <w:rPr>
          <w:rFonts w:cstheme="minorHAnsi"/>
          <w:sz w:val="22"/>
          <w:szCs w:val="22"/>
        </w:rPr>
        <w:t>1</w:t>
      </w:r>
      <w:r w:rsidRPr="0026714D">
        <w:rPr>
          <w:rFonts w:cstheme="minorHAnsi"/>
          <w:sz w:val="22"/>
          <w:szCs w:val="22"/>
        </w:rPr>
        <w:t>:</w:t>
      </w:r>
      <w:r>
        <w:rPr>
          <w:rFonts w:cstheme="minorHAnsi"/>
          <w:sz w:val="22"/>
          <w:szCs w:val="22"/>
        </w:rPr>
        <w:t xml:space="preserve"> </w:t>
      </w:r>
      <w:r w:rsidRPr="0026714D">
        <w:rPr>
          <w:rFonts w:cstheme="minorHAnsi"/>
          <w:sz w:val="22"/>
          <w:szCs w:val="22"/>
        </w:rPr>
        <w:t xml:space="preserve">The </w:t>
      </w:r>
      <w:r>
        <w:rPr>
          <w:rFonts w:cstheme="minorHAnsi"/>
          <w:sz w:val="22"/>
          <w:szCs w:val="22"/>
        </w:rPr>
        <w:t xml:space="preserve">sensitivity of the </w:t>
      </w:r>
      <w:r w:rsidRPr="0026714D">
        <w:rPr>
          <w:rFonts w:cstheme="minorHAnsi"/>
          <w:sz w:val="22"/>
          <w:szCs w:val="22"/>
        </w:rPr>
        <w:t>efficiency of alternative introduction strategies</w:t>
      </w:r>
      <w:r>
        <w:rPr>
          <w:rFonts w:cstheme="minorHAnsi"/>
          <w:sz w:val="22"/>
          <w:szCs w:val="22"/>
        </w:rPr>
        <w:t xml:space="preserve"> to vaccine coverage</w:t>
      </w:r>
      <w:r w:rsidRPr="0026714D">
        <w:rPr>
          <w:rFonts w:cstheme="minorHAnsi"/>
          <w:sz w:val="22"/>
          <w:szCs w:val="22"/>
        </w:rPr>
        <w:t xml:space="preserve">. The number of vaccine doses needed to prevent a case of IPD (NVN) </w:t>
      </w:r>
      <w:proofErr w:type="gramStart"/>
      <w:r w:rsidRPr="0026714D">
        <w:rPr>
          <w:rFonts w:cstheme="minorHAnsi"/>
          <w:sz w:val="22"/>
          <w:szCs w:val="22"/>
        </w:rPr>
        <w:t>is used</w:t>
      </w:r>
      <w:proofErr w:type="gramEnd"/>
      <w:r w:rsidRPr="0026714D">
        <w:rPr>
          <w:rFonts w:cstheme="minorHAnsi"/>
          <w:sz w:val="22"/>
          <w:szCs w:val="22"/>
        </w:rPr>
        <w:t xml:space="preserve"> as a measure of efficiency. </w:t>
      </w:r>
    </w:p>
    <w:p w14:paraId="13447308" w14:textId="77777777" w:rsidR="0026714D" w:rsidRPr="0026714D" w:rsidRDefault="0026714D" w:rsidP="0026714D">
      <w:pPr>
        <w:rPr>
          <w:rFonts w:cstheme="minorHAnsi"/>
          <w:sz w:val="22"/>
          <w:szCs w:val="22"/>
        </w:rPr>
      </w:pPr>
    </w:p>
    <w:tbl>
      <w:tblPr>
        <w:tblStyle w:val="PlainTable1"/>
        <w:tblW w:w="8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7"/>
        <w:gridCol w:w="1865"/>
        <w:gridCol w:w="1710"/>
        <w:gridCol w:w="1788"/>
        <w:gridCol w:w="1788"/>
      </w:tblGrid>
      <w:tr w:rsidR="0026714D" w:rsidRPr="00922C35" w14:paraId="0CF94500" w14:textId="77777777" w:rsidTr="00F0617F">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1787" w:type="dxa"/>
            <w:tcBorders>
              <w:bottom w:val="single" w:sz="4" w:space="0" w:color="auto"/>
            </w:tcBorders>
            <w:shd w:val="clear" w:color="auto" w:fill="FFFFFF" w:themeFill="background1"/>
            <w:noWrap/>
            <w:vAlign w:val="center"/>
          </w:tcPr>
          <w:p w14:paraId="145BB0AC" w14:textId="77777777" w:rsidR="0026714D" w:rsidRPr="009A7250" w:rsidRDefault="0026714D" w:rsidP="008E799F">
            <w:pPr>
              <w:jc w:val="center"/>
              <w:rPr>
                <w:rFonts w:ascii="Calibri" w:eastAsia="Times New Roman" w:hAnsi="Calibri" w:cs="Calibri"/>
                <w:color w:val="000000"/>
                <w:sz w:val="20"/>
                <w:szCs w:val="20"/>
                <w:lang w:eastAsia="en-GB"/>
              </w:rPr>
            </w:pPr>
            <w:r w:rsidRPr="009A7250">
              <w:rPr>
                <w:rFonts w:ascii="Calibri" w:eastAsia="Times New Roman" w:hAnsi="Calibri" w:cs="Calibri"/>
                <w:color w:val="000000"/>
                <w:sz w:val="20"/>
                <w:szCs w:val="20"/>
                <w:lang w:eastAsia="en-GB"/>
              </w:rPr>
              <w:t>Introduction of PCV via</w:t>
            </w:r>
          </w:p>
        </w:tc>
        <w:tc>
          <w:tcPr>
            <w:tcW w:w="1865" w:type="dxa"/>
            <w:tcBorders>
              <w:bottom w:val="single" w:sz="4" w:space="0" w:color="auto"/>
            </w:tcBorders>
            <w:shd w:val="clear" w:color="auto" w:fill="FFFFFF" w:themeFill="background1"/>
            <w:noWrap/>
            <w:vAlign w:val="center"/>
          </w:tcPr>
          <w:p w14:paraId="1C95732E" w14:textId="77777777" w:rsidR="0026714D" w:rsidRPr="009A7250" w:rsidRDefault="0026714D" w:rsidP="008E799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9A7250">
              <w:rPr>
                <w:rFonts w:ascii="Calibri" w:eastAsia="Times New Roman" w:hAnsi="Calibri" w:cs="Calibri"/>
                <w:color w:val="000000"/>
                <w:sz w:val="20"/>
                <w:szCs w:val="20"/>
                <w:lang w:eastAsia="en-GB"/>
              </w:rPr>
              <w:t>NVN</w:t>
            </w:r>
            <w:r w:rsidRPr="009A7250">
              <w:rPr>
                <w:rFonts w:ascii="Calibri" w:eastAsia="Times New Roman" w:hAnsi="Calibri" w:cs="Calibri"/>
                <w:bCs w:val="0"/>
                <w:color w:val="000000"/>
                <w:sz w:val="20"/>
                <w:szCs w:val="20"/>
                <w:lang w:eastAsia="en-GB"/>
              </w:rPr>
              <w:br/>
            </w:r>
            <w:proofErr w:type="spellStart"/>
            <w:r w:rsidRPr="009A7250">
              <w:rPr>
                <w:rFonts w:ascii="Calibri" w:eastAsia="Times New Roman" w:hAnsi="Calibri" w:cs="Calibri"/>
                <w:bCs w:val="0"/>
                <w:color w:val="000000"/>
                <w:sz w:val="20"/>
                <w:szCs w:val="20"/>
                <w:lang w:eastAsia="en-GB"/>
              </w:rPr>
              <w:t>Kilifi</w:t>
            </w:r>
            <w:proofErr w:type="spellEnd"/>
            <w:r w:rsidRPr="009A7250">
              <w:rPr>
                <w:rFonts w:ascii="Calibri" w:eastAsia="Times New Roman" w:hAnsi="Calibri" w:cs="Calibri"/>
                <w:bCs w:val="0"/>
                <w:color w:val="000000"/>
                <w:sz w:val="20"/>
                <w:szCs w:val="20"/>
                <w:lang w:eastAsia="en-GB"/>
              </w:rPr>
              <w:t xml:space="preserve"> coverage</w:t>
            </w:r>
          </w:p>
        </w:tc>
        <w:tc>
          <w:tcPr>
            <w:tcW w:w="1710" w:type="dxa"/>
            <w:tcBorders>
              <w:bottom w:val="single" w:sz="4" w:space="0" w:color="auto"/>
            </w:tcBorders>
            <w:shd w:val="clear" w:color="auto" w:fill="FFFFFF" w:themeFill="background1"/>
            <w:vAlign w:val="center"/>
          </w:tcPr>
          <w:p w14:paraId="2C706422" w14:textId="77777777" w:rsidR="0026714D" w:rsidRPr="009A7250" w:rsidRDefault="0026714D" w:rsidP="008E799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9A7250">
              <w:rPr>
                <w:rFonts w:ascii="Calibri" w:eastAsia="Times New Roman" w:hAnsi="Calibri" w:cs="Calibri"/>
                <w:bCs w:val="0"/>
                <w:color w:val="000000"/>
                <w:sz w:val="20"/>
                <w:szCs w:val="20"/>
                <w:lang w:eastAsia="en-GB"/>
              </w:rPr>
              <w:t>NVN</w:t>
            </w:r>
            <w:r w:rsidRPr="009A7250">
              <w:rPr>
                <w:rFonts w:ascii="Calibri" w:eastAsia="Times New Roman" w:hAnsi="Calibri" w:cs="Calibri"/>
                <w:bCs w:val="0"/>
                <w:color w:val="000000"/>
                <w:sz w:val="20"/>
                <w:szCs w:val="20"/>
                <w:lang w:eastAsia="en-GB"/>
              </w:rPr>
              <w:br/>
              <w:t>40% coverage</w:t>
            </w:r>
          </w:p>
        </w:tc>
        <w:tc>
          <w:tcPr>
            <w:tcW w:w="1788" w:type="dxa"/>
            <w:tcBorders>
              <w:bottom w:val="single" w:sz="4" w:space="0" w:color="auto"/>
            </w:tcBorders>
            <w:shd w:val="clear" w:color="auto" w:fill="FFFFFF" w:themeFill="background1"/>
            <w:vAlign w:val="center"/>
          </w:tcPr>
          <w:p w14:paraId="6EBE3D92" w14:textId="77777777" w:rsidR="0026714D" w:rsidRPr="009A7250" w:rsidRDefault="0026714D" w:rsidP="008E799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9A7250">
              <w:rPr>
                <w:rFonts w:ascii="Calibri" w:eastAsia="Times New Roman" w:hAnsi="Calibri" w:cs="Calibri"/>
                <w:bCs w:val="0"/>
                <w:color w:val="000000"/>
                <w:sz w:val="20"/>
                <w:szCs w:val="20"/>
                <w:lang w:eastAsia="en-GB"/>
              </w:rPr>
              <w:t>NVN</w:t>
            </w:r>
            <w:r w:rsidRPr="009A7250">
              <w:rPr>
                <w:rFonts w:ascii="Calibri" w:eastAsia="Times New Roman" w:hAnsi="Calibri" w:cs="Calibri"/>
                <w:bCs w:val="0"/>
                <w:color w:val="000000"/>
                <w:sz w:val="20"/>
                <w:szCs w:val="20"/>
                <w:lang w:eastAsia="en-GB"/>
              </w:rPr>
              <w:br/>
              <w:t>60% coverage</w:t>
            </w:r>
          </w:p>
        </w:tc>
        <w:tc>
          <w:tcPr>
            <w:tcW w:w="1788" w:type="dxa"/>
            <w:tcBorders>
              <w:bottom w:val="single" w:sz="4" w:space="0" w:color="auto"/>
            </w:tcBorders>
            <w:shd w:val="clear" w:color="auto" w:fill="FFFFFF" w:themeFill="background1"/>
            <w:vAlign w:val="center"/>
          </w:tcPr>
          <w:p w14:paraId="134D0659" w14:textId="77777777" w:rsidR="0026714D" w:rsidRPr="009A7250" w:rsidRDefault="0026714D" w:rsidP="008E799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sidRPr="009A7250">
              <w:rPr>
                <w:rFonts w:ascii="Calibri" w:eastAsia="Times New Roman" w:hAnsi="Calibri" w:cs="Calibri"/>
                <w:bCs w:val="0"/>
                <w:color w:val="000000"/>
                <w:sz w:val="20"/>
                <w:szCs w:val="20"/>
                <w:lang w:eastAsia="en-GB"/>
              </w:rPr>
              <w:t>NVN</w:t>
            </w:r>
            <w:r w:rsidRPr="009A7250">
              <w:rPr>
                <w:rFonts w:ascii="Calibri" w:eastAsia="Times New Roman" w:hAnsi="Calibri" w:cs="Calibri"/>
                <w:bCs w:val="0"/>
                <w:color w:val="000000"/>
                <w:sz w:val="20"/>
                <w:szCs w:val="20"/>
                <w:lang w:eastAsia="en-GB"/>
              </w:rPr>
              <w:br/>
              <w:t>80% coverage</w:t>
            </w:r>
          </w:p>
        </w:tc>
      </w:tr>
      <w:tr w:rsidR="00C04E0F" w:rsidRPr="00922C35" w14:paraId="01C33EF2" w14:textId="77777777" w:rsidTr="00F0617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87" w:type="dxa"/>
            <w:tcBorders>
              <w:top w:val="single" w:sz="4" w:space="0" w:color="auto"/>
            </w:tcBorders>
            <w:shd w:val="clear" w:color="auto" w:fill="FFFFFF" w:themeFill="background1"/>
            <w:noWrap/>
            <w:vAlign w:val="center"/>
          </w:tcPr>
          <w:p w14:paraId="51D8BB1C" w14:textId="77777777" w:rsidR="00C04E0F" w:rsidRPr="00C04E0F" w:rsidRDefault="00C04E0F">
            <w:pPr>
              <w:jc w:val="center"/>
              <w:rPr>
                <w:rFonts w:ascii="Calibri" w:eastAsia="Times New Roman" w:hAnsi="Calibri" w:cs="Calibri"/>
                <w:b w:val="0"/>
                <w:color w:val="000000"/>
                <w:sz w:val="18"/>
                <w:szCs w:val="18"/>
                <w:lang w:eastAsia="en-GB"/>
              </w:rPr>
            </w:pPr>
            <w:r w:rsidRPr="00C04E0F">
              <w:rPr>
                <w:rFonts w:ascii="Calibri" w:eastAsia="Times New Roman" w:hAnsi="Calibri" w:cs="Calibri"/>
                <w:color w:val="000000"/>
                <w:sz w:val="18"/>
                <w:szCs w:val="18"/>
                <w:lang w:eastAsia="en-GB"/>
              </w:rPr>
              <w:t>Cohort only</w:t>
            </w:r>
          </w:p>
        </w:tc>
        <w:tc>
          <w:tcPr>
            <w:tcW w:w="1865" w:type="dxa"/>
            <w:tcBorders>
              <w:top w:val="single" w:sz="4" w:space="0" w:color="auto"/>
            </w:tcBorders>
            <w:shd w:val="clear" w:color="auto" w:fill="FFFFFF" w:themeFill="background1"/>
            <w:noWrap/>
            <w:vAlign w:val="center"/>
          </w:tcPr>
          <w:p w14:paraId="028EFE29" w14:textId="19281F24" w:rsidR="00C04E0F" w:rsidRPr="00C04E0F" w:rsidRDefault="00C04E0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F0617F">
              <w:rPr>
                <w:rFonts w:ascii="Calibri" w:eastAsia="Times New Roman" w:hAnsi="Calibri" w:cs="Calibri"/>
                <w:color w:val="000000"/>
                <w:sz w:val="18"/>
                <w:szCs w:val="18"/>
                <w:lang w:eastAsia="en-GB"/>
              </w:rPr>
              <w:t>1321 (1058 to 1698)</w:t>
            </w:r>
          </w:p>
        </w:tc>
        <w:tc>
          <w:tcPr>
            <w:tcW w:w="1710" w:type="dxa"/>
            <w:tcBorders>
              <w:top w:val="single" w:sz="4" w:space="0" w:color="auto"/>
            </w:tcBorders>
            <w:shd w:val="clear" w:color="auto" w:fill="FFFFFF" w:themeFill="background1"/>
            <w:vAlign w:val="center"/>
          </w:tcPr>
          <w:p w14:paraId="42B92E55" w14:textId="333F7927" w:rsidR="00C04E0F" w:rsidRPr="00C04E0F" w:rsidRDefault="00C04E0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C04E0F">
              <w:rPr>
                <w:rFonts w:ascii="Calibri" w:eastAsia="Times New Roman" w:hAnsi="Calibri" w:cs="Calibri"/>
                <w:color w:val="000000"/>
                <w:sz w:val="18"/>
                <w:szCs w:val="18"/>
                <w:lang w:eastAsia="en-GB"/>
              </w:rPr>
              <w:t>1302 (1036 to 1664)</w:t>
            </w:r>
          </w:p>
        </w:tc>
        <w:tc>
          <w:tcPr>
            <w:tcW w:w="1788" w:type="dxa"/>
            <w:tcBorders>
              <w:top w:val="single" w:sz="4" w:space="0" w:color="auto"/>
            </w:tcBorders>
            <w:shd w:val="clear" w:color="auto" w:fill="FFFFFF" w:themeFill="background1"/>
            <w:vAlign w:val="center"/>
          </w:tcPr>
          <w:p w14:paraId="553338A3" w14:textId="2517A0AD" w:rsidR="00C04E0F" w:rsidRPr="00C04E0F" w:rsidRDefault="00C04E0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C04E0F">
              <w:rPr>
                <w:rFonts w:ascii="Calibri" w:eastAsia="Times New Roman" w:hAnsi="Calibri" w:cs="Calibri"/>
                <w:color w:val="000000"/>
                <w:sz w:val="18"/>
                <w:szCs w:val="18"/>
                <w:lang w:eastAsia="en-GB"/>
              </w:rPr>
              <w:t>1346 (1079 to 1716)</w:t>
            </w:r>
          </w:p>
        </w:tc>
        <w:tc>
          <w:tcPr>
            <w:tcW w:w="1788" w:type="dxa"/>
            <w:tcBorders>
              <w:top w:val="single" w:sz="4" w:space="0" w:color="auto"/>
            </w:tcBorders>
            <w:shd w:val="clear" w:color="auto" w:fill="FFFFFF" w:themeFill="background1"/>
            <w:vAlign w:val="center"/>
          </w:tcPr>
          <w:p w14:paraId="2910BA2E" w14:textId="167BE454" w:rsidR="00C04E0F" w:rsidRPr="00C04E0F" w:rsidRDefault="00C04E0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C04E0F">
              <w:rPr>
                <w:rFonts w:ascii="Calibri" w:eastAsia="Times New Roman" w:hAnsi="Calibri" w:cs="Calibri"/>
                <w:color w:val="000000"/>
                <w:sz w:val="18"/>
                <w:szCs w:val="18"/>
                <w:lang w:eastAsia="en-GB"/>
              </w:rPr>
              <w:t>1387 (1118 to 1764)</w:t>
            </w:r>
          </w:p>
        </w:tc>
      </w:tr>
      <w:tr w:rsidR="00C04E0F" w:rsidRPr="00922C35" w14:paraId="37141FD7" w14:textId="77777777" w:rsidTr="00F0617F">
        <w:trPr>
          <w:trHeight w:val="340"/>
        </w:trPr>
        <w:tc>
          <w:tcPr>
            <w:cnfStyle w:val="001000000000" w:firstRow="0" w:lastRow="0" w:firstColumn="1" w:lastColumn="0" w:oddVBand="0" w:evenVBand="0" w:oddHBand="0" w:evenHBand="0" w:firstRowFirstColumn="0" w:firstRowLastColumn="0" w:lastRowFirstColumn="0" w:lastRowLastColumn="0"/>
            <w:tcW w:w="1787" w:type="dxa"/>
            <w:shd w:val="clear" w:color="auto" w:fill="FFFFFF" w:themeFill="background1"/>
            <w:noWrap/>
            <w:vAlign w:val="center"/>
          </w:tcPr>
          <w:p w14:paraId="3A528149" w14:textId="77777777" w:rsidR="00C04E0F" w:rsidRPr="00C04E0F" w:rsidRDefault="00C04E0F">
            <w:pPr>
              <w:jc w:val="center"/>
              <w:rPr>
                <w:rFonts w:ascii="Calibri" w:eastAsia="Times New Roman" w:hAnsi="Calibri" w:cs="Calibri"/>
                <w:b w:val="0"/>
                <w:color w:val="000000"/>
                <w:sz w:val="18"/>
                <w:szCs w:val="18"/>
                <w:lang w:eastAsia="en-GB"/>
              </w:rPr>
            </w:pPr>
            <w:r w:rsidRPr="00C04E0F">
              <w:rPr>
                <w:rFonts w:ascii="Calibri" w:eastAsia="Times New Roman" w:hAnsi="Calibri" w:cs="Calibri"/>
                <w:color w:val="000000"/>
                <w:sz w:val="18"/>
                <w:szCs w:val="18"/>
                <w:lang w:eastAsia="en-GB"/>
              </w:rPr>
              <w:t>+ U1 catch-up</w:t>
            </w:r>
          </w:p>
        </w:tc>
        <w:tc>
          <w:tcPr>
            <w:tcW w:w="1865" w:type="dxa"/>
            <w:shd w:val="clear" w:color="auto" w:fill="FFFFFF" w:themeFill="background1"/>
            <w:noWrap/>
            <w:vAlign w:val="center"/>
          </w:tcPr>
          <w:p w14:paraId="0A36B048" w14:textId="29F333AF" w:rsidR="00C04E0F" w:rsidRPr="00C04E0F" w:rsidRDefault="00C04E0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F0617F">
              <w:rPr>
                <w:rFonts w:ascii="Calibri" w:eastAsia="Times New Roman" w:hAnsi="Calibri" w:cs="Calibri"/>
                <w:color w:val="000000"/>
                <w:sz w:val="18"/>
                <w:szCs w:val="18"/>
                <w:lang w:eastAsia="en-GB"/>
              </w:rPr>
              <w:t>1263 (1012 to 1623)</w:t>
            </w:r>
          </w:p>
        </w:tc>
        <w:tc>
          <w:tcPr>
            <w:tcW w:w="1710" w:type="dxa"/>
            <w:shd w:val="clear" w:color="auto" w:fill="FFFFFF" w:themeFill="background1"/>
            <w:vAlign w:val="center"/>
          </w:tcPr>
          <w:p w14:paraId="6F156DB4" w14:textId="72129581" w:rsidR="00C04E0F" w:rsidRPr="00C04E0F" w:rsidRDefault="00C04E0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C04E0F">
              <w:rPr>
                <w:rFonts w:ascii="Calibri" w:eastAsia="Times New Roman" w:hAnsi="Calibri" w:cs="Calibri"/>
                <w:color w:val="000000"/>
                <w:sz w:val="18"/>
                <w:szCs w:val="18"/>
                <w:lang w:eastAsia="en-GB"/>
              </w:rPr>
              <w:t>1238 (977 to 1581)</w:t>
            </w:r>
          </w:p>
        </w:tc>
        <w:tc>
          <w:tcPr>
            <w:tcW w:w="1788" w:type="dxa"/>
            <w:shd w:val="clear" w:color="auto" w:fill="FFFFFF" w:themeFill="background1"/>
            <w:vAlign w:val="center"/>
          </w:tcPr>
          <w:p w14:paraId="241E9165" w14:textId="3281F460" w:rsidR="00C04E0F" w:rsidRPr="00C04E0F" w:rsidRDefault="00C04E0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C04E0F">
              <w:rPr>
                <w:rFonts w:ascii="Calibri" w:eastAsia="Times New Roman" w:hAnsi="Calibri" w:cs="Calibri"/>
                <w:color w:val="000000"/>
                <w:sz w:val="18"/>
                <w:szCs w:val="18"/>
                <w:lang w:eastAsia="en-GB"/>
              </w:rPr>
              <w:t>1283 (1027 to 1644)</w:t>
            </w:r>
          </w:p>
        </w:tc>
        <w:tc>
          <w:tcPr>
            <w:tcW w:w="1788" w:type="dxa"/>
            <w:shd w:val="clear" w:color="auto" w:fill="FFFFFF" w:themeFill="background1"/>
            <w:vAlign w:val="center"/>
          </w:tcPr>
          <w:p w14:paraId="43BCA509" w14:textId="3E88DA32" w:rsidR="00C04E0F" w:rsidRPr="00C04E0F" w:rsidRDefault="00C04E0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C04E0F">
              <w:rPr>
                <w:rFonts w:ascii="Calibri" w:eastAsia="Times New Roman" w:hAnsi="Calibri" w:cs="Calibri"/>
                <w:color w:val="000000"/>
                <w:sz w:val="18"/>
                <w:szCs w:val="18"/>
                <w:lang w:eastAsia="en-GB"/>
              </w:rPr>
              <w:t>1326 (1070 to 1685)</w:t>
            </w:r>
          </w:p>
        </w:tc>
      </w:tr>
      <w:tr w:rsidR="00C04E0F" w:rsidRPr="00922C35" w14:paraId="151445EC" w14:textId="77777777" w:rsidTr="00F0617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87" w:type="dxa"/>
            <w:shd w:val="clear" w:color="auto" w:fill="FFFFFF" w:themeFill="background1"/>
            <w:noWrap/>
            <w:vAlign w:val="center"/>
          </w:tcPr>
          <w:p w14:paraId="1A163F38" w14:textId="77777777" w:rsidR="00C04E0F" w:rsidRPr="00C04E0F" w:rsidRDefault="00C04E0F">
            <w:pPr>
              <w:jc w:val="center"/>
              <w:rPr>
                <w:rFonts w:ascii="Calibri" w:eastAsia="Times New Roman" w:hAnsi="Calibri" w:cs="Calibri"/>
                <w:b w:val="0"/>
                <w:color w:val="000000"/>
                <w:sz w:val="18"/>
                <w:szCs w:val="18"/>
                <w:lang w:eastAsia="en-GB"/>
              </w:rPr>
            </w:pPr>
            <w:r w:rsidRPr="00C04E0F">
              <w:rPr>
                <w:rFonts w:ascii="Calibri" w:eastAsia="Times New Roman" w:hAnsi="Calibri" w:cs="Calibri"/>
                <w:color w:val="000000"/>
                <w:sz w:val="18"/>
                <w:szCs w:val="18"/>
                <w:lang w:eastAsia="en-GB"/>
              </w:rPr>
              <w:t>+ U2 catch-up</w:t>
            </w:r>
          </w:p>
        </w:tc>
        <w:tc>
          <w:tcPr>
            <w:tcW w:w="1865" w:type="dxa"/>
            <w:shd w:val="clear" w:color="auto" w:fill="FFFFFF" w:themeFill="background1"/>
            <w:noWrap/>
            <w:vAlign w:val="center"/>
          </w:tcPr>
          <w:p w14:paraId="6283FF17" w14:textId="23278968" w:rsidR="00C04E0F" w:rsidRPr="00C04E0F" w:rsidRDefault="00C04E0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F0617F">
              <w:rPr>
                <w:rFonts w:ascii="Calibri" w:eastAsia="Times New Roman" w:hAnsi="Calibri" w:cs="Calibri"/>
                <w:color w:val="000000"/>
                <w:sz w:val="18"/>
                <w:szCs w:val="18"/>
                <w:lang w:eastAsia="en-GB"/>
              </w:rPr>
              <w:t>1188 (958 to 1527)</w:t>
            </w:r>
          </w:p>
        </w:tc>
        <w:tc>
          <w:tcPr>
            <w:tcW w:w="1710" w:type="dxa"/>
            <w:shd w:val="clear" w:color="auto" w:fill="FFFFFF" w:themeFill="background1"/>
            <w:vAlign w:val="center"/>
          </w:tcPr>
          <w:p w14:paraId="7CDDF496" w14:textId="3ECF1B12" w:rsidR="00C04E0F" w:rsidRPr="00C04E0F" w:rsidRDefault="00C04E0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C04E0F">
              <w:rPr>
                <w:rFonts w:ascii="Calibri" w:eastAsia="Times New Roman" w:hAnsi="Calibri" w:cs="Calibri"/>
                <w:color w:val="000000"/>
                <w:sz w:val="18"/>
                <w:szCs w:val="18"/>
                <w:lang w:eastAsia="en-GB"/>
              </w:rPr>
              <w:t>1159 (918 to 1483)</w:t>
            </w:r>
          </w:p>
        </w:tc>
        <w:tc>
          <w:tcPr>
            <w:tcW w:w="1788" w:type="dxa"/>
            <w:shd w:val="clear" w:color="auto" w:fill="FFFFFF" w:themeFill="background1"/>
            <w:vAlign w:val="center"/>
          </w:tcPr>
          <w:p w14:paraId="69FD1986" w14:textId="2A4E5589" w:rsidR="00C04E0F" w:rsidRPr="00C04E0F" w:rsidRDefault="00C04E0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C04E0F">
              <w:rPr>
                <w:rFonts w:ascii="Calibri" w:eastAsia="Times New Roman" w:hAnsi="Calibri" w:cs="Calibri"/>
                <w:color w:val="000000"/>
                <w:sz w:val="18"/>
                <w:szCs w:val="18"/>
                <w:lang w:eastAsia="en-GB"/>
              </w:rPr>
              <w:t>1202 (967 to 1538)</w:t>
            </w:r>
          </w:p>
        </w:tc>
        <w:tc>
          <w:tcPr>
            <w:tcW w:w="1788" w:type="dxa"/>
            <w:shd w:val="clear" w:color="auto" w:fill="FFFFFF" w:themeFill="background1"/>
            <w:vAlign w:val="center"/>
          </w:tcPr>
          <w:p w14:paraId="2DC90D69" w14:textId="1A343400" w:rsidR="00C04E0F" w:rsidRPr="00C04E0F" w:rsidRDefault="00C04E0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C04E0F">
              <w:rPr>
                <w:rFonts w:ascii="Calibri" w:eastAsia="Times New Roman" w:hAnsi="Calibri" w:cs="Calibri"/>
                <w:color w:val="000000"/>
                <w:sz w:val="18"/>
                <w:szCs w:val="18"/>
                <w:lang w:eastAsia="en-GB"/>
              </w:rPr>
              <w:t>1251 (1024 to 1592)</w:t>
            </w:r>
          </w:p>
        </w:tc>
      </w:tr>
      <w:tr w:rsidR="00C04E0F" w:rsidRPr="00922C35" w14:paraId="671E6BE8" w14:textId="77777777" w:rsidTr="00F0617F">
        <w:trPr>
          <w:trHeight w:val="340"/>
        </w:trPr>
        <w:tc>
          <w:tcPr>
            <w:cnfStyle w:val="001000000000" w:firstRow="0" w:lastRow="0" w:firstColumn="1" w:lastColumn="0" w:oddVBand="0" w:evenVBand="0" w:oddHBand="0" w:evenHBand="0" w:firstRowFirstColumn="0" w:firstRowLastColumn="0" w:lastRowFirstColumn="0" w:lastRowLastColumn="0"/>
            <w:tcW w:w="1787" w:type="dxa"/>
            <w:shd w:val="clear" w:color="auto" w:fill="FFFFFF" w:themeFill="background1"/>
            <w:noWrap/>
            <w:vAlign w:val="center"/>
          </w:tcPr>
          <w:p w14:paraId="45CB1ADE" w14:textId="77777777" w:rsidR="00C04E0F" w:rsidRPr="00C04E0F" w:rsidRDefault="00C04E0F">
            <w:pPr>
              <w:jc w:val="center"/>
              <w:rPr>
                <w:rFonts w:ascii="Calibri" w:eastAsia="Times New Roman" w:hAnsi="Calibri" w:cs="Calibri"/>
                <w:b w:val="0"/>
                <w:color w:val="000000"/>
                <w:sz w:val="18"/>
                <w:szCs w:val="18"/>
                <w:lang w:eastAsia="en-GB"/>
              </w:rPr>
            </w:pPr>
            <w:r w:rsidRPr="00C04E0F">
              <w:rPr>
                <w:rFonts w:ascii="Calibri" w:eastAsia="Times New Roman" w:hAnsi="Calibri" w:cs="Calibri"/>
                <w:color w:val="000000"/>
                <w:sz w:val="18"/>
                <w:szCs w:val="18"/>
                <w:lang w:eastAsia="en-GB"/>
              </w:rPr>
              <w:t>+ U5 catch-up</w:t>
            </w:r>
          </w:p>
        </w:tc>
        <w:tc>
          <w:tcPr>
            <w:tcW w:w="1865" w:type="dxa"/>
            <w:shd w:val="clear" w:color="auto" w:fill="FFFFFF" w:themeFill="background1"/>
            <w:noWrap/>
            <w:vAlign w:val="center"/>
          </w:tcPr>
          <w:p w14:paraId="1BD28FF7" w14:textId="5FBBA590" w:rsidR="00C04E0F" w:rsidRPr="00C04E0F" w:rsidRDefault="00C04E0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F0617F">
              <w:rPr>
                <w:rFonts w:ascii="Calibri" w:eastAsia="Times New Roman" w:hAnsi="Calibri" w:cs="Calibri"/>
                <w:color w:val="000000"/>
                <w:sz w:val="18"/>
                <w:szCs w:val="18"/>
                <w:lang w:eastAsia="en-GB"/>
              </w:rPr>
              <w:t>1098 (894 to 1405)</w:t>
            </w:r>
          </w:p>
        </w:tc>
        <w:tc>
          <w:tcPr>
            <w:tcW w:w="1710" w:type="dxa"/>
            <w:shd w:val="clear" w:color="auto" w:fill="FFFFFF" w:themeFill="background1"/>
            <w:vAlign w:val="center"/>
          </w:tcPr>
          <w:p w14:paraId="77E9BDFC" w14:textId="3CCB5CAE" w:rsidR="00C04E0F" w:rsidRPr="00C04E0F" w:rsidRDefault="00C04E0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C04E0F">
              <w:rPr>
                <w:rFonts w:ascii="Calibri" w:eastAsia="Times New Roman" w:hAnsi="Calibri" w:cs="Calibri"/>
                <w:color w:val="000000"/>
                <w:sz w:val="18"/>
                <w:szCs w:val="18"/>
                <w:lang w:eastAsia="en-GB"/>
              </w:rPr>
              <w:t>1035 (820 to 1325)</w:t>
            </w:r>
          </w:p>
        </w:tc>
        <w:tc>
          <w:tcPr>
            <w:tcW w:w="1788" w:type="dxa"/>
            <w:shd w:val="clear" w:color="auto" w:fill="FFFFFF" w:themeFill="background1"/>
            <w:vAlign w:val="center"/>
          </w:tcPr>
          <w:p w14:paraId="5D2A62C8" w14:textId="60AF511B" w:rsidR="00C04E0F" w:rsidRPr="00C04E0F" w:rsidRDefault="00C04E0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C04E0F">
              <w:rPr>
                <w:rFonts w:ascii="Calibri" w:eastAsia="Times New Roman" w:hAnsi="Calibri" w:cs="Calibri"/>
                <w:color w:val="000000"/>
                <w:sz w:val="18"/>
                <w:szCs w:val="18"/>
                <w:lang w:eastAsia="en-GB"/>
              </w:rPr>
              <w:t>1085 (867 to 1382)</w:t>
            </w:r>
          </w:p>
        </w:tc>
        <w:tc>
          <w:tcPr>
            <w:tcW w:w="1788" w:type="dxa"/>
            <w:shd w:val="clear" w:color="auto" w:fill="FFFFFF" w:themeFill="background1"/>
            <w:vAlign w:val="center"/>
          </w:tcPr>
          <w:p w14:paraId="3E1C84C6" w14:textId="40C7671A" w:rsidR="00C04E0F" w:rsidRPr="00C04E0F" w:rsidRDefault="00C04E0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C04E0F">
              <w:rPr>
                <w:rFonts w:ascii="Calibri" w:eastAsia="Times New Roman" w:hAnsi="Calibri" w:cs="Calibri"/>
                <w:color w:val="000000"/>
                <w:sz w:val="18"/>
                <w:szCs w:val="18"/>
                <w:lang w:eastAsia="en-GB"/>
              </w:rPr>
              <w:t>1162 (962 to 1457)</w:t>
            </w:r>
          </w:p>
        </w:tc>
      </w:tr>
    </w:tbl>
    <w:p w14:paraId="4EC113C7" w14:textId="77777777" w:rsidR="0026714D" w:rsidRDefault="0026714D" w:rsidP="00643D87">
      <w:pPr>
        <w:rPr>
          <w:rFonts w:cstheme="minorHAnsi"/>
          <w:sz w:val="22"/>
          <w:szCs w:val="22"/>
        </w:rPr>
      </w:pPr>
    </w:p>
    <w:p w14:paraId="4F2BB821" w14:textId="77777777" w:rsidR="0026714D" w:rsidRDefault="0026714D" w:rsidP="00643D87">
      <w:pPr>
        <w:rPr>
          <w:rFonts w:cstheme="minorHAnsi"/>
          <w:sz w:val="22"/>
          <w:szCs w:val="22"/>
        </w:rPr>
      </w:pPr>
    </w:p>
    <w:p w14:paraId="4C9D7170" w14:textId="77777777" w:rsidR="0026714D" w:rsidRDefault="0026714D" w:rsidP="00643D87">
      <w:pPr>
        <w:rPr>
          <w:rFonts w:cstheme="minorHAnsi"/>
          <w:sz w:val="22"/>
          <w:szCs w:val="22"/>
        </w:rPr>
      </w:pPr>
    </w:p>
    <w:p w14:paraId="562F0564" w14:textId="318B0A01" w:rsidR="00643D87" w:rsidRPr="00BC6B2D" w:rsidRDefault="001837FF" w:rsidP="00643D87">
      <w:pPr>
        <w:rPr>
          <w:rFonts w:cstheme="minorHAnsi"/>
          <w:sz w:val="22"/>
          <w:szCs w:val="22"/>
        </w:rPr>
      </w:pPr>
      <w:r w:rsidRPr="00BC6B2D">
        <w:rPr>
          <w:rFonts w:cstheme="minorHAnsi"/>
          <w:sz w:val="22"/>
          <w:szCs w:val="22"/>
        </w:rPr>
        <w:t xml:space="preserve">Figure </w:t>
      </w:r>
      <w:r>
        <w:rPr>
          <w:rFonts w:cstheme="minorHAnsi"/>
          <w:sz w:val="22"/>
          <w:szCs w:val="22"/>
        </w:rPr>
        <w:t>S</w:t>
      </w:r>
      <w:r w:rsidR="00A45DD6">
        <w:rPr>
          <w:rFonts w:cstheme="minorHAnsi"/>
          <w:sz w:val="22"/>
          <w:szCs w:val="22"/>
        </w:rPr>
        <w:t>3</w:t>
      </w:r>
      <w:r>
        <w:rPr>
          <w:rFonts w:cstheme="minorHAnsi"/>
          <w:sz w:val="22"/>
          <w:szCs w:val="22"/>
        </w:rPr>
        <w:t xml:space="preserve">: Sensitivity of the number of vaccine doses needed to prevent one case of IPD (NVN) ratios between doses given as part of alternative introduction strategies (incremental). The dashed line shows the median ratio of NVN. The bars show the 95% credibility range of the joint distribution of the parameter posteriors and the linear regression model’s estimated coefficient. </w:t>
      </w:r>
    </w:p>
    <w:p w14:paraId="64EEB9B6" w14:textId="77777777" w:rsidR="00643D87" w:rsidRDefault="00643D87" w:rsidP="00643D87">
      <w:pPr>
        <w:rPr>
          <w:rFonts w:cstheme="minorHAnsi"/>
        </w:rPr>
      </w:pPr>
    </w:p>
    <w:p w14:paraId="35575E53" w14:textId="3CCB38AC" w:rsidR="00643D87" w:rsidRDefault="00C04E0F" w:rsidP="00643D87">
      <w:pPr>
        <w:rPr>
          <w:rFonts w:cstheme="minorHAnsi"/>
        </w:rPr>
      </w:pPr>
      <w:r>
        <w:rPr>
          <w:rFonts w:cstheme="minorHAnsi"/>
          <w:noProof/>
          <w:lang w:val="en-GB" w:eastAsia="en-GB"/>
        </w:rPr>
        <w:drawing>
          <wp:inline distT="0" distB="0" distL="0" distR="0" wp14:anchorId="5E7485D1" wp14:editId="1ED972E1">
            <wp:extent cx="5724525" cy="3009900"/>
            <wp:effectExtent l="0" t="0" r="0" b="0"/>
            <wp:docPr id="23" name="Picture 23" descr="H:\My Documents\_Projects\Flasche - GAVI PNC schedules\Code\Simulations\Sim1\FigureS1 routine vaccination vs U1 catch-up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My Documents\_Projects\Flasche - GAVI PNC schedules\Code\Simulations\Sim1\FigureS1 routine vaccination vs U1 catch-up .tif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4525" cy="3009900"/>
                    </a:xfrm>
                    <a:prstGeom prst="rect">
                      <a:avLst/>
                    </a:prstGeom>
                    <a:noFill/>
                    <a:ln>
                      <a:noFill/>
                    </a:ln>
                  </pic:spPr>
                </pic:pic>
              </a:graphicData>
            </a:graphic>
          </wp:inline>
        </w:drawing>
      </w:r>
    </w:p>
    <w:p w14:paraId="73CA5C82" w14:textId="392327A2" w:rsidR="00643D87" w:rsidRDefault="00C04E0F" w:rsidP="00643D87">
      <w:pPr>
        <w:rPr>
          <w:rFonts w:cstheme="minorHAnsi"/>
        </w:rPr>
      </w:pPr>
      <w:r>
        <w:rPr>
          <w:rFonts w:cstheme="minorHAnsi"/>
          <w:noProof/>
          <w:lang w:val="en-GB" w:eastAsia="en-GB"/>
        </w:rPr>
        <w:lastRenderedPageBreak/>
        <w:drawing>
          <wp:inline distT="0" distB="0" distL="0" distR="0" wp14:anchorId="79797C67" wp14:editId="661AABF6">
            <wp:extent cx="5724525" cy="3009900"/>
            <wp:effectExtent l="0" t="0" r="0" b="0"/>
            <wp:docPr id="24" name="Picture 24" descr="H:\My Documents\_Projects\Flasche - GAVI PNC schedules\Code\Simulations\Sim1\FigureS1 U1 catch-up vs U2 catch-up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My Documents\_Projects\Flasche - GAVI PNC schedules\Code\Simulations\Sim1\FigureS1 U1 catch-up vs U2 catch-up .tif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4525" cy="3009900"/>
                    </a:xfrm>
                    <a:prstGeom prst="rect">
                      <a:avLst/>
                    </a:prstGeom>
                    <a:noFill/>
                    <a:ln>
                      <a:noFill/>
                    </a:ln>
                  </pic:spPr>
                </pic:pic>
              </a:graphicData>
            </a:graphic>
          </wp:inline>
        </w:drawing>
      </w:r>
      <w:r>
        <w:rPr>
          <w:rFonts w:cstheme="minorHAnsi"/>
          <w:noProof/>
          <w:lang w:val="en-GB" w:eastAsia="en-GB"/>
        </w:rPr>
        <w:drawing>
          <wp:inline distT="0" distB="0" distL="0" distR="0" wp14:anchorId="6B43E63F" wp14:editId="39D81BFC">
            <wp:extent cx="5724525" cy="3009900"/>
            <wp:effectExtent l="0" t="0" r="0" b="0"/>
            <wp:docPr id="25" name="Picture 25" descr="H:\My Documents\_Projects\Flasche - GAVI PNC schedules\Code\Simulations\Sim1\FigureS1 U2 catch-up vs U5 catch-up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My Documents\_Projects\Flasche - GAVI PNC schedules\Code\Simulations\Sim1\FigureS1 U2 catch-up vs U5 catch-up .tif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4525" cy="3009900"/>
                    </a:xfrm>
                    <a:prstGeom prst="rect">
                      <a:avLst/>
                    </a:prstGeom>
                    <a:noFill/>
                    <a:ln>
                      <a:noFill/>
                    </a:ln>
                  </pic:spPr>
                </pic:pic>
              </a:graphicData>
            </a:graphic>
          </wp:inline>
        </w:drawing>
      </w:r>
    </w:p>
    <w:p w14:paraId="370321C7" w14:textId="77777777" w:rsidR="00B91431" w:rsidRDefault="00B91431" w:rsidP="00643D87">
      <w:pPr>
        <w:rPr>
          <w:rFonts w:cstheme="minorHAnsi"/>
        </w:rPr>
      </w:pPr>
    </w:p>
    <w:p w14:paraId="6B3D7971" w14:textId="31EF5308" w:rsidR="00B91431" w:rsidRDefault="00B91431">
      <w:pPr>
        <w:rPr>
          <w:rFonts w:cstheme="minorHAnsi"/>
        </w:rPr>
      </w:pPr>
      <w:r>
        <w:rPr>
          <w:rFonts w:cstheme="minorHAnsi"/>
        </w:rPr>
        <w:br w:type="page"/>
      </w:r>
    </w:p>
    <w:p w14:paraId="40A4AED1" w14:textId="3E0B832F" w:rsidR="00B91431" w:rsidRPr="00953864" w:rsidRDefault="00B91431" w:rsidP="00B91431">
      <w:pPr>
        <w:rPr>
          <w:rFonts w:cstheme="minorHAnsi"/>
          <w:sz w:val="22"/>
          <w:szCs w:val="22"/>
        </w:rPr>
      </w:pPr>
      <w:r>
        <w:rPr>
          <w:rFonts w:cstheme="minorHAnsi"/>
        </w:rPr>
        <w:lastRenderedPageBreak/>
        <w:t>Figure S</w:t>
      </w:r>
      <w:r w:rsidR="00A45DD6">
        <w:rPr>
          <w:rFonts w:cstheme="minorHAnsi"/>
        </w:rPr>
        <w:t>4</w:t>
      </w:r>
      <w:r>
        <w:rPr>
          <w:rFonts w:cstheme="minorHAnsi"/>
        </w:rPr>
        <w:t xml:space="preserve">: </w:t>
      </w:r>
      <w:r w:rsidRPr="00953864">
        <w:rPr>
          <w:rFonts w:cstheme="minorHAnsi"/>
          <w:sz w:val="22"/>
          <w:szCs w:val="22"/>
        </w:rPr>
        <w:t xml:space="preserve">The predicted number of IPD cases averted by PCV10 vaccination in </w:t>
      </w:r>
      <w:proofErr w:type="spellStart"/>
      <w:r w:rsidRPr="00953864">
        <w:rPr>
          <w:rFonts w:cstheme="minorHAnsi"/>
          <w:sz w:val="22"/>
          <w:szCs w:val="22"/>
        </w:rPr>
        <w:t>Kilifi</w:t>
      </w:r>
      <w:proofErr w:type="spellEnd"/>
      <w:r w:rsidRPr="00953864">
        <w:rPr>
          <w:rFonts w:cstheme="minorHAnsi"/>
          <w:sz w:val="22"/>
          <w:szCs w:val="22"/>
        </w:rPr>
        <w:t xml:space="preserve"> in respect to the number of doses administered</w:t>
      </w:r>
      <w:r>
        <w:rPr>
          <w:rFonts w:cstheme="minorHAnsi"/>
          <w:sz w:val="22"/>
          <w:szCs w:val="22"/>
        </w:rPr>
        <w:t xml:space="preserve"> for the sensitivity scenarios of 40%, 60% and 80% coverage (top to bottom)</w:t>
      </w:r>
      <w:r w:rsidRPr="00953864">
        <w:rPr>
          <w:rFonts w:cstheme="minorHAnsi"/>
          <w:sz w:val="22"/>
          <w:szCs w:val="22"/>
        </w:rPr>
        <w:t xml:space="preserve">. In the dose-efficacy plane (upper </w:t>
      </w:r>
      <w:proofErr w:type="gramStart"/>
      <w:r w:rsidRPr="00953864">
        <w:rPr>
          <w:rFonts w:cstheme="minorHAnsi"/>
          <w:sz w:val="22"/>
          <w:szCs w:val="22"/>
        </w:rPr>
        <w:t>panel)</w:t>
      </w:r>
      <w:proofErr w:type="gramEnd"/>
      <w:r w:rsidRPr="00953864">
        <w:rPr>
          <w:rFonts w:cstheme="minorHAnsi"/>
          <w:sz w:val="22"/>
          <w:szCs w:val="22"/>
        </w:rPr>
        <w:t xml:space="preserve"> the aggregated dose-efficiency of the alternative introduction strategies within 10 years after the start of vaccination is shown. </w:t>
      </w:r>
      <w:proofErr w:type="spellStart"/>
      <w:r w:rsidRPr="00953864">
        <w:rPr>
          <w:rFonts w:cstheme="minorHAnsi"/>
          <w:sz w:val="22"/>
          <w:szCs w:val="22"/>
        </w:rPr>
        <w:t>Coloured</w:t>
      </w:r>
      <w:proofErr w:type="spellEnd"/>
      <w:r w:rsidRPr="00953864">
        <w:rPr>
          <w:rFonts w:cstheme="minorHAnsi"/>
          <w:sz w:val="22"/>
          <w:szCs w:val="22"/>
        </w:rPr>
        <w:t xml:space="preserve"> dots and lines represent medians and 95% credible intervals (the number of doses administered </w:t>
      </w:r>
      <w:proofErr w:type="gramStart"/>
      <w:r w:rsidRPr="00953864">
        <w:rPr>
          <w:rFonts w:cstheme="minorHAnsi"/>
          <w:sz w:val="22"/>
          <w:szCs w:val="22"/>
        </w:rPr>
        <w:t>is fixed</w:t>
      </w:r>
      <w:proofErr w:type="gramEnd"/>
      <w:r w:rsidRPr="00953864">
        <w:rPr>
          <w:rFonts w:cstheme="minorHAnsi"/>
          <w:sz w:val="22"/>
          <w:szCs w:val="22"/>
        </w:rPr>
        <w:t xml:space="preserve"> as taken from the health register). In the lower </w:t>
      </w:r>
      <w:proofErr w:type="gramStart"/>
      <w:r w:rsidRPr="00953864">
        <w:rPr>
          <w:rFonts w:cstheme="minorHAnsi"/>
          <w:sz w:val="22"/>
          <w:szCs w:val="22"/>
        </w:rPr>
        <w:t>panel</w:t>
      </w:r>
      <w:proofErr w:type="gramEnd"/>
      <w:r w:rsidRPr="00953864">
        <w:rPr>
          <w:rFonts w:cstheme="minorHAnsi"/>
          <w:sz w:val="22"/>
          <w:szCs w:val="22"/>
        </w:rPr>
        <w:t xml:space="preserve"> the (incremental) number of doses needed to prevent one (additional) case of IPD. Figures for cohort vaccination alone and cohort vaccination in year 10 </w:t>
      </w:r>
      <w:proofErr w:type="gramStart"/>
      <w:r w:rsidRPr="00953864">
        <w:rPr>
          <w:rFonts w:cstheme="minorHAnsi"/>
          <w:sz w:val="22"/>
          <w:szCs w:val="22"/>
        </w:rPr>
        <w:t>are presented</w:t>
      </w:r>
      <w:proofErr w:type="gramEnd"/>
      <w:r w:rsidRPr="00953864">
        <w:rPr>
          <w:rFonts w:cstheme="minorHAnsi"/>
          <w:sz w:val="22"/>
          <w:szCs w:val="22"/>
        </w:rPr>
        <w:t xml:space="preserve"> as absolute values, the catch-up scenarios are presented as incremental values over the next smaller campaign. </w:t>
      </w:r>
    </w:p>
    <w:p w14:paraId="4D61A925" w14:textId="5D3E7894" w:rsidR="00B91431" w:rsidRDefault="00B91431" w:rsidP="00643D87">
      <w:pPr>
        <w:rPr>
          <w:rFonts w:cstheme="minorHAnsi"/>
        </w:rPr>
      </w:pPr>
    </w:p>
    <w:p w14:paraId="3E9156D5" w14:textId="77777777" w:rsidR="00B91431" w:rsidRDefault="00B91431" w:rsidP="00643D87">
      <w:pPr>
        <w:rPr>
          <w:rFonts w:cstheme="minorHAnsi"/>
        </w:rPr>
      </w:pPr>
    </w:p>
    <w:p w14:paraId="7C438254" w14:textId="185ADF02" w:rsidR="00B91431" w:rsidRDefault="00B91431" w:rsidP="00643D87">
      <w:pPr>
        <w:rPr>
          <w:rFonts w:cstheme="minorHAnsi"/>
        </w:rPr>
      </w:pPr>
      <w:r>
        <w:rPr>
          <w:rFonts w:cstheme="minorHAnsi"/>
        </w:rPr>
        <w:t xml:space="preserve"> </w:t>
      </w:r>
      <w:r w:rsidR="00C04E0F">
        <w:rPr>
          <w:rFonts w:cstheme="minorHAnsi"/>
          <w:noProof/>
          <w:lang w:val="en-GB" w:eastAsia="en-GB"/>
        </w:rPr>
        <w:drawing>
          <wp:inline distT="0" distB="0" distL="0" distR="0" wp14:anchorId="49D91DAD" wp14:editId="4B5F2B94">
            <wp:extent cx="3045600" cy="1792800"/>
            <wp:effectExtent l="0" t="0" r="0" b="0"/>
            <wp:docPr id="19" name="Picture 19" descr="H:\My Documents\_Projects\Flasche - GAVI PNC schedules\Code\Simulations\Sim_fixcov_40\Figure2a_doseBenefitPlan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My Documents\_Projects\Flasche - GAVI PNC schedules\Code\Simulations\Sim_fixcov_40\Figure2a_doseBenefitPlane.tif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5600" cy="1792800"/>
                    </a:xfrm>
                    <a:prstGeom prst="rect">
                      <a:avLst/>
                    </a:prstGeom>
                    <a:noFill/>
                    <a:ln>
                      <a:noFill/>
                    </a:ln>
                  </pic:spPr>
                </pic:pic>
              </a:graphicData>
            </a:graphic>
          </wp:inline>
        </w:drawing>
      </w:r>
    </w:p>
    <w:p w14:paraId="35DE0D81" w14:textId="732C5465" w:rsidR="00C04E0F" w:rsidRDefault="00C04E0F" w:rsidP="00643D87">
      <w:pPr>
        <w:rPr>
          <w:rFonts w:cstheme="minorHAnsi"/>
        </w:rPr>
      </w:pPr>
      <w:r>
        <w:rPr>
          <w:rFonts w:cstheme="minorHAnsi"/>
          <w:noProof/>
          <w:lang w:val="en-GB" w:eastAsia="en-GB"/>
        </w:rPr>
        <w:drawing>
          <wp:inline distT="0" distB="0" distL="0" distR="0" wp14:anchorId="171A9E07" wp14:editId="7D23A143">
            <wp:extent cx="3045600" cy="1792800"/>
            <wp:effectExtent l="0" t="0" r="0" b="0"/>
            <wp:docPr id="20" name="Picture 20" descr="H:\My Documents\_Projects\Flasche - GAVI PNC schedules\Code\Simulations\Sim_fixcov_60\Figure2a_doseBenefitPlan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My Documents\_Projects\Flasche - GAVI PNC schedules\Code\Simulations\Sim_fixcov_60\Figure2a_doseBenefitPlane.tif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5600" cy="1792800"/>
                    </a:xfrm>
                    <a:prstGeom prst="rect">
                      <a:avLst/>
                    </a:prstGeom>
                    <a:noFill/>
                    <a:ln>
                      <a:noFill/>
                    </a:ln>
                  </pic:spPr>
                </pic:pic>
              </a:graphicData>
            </a:graphic>
          </wp:inline>
        </w:drawing>
      </w:r>
    </w:p>
    <w:p w14:paraId="06AEAE8A" w14:textId="3BF7F13A" w:rsidR="00C04E0F" w:rsidRPr="00BC6B2D" w:rsidRDefault="00C04E0F" w:rsidP="00643D87">
      <w:pPr>
        <w:rPr>
          <w:rFonts w:cstheme="minorHAnsi"/>
        </w:rPr>
      </w:pPr>
      <w:r>
        <w:rPr>
          <w:rFonts w:cstheme="minorHAnsi"/>
          <w:noProof/>
          <w:lang w:val="en-GB" w:eastAsia="en-GB"/>
        </w:rPr>
        <w:drawing>
          <wp:inline distT="0" distB="0" distL="0" distR="0" wp14:anchorId="402AE999" wp14:editId="5008BEFD">
            <wp:extent cx="3045600" cy="1792800"/>
            <wp:effectExtent l="0" t="0" r="0" b="0"/>
            <wp:docPr id="22" name="Picture 22" descr="H:\My Documents\_Projects\Flasche - GAVI PNC schedules\Code\Simulations\Sim_fixcov_80\Figure2a_doseBenefitPlan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y Documents\_Projects\Flasche - GAVI PNC schedules\Code\Simulations\Sim_fixcov_80\Figure2a_doseBenefitPlane.tif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5600" cy="1792800"/>
                    </a:xfrm>
                    <a:prstGeom prst="rect">
                      <a:avLst/>
                    </a:prstGeom>
                    <a:noFill/>
                    <a:ln>
                      <a:noFill/>
                    </a:ln>
                  </pic:spPr>
                </pic:pic>
              </a:graphicData>
            </a:graphic>
          </wp:inline>
        </w:drawing>
      </w:r>
    </w:p>
    <w:sectPr w:rsidR="00C04E0F" w:rsidRPr="00BC6B2D" w:rsidSect="00643D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Lucida Grande">
    <w:altName w:val="Malgun Gothic"/>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40454"/>
    <w:multiLevelType w:val="multilevel"/>
    <w:tmpl w:val="925089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E05BC7"/>
    <w:multiLevelType w:val="hybridMultilevel"/>
    <w:tmpl w:val="CD5A7C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CA2"/>
    <w:rsid w:val="00024009"/>
    <w:rsid w:val="000323AE"/>
    <w:rsid w:val="000378E3"/>
    <w:rsid w:val="0006197B"/>
    <w:rsid w:val="0007158D"/>
    <w:rsid w:val="000A4DB6"/>
    <w:rsid w:val="000A7C52"/>
    <w:rsid w:val="000B451F"/>
    <w:rsid w:val="001435E7"/>
    <w:rsid w:val="00146A71"/>
    <w:rsid w:val="001837FF"/>
    <w:rsid w:val="001C1CA2"/>
    <w:rsid w:val="001E42E0"/>
    <w:rsid w:val="0026714D"/>
    <w:rsid w:val="0027712E"/>
    <w:rsid w:val="002B3C74"/>
    <w:rsid w:val="002C011A"/>
    <w:rsid w:val="002C6457"/>
    <w:rsid w:val="00306526"/>
    <w:rsid w:val="00346660"/>
    <w:rsid w:val="00346726"/>
    <w:rsid w:val="00372EA7"/>
    <w:rsid w:val="003B1B46"/>
    <w:rsid w:val="004124FF"/>
    <w:rsid w:val="00416D29"/>
    <w:rsid w:val="004322EA"/>
    <w:rsid w:val="004340DE"/>
    <w:rsid w:val="00495AB5"/>
    <w:rsid w:val="004E11E5"/>
    <w:rsid w:val="004E46C7"/>
    <w:rsid w:val="00502D94"/>
    <w:rsid w:val="005133BF"/>
    <w:rsid w:val="00523709"/>
    <w:rsid w:val="005340DB"/>
    <w:rsid w:val="005467F6"/>
    <w:rsid w:val="005B2D9B"/>
    <w:rsid w:val="005C185A"/>
    <w:rsid w:val="005F5F8B"/>
    <w:rsid w:val="00607285"/>
    <w:rsid w:val="00625466"/>
    <w:rsid w:val="00643D87"/>
    <w:rsid w:val="00674FA2"/>
    <w:rsid w:val="00683C0A"/>
    <w:rsid w:val="00692A7E"/>
    <w:rsid w:val="006A4465"/>
    <w:rsid w:val="006B6CDE"/>
    <w:rsid w:val="0071681D"/>
    <w:rsid w:val="00722BAB"/>
    <w:rsid w:val="00753577"/>
    <w:rsid w:val="00757F0C"/>
    <w:rsid w:val="00770484"/>
    <w:rsid w:val="00790DE3"/>
    <w:rsid w:val="00794438"/>
    <w:rsid w:val="007D5DDB"/>
    <w:rsid w:val="007E21B2"/>
    <w:rsid w:val="007F33A5"/>
    <w:rsid w:val="00826EA0"/>
    <w:rsid w:val="00833218"/>
    <w:rsid w:val="00861397"/>
    <w:rsid w:val="008904B3"/>
    <w:rsid w:val="0089358E"/>
    <w:rsid w:val="008A6C8D"/>
    <w:rsid w:val="008B276D"/>
    <w:rsid w:val="008E37DD"/>
    <w:rsid w:val="008E799F"/>
    <w:rsid w:val="008F736C"/>
    <w:rsid w:val="00902602"/>
    <w:rsid w:val="00915BFF"/>
    <w:rsid w:val="00916034"/>
    <w:rsid w:val="00945DAF"/>
    <w:rsid w:val="00986C8F"/>
    <w:rsid w:val="009A7250"/>
    <w:rsid w:val="009B5CF6"/>
    <w:rsid w:val="00A11C21"/>
    <w:rsid w:val="00A3590F"/>
    <w:rsid w:val="00A45DD6"/>
    <w:rsid w:val="00A61D3C"/>
    <w:rsid w:val="00A73A4E"/>
    <w:rsid w:val="00A80344"/>
    <w:rsid w:val="00A86A9E"/>
    <w:rsid w:val="00AE233D"/>
    <w:rsid w:val="00B215EB"/>
    <w:rsid w:val="00B32705"/>
    <w:rsid w:val="00B74D67"/>
    <w:rsid w:val="00B91431"/>
    <w:rsid w:val="00B96989"/>
    <w:rsid w:val="00BC2188"/>
    <w:rsid w:val="00BD3468"/>
    <w:rsid w:val="00C04E0F"/>
    <w:rsid w:val="00C54E34"/>
    <w:rsid w:val="00C84AF2"/>
    <w:rsid w:val="00C87F24"/>
    <w:rsid w:val="00CC46B7"/>
    <w:rsid w:val="00CD3C94"/>
    <w:rsid w:val="00CF277B"/>
    <w:rsid w:val="00CF79CC"/>
    <w:rsid w:val="00D03F88"/>
    <w:rsid w:val="00D2045C"/>
    <w:rsid w:val="00D416C0"/>
    <w:rsid w:val="00D52199"/>
    <w:rsid w:val="00D5229F"/>
    <w:rsid w:val="00DC08A8"/>
    <w:rsid w:val="00DE28F8"/>
    <w:rsid w:val="00DE6860"/>
    <w:rsid w:val="00E86CDE"/>
    <w:rsid w:val="00E93887"/>
    <w:rsid w:val="00EB547C"/>
    <w:rsid w:val="00EC152E"/>
    <w:rsid w:val="00F0617F"/>
    <w:rsid w:val="00F1303A"/>
    <w:rsid w:val="00F150D4"/>
    <w:rsid w:val="00F31356"/>
    <w:rsid w:val="00F9213C"/>
    <w:rsid w:val="00F94378"/>
    <w:rsid w:val="00FD064E"/>
    <w:rsid w:val="00FD0C1A"/>
    <w:rsid w:val="00FE5B0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C8CD"/>
  <w15:docId w15:val="{1EC4171C-AD91-48B0-927B-47BF03AD5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1C1CA2"/>
  </w:style>
  <w:style w:type="character" w:customStyle="1" w:styleId="CommentTextChar">
    <w:name w:val="Comment Text Char"/>
    <w:basedOn w:val="DefaultParagraphFont"/>
    <w:link w:val="CommentText"/>
    <w:uiPriority w:val="99"/>
    <w:rsid w:val="001C1CA2"/>
  </w:style>
  <w:style w:type="character" w:styleId="CommentReference">
    <w:name w:val="annotation reference"/>
    <w:basedOn w:val="DefaultParagraphFont"/>
    <w:uiPriority w:val="99"/>
    <w:semiHidden/>
    <w:unhideWhenUsed/>
    <w:rsid w:val="001C1CA2"/>
    <w:rPr>
      <w:sz w:val="18"/>
      <w:szCs w:val="18"/>
    </w:rPr>
  </w:style>
  <w:style w:type="paragraph" w:styleId="BalloonText">
    <w:name w:val="Balloon Text"/>
    <w:basedOn w:val="Normal"/>
    <w:link w:val="BalloonTextChar"/>
    <w:uiPriority w:val="99"/>
    <w:semiHidden/>
    <w:unhideWhenUsed/>
    <w:rsid w:val="001837FF"/>
    <w:rPr>
      <w:rFonts w:ascii="Lucida Grande" w:hAnsi="Lucida Grande"/>
      <w:sz w:val="18"/>
      <w:szCs w:val="18"/>
    </w:rPr>
  </w:style>
  <w:style w:type="character" w:customStyle="1" w:styleId="BalloonTextChar">
    <w:name w:val="Balloon Text Char"/>
    <w:basedOn w:val="DefaultParagraphFont"/>
    <w:link w:val="BalloonText"/>
    <w:uiPriority w:val="99"/>
    <w:semiHidden/>
    <w:rsid w:val="001837FF"/>
    <w:rPr>
      <w:rFonts w:ascii="Lucida Grande" w:hAnsi="Lucida Grande"/>
      <w:sz w:val="18"/>
      <w:szCs w:val="18"/>
    </w:rPr>
  </w:style>
  <w:style w:type="character" w:styleId="LineNumber">
    <w:name w:val="line number"/>
    <w:basedOn w:val="DefaultParagraphFont"/>
    <w:uiPriority w:val="99"/>
    <w:semiHidden/>
    <w:unhideWhenUsed/>
    <w:rsid w:val="001837FF"/>
  </w:style>
  <w:style w:type="paragraph" w:styleId="CommentSubject">
    <w:name w:val="annotation subject"/>
    <w:basedOn w:val="CommentText"/>
    <w:next w:val="CommentText"/>
    <w:link w:val="CommentSubjectChar"/>
    <w:uiPriority w:val="99"/>
    <w:semiHidden/>
    <w:unhideWhenUsed/>
    <w:rsid w:val="00CD3C94"/>
    <w:rPr>
      <w:b/>
      <w:bCs/>
      <w:sz w:val="20"/>
      <w:szCs w:val="20"/>
    </w:rPr>
  </w:style>
  <w:style w:type="character" w:customStyle="1" w:styleId="CommentSubjectChar">
    <w:name w:val="Comment Subject Char"/>
    <w:basedOn w:val="CommentTextChar"/>
    <w:link w:val="CommentSubject"/>
    <w:uiPriority w:val="99"/>
    <w:semiHidden/>
    <w:rsid w:val="00CD3C94"/>
    <w:rPr>
      <w:b/>
      <w:bCs/>
      <w:sz w:val="20"/>
      <w:szCs w:val="20"/>
    </w:rPr>
  </w:style>
  <w:style w:type="table" w:styleId="TableGrid">
    <w:name w:val="Table Grid"/>
    <w:basedOn w:val="TableNormal"/>
    <w:uiPriority w:val="59"/>
    <w:rsid w:val="005C18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99"/>
    <w:rsid w:val="009A725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8058">
      <w:bodyDiv w:val="1"/>
      <w:marLeft w:val="0"/>
      <w:marRight w:val="0"/>
      <w:marTop w:val="0"/>
      <w:marBottom w:val="0"/>
      <w:divBdr>
        <w:top w:val="none" w:sz="0" w:space="0" w:color="auto"/>
        <w:left w:val="none" w:sz="0" w:space="0" w:color="auto"/>
        <w:bottom w:val="none" w:sz="0" w:space="0" w:color="auto"/>
        <w:right w:val="none" w:sz="0" w:space="0" w:color="auto"/>
      </w:divBdr>
    </w:div>
    <w:div w:id="62224411">
      <w:bodyDiv w:val="1"/>
      <w:marLeft w:val="0"/>
      <w:marRight w:val="0"/>
      <w:marTop w:val="0"/>
      <w:marBottom w:val="0"/>
      <w:divBdr>
        <w:top w:val="none" w:sz="0" w:space="0" w:color="auto"/>
        <w:left w:val="none" w:sz="0" w:space="0" w:color="auto"/>
        <w:bottom w:val="none" w:sz="0" w:space="0" w:color="auto"/>
        <w:right w:val="none" w:sz="0" w:space="0" w:color="auto"/>
      </w:divBdr>
    </w:div>
    <w:div w:id="143739569">
      <w:bodyDiv w:val="1"/>
      <w:marLeft w:val="0"/>
      <w:marRight w:val="0"/>
      <w:marTop w:val="0"/>
      <w:marBottom w:val="0"/>
      <w:divBdr>
        <w:top w:val="none" w:sz="0" w:space="0" w:color="auto"/>
        <w:left w:val="none" w:sz="0" w:space="0" w:color="auto"/>
        <w:bottom w:val="none" w:sz="0" w:space="0" w:color="auto"/>
        <w:right w:val="none" w:sz="0" w:space="0" w:color="auto"/>
      </w:divBdr>
    </w:div>
    <w:div w:id="195318529">
      <w:bodyDiv w:val="1"/>
      <w:marLeft w:val="0"/>
      <w:marRight w:val="0"/>
      <w:marTop w:val="0"/>
      <w:marBottom w:val="0"/>
      <w:divBdr>
        <w:top w:val="none" w:sz="0" w:space="0" w:color="auto"/>
        <w:left w:val="none" w:sz="0" w:space="0" w:color="auto"/>
        <w:bottom w:val="none" w:sz="0" w:space="0" w:color="auto"/>
        <w:right w:val="none" w:sz="0" w:space="0" w:color="auto"/>
      </w:divBdr>
    </w:div>
    <w:div w:id="256600756">
      <w:bodyDiv w:val="1"/>
      <w:marLeft w:val="0"/>
      <w:marRight w:val="0"/>
      <w:marTop w:val="0"/>
      <w:marBottom w:val="0"/>
      <w:divBdr>
        <w:top w:val="none" w:sz="0" w:space="0" w:color="auto"/>
        <w:left w:val="none" w:sz="0" w:space="0" w:color="auto"/>
        <w:bottom w:val="none" w:sz="0" w:space="0" w:color="auto"/>
        <w:right w:val="none" w:sz="0" w:space="0" w:color="auto"/>
      </w:divBdr>
    </w:div>
    <w:div w:id="477839157">
      <w:bodyDiv w:val="1"/>
      <w:marLeft w:val="0"/>
      <w:marRight w:val="0"/>
      <w:marTop w:val="0"/>
      <w:marBottom w:val="0"/>
      <w:divBdr>
        <w:top w:val="none" w:sz="0" w:space="0" w:color="auto"/>
        <w:left w:val="none" w:sz="0" w:space="0" w:color="auto"/>
        <w:bottom w:val="none" w:sz="0" w:space="0" w:color="auto"/>
        <w:right w:val="none" w:sz="0" w:space="0" w:color="auto"/>
      </w:divBdr>
    </w:div>
    <w:div w:id="597642719">
      <w:bodyDiv w:val="1"/>
      <w:marLeft w:val="0"/>
      <w:marRight w:val="0"/>
      <w:marTop w:val="0"/>
      <w:marBottom w:val="0"/>
      <w:divBdr>
        <w:top w:val="none" w:sz="0" w:space="0" w:color="auto"/>
        <w:left w:val="none" w:sz="0" w:space="0" w:color="auto"/>
        <w:bottom w:val="none" w:sz="0" w:space="0" w:color="auto"/>
        <w:right w:val="none" w:sz="0" w:space="0" w:color="auto"/>
      </w:divBdr>
    </w:div>
    <w:div w:id="1158112742">
      <w:bodyDiv w:val="1"/>
      <w:marLeft w:val="0"/>
      <w:marRight w:val="0"/>
      <w:marTop w:val="0"/>
      <w:marBottom w:val="0"/>
      <w:divBdr>
        <w:top w:val="none" w:sz="0" w:space="0" w:color="auto"/>
        <w:left w:val="none" w:sz="0" w:space="0" w:color="auto"/>
        <w:bottom w:val="none" w:sz="0" w:space="0" w:color="auto"/>
        <w:right w:val="none" w:sz="0" w:space="0" w:color="auto"/>
      </w:divBdr>
    </w:div>
    <w:div w:id="1191147707">
      <w:bodyDiv w:val="1"/>
      <w:marLeft w:val="0"/>
      <w:marRight w:val="0"/>
      <w:marTop w:val="0"/>
      <w:marBottom w:val="0"/>
      <w:divBdr>
        <w:top w:val="none" w:sz="0" w:space="0" w:color="auto"/>
        <w:left w:val="none" w:sz="0" w:space="0" w:color="auto"/>
        <w:bottom w:val="none" w:sz="0" w:space="0" w:color="auto"/>
        <w:right w:val="none" w:sz="0" w:space="0" w:color="auto"/>
      </w:divBdr>
    </w:div>
    <w:div w:id="1320815304">
      <w:bodyDiv w:val="1"/>
      <w:marLeft w:val="0"/>
      <w:marRight w:val="0"/>
      <w:marTop w:val="0"/>
      <w:marBottom w:val="0"/>
      <w:divBdr>
        <w:top w:val="none" w:sz="0" w:space="0" w:color="auto"/>
        <w:left w:val="none" w:sz="0" w:space="0" w:color="auto"/>
        <w:bottom w:val="none" w:sz="0" w:space="0" w:color="auto"/>
        <w:right w:val="none" w:sz="0" w:space="0" w:color="auto"/>
      </w:divBdr>
    </w:div>
    <w:div w:id="1388257853">
      <w:bodyDiv w:val="1"/>
      <w:marLeft w:val="0"/>
      <w:marRight w:val="0"/>
      <w:marTop w:val="0"/>
      <w:marBottom w:val="0"/>
      <w:divBdr>
        <w:top w:val="none" w:sz="0" w:space="0" w:color="auto"/>
        <w:left w:val="none" w:sz="0" w:space="0" w:color="auto"/>
        <w:bottom w:val="none" w:sz="0" w:space="0" w:color="auto"/>
        <w:right w:val="none" w:sz="0" w:space="0" w:color="auto"/>
      </w:divBdr>
    </w:div>
    <w:div w:id="1457063649">
      <w:bodyDiv w:val="1"/>
      <w:marLeft w:val="0"/>
      <w:marRight w:val="0"/>
      <w:marTop w:val="0"/>
      <w:marBottom w:val="0"/>
      <w:divBdr>
        <w:top w:val="none" w:sz="0" w:space="0" w:color="auto"/>
        <w:left w:val="none" w:sz="0" w:space="0" w:color="auto"/>
        <w:bottom w:val="none" w:sz="0" w:space="0" w:color="auto"/>
        <w:right w:val="none" w:sz="0" w:space="0" w:color="auto"/>
      </w:divBdr>
    </w:div>
    <w:div w:id="1491559740">
      <w:bodyDiv w:val="1"/>
      <w:marLeft w:val="0"/>
      <w:marRight w:val="0"/>
      <w:marTop w:val="0"/>
      <w:marBottom w:val="0"/>
      <w:divBdr>
        <w:top w:val="none" w:sz="0" w:space="0" w:color="auto"/>
        <w:left w:val="none" w:sz="0" w:space="0" w:color="auto"/>
        <w:bottom w:val="none" w:sz="0" w:space="0" w:color="auto"/>
        <w:right w:val="none" w:sz="0" w:space="0" w:color="auto"/>
      </w:divBdr>
    </w:div>
    <w:div w:id="1501038861">
      <w:bodyDiv w:val="1"/>
      <w:marLeft w:val="0"/>
      <w:marRight w:val="0"/>
      <w:marTop w:val="0"/>
      <w:marBottom w:val="0"/>
      <w:divBdr>
        <w:top w:val="none" w:sz="0" w:space="0" w:color="auto"/>
        <w:left w:val="none" w:sz="0" w:space="0" w:color="auto"/>
        <w:bottom w:val="none" w:sz="0" w:space="0" w:color="auto"/>
        <w:right w:val="none" w:sz="0" w:space="0" w:color="auto"/>
      </w:divBdr>
    </w:div>
    <w:div w:id="1521628763">
      <w:bodyDiv w:val="1"/>
      <w:marLeft w:val="0"/>
      <w:marRight w:val="0"/>
      <w:marTop w:val="0"/>
      <w:marBottom w:val="0"/>
      <w:divBdr>
        <w:top w:val="none" w:sz="0" w:space="0" w:color="auto"/>
        <w:left w:val="none" w:sz="0" w:space="0" w:color="auto"/>
        <w:bottom w:val="none" w:sz="0" w:space="0" w:color="auto"/>
        <w:right w:val="none" w:sz="0" w:space="0" w:color="auto"/>
      </w:divBdr>
    </w:div>
    <w:div w:id="1667174744">
      <w:bodyDiv w:val="1"/>
      <w:marLeft w:val="0"/>
      <w:marRight w:val="0"/>
      <w:marTop w:val="0"/>
      <w:marBottom w:val="0"/>
      <w:divBdr>
        <w:top w:val="none" w:sz="0" w:space="0" w:color="auto"/>
        <w:left w:val="none" w:sz="0" w:space="0" w:color="auto"/>
        <w:bottom w:val="none" w:sz="0" w:space="0" w:color="auto"/>
        <w:right w:val="none" w:sz="0" w:space="0" w:color="auto"/>
      </w:divBdr>
    </w:div>
    <w:div w:id="1704213137">
      <w:bodyDiv w:val="1"/>
      <w:marLeft w:val="0"/>
      <w:marRight w:val="0"/>
      <w:marTop w:val="0"/>
      <w:marBottom w:val="0"/>
      <w:divBdr>
        <w:top w:val="none" w:sz="0" w:space="0" w:color="auto"/>
        <w:left w:val="none" w:sz="0" w:space="0" w:color="auto"/>
        <w:bottom w:val="none" w:sz="0" w:space="0" w:color="auto"/>
        <w:right w:val="none" w:sz="0" w:space="0" w:color="auto"/>
      </w:divBdr>
    </w:div>
    <w:div w:id="1741825824">
      <w:bodyDiv w:val="1"/>
      <w:marLeft w:val="0"/>
      <w:marRight w:val="0"/>
      <w:marTop w:val="0"/>
      <w:marBottom w:val="0"/>
      <w:divBdr>
        <w:top w:val="none" w:sz="0" w:space="0" w:color="auto"/>
        <w:left w:val="none" w:sz="0" w:space="0" w:color="auto"/>
        <w:bottom w:val="none" w:sz="0" w:space="0" w:color="auto"/>
        <w:right w:val="none" w:sz="0" w:space="0" w:color="auto"/>
      </w:divBdr>
    </w:div>
    <w:div w:id="1788502601">
      <w:bodyDiv w:val="1"/>
      <w:marLeft w:val="0"/>
      <w:marRight w:val="0"/>
      <w:marTop w:val="0"/>
      <w:marBottom w:val="0"/>
      <w:divBdr>
        <w:top w:val="none" w:sz="0" w:space="0" w:color="auto"/>
        <w:left w:val="none" w:sz="0" w:space="0" w:color="auto"/>
        <w:bottom w:val="none" w:sz="0" w:space="0" w:color="auto"/>
        <w:right w:val="none" w:sz="0" w:space="0" w:color="auto"/>
      </w:divBdr>
    </w:div>
    <w:div w:id="1794596284">
      <w:bodyDiv w:val="1"/>
      <w:marLeft w:val="0"/>
      <w:marRight w:val="0"/>
      <w:marTop w:val="0"/>
      <w:marBottom w:val="0"/>
      <w:divBdr>
        <w:top w:val="none" w:sz="0" w:space="0" w:color="auto"/>
        <w:left w:val="none" w:sz="0" w:space="0" w:color="auto"/>
        <w:bottom w:val="none" w:sz="0" w:space="0" w:color="auto"/>
        <w:right w:val="none" w:sz="0" w:space="0" w:color="auto"/>
      </w:divBdr>
    </w:div>
    <w:div w:id="1810439704">
      <w:bodyDiv w:val="1"/>
      <w:marLeft w:val="0"/>
      <w:marRight w:val="0"/>
      <w:marTop w:val="0"/>
      <w:marBottom w:val="0"/>
      <w:divBdr>
        <w:top w:val="none" w:sz="0" w:space="0" w:color="auto"/>
        <w:left w:val="none" w:sz="0" w:space="0" w:color="auto"/>
        <w:bottom w:val="none" w:sz="0" w:space="0" w:color="auto"/>
        <w:right w:val="none" w:sz="0" w:space="0" w:color="auto"/>
      </w:divBdr>
    </w:div>
    <w:div w:id="1977182048">
      <w:bodyDiv w:val="1"/>
      <w:marLeft w:val="0"/>
      <w:marRight w:val="0"/>
      <w:marTop w:val="0"/>
      <w:marBottom w:val="0"/>
      <w:divBdr>
        <w:top w:val="none" w:sz="0" w:space="0" w:color="auto"/>
        <w:left w:val="none" w:sz="0" w:space="0" w:color="auto"/>
        <w:bottom w:val="none" w:sz="0" w:space="0" w:color="auto"/>
        <w:right w:val="none" w:sz="0" w:space="0" w:color="auto"/>
      </w:divBdr>
    </w:div>
    <w:div w:id="2015843276">
      <w:bodyDiv w:val="1"/>
      <w:marLeft w:val="0"/>
      <w:marRight w:val="0"/>
      <w:marTop w:val="0"/>
      <w:marBottom w:val="0"/>
      <w:divBdr>
        <w:top w:val="none" w:sz="0" w:space="0" w:color="auto"/>
        <w:left w:val="none" w:sz="0" w:space="0" w:color="auto"/>
        <w:bottom w:val="none" w:sz="0" w:space="0" w:color="auto"/>
        <w:right w:val="none" w:sz="0" w:space="0" w:color="auto"/>
      </w:divBdr>
    </w:div>
    <w:div w:id="2072846494">
      <w:bodyDiv w:val="1"/>
      <w:marLeft w:val="0"/>
      <w:marRight w:val="0"/>
      <w:marTop w:val="0"/>
      <w:marBottom w:val="0"/>
      <w:divBdr>
        <w:top w:val="none" w:sz="0" w:space="0" w:color="auto"/>
        <w:left w:val="none" w:sz="0" w:space="0" w:color="auto"/>
        <w:bottom w:val="none" w:sz="0" w:space="0" w:color="auto"/>
        <w:right w:val="none" w:sz="0" w:space="0" w:color="auto"/>
      </w:divBdr>
    </w:div>
    <w:div w:id="2074771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tiff"/><Relationship Id="rId2" Type="http://schemas.openxmlformats.org/officeDocument/2006/relationships/numbering" Target="numbering.xml"/><Relationship Id="rId16" Type="http://schemas.openxmlformats.org/officeDocument/2006/relationships/image" Target="media/image11.tiff"/><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webSettings" Target="webSettings.xml"/><Relationship Id="rId15" Type="http://schemas.openxmlformats.org/officeDocument/2006/relationships/image" Target="media/image10.tiff"/><Relationship Id="rId10" Type="http://schemas.openxmlformats.org/officeDocument/2006/relationships/image" Target="media/image5.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62F0E-D210-486B-87DB-BB0ED525A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610</Words>
  <Characters>3479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Flasche</dc:creator>
  <cp:lastModifiedBy>Stefan Flasche</cp:lastModifiedBy>
  <cp:revision>3</cp:revision>
  <dcterms:created xsi:type="dcterms:W3CDTF">2017-05-02T08:26:00Z</dcterms:created>
  <dcterms:modified xsi:type="dcterms:W3CDTF">2017-05-02T08:27:00Z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http://www.zotero.org/styles/bmc-medicine</vt:lpwstr>
  </property>
  <property fmtid="{D5CDD505-2E9C-101B-9397-08002B2CF9AE}" pid="4" name="Mendeley Recent Style Id 0_1">
    <vt:lpwstr>http://csl.mendeley.com/styles/2247371/american-journal-of-epidemiology</vt:lpwstr>
  </property>
  <property fmtid="{D5CDD505-2E9C-101B-9397-08002B2CF9AE}" pid="5" name="Mendeley Recent Style Name 0_1">
    <vt:lpwstr>American Journal of Epidemiology - Stefan Flasche</vt:lpwstr>
  </property>
  <property fmtid="{D5CDD505-2E9C-101B-9397-08002B2CF9AE}" pid="6" name="Mendeley Recent Style Id 1_1">
    <vt:lpwstr>http://www.zotero.org/styles/bmc-infectious-diseases</vt:lpwstr>
  </property>
  <property fmtid="{D5CDD505-2E9C-101B-9397-08002B2CF9AE}" pid="7" name="Mendeley Recent Style Name 1_1">
    <vt:lpwstr>BMC Infectious Diseases</vt:lpwstr>
  </property>
  <property fmtid="{D5CDD505-2E9C-101B-9397-08002B2CF9AE}" pid="8" name="Mendeley Recent Style Id 2_1">
    <vt:lpwstr>http://www.zotero.org/styles/bmc-medicine</vt:lpwstr>
  </property>
  <property fmtid="{D5CDD505-2E9C-101B-9397-08002B2CF9AE}" pid="9" name="Mendeley Recent Style Name 2_1">
    <vt:lpwstr>BMC Medicine</vt:lpwstr>
  </property>
  <property fmtid="{D5CDD505-2E9C-101B-9397-08002B2CF9AE}" pid="10" name="Mendeley Recent Style Id 3_1">
    <vt:lpwstr>http://www.zotero.org/styles/bmj</vt:lpwstr>
  </property>
  <property fmtid="{D5CDD505-2E9C-101B-9397-08002B2CF9AE}" pid="11" name="Mendeley Recent Style Name 3_1">
    <vt:lpwstr>BMJ</vt:lpwstr>
  </property>
  <property fmtid="{D5CDD505-2E9C-101B-9397-08002B2CF9AE}" pid="12" name="Mendeley Recent Style Id 4_1">
    <vt:lpwstr>http://www.zotero.org/styles/emerging-infectious-diseases</vt:lpwstr>
  </property>
  <property fmtid="{D5CDD505-2E9C-101B-9397-08002B2CF9AE}" pid="13" name="Mendeley Recent Style Name 4_1">
    <vt:lpwstr>Emerging Infectious Diseases</vt:lpwstr>
  </property>
  <property fmtid="{D5CDD505-2E9C-101B-9397-08002B2CF9AE}" pid="14" name="Mendeley Recent Style Id 5_1">
    <vt:lpwstr>http://www.zotero.org/styles/plos-medicine</vt:lpwstr>
  </property>
  <property fmtid="{D5CDD505-2E9C-101B-9397-08002B2CF9AE}" pid="15" name="Mendeley Recent Style Name 5_1">
    <vt:lpwstr>PLOS Medicine</vt:lpwstr>
  </property>
  <property fmtid="{D5CDD505-2E9C-101B-9397-08002B2CF9AE}" pid="16" name="Mendeley Recent Style Id 6_1">
    <vt:lpwstr>http://www.zotero.org/styles/proceedings-of-the-royal-society-b</vt:lpwstr>
  </property>
  <property fmtid="{D5CDD505-2E9C-101B-9397-08002B2CF9AE}" pid="17" name="Mendeley Recent Style Name 6_1">
    <vt:lpwstr>Proceedings of the Royal Society B</vt:lpwstr>
  </property>
  <property fmtid="{D5CDD505-2E9C-101B-9397-08002B2CF9AE}" pid="18" name="Mendeley Recent Style Id 7_1">
    <vt:lpwstr>http://www.zotero.org/styles/plos</vt:lpwstr>
  </property>
  <property fmtid="{D5CDD505-2E9C-101B-9397-08002B2CF9AE}" pid="19" name="Mendeley Recent Style Name 7_1">
    <vt:lpwstr>Public Library of Science</vt:lpwstr>
  </property>
  <property fmtid="{D5CDD505-2E9C-101B-9397-08002B2CF9AE}" pid="20" name="Mendeley Recent Style Id 8_1">
    <vt:lpwstr>http://csl.mendeley.com/styles/2247371/plos-steftest</vt:lpwstr>
  </property>
  <property fmtid="{D5CDD505-2E9C-101B-9397-08002B2CF9AE}" pid="21" name="Mendeley Recent Style Name 8_1">
    <vt:lpwstr>Public Library of Science - Stefan Flasche test</vt:lpwstr>
  </property>
  <property fmtid="{D5CDD505-2E9C-101B-9397-08002B2CF9AE}" pid="22" name="Mendeley Recent Style Id 9_1">
    <vt:lpwstr>http://csl.mendeley.com/styles/2247371/SuperShort-SF</vt:lpwstr>
  </property>
  <property fmtid="{D5CDD505-2E9C-101B-9397-08002B2CF9AE}" pid="23" name="Mendeley Recent Style Name 9_1">
    <vt:lpwstr>SuperShort-SF</vt:lpwstr>
  </property>
  <property fmtid="{D5CDD505-2E9C-101B-9397-08002B2CF9AE}" pid="24" name="Mendeley Unique User Id_1">
    <vt:lpwstr>2ea4ecaa-afce-3232-9a56-b007907edeb3</vt:lpwstr>
  </property>
</Properties>
</file>