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47" w:rsidRDefault="00C30BA6" w:rsidP="00446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Additional file 1</w:t>
      </w:r>
    </w:p>
    <w:p w:rsidR="00D164CC" w:rsidRPr="009F2F83" w:rsidRDefault="00D164CC" w:rsidP="00446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446F47" w:rsidRPr="009F2F83" w:rsidRDefault="00446F47" w:rsidP="00446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D164CC" w:rsidRPr="00846494" w:rsidRDefault="00D164CC" w:rsidP="00D16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846494">
        <w:rPr>
          <w:rFonts w:ascii="Arial" w:hAnsi="Arial" w:cs="Arial"/>
          <w:b/>
          <w:sz w:val="20"/>
          <w:szCs w:val="20"/>
          <w:lang w:val="en-US"/>
        </w:rPr>
        <w:t xml:space="preserve">Table S1. </w:t>
      </w:r>
      <w:r w:rsidRPr="0084649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Sensitivity analysis comparing the complete case hazard ratio (HR) and the multiple imputation </w:t>
      </w:r>
      <w:r w:rsidR="00FE0E98">
        <w:rPr>
          <w:rFonts w:ascii="Arial" w:hAnsi="Arial" w:cs="Arial"/>
          <w:color w:val="000000" w:themeColor="text1"/>
          <w:sz w:val="20"/>
          <w:szCs w:val="20"/>
          <w:lang w:val="en-US"/>
        </w:rPr>
        <w:t>HR</w:t>
      </w:r>
      <w:r w:rsidR="007C27E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46494">
        <w:rPr>
          <w:rFonts w:ascii="Arial" w:hAnsi="Arial" w:cs="Arial"/>
          <w:color w:val="000000" w:themeColor="text1"/>
          <w:sz w:val="20"/>
          <w:szCs w:val="20"/>
          <w:lang w:val="en-US"/>
        </w:rPr>
        <w:t>for</w:t>
      </w:r>
      <w:r w:rsidR="00F3589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the association between LN yield ≥10 vs</w:t>
      </w:r>
      <w:r w:rsidR="00FE0E98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F3589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&lt;10</w:t>
      </w:r>
      <w:r w:rsidRPr="0084649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F3589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</w:t>
      </w:r>
      <w:r w:rsidRPr="0084649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primary outcome recurrent cancer </w:t>
      </w:r>
      <w:bookmarkStart w:id="0" w:name="_GoBack"/>
      <w:bookmarkEnd w:id="0"/>
    </w:p>
    <w:p w:rsidR="00D164CC" w:rsidRPr="00846494" w:rsidRDefault="00D164CC" w:rsidP="00D164C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19"/>
        <w:gridCol w:w="1841"/>
        <w:gridCol w:w="1809"/>
      </w:tblGrid>
      <w:tr w:rsidR="00D164CC" w:rsidRPr="00FE0E98" w:rsidTr="00CD4099">
        <w:trPr>
          <w:trHeight w:val="525"/>
        </w:trPr>
        <w:tc>
          <w:tcPr>
            <w:tcW w:w="2271" w:type="pct"/>
            <w:tcBorders>
              <w:top w:val="single" w:sz="4" w:space="0" w:color="auto"/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846494">
              <w:rPr>
                <w:rFonts w:ascii="Arial" w:hAnsi="Arial" w:cs="Arial"/>
                <w:b/>
                <w:szCs w:val="20"/>
                <w:lang w:val="en-US"/>
              </w:rPr>
              <w:t>% of complete cases</w:t>
            </w:r>
          </w:p>
        </w:tc>
        <w:tc>
          <w:tcPr>
            <w:tcW w:w="991" w:type="pct"/>
            <w:tcBorders>
              <w:top w:val="single" w:sz="4" w:space="0" w:color="auto"/>
              <w:bottom w:val="single" w:sz="4" w:space="0" w:color="auto"/>
            </w:tcBorders>
          </w:tcPr>
          <w:p w:rsidR="00D164CC" w:rsidRPr="00846494" w:rsidRDefault="00D164CC" w:rsidP="00FE0E98">
            <w:pPr>
              <w:pStyle w:val="PlainText"/>
              <w:spacing w:line="36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846494">
              <w:rPr>
                <w:rFonts w:ascii="Arial" w:hAnsi="Arial" w:cs="Arial"/>
                <w:b/>
                <w:szCs w:val="20"/>
                <w:lang w:val="en-US"/>
              </w:rPr>
              <w:t>Multiple imputation HR</w:t>
            </w:r>
          </w:p>
        </w:tc>
        <w:tc>
          <w:tcPr>
            <w:tcW w:w="974" w:type="pct"/>
            <w:tcBorders>
              <w:top w:val="single" w:sz="4" w:space="0" w:color="auto"/>
              <w:bottom w:val="single" w:sz="4" w:space="0" w:color="auto"/>
            </w:tcBorders>
          </w:tcPr>
          <w:p w:rsidR="00D164CC" w:rsidRPr="00846494" w:rsidRDefault="00D164CC" w:rsidP="00FE0E98">
            <w:pPr>
              <w:pStyle w:val="PlainText"/>
              <w:spacing w:line="360" w:lineRule="auto"/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846494">
              <w:rPr>
                <w:rFonts w:ascii="Arial" w:hAnsi="Arial" w:cs="Arial"/>
                <w:b/>
                <w:szCs w:val="20"/>
                <w:lang w:val="en-US"/>
              </w:rPr>
              <w:t>Complete case HR</w:t>
            </w:r>
          </w:p>
        </w:tc>
      </w:tr>
      <w:tr w:rsidR="00D164CC" w:rsidRPr="00846494" w:rsidTr="00CD4099">
        <w:tc>
          <w:tcPr>
            <w:tcW w:w="2271" w:type="pct"/>
          </w:tcPr>
          <w:p w:rsidR="00D164CC" w:rsidRPr="00846494" w:rsidRDefault="00D164CC" w:rsidP="00D164CC">
            <w:pPr>
              <w:pStyle w:val="PlainText"/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Unadjusted</w:t>
            </w:r>
          </w:p>
        </w:tc>
        <w:tc>
          <w:tcPr>
            <w:tcW w:w="764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100%</w:t>
            </w:r>
          </w:p>
        </w:tc>
        <w:tc>
          <w:tcPr>
            <w:tcW w:w="991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0.27</w:t>
            </w:r>
          </w:p>
        </w:tc>
        <w:tc>
          <w:tcPr>
            <w:tcW w:w="974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0.27</w:t>
            </w:r>
          </w:p>
        </w:tc>
      </w:tr>
      <w:tr w:rsidR="00D164CC" w:rsidRPr="00846494" w:rsidTr="00CD4099">
        <w:tc>
          <w:tcPr>
            <w:tcW w:w="2271" w:type="pct"/>
          </w:tcPr>
          <w:p w:rsidR="00D164CC" w:rsidRPr="00846494" w:rsidRDefault="00D164CC" w:rsidP="00D164CC">
            <w:pPr>
              <w:pStyle w:val="PlainText"/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 xml:space="preserve">Adjusted for clinical factors </w:t>
            </w:r>
            <w:r w:rsidRPr="00846494">
              <w:rPr>
                <w:rFonts w:ascii="Arial" w:hAnsi="Arial" w:cs="Arial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764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88%</w:t>
            </w:r>
          </w:p>
        </w:tc>
        <w:tc>
          <w:tcPr>
            <w:tcW w:w="991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0.19</w:t>
            </w:r>
          </w:p>
        </w:tc>
        <w:tc>
          <w:tcPr>
            <w:tcW w:w="974" w:type="pct"/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0.23</w:t>
            </w:r>
          </w:p>
        </w:tc>
      </w:tr>
      <w:tr w:rsidR="00D164CC" w:rsidRPr="00846494" w:rsidTr="00CD4099">
        <w:tc>
          <w:tcPr>
            <w:tcW w:w="2271" w:type="pct"/>
            <w:tcBorders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 xml:space="preserve">Adjusted for clinical &amp; histological factors </w:t>
            </w:r>
            <w:r w:rsidR="00847227">
              <w:rPr>
                <w:rFonts w:ascii="Arial" w:hAnsi="Arial" w:cs="Arial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18%</w:t>
            </w: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0.20</w:t>
            </w:r>
          </w:p>
        </w:tc>
        <w:tc>
          <w:tcPr>
            <w:tcW w:w="974" w:type="pct"/>
            <w:tcBorders>
              <w:bottom w:val="single" w:sz="4" w:space="0" w:color="auto"/>
            </w:tcBorders>
          </w:tcPr>
          <w:p w:rsidR="00D164CC" w:rsidRPr="00846494" w:rsidRDefault="00D164CC" w:rsidP="00D164CC">
            <w:pPr>
              <w:pStyle w:val="PlainText"/>
              <w:spacing w:line="360" w:lineRule="auto"/>
              <w:jc w:val="center"/>
              <w:rPr>
                <w:rFonts w:ascii="Arial" w:hAnsi="Arial" w:cs="Arial"/>
                <w:szCs w:val="20"/>
                <w:lang w:val="en-US"/>
              </w:rPr>
            </w:pPr>
            <w:r w:rsidRPr="00846494">
              <w:rPr>
                <w:rFonts w:ascii="Arial" w:hAnsi="Arial" w:cs="Arial"/>
                <w:szCs w:val="20"/>
                <w:lang w:val="en-US"/>
              </w:rPr>
              <w:t>HR 0.23</w:t>
            </w:r>
          </w:p>
        </w:tc>
      </w:tr>
      <w:tr w:rsidR="00D164CC" w:rsidRPr="00FE0E98" w:rsidTr="00CD4099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35893" w:rsidRPr="00F35893" w:rsidRDefault="00F35893" w:rsidP="00F35893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Abbreviations: HR: hazard ratio</w:t>
            </w:r>
          </w:p>
          <w:p w:rsidR="00D164CC" w:rsidRDefault="00847227" w:rsidP="00847227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confounder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article) </w:t>
            </w:r>
          </w:p>
          <w:p w:rsidR="00847227" w:rsidRPr="00847227" w:rsidRDefault="00847227" w:rsidP="00FE0E98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and histological confounders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of article)</w:t>
            </w:r>
          </w:p>
        </w:tc>
      </w:tr>
    </w:tbl>
    <w:p w:rsidR="00D164CC" w:rsidRDefault="00D164CC" w:rsidP="00D164CC">
      <w:pPr>
        <w:pStyle w:val="PlainText"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164CC" w:rsidRDefault="00D164CC" w:rsidP="00446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  <w:sectPr w:rsidR="00D164CC" w:rsidSect="00D164C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46F47" w:rsidRPr="009F2F83" w:rsidRDefault="00446F47" w:rsidP="00F3589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9F2F83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 w:rsidR="00D164CC">
        <w:rPr>
          <w:rFonts w:ascii="Arial" w:hAnsi="Arial" w:cs="Arial"/>
          <w:b/>
          <w:sz w:val="20"/>
          <w:szCs w:val="20"/>
          <w:lang w:val="en-US"/>
        </w:rPr>
        <w:t>2</w:t>
      </w:r>
      <w:r w:rsidRPr="009F2F83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9F2F83">
        <w:rPr>
          <w:rFonts w:ascii="Arial" w:hAnsi="Arial" w:cs="Arial"/>
          <w:sz w:val="20"/>
          <w:szCs w:val="20"/>
          <w:lang w:val="en-US"/>
        </w:rPr>
        <w:t>Unadjusted and adjusted a</w:t>
      </w:r>
      <w:r w:rsidR="00F35893">
        <w:rPr>
          <w:rFonts w:ascii="Arial" w:hAnsi="Arial" w:cs="Arial"/>
          <w:sz w:val="20"/>
          <w:szCs w:val="20"/>
          <w:lang w:val="en-US"/>
        </w:rPr>
        <w:t xml:space="preserve">ssociation between LN yield </w:t>
      </w:r>
      <w:r w:rsidRPr="009F2F83">
        <w:rPr>
          <w:rFonts w:ascii="Arial" w:hAnsi="Arial" w:cs="Arial"/>
          <w:sz w:val="20"/>
          <w:szCs w:val="20"/>
          <w:lang w:val="en-US"/>
        </w:rPr>
        <w:t>≥12</w:t>
      </w:r>
      <w:r w:rsidR="00F35893">
        <w:rPr>
          <w:rFonts w:ascii="Arial" w:hAnsi="Arial" w:cs="Arial"/>
          <w:sz w:val="20"/>
          <w:szCs w:val="20"/>
          <w:lang w:val="en-US"/>
        </w:rPr>
        <w:t xml:space="preserve"> (N=268 patients, N=4 recurrences)</w:t>
      </w:r>
      <w:r w:rsidRPr="009F2F83">
        <w:rPr>
          <w:rFonts w:ascii="Arial" w:hAnsi="Arial" w:cs="Arial"/>
          <w:sz w:val="20"/>
          <w:szCs w:val="20"/>
          <w:lang w:val="en-US"/>
        </w:rPr>
        <w:t xml:space="preserve"> vs</w:t>
      </w:r>
      <w:r w:rsidR="00FE0E98">
        <w:rPr>
          <w:rFonts w:ascii="Arial" w:hAnsi="Arial" w:cs="Arial"/>
          <w:sz w:val="20"/>
          <w:szCs w:val="20"/>
          <w:lang w:val="en-US"/>
        </w:rPr>
        <w:t>.</w:t>
      </w:r>
      <w:r w:rsidRPr="009F2F83">
        <w:rPr>
          <w:rFonts w:ascii="Arial" w:hAnsi="Arial" w:cs="Arial"/>
          <w:sz w:val="20"/>
          <w:szCs w:val="20"/>
          <w:lang w:val="en-US"/>
        </w:rPr>
        <w:t xml:space="preserve"> </w:t>
      </w:r>
      <w:r w:rsidR="00F35893">
        <w:rPr>
          <w:rFonts w:ascii="Arial" w:hAnsi="Arial" w:cs="Arial"/>
          <w:sz w:val="20"/>
          <w:szCs w:val="20"/>
          <w:lang w:val="en-US"/>
        </w:rPr>
        <w:t>LN yield</w:t>
      </w:r>
      <w:r w:rsidRPr="009F2F83">
        <w:rPr>
          <w:rFonts w:ascii="Arial" w:hAnsi="Arial" w:cs="Arial"/>
          <w:sz w:val="20"/>
          <w:szCs w:val="20"/>
          <w:lang w:val="en-US"/>
        </w:rPr>
        <w:t>&lt;12</w:t>
      </w:r>
      <w:r w:rsidR="00F35893">
        <w:rPr>
          <w:rFonts w:ascii="Arial" w:hAnsi="Arial" w:cs="Arial"/>
          <w:sz w:val="20"/>
          <w:szCs w:val="20"/>
          <w:lang w:val="en-US"/>
        </w:rPr>
        <w:t xml:space="preserve"> (N=749 patients, N=37 recurrences</w:t>
      </w:r>
      <w:r w:rsidRPr="009F2F83">
        <w:rPr>
          <w:rFonts w:ascii="Arial" w:hAnsi="Arial" w:cs="Arial"/>
          <w:sz w:val="20"/>
          <w:szCs w:val="20"/>
          <w:lang w:val="en-US"/>
        </w:rPr>
        <w:t xml:space="preserve">) and recurrent cancer after surgical resection of T1 CRC  </w:t>
      </w:r>
    </w:p>
    <w:p w:rsidR="00446F47" w:rsidRPr="009F2F83" w:rsidRDefault="00446F47" w:rsidP="00446F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986"/>
        <w:gridCol w:w="994"/>
        <w:gridCol w:w="2231"/>
      </w:tblGrid>
      <w:tr w:rsidR="00EF4B00" w:rsidRPr="009F2F83" w:rsidTr="00EF4B00">
        <w:tc>
          <w:tcPr>
            <w:tcW w:w="21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4B00" w:rsidRPr="009F2F83" w:rsidRDefault="00EF4B00" w:rsidP="00F16936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HR</w:t>
            </w:r>
            <w:r w:rsidRPr="009F2F83">
              <w:rPr>
                <w:rFonts w:ascii="Arial" w:hAnsi="Arial" w:cs="Arial"/>
                <w:b/>
                <w:lang w:val="en-US"/>
              </w:rPr>
              <w:t xml:space="preserve"> (95%CI) 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F2F83">
              <w:rPr>
                <w:rFonts w:ascii="Arial" w:hAnsi="Arial" w:cs="Arial"/>
                <w:b/>
                <w:lang w:val="en-US"/>
              </w:rPr>
              <w:t>P-value</w:t>
            </w:r>
          </w:p>
        </w:tc>
        <w:tc>
          <w:tcPr>
            <w:tcW w:w="12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9F2F83">
              <w:rPr>
                <w:rFonts w:ascii="Arial" w:hAnsi="Arial" w:cs="Arial"/>
                <w:b/>
                <w:lang w:val="en-US"/>
              </w:rPr>
              <w:t>Complete case (%)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val="en-US"/>
              </w:rPr>
              <w:t>c</w:t>
            </w:r>
          </w:p>
        </w:tc>
      </w:tr>
      <w:tr w:rsidR="00EF4B00" w:rsidRPr="009F2F83" w:rsidTr="00EF4B00">
        <w:tc>
          <w:tcPr>
            <w:tcW w:w="2195" w:type="pct"/>
            <w:tcBorders>
              <w:top w:val="single" w:sz="4" w:space="0" w:color="auto"/>
            </w:tcBorders>
          </w:tcPr>
          <w:p w:rsidR="00EF4B00" w:rsidRPr="009F2F83" w:rsidRDefault="00EF4B00" w:rsidP="00F16936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 xml:space="preserve">Unadjusted </w:t>
            </w:r>
          </w:p>
        </w:tc>
        <w:tc>
          <w:tcPr>
            <w:tcW w:w="1069" w:type="pct"/>
            <w:tcBorders>
              <w:top w:val="single" w:sz="4" w:space="0" w:color="auto"/>
            </w:tcBorders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2F83">
              <w:rPr>
                <w:rFonts w:ascii="Arial" w:hAnsi="Arial" w:cs="Arial"/>
                <w:color w:val="000000" w:themeColor="text1"/>
                <w:lang w:val="en-US"/>
              </w:rPr>
              <w:t>0.51 (0.18 – 1.44)</w:t>
            </w:r>
          </w:p>
        </w:tc>
        <w:tc>
          <w:tcPr>
            <w:tcW w:w="535" w:type="pct"/>
            <w:tcBorders>
              <w:top w:val="single" w:sz="4" w:space="0" w:color="auto"/>
            </w:tcBorders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9F2F83">
              <w:rPr>
                <w:rFonts w:ascii="Arial" w:hAnsi="Arial" w:cs="Arial"/>
                <w:color w:val="000000" w:themeColor="text1"/>
                <w:lang w:val="en-US"/>
              </w:rPr>
              <w:t>0.20</w:t>
            </w:r>
          </w:p>
        </w:tc>
        <w:tc>
          <w:tcPr>
            <w:tcW w:w="1201" w:type="pct"/>
            <w:tcBorders>
              <w:top w:val="single" w:sz="4" w:space="0" w:color="auto"/>
            </w:tcBorders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100</w:t>
            </w:r>
          </w:p>
        </w:tc>
      </w:tr>
      <w:tr w:rsidR="00EF4B00" w:rsidRPr="009F2F83" w:rsidTr="00EF4B00">
        <w:tc>
          <w:tcPr>
            <w:tcW w:w="2195" w:type="pct"/>
          </w:tcPr>
          <w:p w:rsidR="00EF4B00" w:rsidRPr="009F2F83" w:rsidRDefault="00EF4B00" w:rsidP="00F16936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Adjusted for clinical factors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9F2F83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1069" w:type="pct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0.40 (0.12 – 1.26)</w:t>
            </w:r>
          </w:p>
        </w:tc>
        <w:tc>
          <w:tcPr>
            <w:tcW w:w="535" w:type="pct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0.12</w:t>
            </w:r>
          </w:p>
        </w:tc>
        <w:tc>
          <w:tcPr>
            <w:tcW w:w="1201" w:type="pct"/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88</w:t>
            </w:r>
          </w:p>
        </w:tc>
      </w:tr>
      <w:tr w:rsidR="00EF4B00" w:rsidRPr="009F2F83" w:rsidTr="00EF4B00">
        <w:tc>
          <w:tcPr>
            <w:tcW w:w="2195" w:type="pct"/>
            <w:tcBorders>
              <w:bottom w:val="single" w:sz="4" w:space="0" w:color="auto"/>
            </w:tcBorders>
          </w:tcPr>
          <w:p w:rsidR="00EF4B00" w:rsidRPr="009F2F83" w:rsidRDefault="00EF4B00" w:rsidP="00F16936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Adjusted for clinical &amp; histological factors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1069" w:type="pct"/>
            <w:tcBorders>
              <w:bottom w:val="single" w:sz="4" w:space="0" w:color="auto"/>
            </w:tcBorders>
          </w:tcPr>
          <w:p w:rsidR="00EF4B00" w:rsidRPr="009F2F83" w:rsidRDefault="00EF4B00" w:rsidP="00F16936">
            <w:pPr>
              <w:tabs>
                <w:tab w:val="left" w:pos="1587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0.41 (0.12 – 1.34)</w:t>
            </w:r>
          </w:p>
        </w:tc>
        <w:tc>
          <w:tcPr>
            <w:tcW w:w="535" w:type="pct"/>
            <w:tcBorders>
              <w:bottom w:val="single" w:sz="4" w:space="0" w:color="auto"/>
            </w:tcBorders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0.14</w:t>
            </w:r>
          </w:p>
        </w:tc>
        <w:tc>
          <w:tcPr>
            <w:tcW w:w="1201" w:type="pct"/>
            <w:tcBorders>
              <w:bottom w:val="single" w:sz="4" w:space="0" w:color="auto"/>
            </w:tcBorders>
          </w:tcPr>
          <w:p w:rsidR="00EF4B00" w:rsidRPr="009F2F83" w:rsidRDefault="00EF4B00" w:rsidP="00F1693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9F2F83">
              <w:rPr>
                <w:rFonts w:ascii="Arial" w:hAnsi="Arial" w:cs="Arial"/>
                <w:lang w:val="en-US"/>
              </w:rPr>
              <w:t>18</w:t>
            </w:r>
          </w:p>
        </w:tc>
      </w:tr>
      <w:tr w:rsidR="00EF4B00" w:rsidRPr="00FE0E98" w:rsidTr="00EF4B00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4B00" w:rsidRPr="00A11E7E" w:rsidRDefault="00EF4B00" w:rsidP="00F16936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Abbreviations: CI: confidence interval; HR: hazard ratio</w:t>
            </w:r>
          </w:p>
          <w:p w:rsidR="00EF4B00" w:rsidRDefault="00EF4B00" w:rsidP="00F1693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confounder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article) </w:t>
            </w:r>
          </w:p>
          <w:p w:rsidR="00EF4B00" w:rsidRDefault="00EF4B00" w:rsidP="00F1693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4B00"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and histological confounders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FE0E98" w:rsidRPr="00EF4B0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EF4B00">
              <w:rPr>
                <w:rFonts w:ascii="Arial" w:hAnsi="Arial" w:cs="Arial"/>
                <w:sz w:val="16"/>
                <w:szCs w:val="16"/>
                <w:lang w:val="en-US"/>
              </w:rPr>
              <w:t>of article)</w:t>
            </w:r>
          </w:p>
          <w:p w:rsidR="00EF4B00" w:rsidRDefault="00EF4B00" w:rsidP="00F16936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722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Percentage of complete cases which could be analyzed</w:t>
            </w:r>
          </w:p>
        </w:tc>
      </w:tr>
    </w:tbl>
    <w:p w:rsidR="00446F47" w:rsidRPr="009F2F83" w:rsidRDefault="00446F47" w:rsidP="00446F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446F47" w:rsidRPr="009F2F83" w:rsidRDefault="00446F47" w:rsidP="00446F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446F47" w:rsidRPr="009F2F83" w:rsidRDefault="00446F47" w:rsidP="00446F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:rsidR="00A11E7E" w:rsidRDefault="00A11E7E" w:rsidP="00A11E7E">
      <w:pPr>
        <w:rPr>
          <w:rFonts w:ascii="Arial" w:hAnsi="Arial" w:cs="Arial"/>
          <w:color w:val="000000"/>
          <w:sz w:val="16"/>
          <w:szCs w:val="16"/>
          <w:lang w:val="en-US"/>
        </w:rPr>
      </w:pPr>
    </w:p>
    <w:p w:rsidR="00A11E7E" w:rsidRDefault="00A11E7E" w:rsidP="00A11E7E">
      <w:pPr>
        <w:rPr>
          <w:lang w:val="en-US"/>
        </w:rPr>
        <w:sectPr w:rsidR="00A11E7E" w:rsidSect="008472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C042E" w:rsidRPr="00846494" w:rsidRDefault="008C042E" w:rsidP="00846494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46494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 w:rsidR="00D164CC" w:rsidRPr="00846494">
        <w:rPr>
          <w:rFonts w:ascii="Arial" w:hAnsi="Arial" w:cs="Arial"/>
          <w:b/>
          <w:sz w:val="20"/>
          <w:szCs w:val="20"/>
          <w:lang w:val="en-US"/>
        </w:rPr>
        <w:t>3</w:t>
      </w:r>
      <w:r w:rsidRPr="00846494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846494">
        <w:rPr>
          <w:rFonts w:ascii="Arial" w:hAnsi="Arial" w:cs="Arial"/>
          <w:sz w:val="20"/>
          <w:szCs w:val="20"/>
          <w:lang w:val="en-US"/>
        </w:rPr>
        <w:t xml:space="preserve">Main analysis </w:t>
      </w:r>
      <w:r w:rsidR="00846494">
        <w:rPr>
          <w:rFonts w:ascii="Arial" w:hAnsi="Arial" w:cs="Arial"/>
          <w:sz w:val="20"/>
          <w:szCs w:val="20"/>
          <w:lang w:val="en-US"/>
        </w:rPr>
        <w:t>restricted to</w:t>
      </w:r>
      <w:r w:rsidRPr="00846494">
        <w:rPr>
          <w:rFonts w:ascii="Arial" w:hAnsi="Arial" w:cs="Arial"/>
          <w:sz w:val="20"/>
          <w:szCs w:val="20"/>
          <w:lang w:val="en-US"/>
        </w:rPr>
        <w:t xml:space="preserve"> patients with T1 </w:t>
      </w:r>
      <w:r w:rsidR="00847227">
        <w:rPr>
          <w:rFonts w:ascii="Arial" w:hAnsi="Arial" w:cs="Arial"/>
          <w:sz w:val="20"/>
          <w:szCs w:val="20"/>
          <w:lang w:val="en-US"/>
        </w:rPr>
        <w:t>colon</w:t>
      </w:r>
      <w:r w:rsidR="00847227" w:rsidRPr="00846494">
        <w:rPr>
          <w:rFonts w:ascii="Arial" w:hAnsi="Arial" w:cs="Arial"/>
          <w:sz w:val="20"/>
          <w:szCs w:val="20"/>
          <w:lang w:val="en-US"/>
        </w:rPr>
        <w:t xml:space="preserve"> </w:t>
      </w:r>
      <w:r w:rsidRPr="00846494">
        <w:rPr>
          <w:rFonts w:ascii="Arial" w:hAnsi="Arial" w:cs="Arial"/>
          <w:sz w:val="20"/>
          <w:szCs w:val="20"/>
          <w:lang w:val="en-US"/>
        </w:rPr>
        <w:t>cancer (843 T1 colon cancers with 29 recurrences), in order to explore the magnitude of potential bias introduced by lack of information on the quality of the circumferential resection margin</w:t>
      </w:r>
      <w:r w:rsidR="00846494">
        <w:rPr>
          <w:rFonts w:ascii="Arial" w:hAnsi="Arial" w:cs="Arial"/>
          <w:sz w:val="20"/>
          <w:szCs w:val="20"/>
          <w:lang w:val="en-US"/>
        </w:rPr>
        <w:t xml:space="preserve"> in rectal T1 cancer.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0"/>
        <w:gridCol w:w="1929"/>
        <w:gridCol w:w="1039"/>
        <w:gridCol w:w="2220"/>
      </w:tblGrid>
      <w:tr w:rsidR="008C042E" w:rsidRPr="00FE0E98" w:rsidTr="000E62CC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42E" w:rsidRPr="00846494" w:rsidRDefault="008C042E" w:rsidP="00FE0E98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846494">
              <w:rPr>
                <w:rFonts w:ascii="Arial" w:hAnsi="Arial" w:cs="Arial"/>
                <w:b/>
                <w:lang w:val="en-US"/>
              </w:rPr>
              <w:t>Association between LN yield (≥10 vs</w:t>
            </w:r>
            <w:r w:rsidR="00FE0E98">
              <w:rPr>
                <w:rFonts w:ascii="Arial" w:hAnsi="Arial" w:cs="Arial"/>
                <w:b/>
                <w:lang w:val="en-US"/>
              </w:rPr>
              <w:t>.</w:t>
            </w:r>
            <w:r w:rsidRPr="00846494">
              <w:rPr>
                <w:rFonts w:ascii="Arial" w:hAnsi="Arial" w:cs="Arial"/>
                <w:b/>
                <w:lang w:val="en-US"/>
              </w:rPr>
              <w:t xml:space="preserve"> &lt;10) and recurrent cancer after surgical resection of T1 colon cancer</w:t>
            </w:r>
          </w:p>
        </w:tc>
      </w:tr>
      <w:tr w:rsidR="008C042E" w:rsidRPr="00846494" w:rsidTr="008C042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42E" w:rsidRPr="00846494" w:rsidRDefault="008C042E" w:rsidP="00D164CC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46494">
              <w:rPr>
                <w:rFonts w:ascii="Arial" w:hAnsi="Arial" w:cs="Arial"/>
                <w:b/>
                <w:lang w:val="en-US"/>
              </w:rPr>
              <w:t>H</w:t>
            </w:r>
            <w:r w:rsidR="00D164CC" w:rsidRPr="00846494">
              <w:rPr>
                <w:rFonts w:ascii="Arial" w:hAnsi="Arial" w:cs="Arial"/>
                <w:b/>
                <w:lang w:val="en-US"/>
              </w:rPr>
              <w:t>R</w:t>
            </w:r>
            <w:r w:rsidRPr="00846494">
              <w:rPr>
                <w:rFonts w:ascii="Arial" w:hAnsi="Arial" w:cs="Arial"/>
                <w:b/>
                <w:lang w:val="en-US"/>
              </w:rPr>
              <w:t xml:space="preserve"> (95%CI)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46494">
              <w:rPr>
                <w:rFonts w:ascii="Arial" w:hAnsi="Arial" w:cs="Arial"/>
                <w:b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846494">
              <w:rPr>
                <w:rFonts w:ascii="Arial" w:hAnsi="Arial" w:cs="Arial"/>
                <w:b/>
                <w:lang w:val="en-US"/>
              </w:rPr>
              <w:t>Complete case (%)</w:t>
            </w:r>
            <w:r w:rsidR="00F16936">
              <w:rPr>
                <w:rFonts w:ascii="Arial" w:hAnsi="Arial" w:cs="Arial"/>
                <w:vertAlign w:val="superscript"/>
                <w:lang w:val="en-US"/>
              </w:rPr>
              <w:t>c</w:t>
            </w:r>
          </w:p>
        </w:tc>
      </w:tr>
      <w:tr w:rsidR="008C042E" w:rsidRPr="00846494" w:rsidTr="008C042E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C042E" w:rsidRPr="00846494" w:rsidRDefault="008C042E" w:rsidP="00CD4099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Unadjusted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0.30 (0.09 – 1.00)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C042E" w:rsidRPr="00F16936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16936">
              <w:rPr>
                <w:rFonts w:ascii="Arial" w:hAnsi="Arial" w:cs="Arial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100</w:t>
            </w:r>
          </w:p>
        </w:tc>
      </w:tr>
      <w:tr w:rsidR="008C042E" w:rsidRPr="00846494" w:rsidTr="008C042E">
        <w:tc>
          <w:tcPr>
            <w:tcW w:w="0" w:type="auto"/>
            <w:vAlign w:val="center"/>
          </w:tcPr>
          <w:p w:rsidR="008C042E" w:rsidRPr="00846494" w:rsidRDefault="008C042E" w:rsidP="00CD4099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 xml:space="preserve">Adjusted for clinical factors </w:t>
            </w:r>
            <w:r w:rsidRPr="00846494">
              <w:rPr>
                <w:rFonts w:ascii="Arial" w:hAnsi="Arial" w:cs="Arial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0.22 (0.06 – 0.80)</w:t>
            </w:r>
          </w:p>
        </w:tc>
        <w:tc>
          <w:tcPr>
            <w:tcW w:w="0" w:type="auto"/>
            <w:vAlign w:val="center"/>
          </w:tcPr>
          <w:p w:rsidR="008C042E" w:rsidRPr="00F16936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16936">
              <w:rPr>
                <w:rFonts w:ascii="Arial" w:hAnsi="Arial" w:cs="Arial"/>
                <w:lang w:val="en-US"/>
              </w:rPr>
              <w:t>0.02</w:t>
            </w:r>
          </w:p>
        </w:tc>
        <w:tc>
          <w:tcPr>
            <w:tcW w:w="0" w:type="auto"/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88</w:t>
            </w:r>
          </w:p>
        </w:tc>
      </w:tr>
      <w:tr w:rsidR="008C042E" w:rsidRPr="00846494" w:rsidTr="008C042E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 xml:space="preserve">Adjusted for clinical &amp; histological factors </w:t>
            </w:r>
            <w:r w:rsidR="00F16936">
              <w:rPr>
                <w:rFonts w:ascii="Arial" w:hAnsi="Arial" w:cs="Arial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tabs>
                <w:tab w:val="left" w:pos="1587"/>
              </w:tabs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0.24 (0.07 – 0.89)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C042E" w:rsidRPr="00F16936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F16936">
              <w:rPr>
                <w:rFonts w:ascii="Arial" w:hAnsi="Arial" w:cs="Arial"/>
                <w:lang w:val="en-US"/>
              </w:rPr>
              <w:t>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C042E" w:rsidRPr="00846494" w:rsidRDefault="008C042E" w:rsidP="00CD4099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 w:rsidRPr="00846494">
              <w:rPr>
                <w:rFonts w:ascii="Arial" w:hAnsi="Arial" w:cs="Arial"/>
                <w:lang w:val="en-US"/>
              </w:rPr>
              <w:t>17</w:t>
            </w:r>
          </w:p>
        </w:tc>
      </w:tr>
      <w:tr w:rsidR="008C042E" w:rsidRPr="00FE0E98" w:rsidTr="008C042E"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7227" w:rsidRDefault="00847227" w:rsidP="00427AA0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Abbreviation: HR: hazard ratio; </w:t>
            </w:r>
            <w:r w:rsidR="00D164CC" w:rsidRPr="00846494">
              <w:rPr>
                <w:rFonts w:ascii="Arial" w:hAnsi="Arial" w:cs="Arial"/>
                <w:sz w:val="16"/>
                <w:szCs w:val="16"/>
                <w:lang w:val="en-US"/>
              </w:rPr>
              <w:t>LN: lymph node</w:t>
            </w:r>
          </w:p>
          <w:p w:rsidR="00427AA0" w:rsidRDefault="00427AA0" w:rsidP="00427AA0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confounder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article) </w:t>
            </w:r>
          </w:p>
          <w:p w:rsidR="00427AA0" w:rsidRDefault="00427AA0" w:rsidP="00427AA0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Similar clinical and histological confounders as main analysis (see legend Table </w:t>
            </w:r>
            <w:r w:rsidR="00FE0E98">
              <w:rPr>
                <w:rFonts w:ascii="Arial" w:hAnsi="Arial" w:cs="Arial"/>
                <w:sz w:val="16"/>
                <w:szCs w:val="16"/>
                <w:lang w:val="en-US"/>
              </w:rPr>
              <w:t xml:space="preserve">3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of article)</w:t>
            </w:r>
          </w:p>
          <w:p w:rsidR="008C042E" w:rsidRPr="00847227" w:rsidRDefault="008C042E" w:rsidP="00427AA0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4722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Percentage of complete cases which could be analyzed</w:t>
            </w:r>
          </w:p>
        </w:tc>
      </w:tr>
    </w:tbl>
    <w:p w:rsidR="008C042E" w:rsidRDefault="008C042E">
      <w:pPr>
        <w:rPr>
          <w:rFonts w:ascii="Arial" w:hAnsi="Arial" w:cs="Arial"/>
          <w:b/>
          <w:sz w:val="20"/>
          <w:szCs w:val="20"/>
          <w:lang w:val="en-US"/>
        </w:rPr>
      </w:pPr>
    </w:p>
    <w:sectPr w:rsidR="008C042E" w:rsidSect="00D1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98F"/>
    <w:multiLevelType w:val="hybridMultilevel"/>
    <w:tmpl w:val="7948445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7A2FC6"/>
    <w:multiLevelType w:val="hybridMultilevel"/>
    <w:tmpl w:val="2852372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4E0532"/>
    <w:multiLevelType w:val="hybridMultilevel"/>
    <w:tmpl w:val="EE6C406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D0064F"/>
    <w:multiLevelType w:val="hybridMultilevel"/>
    <w:tmpl w:val="AD6EEA5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446F47"/>
    <w:rsid w:val="00013181"/>
    <w:rsid w:val="00427AA0"/>
    <w:rsid w:val="00446F47"/>
    <w:rsid w:val="0057526A"/>
    <w:rsid w:val="007C27EE"/>
    <w:rsid w:val="00846494"/>
    <w:rsid w:val="00847227"/>
    <w:rsid w:val="008C042E"/>
    <w:rsid w:val="00A11E7E"/>
    <w:rsid w:val="00B52C67"/>
    <w:rsid w:val="00B82135"/>
    <w:rsid w:val="00BA7CD6"/>
    <w:rsid w:val="00C30BA6"/>
    <w:rsid w:val="00C4104A"/>
    <w:rsid w:val="00D164CC"/>
    <w:rsid w:val="00EF4B00"/>
    <w:rsid w:val="00F16936"/>
    <w:rsid w:val="00F35893"/>
    <w:rsid w:val="00FE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47"/>
    <w:pPr>
      <w:ind w:left="720"/>
      <w:contextualSpacing/>
    </w:pPr>
  </w:style>
  <w:style w:type="table" w:styleId="TableGrid">
    <w:name w:val="Table Grid"/>
    <w:basedOn w:val="TableNormal"/>
    <w:uiPriority w:val="59"/>
    <w:rsid w:val="00446F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C042E"/>
    <w:pPr>
      <w:spacing w:after="0" w:line="240" w:lineRule="auto"/>
    </w:pPr>
    <w:rPr>
      <w:rFonts w:ascii="Segoe UI" w:eastAsia="Times New Roman" w:hAnsi="Segoe U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042E"/>
    <w:rPr>
      <w:rFonts w:ascii="Segoe UI" w:eastAsia="Times New Roman" w:hAnsi="Segoe U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47"/>
    <w:pPr>
      <w:ind w:left="720"/>
      <w:contextualSpacing/>
    </w:pPr>
  </w:style>
  <w:style w:type="table" w:styleId="TableGrid">
    <w:name w:val="Table Grid"/>
    <w:basedOn w:val="TableNormal"/>
    <w:uiPriority w:val="59"/>
    <w:rsid w:val="00446F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C042E"/>
    <w:pPr>
      <w:spacing w:after="0" w:line="240" w:lineRule="auto"/>
    </w:pPr>
    <w:rPr>
      <w:rFonts w:ascii="Segoe UI" w:eastAsia="Times New Roman" w:hAnsi="Segoe U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C042E"/>
    <w:rPr>
      <w:rFonts w:ascii="Segoe UI" w:eastAsia="Times New Roman" w:hAnsi="Segoe U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Backes, Y.</dc:creator>
  <cp:lastModifiedBy>Agir, Junalie</cp:lastModifiedBy>
  <cp:revision>3</cp:revision>
  <dcterms:created xsi:type="dcterms:W3CDTF">2017-06-27T10:17:00Z</dcterms:created>
  <dcterms:modified xsi:type="dcterms:W3CDTF">2017-06-29T10:20:00Z</dcterms:modified>
</cp:coreProperties>
</file>