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8357" w14:textId="77777777" w:rsidR="00D06EC7" w:rsidRDefault="00FD4953">
      <w:pPr>
        <w:rPr>
          <w:b/>
        </w:rPr>
      </w:pPr>
      <w:r>
        <w:rPr>
          <w:b/>
        </w:rPr>
        <w:t>S4</w:t>
      </w:r>
      <w:r w:rsidR="00D06EC7" w:rsidRPr="00D06EC7">
        <w:rPr>
          <w:b/>
        </w:rPr>
        <w:t xml:space="preserve"> Exposure Response Analysis Details</w:t>
      </w:r>
    </w:p>
    <w:p w14:paraId="7E229FC1" w14:textId="77777777" w:rsidR="00797896" w:rsidRDefault="00797896">
      <w:pPr>
        <w:rPr>
          <w:b/>
        </w:rPr>
      </w:pPr>
    </w:p>
    <w:p w14:paraId="1157B8AF" w14:textId="77777777" w:rsidR="00D06EC7" w:rsidRPr="00797896" w:rsidRDefault="00797896">
      <w:r>
        <w:t xml:space="preserve">Note. Some of the figures and tables refer to “OZ” which stands for OZ439 and is the same as </w:t>
      </w:r>
      <w:proofErr w:type="spellStart"/>
      <w:r>
        <w:t>artefenomel</w:t>
      </w:r>
      <w:proofErr w:type="spellEnd"/>
      <w:r>
        <w:t>.</w:t>
      </w:r>
    </w:p>
    <w:p w14:paraId="6D54D7EE" w14:textId="77777777" w:rsidR="00D555B8" w:rsidRDefault="00D555B8" w:rsidP="00D06EC7"/>
    <w:p w14:paraId="6AECB4CD" w14:textId="77777777" w:rsidR="00D555B8" w:rsidRPr="00D555B8" w:rsidRDefault="00D555B8" w:rsidP="00D06EC7">
      <w:pPr>
        <w:rPr>
          <w:b/>
        </w:rPr>
      </w:pPr>
      <w:r w:rsidRPr="00D555B8">
        <w:rPr>
          <w:b/>
        </w:rPr>
        <w:t>Exposure Response Analysis</w:t>
      </w:r>
    </w:p>
    <w:p w14:paraId="15E119AE" w14:textId="77777777" w:rsidR="00A2304D" w:rsidRDefault="00A2304D" w:rsidP="00D06EC7">
      <w:r w:rsidRPr="00A2304D">
        <w:t xml:space="preserve">Examples of the observed concentrations of </w:t>
      </w:r>
      <w:proofErr w:type="spellStart"/>
      <w:r w:rsidRPr="00A2304D">
        <w:t>artefenomel</w:t>
      </w:r>
      <w:proofErr w:type="spellEnd"/>
      <w:r w:rsidRPr="00A2304D">
        <w:t xml:space="preserve"> and </w:t>
      </w:r>
      <w:proofErr w:type="spellStart"/>
      <w:r w:rsidRPr="00A2304D">
        <w:t>piperaquine</w:t>
      </w:r>
      <w:proofErr w:type="spellEnd"/>
      <w:r w:rsidRPr="00A2304D">
        <w:t xml:space="preserve"> in two individual patients with different ACPR28 outcomes, together with the model fits as well as</w:t>
      </w:r>
      <w:r>
        <w:t xml:space="preserve"> the time course of the </w:t>
      </w:r>
      <w:proofErr w:type="spellStart"/>
      <w:r>
        <w:t>parasitemia</w:t>
      </w:r>
      <w:proofErr w:type="spellEnd"/>
      <w:r>
        <w:t xml:space="preserve"> are shown in f</w:t>
      </w:r>
      <w:r w:rsidRPr="00A2304D">
        <w:t>igure</w:t>
      </w:r>
      <w:r>
        <w:t xml:space="preserve"> 1.</w:t>
      </w:r>
    </w:p>
    <w:p w14:paraId="77A2EFC4" w14:textId="77777777" w:rsidR="00A2304D" w:rsidRDefault="00A2304D" w:rsidP="00D06EC7"/>
    <w:p w14:paraId="40D51DF3" w14:textId="77777777" w:rsidR="00A2304D" w:rsidRDefault="00A2304D" w:rsidP="00D06EC7">
      <w:pPr>
        <w:rPr>
          <w:b/>
        </w:rPr>
      </w:pPr>
      <w:r w:rsidRPr="00A2304D">
        <w:rPr>
          <w:b/>
        </w:rPr>
        <w:t xml:space="preserve">Figure 1 Example of observed and model-predicted PK profiles for </w:t>
      </w:r>
      <w:proofErr w:type="spellStart"/>
      <w:r w:rsidRPr="00A2304D">
        <w:rPr>
          <w:b/>
        </w:rPr>
        <w:t>artefenomel</w:t>
      </w:r>
      <w:proofErr w:type="spellEnd"/>
      <w:r w:rsidRPr="00A2304D">
        <w:rPr>
          <w:b/>
        </w:rPr>
        <w:t xml:space="preserve"> and </w:t>
      </w:r>
      <w:proofErr w:type="spellStart"/>
      <w:r w:rsidRPr="00A2304D">
        <w:rPr>
          <w:b/>
        </w:rPr>
        <w:t>pipera</w:t>
      </w:r>
      <w:r>
        <w:rPr>
          <w:b/>
        </w:rPr>
        <w:t>quine</w:t>
      </w:r>
      <w:proofErr w:type="spellEnd"/>
      <w:r>
        <w:rPr>
          <w:b/>
        </w:rPr>
        <w:t xml:space="preserve"> with the observed </w:t>
      </w:r>
      <w:proofErr w:type="spellStart"/>
      <w:r>
        <w:rPr>
          <w:b/>
        </w:rPr>
        <w:t>parasit</w:t>
      </w:r>
      <w:r w:rsidRPr="00A2304D">
        <w:rPr>
          <w:b/>
        </w:rPr>
        <w:t>emia</w:t>
      </w:r>
      <w:proofErr w:type="spellEnd"/>
      <w:r w:rsidRPr="00A2304D">
        <w:rPr>
          <w:b/>
        </w:rPr>
        <w:t xml:space="preserve"> over time in two individual patients</w:t>
      </w:r>
    </w:p>
    <w:p w14:paraId="4AEAD4E9" w14:textId="77777777" w:rsidR="00A2304D" w:rsidRDefault="00A2304D" w:rsidP="00D06EC7">
      <w:pPr>
        <w:rPr>
          <w:b/>
        </w:rPr>
      </w:pPr>
    </w:p>
    <w:p w14:paraId="2DF6BC1F" w14:textId="77777777" w:rsidR="00E72851" w:rsidRPr="00E72851" w:rsidRDefault="00A2304D" w:rsidP="00E72851">
      <w:pPr>
        <w:rPr>
          <w:b/>
        </w:rPr>
      </w:pPr>
      <w:r>
        <w:rPr>
          <w:b/>
          <w:noProof/>
        </w:rPr>
        <w:drawing>
          <wp:inline distT="0" distB="0" distL="0" distR="0" wp14:anchorId="0609B3A5" wp14:editId="3D3D8799">
            <wp:extent cx="5270500" cy="3724275"/>
            <wp:effectExtent l="25400" t="0" r="0" b="0"/>
            <wp:docPr id="3" name="Picture 2" descr="Fig0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7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E72851" w:rsidRPr="001414FC">
        <w:rPr>
          <w:rFonts w:ascii="Calibri" w:hAnsi="Calibri"/>
          <w:sz w:val="18"/>
          <w:szCs w:val="18"/>
          <w:lang w:val="en-GB"/>
        </w:rPr>
        <w:t>Artefenomel</w:t>
      </w:r>
      <w:proofErr w:type="spellEnd"/>
      <w:r w:rsidR="00E72851" w:rsidRPr="001414FC">
        <w:rPr>
          <w:rFonts w:ascii="Calibri" w:hAnsi="Calibri"/>
          <w:sz w:val="18"/>
          <w:szCs w:val="18"/>
          <w:lang w:val="en-GB"/>
        </w:rPr>
        <w:t xml:space="preserve">: blue; </w:t>
      </w:r>
      <w:proofErr w:type="spellStart"/>
      <w:r w:rsidR="00E72851" w:rsidRPr="001414FC">
        <w:rPr>
          <w:rFonts w:ascii="Calibri" w:hAnsi="Calibri"/>
          <w:sz w:val="18"/>
          <w:szCs w:val="18"/>
          <w:lang w:val="en-GB"/>
        </w:rPr>
        <w:t>Piperaquine</w:t>
      </w:r>
      <w:proofErr w:type="spellEnd"/>
      <w:r w:rsidR="00E72851" w:rsidRPr="001414FC">
        <w:rPr>
          <w:rFonts w:ascii="Calibri" w:hAnsi="Calibri"/>
          <w:sz w:val="18"/>
          <w:szCs w:val="18"/>
          <w:lang w:val="en-GB"/>
        </w:rPr>
        <w:t xml:space="preserve">: Red; </w:t>
      </w:r>
      <w:proofErr w:type="spellStart"/>
      <w:r w:rsidR="00E72851" w:rsidRPr="001414FC">
        <w:rPr>
          <w:rFonts w:ascii="Calibri" w:hAnsi="Calibri"/>
          <w:sz w:val="18"/>
          <w:szCs w:val="18"/>
          <w:lang w:val="en-GB"/>
        </w:rPr>
        <w:t>Parasitemia</w:t>
      </w:r>
      <w:proofErr w:type="spellEnd"/>
      <w:r w:rsidR="00E72851" w:rsidRPr="001414FC">
        <w:rPr>
          <w:rFonts w:ascii="Calibri" w:hAnsi="Calibri"/>
          <w:sz w:val="18"/>
          <w:szCs w:val="18"/>
          <w:lang w:val="en-GB"/>
        </w:rPr>
        <w:t>: Black</w:t>
      </w:r>
    </w:p>
    <w:p w14:paraId="6D9BC40E" w14:textId="77777777" w:rsidR="00E72851" w:rsidRPr="001414FC" w:rsidRDefault="00E72851" w:rsidP="00E72851">
      <w:pPr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LEFT</w:t>
      </w:r>
      <w:r w:rsidRPr="001414FC">
        <w:rPr>
          <w:rFonts w:ascii="Calibri" w:hAnsi="Calibri"/>
          <w:sz w:val="18"/>
          <w:szCs w:val="18"/>
          <w:lang w:val="en-GB"/>
        </w:rPr>
        <w:t>) African Female</w:t>
      </w:r>
      <w:r>
        <w:rPr>
          <w:rFonts w:ascii="Calibri" w:hAnsi="Calibri"/>
          <w:sz w:val="18"/>
          <w:szCs w:val="18"/>
          <w:lang w:val="en-GB"/>
        </w:rPr>
        <w:t xml:space="preserve"> Patient (16yrs, 59kg) receiving </w:t>
      </w:r>
      <w:r w:rsidRPr="001414FC">
        <w:rPr>
          <w:rFonts w:ascii="Calibri" w:hAnsi="Calibri"/>
          <w:sz w:val="18"/>
          <w:szCs w:val="18"/>
          <w:lang w:val="en-GB"/>
        </w:rPr>
        <w:t xml:space="preserve">800mg </w:t>
      </w:r>
      <w:proofErr w:type="spellStart"/>
      <w:r w:rsidRPr="001414FC">
        <w:rPr>
          <w:rFonts w:ascii="Calibri" w:hAnsi="Calibri"/>
          <w:sz w:val="18"/>
          <w:szCs w:val="18"/>
          <w:lang w:val="en-GB"/>
        </w:rPr>
        <w:t>Artefenomel</w:t>
      </w:r>
      <w:proofErr w:type="spellEnd"/>
      <w:r w:rsidRPr="001414FC">
        <w:rPr>
          <w:rFonts w:ascii="Calibri" w:hAnsi="Calibri"/>
          <w:sz w:val="18"/>
          <w:szCs w:val="18"/>
          <w:lang w:val="en-GB"/>
        </w:rPr>
        <w:t xml:space="preserve"> plus 1440mg PQP who achieved ACPR28</w:t>
      </w:r>
    </w:p>
    <w:p w14:paraId="0BBD4247" w14:textId="77777777" w:rsidR="00E72851" w:rsidRPr="001414FC" w:rsidRDefault="00E72851" w:rsidP="00E72851">
      <w:pPr>
        <w:rPr>
          <w:rFonts w:ascii="Calibri" w:hAnsi="Calibri"/>
          <w:sz w:val="18"/>
          <w:szCs w:val="18"/>
          <w:lang w:val="en-GB"/>
        </w:rPr>
      </w:pPr>
      <w:r>
        <w:rPr>
          <w:rFonts w:ascii="Calibri" w:hAnsi="Calibri"/>
          <w:sz w:val="18"/>
          <w:szCs w:val="18"/>
          <w:lang w:val="en-GB"/>
        </w:rPr>
        <w:t>RIGHT</w:t>
      </w:r>
      <w:r w:rsidRPr="001414FC">
        <w:rPr>
          <w:rFonts w:ascii="Calibri" w:hAnsi="Calibri"/>
          <w:sz w:val="18"/>
          <w:szCs w:val="18"/>
          <w:lang w:val="en-GB"/>
        </w:rPr>
        <w:t>) African Female</w:t>
      </w:r>
      <w:r>
        <w:rPr>
          <w:rFonts w:ascii="Calibri" w:hAnsi="Calibri"/>
          <w:sz w:val="18"/>
          <w:szCs w:val="18"/>
          <w:lang w:val="en-GB"/>
        </w:rPr>
        <w:t xml:space="preserve"> Patient (34yrs, 77kg) receiving</w:t>
      </w:r>
      <w:r w:rsidRPr="001414FC">
        <w:rPr>
          <w:rFonts w:ascii="Calibri" w:hAnsi="Calibri"/>
          <w:sz w:val="18"/>
          <w:szCs w:val="18"/>
          <w:lang w:val="en-GB"/>
        </w:rPr>
        <w:t xml:space="preserve"> 800mg </w:t>
      </w:r>
      <w:proofErr w:type="spellStart"/>
      <w:r w:rsidRPr="001414FC">
        <w:rPr>
          <w:rFonts w:ascii="Calibri" w:hAnsi="Calibri"/>
          <w:sz w:val="18"/>
          <w:szCs w:val="18"/>
          <w:lang w:val="en-GB"/>
        </w:rPr>
        <w:t>Artefenomel</w:t>
      </w:r>
      <w:proofErr w:type="spellEnd"/>
      <w:r w:rsidRPr="001414FC">
        <w:rPr>
          <w:rFonts w:ascii="Calibri" w:hAnsi="Calibri"/>
          <w:sz w:val="18"/>
          <w:szCs w:val="18"/>
          <w:lang w:val="en-GB"/>
        </w:rPr>
        <w:t xml:space="preserve"> plus 960mg PQP who vomited and recrudesced.</w:t>
      </w:r>
    </w:p>
    <w:p w14:paraId="76A45490" w14:textId="77777777" w:rsidR="000D62F9" w:rsidRPr="000D62F9" w:rsidRDefault="000D62F9">
      <w:pPr>
        <w:rPr>
          <w:b/>
        </w:rPr>
      </w:pPr>
    </w:p>
    <w:p w14:paraId="194D100D" w14:textId="77777777" w:rsidR="00E63083" w:rsidRDefault="005418CF">
      <w:r>
        <w:t>T</w:t>
      </w:r>
      <w:r w:rsidR="000D62F9" w:rsidRPr="000D62F9">
        <w:t xml:space="preserve">he relationship between </w:t>
      </w:r>
      <w:r w:rsidR="00D5305F">
        <w:t xml:space="preserve">estimated </w:t>
      </w:r>
      <w:proofErr w:type="spellStart"/>
      <w:r w:rsidR="00E0204F">
        <w:t>artefenomel</w:t>
      </w:r>
      <w:proofErr w:type="spellEnd"/>
      <w:r w:rsidR="000D62F9" w:rsidRPr="000D62F9">
        <w:t xml:space="preserve"> and </w:t>
      </w:r>
      <w:proofErr w:type="spellStart"/>
      <w:r w:rsidR="000D62F9" w:rsidRPr="000D62F9">
        <w:t>piperaquine</w:t>
      </w:r>
      <w:proofErr w:type="spellEnd"/>
      <w:r w:rsidR="000D62F9" w:rsidRPr="000D62F9">
        <w:t xml:space="preserve"> Cday7 and PCR-adjusted ACPR28 (success or failure) was </w:t>
      </w:r>
      <w:r w:rsidR="000D62F9">
        <w:t>evaluated</w:t>
      </w:r>
      <w:r w:rsidR="000D62F9" w:rsidRPr="000D62F9">
        <w:t xml:space="preserve"> </w:t>
      </w:r>
      <w:r w:rsidR="000D62F9">
        <w:t xml:space="preserve">statistically </w:t>
      </w:r>
      <w:r w:rsidR="000D62F9" w:rsidRPr="000D62F9">
        <w:t>by logistic regression</w:t>
      </w:r>
      <w:r w:rsidR="00D555B8">
        <w:t xml:space="preserve"> (statistical software R</w:t>
      </w:r>
      <w:r w:rsidR="000727A3">
        <w:t xml:space="preserve"> </w:t>
      </w:r>
      <w:r w:rsidR="000727A3" w:rsidRPr="000727A3">
        <w:t>version 3.2.5</w:t>
      </w:r>
      <w:r w:rsidR="00D555B8">
        <w:t>)</w:t>
      </w:r>
      <w:r w:rsidR="000D62F9" w:rsidRPr="000D62F9">
        <w:t>.</w:t>
      </w:r>
      <w:r w:rsidR="009378B4">
        <w:t xml:space="preserve"> This relationship wa</w:t>
      </w:r>
      <w:r w:rsidR="00A962BC">
        <w:t xml:space="preserve">s clearly </w:t>
      </w:r>
      <w:r w:rsidR="004638C1">
        <w:t xml:space="preserve">present in the observed data as shown </w:t>
      </w:r>
      <w:r w:rsidR="00A962BC">
        <w:t xml:space="preserve">in the exploratory plots </w:t>
      </w:r>
      <w:r w:rsidR="009378B4">
        <w:t>(figures 6 and 8 in the main publication)</w:t>
      </w:r>
      <w:r w:rsidR="00F1397A">
        <w:t>.</w:t>
      </w:r>
      <w:r w:rsidR="009378B4">
        <w:t xml:space="preserve"> </w:t>
      </w:r>
    </w:p>
    <w:p w14:paraId="3C6D8064" w14:textId="77777777" w:rsidR="00F10832" w:rsidRDefault="00F10832"/>
    <w:p w14:paraId="4FE3429C" w14:textId="77777777" w:rsidR="00E0204F" w:rsidRDefault="00F10832">
      <w:r w:rsidRPr="00F10832">
        <w:t>First, a</w:t>
      </w:r>
      <w:r>
        <w:t xml:space="preserve"> base </w:t>
      </w:r>
      <w:r w:rsidR="00076600">
        <w:t xml:space="preserve">model that included the effect of </w:t>
      </w:r>
      <w:proofErr w:type="spellStart"/>
      <w:r w:rsidR="00076600">
        <w:t>artefenomel</w:t>
      </w:r>
      <w:proofErr w:type="spellEnd"/>
      <w:r w:rsidR="00076600">
        <w:t xml:space="preserve"> and </w:t>
      </w:r>
      <w:proofErr w:type="spellStart"/>
      <w:r w:rsidR="00076600">
        <w:t>piperaquine</w:t>
      </w:r>
      <w:proofErr w:type="spellEnd"/>
      <w:r w:rsidR="00076600">
        <w:t xml:space="preserve"> Cday7</w:t>
      </w:r>
      <w:r>
        <w:t xml:space="preserve"> was developed. Univariate eff</w:t>
      </w:r>
      <w:r w:rsidRPr="00F10832">
        <w:t xml:space="preserve">ects of either </w:t>
      </w:r>
      <w:proofErr w:type="spellStart"/>
      <w:r w:rsidR="00E0204F">
        <w:t>artefenomel</w:t>
      </w:r>
      <w:proofErr w:type="spellEnd"/>
      <w:r w:rsidRPr="00F10832">
        <w:t xml:space="preserve"> or </w:t>
      </w:r>
      <w:proofErr w:type="spellStart"/>
      <w:r>
        <w:t>piperaquine</w:t>
      </w:r>
      <w:proofErr w:type="spellEnd"/>
      <w:r w:rsidRPr="00F10832">
        <w:t xml:space="preserve"> </w:t>
      </w:r>
      <w:r>
        <w:t>day7</w:t>
      </w:r>
      <w:r w:rsidRPr="00F10832">
        <w:t xml:space="preserve"> were evaluated, rela</w:t>
      </w:r>
      <w:r>
        <w:t>tive to an intercept only model</w:t>
      </w:r>
      <w:r w:rsidRPr="00F10832">
        <w:t>.</w:t>
      </w:r>
      <w:r>
        <w:t xml:space="preserve"> </w:t>
      </w:r>
      <w:r w:rsidR="00E0204F">
        <w:t xml:space="preserve"> Subsequently, the </w:t>
      </w:r>
      <w:r w:rsidR="004B67A0">
        <w:t xml:space="preserve">univariate </w:t>
      </w:r>
      <w:r w:rsidR="00E0204F">
        <w:t>eff</w:t>
      </w:r>
      <w:r w:rsidR="00E0204F" w:rsidRPr="00F10832">
        <w:t xml:space="preserve">ects of </w:t>
      </w:r>
      <w:r w:rsidR="004B67A0">
        <w:t xml:space="preserve">the other </w:t>
      </w:r>
      <w:r w:rsidR="00E0204F" w:rsidRPr="00F10832">
        <w:t>covariates</w:t>
      </w:r>
      <w:r w:rsidR="004B67A0">
        <w:t xml:space="preserve"> were evaluated</w:t>
      </w:r>
      <w:r w:rsidR="00E0204F" w:rsidRPr="00F10832">
        <w:t xml:space="preserve"> </w:t>
      </w:r>
      <w:r w:rsidR="004B67A0">
        <w:t>(</w:t>
      </w:r>
      <w:r w:rsidR="00E0204F" w:rsidRPr="00F10832">
        <w:t xml:space="preserve">in the presence of both </w:t>
      </w:r>
      <w:proofErr w:type="spellStart"/>
      <w:r w:rsidR="00E0204F">
        <w:lastRenderedPageBreak/>
        <w:t>artefenomel</w:t>
      </w:r>
      <w:proofErr w:type="spellEnd"/>
      <w:r w:rsidR="00E0204F" w:rsidRPr="00F10832">
        <w:t xml:space="preserve"> and </w:t>
      </w:r>
      <w:proofErr w:type="spellStart"/>
      <w:r w:rsidR="00E0204F">
        <w:t>piperaquine</w:t>
      </w:r>
      <w:proofErr w:type="spellEnd"/>
      <w:r w:rsidR="00E0204F" w:rsidRPr="00F10832">
        <w:t xml:space="preserve"> </w:t>
      </w:r>
      <w:r w:rsidR="00E0204F">
        <w:t>Cday7</w:t>
      </w:r>
      <w:r w:rsidR="004B67A0">
        <w:t>)</w:t>
      </w:r>
      <w:r w:rsidR="00E0204F">
        <w:t>.</w:t>
      </w:r>
      <w:r w:rsidR="004B67A0">
        <w:t xml:space="preserve"> The significant covariates were retained </w:t>
      </w:r>
      <w:r w:rsidR="00AE4CBD">
        <w:t xml:space="preserve">in the model </w:t>
      </w:r>
      <w:r w:rsidR="004B67A0">
        <w:t>after which interactions were explored.</w:t>
      </w:r>
    </w:p>
    <w:p w14:paraId="5C7F430C" w14:textId="77777777" w:rsidR="000F3CCA" w:rsidRDefault="000F3CCA"/>
    <w:p w14:paraId="193BFE2D" w14:textId="77777777" w:rsidR="00F10832" w:rsidRDefault="00F10832">
      <w:r>
        <w:t>The relative contribution of different eff</w:t>
      </w:r>
      <w:r w:rsidRPr="00F10832">
        <w:t xml:space="preserve">ects </w:t>
      </w:r>
      <w:r w:rsidR="009A66C4">
        <w:t>to</w:t>
      </w:r>
      <w:r w:rsidR="009A66C4" w:rsidRPr="00F10832">
        <w:t xml:space="preserve"> </w:t>
      </w:r>
      <w:r w:rsidRPr="00F10832">
        <w:t>describing the data was quantified by p-values obtained from the likelihood ratio test</w:t>
      </w:r>
      <w:r>
        <w:t xml:space="preserve"> (LRT) for nested models. The diff</w:t>
      </w:r>
      <w:r w:rsidRPr="00F10832">
        <w:t xml:space="preserve">erence in twice negative </w:t>
      </w:r>
      <w:proofErr w:type="spellStart"/>
      <w:r w:rsidRPr="00F10832">
        <w:t>loglikelihood</w:t>
      </w:r>
      <w:proofErr w:type="spellEnd"/>
      <w:r w:rsidRPr="00F10832">
        <w:t xml:space="preserve"> (-2LL) values between a null/reduced model (where some parameters have been set to zero) and a full model is approximately chi-square distributed with the number of</w:t>
      </w:r>
      <w:r>
        <w:t xml:space="preserve"> degrees of freedom being the diff</w:t>
      </w:r>
      <w:r w:rsidRPr="00F10832">
        <w:t xml:space="preserve">erence in the number of parameters between the two models. A decrease of 3.84 points in -2LL is statistically significant at the 5% level of significance for one degree of freedom. The </w:t>
      </w:r>
      <w:proofErr w:type="spellStart"/>
      <w:r w:rsidRPr="00F10832">
        <w:t>Akaike</w:t>
      </w:r>
      <w:proofErr w:type="spellEnd"/>
      <w:r w:rsidRPr="00F10832">
        <w:t xml:space="preserve"> information criteria (AIC) was also used for comparing between models, in particular those that were not nested.</w:t>
      </w:r>
    </w:p>
    <w:p w14:paraId="2D92BD85" w14:textId="77777777" w:rsidR="00E63083" w:rsidRDefault="00E63083"/>
    <w:p w14:paraId="717D617E" w14:textId="77777777" w:rsidR="00A32EC9" w:rsidRDefault="00A32EC9">
      <w:r>
        <w:t>For t</w:t>
      </w:r>
      <w:r w:rsidR="00E63083">
        <w:t>he factor Kelch</w:t>
      </w:r>
      <w:r>
        <w:t>13</w:t>
      </w:r>
      <w:r w:rsidR="00E63083">
        <w:t xml:space="preserve"> genotype</w:t>
      </w:r>
      <w:r>
        <w:t xml:space="preserve"> various groupings were evaluated</w:t>
      </w:r>
      <w:r w:rsidR="007B79CB">
        <w:t>:</w:t>
      </w:r>
      <w:r>
        <w:t xml:space="preserve"> </w:t>
      </w:r>
    </w:p>
    <w:p w14:paraId="7212183B" w14:textId="77777777" w:rsidR="00A32EC9" w:rsidRDefault="00A32EC9" w:rsidP="00A32EC9">
      <w:pPr>
        <w:pStyle w:val="ListParagraph"/>
        <w:numPr>
          <w:ilvl w:val="0"/>
          <w:numId w:val="1"/>
        </w:numPr>
      </w:pPr>
      <w:r>
        <w:t xml:space="preserve">True Wild Type (WT; no mutation) </w:t>
      </w:r>
      <w:r w:rsidR="006303BA">
        <w:t>vs.</w:t>
      </w:r>
      <w:r>
        <w:t xml:space="preserve"> any mutation (MUT)</w:t>
      </w:r>
    </w:p>
    <w:p w14:paraId="3B387A35" w14:textId="77777777" w:rsidR="00A32EC9" w:rsidRDefault="00A32EC9" w:rsidP="001018E4">
      <w:pPr>
        <w:pStyle w:val="ListParagraph"/>
        <w:numPr>
          <w:ilvl w:val="0"/>
          <w:numId w:val="1"/>
        </w:numPr>
      </w:pPr>
      <w:r>
        <w:t xml:space="preserve">C580Y and I543T mutations (MUT) </w:t>
      </w:r>
      <w:r w:rsidR="006303BA">
        <w:t>vs.</w:t>
      </w:r>
      <w:r>
        <w:t xml:space="preserve"> WT for these 2 alleles: </w:t>
      </w:r>
      <w:r w:rsidR="00FE3E5A">
        <w:t>validated</w:t>
      </w:r>
      <w:r w:rsidR="001018E4" w:rsidRPr="001018E4">
        <w:t xml:space="preserve"> markers fo</w:t>
      </w:r>
      <w:r w:rsidR="001018E4">
        <w:t xml:space="preserve">r partial </w:t>
      </w:r>
      <w:r>
        <w:t>art</w:t>
      </w:r>
      <w:r w:rsidR="007B79CB">
        <w:t>e</w:t>
      </w:r>
      <w:r>
        <w:t>misinin resistance.</w:t>
      </w:r>
    </w:p>
    <w:p w14:paraId="00B516F4" w14:textId="77777777" w:rsidR="0077780E" w:rsidRDefault="00A32EC9" w:rsidP="00A32EC9">
      <w:pPr>
        <w:pStyle w:val="ListParagraph"/>
        <w:numPr>
          <w:ilvl w:val="0"/>
          <w:numId w:val="1"/>
        </w:numPr>
      </w:pPr>
      <w:r>
        <w:t xml:space="preserve">C580Y, I543T as well as P553L and V568G (MUT) </w:t>
      </w:r>
      <w:r w:rsidR="006303BA">
        <w:t>vs.</w:t>
      </w:r>
      <w:r>
        <w:t xml:space="preserve"> WT for these 4</w:t>
      </w:r>
      <w:r w:rsidR="00F65485">
        <w:t xml:space="preserve"> alleles: </w:t>
      </w:r>
      <w:r w:rsidR="00FE3E5A" w:rsidRPr="001018E4">
        <w:t>validated or candidate markers fo</w:t>
      </w:r>
      <w:r w:rsidR="00FE3E5A">
        <w:t xml:space="preserve">r partial </w:t>
      </w:r>
      <w:r>
        <w:t>art</w:t>
      </w:r>
      <w:r w:rsidR="00FE3E5A">
        <w:t>e</w:t>
      </w:r>
      <w:r>
        <w:t>misinin resistance.</w:t>
      </w:r>
    </w:p>
    <w:p w14:paraId="3E3E3DFF" w14:textId="77777777" w:rsidR="00ED0C1D" w:rsidRDefault="00ED0C1D" w:rsidP="0077780E"/>
    <w:p w14:paraId="74DD31AE" w14:textId="77777777" w:rsidR="0077780E" w:rsidRPr="0077780E" w:rsidRDefault="0077780E" w:rsidP="0077780E">
      <w:r w:rsidRPr="0077780E">
        <w:t xml:space="preserve">In addition a sensitivity analysis was performed in which concentration at Day 7 (for both </w:t>
      </w:r>
      <w:proofErr w:type="spellStart"/>
      <w:r w:rsidR="00E0204F">
        <w:t>artefenomel</w:t>
      </w:r>
      <w:proofErr w:type="spellEnd"/>
      <w:r w:rsidRPr="0077780E">
        <w:t xml:space="preserve"> and </w:t>
      </w:r>
      <w:proofErr w:type="spellStart"/>
      <w:r w:rsidRPr="0077780E">
        <w:t>piperaquine</w:t>
      </w:r>
      <w:proofErr w:type="spellEnd"/>
      <w:r w:rsidRPr="0077780E">
        <w:t>) in the final model was replaced with either concentration at Day 14 or concentration at Day 28.</w:t>
      </w:r>
    </w:p>
    <w:p w14:paraId="64C7E7E7" w14:textId="77777777" w:rsidR="0050263E" w:rsidRPr="00BE2F29" w:rsidRDefault="0050263E" w:rsidP="0077780E"/>
    <w:p w14:paraId="64188752" w14:textId="77777777" w:rsidR="00BE2F29" w:rsidRPr="00BE2F29" w:rsidRDefault="00BE2F29" w:rsidP="00355AF1">
      <w:r w:rsidRPr="00BE2F29">
        <w:t>Analysis dataset:</w:t>
      </w:r>
    </w:p>
    <w:p w14:paraId="1C0C3F0A" w14:textId="77777777" w:rsidR="00355AF1" w:rsidRDefault="00355AF1" w:rsidP="00355AF1">
      <w:pPr>
        <w:rPr>
          <w:rFonts w:ascii="Calibri" w:hAnsi="Calibri"/>
          <w:sz w:val="22"/>
        </w:rPr>
      </w:pPr>
    </w:p>
    <w:p w14:paraId="1CDB2BD7" w14:textId="77777777" w:rsidR="00355AF1" w:rsidRDefault="00355AF1" w:rsidP="00355AF1">
      <w:pPr>
        <w:rPr>
          <w:rFonts w:asciiTheme="majorHAnsi" w:hAnsiTheme="majorHAnsi"/>
          <w:sz w:val="22"/>
          <w:lang w:val="en-GB"/>
        </w:rPr>
      </w:pPr>
      <w:r w:rsidRPr="00A44F62">
        <w:rPr>
          <w:rFonts w:asciiTheme="majorHAnsi" w:hAnsiTheme="majorHAnsi"/>
          <w:b/>
          <w:sz w:val="22"/>
          <w:lang w:val="en-GB"/>
        </w:rPr>
        <w:t>Table</w:t>
      </w:r>
      <w:r w:rsidR="00A177AE">
        <w:rPr>
          <w:rFonts w:asciiTheme="majorHAnsi" w:hAnsiTheme="majorHAnsi"/>
          <w:b/>
          <w:sz w:val="22"/>
          <w:lang w:val="en-GB"/>
        </w:rPr>
        <w:t xml:space="preserve"> 1</w:t>
      </w:r>
      <w:r w:rsidRPr="00A44F62">
        <w:rPr>
          <w:rFonts w:asciiTheme="majorHAnsi" w:hAnsiTheme="majorHAnsi"/>
          <w:b/>
          <w:sz w:val="22"/>
          <w:lang w:val="en-GB"/>
        </w:rPr>
        <w:t>.</w:t>
      </w:r>
      <w:r w:rsidRPr="00A44F62">
        <w:rPr>
          <w:rFonts w:asciiTheme="majorHAnsi" w:hAnsiTheme="majorHAnsi"/>
          <w:sz w:val="22"/>
          <w:lang w:val="en-GB"/>
        </w:rPr>
        <w:t xml:space="preserve"> Exposure - response dataset summary</w:t>
      </w:r>
    </w:p>
    <w:p w14:paraId="1F2D9C57" w14:textId="77777777" w:rsidR="000F3CCA" w:rsidRPr="00A44F62" w:rsidRDefault="000F3CCA" w:rsidP="00355AF1">
      <w:pPr>
        <w:rPr>
          <w:rFonts w:asciiTheme="majorHAnsi" w:hAnsiTheme="majorHAnsi"/>
          <w:sz w:val="22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4297"/>
      </w:tblGrid>
      <w:tr w:rsidR="00355AF1" w:rsidRPr="00A44F62" w14:paraId="48CA9891" w14:textId="77777777">
        <w:trPr>
          <w:jc w:val="center"/>
        </w:trPr>
        <w:tc>
          <w:tcPr>
            <w:tcW w:w="4788" w:type="dxa"/>
            <w:shd w:val="clear" w:color="auto" w:fill="F2F2F2" w:themeFill="background1" w:themeFillShade="F2"/>
          </w:tcPr>
          <w:p w14:paraId="33D38927" w14:textId="77777777" w:rsidR="00355AF1" w:rsidRPr="00A44F62" w:rsidRDefault="00355AF1" w:rsidP="00E63083">
            <w:pPr>
              <w:rPr>
                <w:rFonts w:asciiTheme="majorHAnsi" w:hAnsiTheme="majorHAnsi"/>
                <w:b/>
                <w:lang w:val="en-GB"/>
              </w:rPr>
            </w:pPr>
            <w:r w:rsidRPr="00A44F62">
              <w:rPr>
                <w:rFonts w:asciiTheme="majorHAnsi" w:hAnsiTheme="majorHAnsi"/>
                <w:b/>
                <w:lang w:val="en-GB"/>
              </w:rPr>
              <w:t>Study</w:t>
            </w:r>
          </w:p>
        </w:tc>
        <w:tc>
          <w:tcPr>
            <w:tcW w:w="4788" w:type="dxa"/>
            <w:shd w:val="clear" w:color="auto" w:fill="F2F2F2" w:themeFill="background1" w:themeFillShade="F2"/>
            <w:vAlign w:val="center"/>
          </w:tcPr>
          <w:p w14:paraId="554164F3" w14:textId="77777777" w:rsidR="00355AF1" w:rsidRPr="00A44F62" w:rsidRDefault="005E0E46" w:rsidP="00E63083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MMV_OZ439_</w:t>
            </w:r>
            <w:r w:rsidR="00723CA7">
              <w:rPr>
                <w:rFonts w:asciiTheme="majorHAnsi" w:hAnsiTheme="majorHAnsi"/>
                <w:b/>
                <w:lang w:val="en-GB"/>
              </w:rPr>
              <w:t>13_</w:t>
            </w:r>
            <w:r w:rsidR="00355AF1" w:rsidRPr="00A44F62">
              <w:rPr>
                <w:rFonts w:asciiTheme="majorHAnsi" w:hAnsiTheme="majorHAnsi"/>
                <w:b/>
                <w:lang w:val="en-GB"/>
              </w:rPr>
              <w:t>003</w:t>
            </w:r>
          </w:p>
        </w:tc>
      </w:tr>
      <w:tr w:rsidR="00355AF1" w:rsidRPr="00A44F62" w14:paraId="657D8567" w14:textId="77777777">
        <w:trPr>
          <w:jc w:val="center"/>
        </w:trPr>
        <w:tc>
          <w:tcPr>
            <w:tcW w:w="4788" w:type="dxa"/>
          </w:tcPr>
          <w:p w14:paraId="1F4BC7CC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Population</w:t>
            </w:r>
          </w:p>
        </w:tc>
        <w:tc>
          <w:tcPr>
            <w:tcW w:w="4788" w:type="dxa"/>
            <w:vAlign w:val="center"/>
          </w:tcPr>
          <w:p w14:paraId="393C9DC6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Derived from ITT</w:t>
            </w:r>
          </w:p>
        </w:tc>
      </w:tr>
      <w:tr w:rsidR="00355AF1" w:rsidRPr="00A44F62" w14:paraId="3546C41A" w14:textId="77777777">
        <w:trPr>
          <w:jc w:val="center"/>
        </w:trPr>
        <w:tc>
          <w:tcPr>
            <w:tcW w:w="4788" w:type="dxa"/>
          </w:tcPr>
          <w:p w14:paraId="1B739D68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Number of patients</w:t>
            </w:r>
          </w:p>
        </w:tc>
        <w:tc>
          <w:tcPr>
            <w:tcW w:w="4788" w:type="dxa"/>
            <w:vAlign w:val="center"/>
          </w:tcPr>
          <w:p w14:paraId="3D6A6238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348</w:t>
            </w:r>
          </w:p>
        </w:tc>
      </w:tr>
      <w:tr w:rsidR="00355AF1" w:rsidRPr="00A44F62" w14:paraId="284D3641" w14:textId="77777777">
        <w:trPr>
          <w:jc w:val="center"/>
        </w:trPr>
        <w:tc>
          <w:tcPr>
            <w:tcW w:w="4788" w:type="dxa"/>
          </w:tcPr>
          <w:p w14:paraId="76DDF767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Africa/ Asia</w:t>
            </w:r>
          </w:p>
        </w:tc>
        <w:tc>
          <w:tcPr>
            <w:tcW w:w="4788" w:type="dxa"/>
            <w:vAlign w:val="center"/>
          </w:tcPr>
          <w:p w14:paraId="3C692214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269/79</w:t>
            </w:r>
          </w:p>
        </w:tc>
      </w:tr>
      <w:tr w:rsidR="00355AF1" w:rsidRPr="00A44F62" w14:paraId="5D627BA4" w14:textId="77777777">
        <w:trPr>
          <w:jc w:val="center"/>
        </w:trPr>
        <w:tc>
          <w:tcPr>
            <w:tcW w:w="4788" w:type="dxa"/>
          </w:tcPr>
          <w:p w14:paraId="35271F0D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Median age, years (range)</w:t>
            </w:r>
          </w:p>
        </w:tc>
        <w:tc>
          <w:tcPr>
            <w:tcW w:w="4788" w:type="dxa"/>
            <w:vAlign w:val="center"/>
          </w:tcPr>
          <w:p w14:paraId="38DEFB7B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4.2 (0.5–58)</w:t>
            </w:r>
          </w:p>
        </w:tc>
      </w:tr>
      <w:tr w:rsidR="00355AF1" w:rsidRPr="00A44F62" w14:paraId="17517C5F" w14:textId="77777777">
        <w:trPr>
          <w:jc w:val="center"/>
        </w:trPr>
        <w:tc>
          <w:tcPr>
            <w:tcW w:w="4788" w:type="dxa"/>
          </w:tcPr>
          <w:p w14:paraId="262E3A3E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Africa ≤5 years/ Africa &gt; 5 years/ Asia &gt;5 years</w:t>
            </w:r>
          </w:p>
        </w:tc>
        <w:tc>
          <w:tcPr>
            <w:tcW w:w="4788" w:type="dxa"/>
            <w:vAlign w:val="center"/>
          </w:tcPr>
          <w:p w14:paraId="567D1312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211 /58/79</w:t>
            </w:r>
          </w:p>
        </w:tc>
      </w:tr>
      <w:tr w:rsidR="00355AF1" w:rsidRPr="00A44F62" w14:paraId="1DA0DCD4" w14:textId="77777777">
        <w:trPr>
          <w:jc w:val="center"/>
        </w:trPr>
        <w:tc>
          <w:tcPr>
            <w:tcW w:w="4788" w:type="dxa"/>
          </w:tcPr>
          <w:p w14:paraId="2C1D1264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 xml:space="preserve">Baseline </w:t>
            </w:r>
            <w:proofErr w:type="spellStart"/>
            <w:r w:rsidR="006303BA">
              <w:rPr>
                <w:rFonts w:asciiTheme="majorHAnsi" w:hAnsiTheme="majorHAnsi"/>
                <w:lang w:val="en-GB"/>
              </w:rPr>
              <w:t>parasit</w:t>
            </w:r>
            <w:r>
              <w:rPr>
                <w:rFonts w:asciiTheme="majorHAnsi" w:hAnsiTheme="majorHAnsi"/>
                <w:lang w:val="en-GB"/>
              </w:rPr>
              <w:t>emia</w:t>
            </w:r>
            <w:proofErr w:type="spellEnd"/>
            <w:r w:rsidRPr="00A44F62">
              <w:rPr>
                <w:rFonts w:asciiTheme="majorHAnsi" w:hAnsiTheme="majorHAnsi"/>
                <w:lang w:val="en-GB"/>
              </w:rPr>
              <w:t xml:space="preserve"> (par/</w:t>
            </w:r>
            <w:proofErr w:type="spellStart"/>
            <w:r w:rsidRPr="00A44F62">
              <w:rPr>
                <w:rFonts w:asciiTheme="majorHAnsi" w:hAnsiTheme="majorHAnsi"/>
                <w:lang w:val="en-GB"/>
              </w:rPr>
              <w:t>μL</w:t>
            </w:r>
            <w:proofErr w:type="spellEnd"/>
            <w:r w:rsidRPr="00A44F62"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4788" w:type="dxa"/>
            <w:vAlign w:val="center"/>
          </w:tcPr>
          <w:p w14:paraId="725763E9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11,640 (187–220,200)</w:t>
            </w:r>
          </w:p>
        </w:tc>
      </w:tr>
      <w:tr w:rsidR="00355AF1" w:rsidRPr="00A44F62" w14:paraId="0FA52F42" w14:textId="77777777">
        <w:trPr>
          <w:jc w:val="center"/>
        </w:trPr>
        <w:tc>
          <w:tcPr>
            <w:tcW w:w="4788" w:type="dxa"/>
          </w:tcPr>
          <w:p w14:paraId="3F447C2B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K13</w:t>
            </w:r>
            <w:r w:rsidRPr="00A44F62">
              <w:rPr>
                <w:rFonts w:asciiTheme="majorHAnsi" w:hAnsiTheme="majorHAnsi"/>
                <w:vertAlign w:val="superscript"/>
                <w:lang w:val="en-GB"/>
              </w:rPr>
              <w:t>‡</w:t>
            </w:r>
            <w:r w:rsidRPr="00A44F62">
              <w:rPr>
                <w:rFonts w:asciiTheme="majorHAnsi" w:hAnsiTheme="majorHAnsi"/>
                <w:lang w:val="en-GB"/>
              </w:rPr>
              <w:t xml:space="preserve"> genotype WT/MUT/missing</w:t>
            </w:r>
          </w:p>
        </w:tc>
        <w:tc>
          <w:tcPr>
            <w:tcW w:w="4788" w:type="dxa"/>
            <w:vAlign w:val="center"/>
          </w:tcPr>
          <w:p w14:paraId="415C5E94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252/45/51</w:t>
            </w:r>
          </w:p>
        </w:tc>
      </w:tr>
      <w:tr w:rsidR="00355AF1" w:rsidRPr="00A44F62" w14:paraId="53581C16" w14:textId="77777777">
        <w:trPr>
          <w:jc w:val="center"/>
        </w:trPr>
        <w:tc>
          <w:tcPr>
            <w:tcW w:w="4788" w:type="dxa"/>
          </w:tcPr>
          <w:p w14:paraId="4F12A222" w14:textId="77777777" w:rsidR="00355AF1" w:rsidRPr="00A44F62" w:rsidRDefault="00355AF1" w:rsidP="00E63083">
            <w:pPr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PCR-adjusted ACPR28 (success/failure)</w:t>
            </w:r>
          </w:p>
        </w:tc>
        <w:tc>
          <w:tcPr>
            <w:tcW w:w="4788" w:type="dxa"/>
            <w:vAlign w:val="center"/>
          </w:tcPr>
          <w:p w14:paraId="18E2E42C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254/94</w:t>
            </w:r>
          </w:p>
        </w:tc>
      </w:tr>
      <w:tr w:rsidR="00355AF1" w:rsidRPr="00A44F62" w14:paraId="3151EFC8" w14:textId="77777777">
        <w:trPr>
          <w:jc w:val="center"/>
        </w:trPr>
        <w:tc>
          <w:tcPr>
            <w:tcW w:w="4788" w:type="dxa"/>
          </w:tcPr>
          <w:p w14:paraId="763A695B" w14:textId="77777777" w:rsidR="00355AF1" w:rsidRPr="00A44F62" w:rsidRDefault="00D22964" w:rsidP="00E63083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Estimated </w:t>
            </w:r>
            <w:r w:rsidR="00355AF1" w:rsidRPr="00A44F62">
              <w:rPr>
                <w:rFonts w:asciiTheme="majorHAnsi" w:hAnsiTheme="majorHAnsi"/>
                <w:lang w:val="en-GB"/>
              </w:rPr>
              <w:t xml:space="preserve">Cday7 </w:t>
            </w:r>
            <w:proofErr w:type="spellStart"/>
            <w:r w:rsidR="00355AF1">
              <w:rPr>
                <w:rFonts w:asciiTheme="majorHAnsi" w:hAnsiTheme="majorHAnsi"/>
                <w:lang w:val="en-GB"/>
              </w:rPr>
              <w:t>artefenomel</w:t>
            </w:r>
            <w:proofErr w:type="spellEnd"/>
            <w:r w:rsidR="00355AF1" w:rsidRPr="00A44F62">
              <w:rPr>
                <w:rFonts w:asciiTheme="majorHAnsi" w:hAnsiTheme="majorHAnsi"/>
                <w:lang w:val="en-GB"/>
              </w:rPr>
              <w:t xml:space="preserve"> (ng/mL)</w:t>
            </w:r>
          </w:p>
        </w:tc>
        <w:tc>
          <w:tcPr>
            <w:tcW w:w="4788" w:type="dxa"/>
            <w:vAlign w:val="center"/>
          </w:tcPr>
          <w:p w14:paraId="39E8C171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3.5 (0.05–21.0)</w:t>
            </w:r>
          </w:p>
        </w:tc>
      </w:tr>
      <w:tr w:rsidR="00355AF1" w:rsidRPr="00A44F62" w14:paraId="26A633D2" w14:textId="77777777">
        <w:trPr>
          <w:jc w:val="center"/>
        </w:trPr>
        <w:tc>
          <w:tcPr>
            <w:tcW w:w="4788" w:type="dxa"/>
          </w:tcPr>
          <w:p w14:paraId="2F689C6E" w14:textId="77777777" w:rsidR="00355AF1" w:rsidRPr="00A44F62" w:rsidRDefault="00D22964" w:rsidP="00E63083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Estimated </w:t>
            </w:r>
            <w:r w:rsidR="00355AF1" w:rsidRPr="00A44F62">
              <w:rPr>
                <w:rFonts w:asciiTheme="majorHAnsi" w:hAnsiTheme="majorHAnsi"/>
                <w:lang w:val="en-GB"/>
              </w:rPr>
              <w:t xml:space="preserve">Cday7 </w:t>
            </w:r>
            <w:proofErr w:type="spellStart"/>
            <w:r w:rsidR="00355AF1" w:rsidRPr="00A44F62">
              <w:rPr>
                <w:rFonts w:asciiTheme="majorHAnsi" w:hAnsiTheme="majorHAnsi"/>
                <w:lang w:val="en-GB"/>
              </w:rPr>
              <w:t>piperaquine</w:t>
            </w:r>
            <w:proofErr w:type="spellEnd"/>
            <w:r w:rsidR="00355AF1" w:rsidRPr="00A44F62">
              <w:rPr>
                <w:rFonts w:asciiTheme="majorHAnsi" w:hAnsiTheme="majorHAnsi"/>
                <w:lang w:val="en-GB"/>
              </w:rPr>
              <w:t xml:space="preserve"> (ng/mL)</w:t>
            </w:r>
          </w:p>
        </w:tc>
        <w:tc>
          <w:tcPr>
            <w:tcW w:w="4788" w:type="dxa"/>
            <w:vAlign w:val="center"/>
          </w:tcPr>
          <w:p w14:paraId="5B45FA75" w14:textId="77777777" w:rsidR="00355AF1" w:rsidRPr="00A44F62" w:rsidRDefault="00355AF1" w:rsidP="00E63083">
            <w:pPr>
              <w:jc w:val="center"/>
              <w:rPr>
                <w:rFonts w:asciiTheme="majorHAnsi" w:hAnsiTheme="majorHAnsi"/>
                <w:lang w:val="en-GB"/>
              </w:rPr>
            </w:pPr>
            <w:r w:rsidRPr="00A44F62">
              <w:rPr>
                <w:rFonts w:asciiTheme="majorHAnsi" w:hAnsiTheme="majorHAnsi"/>
                <w:lang w:val="en-GB"/>
              </w:rPr>
              <w:t>7.3 (0–16.2)</w:t>
            </w:r>
          </w:p>
        </w:tc>
      </w:tr>
    </w:tbl>
    <w:p w14:paraId="511EC68C" w14:textId="77777777" w:rsidR="00355AF1" w:rsidRPr="005E0E46" w:rsidRDefault="0097034E" w:rsidP="00355AF1">
      <w:pPr>
        <w:rPr>
          <w:rFonts w:asciiTheme="majorHAnsi" w:hAnsiTheme="majorHAnsi"/>
          <w:sz w:val="20"/>
          <w:szCs w:val="20"/>
          <w:lang w:val="en-GB"/>
        </w:rPr>
      </w:pPr>
      <w:r w:rsidRPr="0097034E">
        <w:rPr>
          <w:rFonts w:asciiTheme="majorHAnsi" w:hAnsiTheme="majorHAnsi"/>
          <w:sz w:val="20"/>
          <w:szCs w:val="20"/>
          <w:vertAlign w:val="superscript"/>
          <w:lang w:val="en-GB"/>
        </w:rPr>
        <w:t>‡</w:t>
      </w:r>
      <w:r w:rsidRPr="0097034E">
        <w:rPr>
          <w:rFonts w:asciiTheme="majorHAnsi" w:hAnsiTheme="majorHAnsi"/>
          <w:sz w:val="20"/>
          <w:szCs w:val="20"/>
          <w:lang w:val="en-GB"/>
        </w:rPr>
        <w:t xml:space="preserve"> K13 genotype: C580Y, 1543T,P553L and V568G (MUT) versus others (WT for these four alleles). </w:t>
      </w:r>
    </w:p>
    <w:p w14:paraId="24B3B8BC" w14:textId="77777777" w:rsidR="00355AF1" w:rsidRPr="001C2614" w:rsidRDefault="00355AF1" w:rsidP="00355AF1">
      <w:pPr>
        <w:rPr>
          <w:rFonts w:ascii="Calibri" w:hAnsi="Calibri"/>
          <w:sz w:val="22"/>
        </w:rPr>
      </w:pPr>
    </w:p>
    <w:p w14:paraId="1DC2CFE7" w14:textId="77777777" w:rsidR="00B73C2A" w:rsidRDefault="00355AF1" w:rsidP="00355AF1">
      <w:r w:rsidRPr="00BE2F29">
        <w:t xml:space="preserve">The </w:t>
      </w:r>
      <w:r w:rsidR="00BE2F29">
        <w:t xml:space="preserve">final </w:t>
      </w:r>
      <w:r w:rsidRPr="00BE2F29">
        <w:t>model para</w:t>
      </w:r>
      <w:r w:rsidR="00A177AE">
        <w:t>meters are summarized in Table 2</w:t>
      </w:r>
      <w:r w:rsidRPr="00BE2F29">
        <w:t>.</w:t>
      </w:r>
      <w:r w:rsidR="004B6F15">
        <w:t xml:space="preserve"> All parameters except for the additional intercept for Asian patients are reasonably well estimated.</w:t>
      </w:r>
    </w:p>
    <w:p w14:paraId="55AE8EF5" w14:textId="77777777" w:rsidR="00355AF1" w:rsidRPr="00BE2F29" w:rsidRDefault="00B73C2A" w:rsidP="00355AF1">
      <w:r w:rsidRPr="00B73C2A">
        <w:t xml:space="preserve">The sensitivity analysis (Cday7 </w:t>
      </w:r>
      <w:r w:rsidR="00460357" w:rsidRPr="00B73C2A">
        <w:t>vs.</w:t>
      </w:r>
      <w:r w:rsidRPr="00B73C2A">
        <w:t xml:space="preserve"> other, potentially relevant exposure variables Cday14 and Cday28) suggested that the model based on Cday7 was a</w:t>
      </w:r>
      <w:r>
        <w:t xml:space="preserve"> better description of the data. However, the diff</w:t>
      </w:r>
      <w:r w:rsidRPr="00B73C2A">
        <w:t>erence between these three models was small.</w:t>
      </w:r>
    </w:p>
    <w:p w14:paraId="24AF3621" w14:textId="77777777" w:rsidR="00355AF1" w:rsidRDefault="00355AF1" w:rsidP="00355AF1">
      <w:pPr>
        <w:rPr>
          <w:rFonts w:ascii="Calibri" w:hAnsi="Calibri"/>
          <w:sz w:val="22"/>
        </w:rPr>
      </w:pPr>
    </w:p>
    <w:p w14:paraId="70BC63C1" w14:textId="77777777" w:rsidR="00355AF1" w:rsidRDefault="00A177AE" w:rsidP="00355AF1">
      <w:pPr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Table 2</w:t>
      </w:r>
      <w:r w:rsidR="00355AF1" w:rsidRPr="007358BD">
        <w:rPr>
          <w:rFonts w:asciiTheme="majorHAnsi" w:hAnsiTheme="majorHAnsi"/>
          <w:b/>
          <w:sz w:val="22"/>
        </w:rPr>
        <w:t>: Parameter estimates for the relations</w:t>
      </w:r>
      <w:r w:rsidR="009D7893">
        <w:rPr>
          <w:rFonts w:asciiTheme="majorHAnsi" w:hAnsiTheme="majorHAnsi"/>
          <w:b/>
          <w:sz w:val="22"/>
        </w:rPr>
        <w:t>hip between Cday</w:t>
      </w:r>
      <w:r w:rsidR="00355AF1">
        <w:rPr>
          <w:rFonts w:asciiTheme="majorHAnsi" w:hAnsiTheme="majorHAnsi"/>
          <w:b/>
          <w:sz w:val="22"/>
        </w:rPr>
        <w:t>7</w:t>
      </w:r>
      <w:r w:rsidR="00355AF1" w:rsidRPr="007358BD">
        <w:rPr>
          <w:rFonts w:asciiTheme="majorHAnsi" w:hAnsiTheme="majorHAnsi"/>
          <w:b/>
          <w:sz w:val="22"/>
        </w:rPr>
        <w:t xml:space="preserve"> of </w:t>
      </w:r>
      <w:proofErr w:type="spellStart"/>
      <w:r w:rsidR="00355AF1" w:rsidRPr="007358BD">
        <w:rPr>
          <w:rFonts w:asciiTheme="majorHAnsi" w:hAnsiTheme="majorHAnsi"/>
          <w:b/>
          <w:sz w:val="22"/>
        </w:rPr>
        <w:t>artefenomel</w:t>
      </w:r>
      <w:proofErr w:type="spellEnd"/>
      <w:r w:rsidR="00355AF1" w:rsidRPr="007358BD">
        <w:rPr>
          <w:rFonts w:asciiTheme="majorHAnsi" w:hAnsiTheme="majorHAnsi"/>
          <w:b/>
          <w:sz w:val="22"/>
        </w:rPr>
        <w:t xml:space="preserve"> a</w:t>
      </w:r>
      <w:r w:rsidR="00355AF1">
        <w:rPr>
          <w:rFonts w:asciiTheme="majorHAnsi" w:hAnsiTheme="majorHAnsi"/>
          <w:b/>
          <w:sz w:val="22"/>
        </w:rPr>
        <w:t xml:space="preserve">nd </w:t>
      </w:r>
      <w:proofErr w:type="spellStart"/>
      <w:r w:rsidR="00355AF1">
        <w:rPr>
          <w:rFonts w:asciiTheme="majorHAnsi" w:hAnsiTheme="majorHAnsi"/>
          <w:b/>
          <w:sz w:val="22"/>
        </w:rPr>
        <w:t>piperaquine</w:t>
      </w:r>
      <w:proofErr w:type="spellEnd"/>
      <w:r w:rsidR="00355AF1">
        <w:rPr>
          <w:rFonts w:asciiTheme="majorHAnsi" w:hAnsiTheme="majorHAnsi"/>
          <w:b/>
          <w:sz w:val="22"/>
        </w:rPr>
        <w:t xml:space="preserve"> and </w:t>
      </w:r>
      <w:r w:rsidR="00355AF1" w:rsidRPr="007358BD">
        <w:rPr>
          <w:rFonts w:asciiTheme="majorHAnsi" w:hAnsiTheme="majorHAnsi"/>
          <w:b/>
          <w:sz w:val="22"/>
        </w:rPr>
        <w:t>ACPR28</w:t>
      </w:r>
    </w:p>
    <w:p w14:paraId="064BE62B" w14:textId="77777777" w:rsidR="000F3CCA" w:rsidRPr="007358BD" w:rsidRDefault="000F3CCA" w:rsidP="00355AF1">
      <w:pPr>
        <w:rPr>
          <w:rFonts w:asciiTheme="majorHAnsi" w:hAnsiTheme="majorHAnsi"/>
          <w:b/>
          <w:sz w:val="22"/>
        </w:rPr>
      </w:pPr>
    </w:p>
    <w:tbl>
      <w:tblPr>
        <w:tblStyle w:val="TableGrid"/>
        <w:tblW w:w="8585" w:type="dxa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1679"/>
        <w:gridCol w:w="1790"/>
        <w:gridCol w:w="1804"/>
      </w:tblGrid>
      <w:tr w:rsidR="00ED0C82" w:rsidRPr="00A44F62" w14:paraId="4469A8CF" w14:textId="77777777">
        <w:trPr>
          <w:trHeight w:val="275"/>
          <w:jc w:val="center"/>
        </w:trPr>
        <w:tc>
          <w:tcPr>
            <w:tcW w:w="3312" w:type="dxa"/>
            <w:shd w:val="clear" w:color="auto" w:fill="F2F2F2" w:themeFill="background1" w:themeFillShade="F2"/>
          </w:tcPr>
          <w:p w14:paraId="28C9A743" w14:textId="77777777" w:rsidR="00636FF2" w:rsidRPr="00A44F62" w:rsidRDefault="00636FF2" w:rsidP="00CD50C5">
            <w:pPr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Parameter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5B226C30" w14:textId="77777777" w:rsidR="00636FF2" w:rsidRDefault="00636FF2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proofErr w:type="spellStart"/>
            <w:r>
              <w:rPr>
                <w:rFonts w:asciiTheme="majorHAnsi" w:hAnsiTheme="majorHAnsi"/>
                <w:b/>
                <w:lang w:val="en-GB"/>
              </w:rPr>
              <w:t>Estimate</w:t>
            </w:r>
            <w:r>
              <w:rPr>
                <w:rFonts w:asciiTheme="majorHAnsi" w:hAnsiTheme="majorHAnsi"/>
                <w:b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90" w:type="dxa"/>
            <w:shd w:val="clear" w:color="auto" w:fill="F2F2F2" w:themeFill="background1" w:themeFillShade="F2"/>
          </w:tcPr>
          <w:p w14:paraId="529D45C7" w14:textId="77777777" w:rsidR="00636FF2" w:rsidRDefault="00790D4E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95% CI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768AC30C" w14:textId="77777777" w:rsidR="00636FF2" w:rsidRDefault="00BD2D60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p-value</w:t>
            </w:r>
          </w:p>
        </w:tc>
      </w:tr>
      <w:tr w:rsidR="00636FF2" w:rsidRPr="00A44F62" w14:paraId="55BD4423" w14:textId="77777777">
        <w:trPr>
          <w:trHeight w:val="275"/>
          <w:jc w:val="center"/>
        </w:trPr>
        <w:tc>
          <w:tcPr>
            <w:tcW w:w="3312" w:type="dxa"/>
          </w:tcPr>
          <w:p w14:paraId="247DD402" w14:textId="77777777" w:rsidR="00636FF2" w:rsidRPr="00930DEF" w:rsidRDefault="00636FF2" w:rsidP="00CD50C5">
            <w:pPr>
              <w:rPr>
                <w:rFonts w:asciiTheme="majorHAnsi" w:hAnsiTheme="majorHAnsi"/>
                <w:vertAlign w:val="superscript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Intercept</w:t>
            </w:r>
          </w:p>
        </w:tc>
        <w:tc>
          <w:tcPr>
            <w:tcW w:w="1679" w:type="dxa"/>
          </w:tcPr>
          <w:p w14:paraId="0A3B1D28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3.23 (40)</w:t>
            </w:r>
          </w:p>
        </w:tc>
        <w:tc>
          <w:tcPr>
            <w:tcW w:w="1790" w:type="dxa"/>
          </w:tcPr>
          <w:p w14:paraId="18DA4580" w14:textId="77777777" w:rsidR="00636FF2" w:rsidRDefault="00790D4E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(0.77 - 5.80)</w:t>
            </w:r>
          </w:p>
        </w:tc>
        <w:tc>
          <w:tcPr>
            <w:tcW w:w="1804" w:type="dxa"/>
          </w:tcPr>
          <w:p w14:paraId="08A8FB4C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0.0115</w:t>
            </w:r>
          </w:p>
        </w:tc>
      </w:tr>
      <w:tr w:rsidR="00636FF2" w:rsidRPr="00A44F62" w14:paraId="1B9F33CF" w14:textId="77777777">
        <w:trPr>
          <w:trHeight w:val="275"/>
          <w:jc w:val="center"/>
        </w:trPr>
        <w:tc>
          <w:tcPr>
            <w:tcW w:w="3312" w:type="dxa"/>
          </w:tcPr>
          <w:p w14:paraId="58EBCF06" w14:textId="77777777" w:rsidR="00636FF2" w:rsidRPr="00A44F62" w:rsidRDefault="00636FF2" w:rsidP="00CD50C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Slope Cday7 </w:t>
            </w:r>
            <w:proofErr w:type="spellStart"/>
            <w:r>
              <w:rPr>
                <w:rFonts w:asciiTheme="majorHAnsi" w:hAnsiTheme="majorHAnsi"/>
                <w:lang w:val="en-GB"/>
              </w:rPr>
              <w:t>piperaquine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(ng/ml)</w:t>
            </w:r>
          </w:p>
        </w:tc>
        <w:tc>
          <w:tcPr>
            <w:tcW w:w="1679" w:type="dxa"/>
          </w:tcPr>
          <w:p w14:paraId="697210FD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0.22 (27)</w:t>
            </w:r>
          </w:p>
        </w:tc>
        <w:tc>
          <w:tcPr>
            <w:tcW w:w="1790" w:type="dxa"/>
          </w:tcPr>
          <w:p w14:paraId="5802A4C2" w14:textId="77777777" w:rsidR="00636FF2" w:rsidRDefault="00790D4E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(0.10 - 0.35)</w:t>
            </w:r>
          </w:p>
        </w:tc>
        <w:tc>
          <w:tcPr>
            <w:tcW w:w="1804" w:type="dxa"/>
          </w:tcPr>
          <w:p w14:paraId="78778110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0.0005</w:t>
            </w:r>
          </w:p>
        </w:tc>
      </w:tr>
      <w:tr w:rsidR="00636FF2" w:rsidRPr="00A44F62" w14:paraId="0CA4E1B4" w14:textId="77777777">
        <w:trPr>
          <w:trHeight w:val="275"/>
          <w:jc w:val="center"/>
        </w:trPr>
        <w:tc>
          <w:tcPr>
            <w:tcW w:w="3312" w:type="dxa"/>
          </w:tcPr>
          <w:p w14:paraId="45933C61" w14:textId="77777777" w:rsidR="00636FF2" w:rsidRPr="00A44F62" w:rsidRDefault="00636FF2" w:rsidP="00291433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Slope Cday7 </w:t>
            </w:r>
            <w:proofErr w:type="spellStart"/>
            <w:r>
              <w:rPr>
                <w:rFonts w:asciiTheme="majorHAnsi" w:hAnsiTheme="majorHAnsi"/>
                <w:lang w:val="en-GB"/>
              </w:rPr>
              <w:t>artefenomel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(ng/ml)</w:t>
            </w:r>
          </w:p>
        </w:tc>
        <w:tc>
          <w:tcPr>
            <w:tcW w:w="1679" w:type="dxa"/>
          </w:tcPr>
          <w:p w14:paraId="3C802736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0.73 (25)</w:t>
            </w:r>
          </w:p>
        </w:tc>
        <w:tc>
          <w:tcPr>
            <w:tcW w:w="1790" w:type="dxa"/>
          </w:tcPr>
          <w:p w14:paraId="1B6D1185" w14:textId="77777777" w:rsidR="00636FF2" w:rsidRDefault="00790D4E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(0.42 - 1.11)</w:t>
            </w:r>
          </w:p>
        </w:tc>
        <w:tc>
          <w:tcPr>
            <w:tcW w:w="1804" w:type="dxa"/>
          </w:tcPr>
          <w:p w14:paraId="4245D90F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&lt;0.0001</w:t>
            </w:r>
          </w:p>
        </w:tc>
      </w:tr>
      <w:tr w:rsidR="00636FF2" w:rsidRPr="00A44F62" w14:paraId="6E3AFF3A" w14:textId="77777777">
        <w:trPr>
          <w:trHeight w:val="261"/>
          <w:jc w:val="center"/>
        </w:trPr>
        <w:tc>
          <w:tcPr>
            <w:tcW w:w="3312" w:type="dxa"/>
          </w:tcPr>
          <w:p w14:paraId="2C737448" w14:textId="77777777" w:rsidR="00636FF2" w:rsidRPr="00944222" w:rsidRDefault="00636FF2" w:rsidP="00291433">
            <w:pPr>
              <w:rPr>
                <w:rFonts w:asciiTheme="majorHAnsi" w:hAnsiTheme="majorHAnsi"/>
                <w:lang w:val="fr-CH"/>
              </w:rPr>
            </w:pPr>
            <w:r w:rsidRPr="00944222">
              <w:rPr>
                <w:rFonts w:asciiTheme="majorHAnsi" w:hAnsiTheme="majorHAnsi"/>
                <w:lang w:val="fr-CH"/>
              </w:rPr>
              <w:t>Slope log10(baseline parasitemia (par/µl))</w:t>
            </w:r>
          </w:p>
        </w:tc>
        <w:tc>
          <w:tcPr>
            <w:tcW w:w="1679" w:type="dxa"/>
          </w:tcPr>
          <w:p w14:paraId="6440C958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-1.27 (24)</w:t>
            </w:r>
          </w:p>
        </w:tc>
        <w:tc>
          <w:tcPr>
            <w:tcW w:w="1790" w:type="dxa"/>
          </w:tcPr>
          <w:p w14:paraId="247910FC" w14:textId="77777777" w:rsidR="00636FF2" w:rsidRDefault="00790D4E" w:rsidP="00790D4E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(-1.87 - -0.70)</w:t>
            </w:r>
          </w:p>
        </w:tc>
        <w:tc>
          <w:tcPr>
            <w:tcW w:w="1804" w:type="dxa"/>
          </w:tcPr>
          <w:p w14:paraId="538D491F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&lt;0.0001</w:t>
            </w:r>
          </w:p>
        </w:tc>
      </w:tr>
      <w:tr w:rsidR="00636FF2" w:rsidRPr="00A44F62" w14:paraId="46032C5C" w14:textId="77777777">
        <w:trPr>
          <w:trHeight w:val="261"/>
          <w:jc w:val="center"/>
        </w:trPr>
        <w:tc>
          <w:tcPr>
            <w:tcW w:w="3312" w:type="dxa"/>
          </w:tcPr>
          <w:p w14:paraId="685E5385" w14:textId="77777777" w:rsidR="00636FF2" w:rsidRPr="00A44F62" w:rsidRDefault="00636FF2" w:rsidP="00CD50C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Additional intercept Asia</w:t>
            </w:r>
          </w:p>
        </w:tc>
        <w:tc>
          <w:tcPr>
            <w:tcW w:w="1679" w:type="dxa"/>
          </w:tcPr>
          <w:p w14:paraId="05B71479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0.46 (135)</w:t>
            </w:r>
          </w:p>
        </w:tc>
        <w:tc>
          <w:tcPr>
            <w:tcW w:w="1790" w:type="dxa"/>
          </w:tcPr>
          <w:p w14:paraId="5B9922CC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(-0.79 - 1.66)</w:t>
            </w:r>
          </w:p>
        </w:tc>
        <w:tc>
          <w:tcPr>
            <w:tcW w:w="1804" w:type="dxa"/>
          </w:tcPr>
          <w:p w14:paraId="1CD8D8D5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0.4614</w:t>
            </w:r>
          </w:p>
        </w:tc>
      </w:tr>
      <w:tr w:rsidR="00636FF2" w:rsidRPr="00A44F62" w14:paraId="44F21042" w14:textId="77777777">
        <w:trPr>
          <w:trHeight w:val="261"/>
          <w:jc w:val="center"/>
        </w:trPr>
        <w:tc>
          <w:tcPr>
            <w:tcW w:w="3312" w:type="dxa"/>
          </w:tcPr>
          <w:p w14:paraId="02C99C1E" w14:textId="77777777" w:rsidR="00636FF2" w:rsidRPr="00A44F62" w:rsidRDefault="00636FF2" w:rsidP="00CD50C5">
            <w:pPr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Additional slope Cday7 </w:t>
            </w:r>
            <w:proofErr w:type="spellStart"/>
            <w:r>
              <w:rPr>
                <w:rFonts w:asciiTheme="majorHAnsi" w:hAnsiTheme="majorHAnsi"/>
                <w:lang w:val="en-GB"/>
              </w:rPr>
              <w:t>artefenomel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Asia</w:t>
            </w:r>
          </w:p>
        </w:tc>
        <w:tc>
          <w:tcPr>
            <w:tcW w:w="1679" w:type="dxa"/>
          </w:tcPr>
          <w:p w14:paraId="0B76E472" w14:textId="77777777" w:rsidR="00636FF2" w:rsidRDefault="00636FF2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-0.59 (32)</w:t>
            </w:r>
          </w:p>
        </w:tc>
        <w:tc>
          <w:tcPr>
            <w:tcW w:w="1790" w:type="dxa"/>
          </w:tcPr>
          <w:p w14:paraId="6B26B012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(-0.99 - -0.23)</w:t>
            </w:r>
          </w:p>
        </w:tc>
        <w:tc>
          <w:tcPr>
            <w:tcW w:w="1804" w:type="dxa"/>
          </w:tcPr>
          <w:p w14:paraId="463D9E63" w14:textId="77777777" w:rsidR="00636FF2" w:rsidRDefault="00BD2D60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0.0021</w:t>
            </w:r>
          </w:p>
        </w:tc>
      </w:tr>
    </w:tbl>
    <w:p w14:paraId="15669B15" w14:textId="77777777" w:rsidR="00355AF1" w:rsidRPr="00D16A73" w:rsidRDefault="00D16A73" w:rsidP="00355AF1">
      <w:pPr>
        <w:rPr>
          <w:rFonts w:ascii="Calibri" w:hAnsi="Calibri"/>
          <w:sz w:val="22"/>
        </w:rPr>
      </w:pPr>
      <w:proofErr w:type="spellStart"/>
      <w:r>
        <w:rPr>
          <w:rFonts w:ascii="Calibri" w:hAnsi="Calibri"/>
          <w:sz w:val="22"/>
          <w:vertAlign w:val="superscript"/>
        </w:rPr>
        <w:t>a</w:t>
      </w:r>
      <w:r>
        <w:rPr>
          <w:rFonts w:ascii="Calibri" w:hAnsi="Calibri"/>
          <w:sz w:val="22"/>
        </w:rPr>
        <w:t>Estimate</w:t>
      </w:r>
      <w:proofErr w:type="spellEnd"/>
      <w:r>
        <w:rPr>
          <w:rFonts w:ascii="Calibri" w:hAnsi="Calibri"/>
          <w:sz w:val="22"/>
        </w:rPr>
        <w:t xml:space="preserve"> (Relative Standard Error %)</w:t>
      </w:r>
    </w:p>
    <w:p w14:paraId="1C5825B6" w14:textId="77777777" w:rsidR="00355AF1" w:rsidRPr="001C2614" w:rsidRDefault="00355AF1" w:rsidP="00355AF1">
      <w:pPr>
        <w:rPr>
          <w:rFonts w:ascii="Calibri" w:hAnsi="Calibri"/>
          <w:sz w:val="22"/>
        </w:rPr>
      </w:pPr>
    </w:p>
    <w:p w14:paraId="7CAB699E" w14:textId="77777777" w:rsidR="00ED0C1D" w:rsidRDefault="00ED0C1D" w:rsidP="00ED0C1D">
      <w:pPr>
        <w:rPr>
          <w:rFonts w:asciiTheme="majorHAnsi" w:hAnsiTheme="majorHAnsi"/>
          <w:b/>
          <w:sz w:val="22"/>
        </w:rPr>
      </w:pPr>
    </w:p>
    <w:p w14:paraId="56FFBC92" w14:textId="77777777" w:rsidR="00ED0C1D" w:rsidRDefault="008D369A" w:rsidP="00ED0C1D">
      <w:pPr>
        <w:rPr>
          <w:rFonts w:asciiTheme="majorHAnsi" w:hAnsiTheme="majorHAnsi"/>
          <w:b/>
          <w:sz w:val="22"/>
        </w:rPr>
      </w:pPr>
      <w:r>
        <w:t>No significant effect of the factor Kelc</w:t>
      </w:r>
      <w:bookmarkStart w:id="0" w:name="_GoBack"/>
      <w:bookmarkEnd w:id="0"/>
      <w:r>
        <w:t xml:space="preserve">h13 genotype was identified. The results are summarized in table 3. </w:t>
      </w:r>
      <w:r w:rsidR="002A29B8">
        <w:t>The results suggest that there may be some effect (WT having a higher probability of ACPR28), but that the sample size was too small to identify it.</w:t>
      </w:r>
    </w:p>
    <w:p w14:paraId="2BF215B7" w14:textId="77777777" w:rsidR="00ED0C1D" w:rsidRDefault="00ED0C1D" w:rsidP="00ED0C1D">
      <w:pPr>
        <w:rPr>
          <w:rFonts w:asciiTheme="majorHAnsi" w:hAnsiTheme="majorHAnsi"/>
          <w:b/>
          <w:sz w:val="22"/>
        </w:rPr>
      </w:pPr>
    </w:p>
    <w:p w14:paraId="0137DDCF" w14:textId="77777777" w:rsidR="00ED0C1D" w:rsidRDefault="00ED0C1D" w:rsidP="00ED0C1D">
      <w:r>
        <w:rPr>
          <w:rFonts w:asciiTheme="majorHAnsi" w:hAnsiTheme="majorHAnsi"/>
          <w:b/>
          <w:sz w:val="22"/>
        </w:rPr>
        <w:t>Table 3</w:t>
      </w:r>
      <w:r w:rsidRPr="007358BD">
        <w:rPr>
          <w:rFonts w:asciiTheme="majorHAnsi" w:hAnsiTheme="majorHAnsi"/>
          <w:b/>
          <w:sz w:val="22"/>
        </w:rPr>
        <w:t>:</w:t>
      </w:r>
      <w:r>
        <w:rPr>
          <w:rFonts w:asciiTheme="majorHAnsi" w:hAnsiTheme="majorHAnsi"/>
          <w:b/>
          <w:sz w:val="22"/>
        </w:rPr>
        <w:t xml:space="preserve"> </w:t>
      </w:r>
      <w:r w:rsidR="00A979D6">
        <w:rPr>
          <w:rFonts w:asciiTheme="majorHAnsi" w:hAnsiTheme="majorHAnsi"/>
          <w:b/>
          <w:sz w:val="22"/>
        </w:rPr>
        <w:t xml:space="preserve">Summary of the evaluation of </w:t>
      </w:r>
      <w:r w:rsidR="00A979D6" w:rsidRPr="00A979D6">
        <w:rPr>
          <w:rFonts w:asciiTheme="majorHAnsi" w:hAnsiTheme="majorHAnsi"/>
          <w:b/>
          <w:sz w:val="22"/>
        </w:rPr>
        <w:t>Kelch13 genotype</w:t>
      </w:r>
      <w:r w:rsidR="00A979D6">
        <w:rPr>
          <w:rFonts w:asciiTheme="majorHAnsi" w:hAnsiTheme="majorHAnsi"/>
          <w:b/>
          <w:sz w:val="22"/>
        </w:rPr>
        <w:t xml:space="preserve"> added to a base model with </w:t>
      </w:r>
      <w:proofErr w:type="spellStart"/>
      <w:r w:rsidR="00A979D6">
        <w:rPr>
          <w:rFonts w:asciiTheme="majorHAnsi" w:hAnsiTheme="majorHAnsi"/>
          <w:b/>
          <w:sz w:val="22"/>
        </w:rPr>
        <w:t>artefenomel</w:t>
      </w:r>
      <w:proofErr w:type="spellEnd"/>
      <w:r w:rsidR="00A979D6">
        <w:rPr>
          <w:rFonts w:asciiTheme="majorHAnsi" w:hAnsiTheme="majorHAnsi"/>
          <w:b/>
          <w:sz w:val="22"/>
        </w:rPr>
        <w:t xml:space="preserve"> and </w:t>
      </w:r>
      <w:proofErr w:type="spellStart"/>
      <w:r w:rsidR="00A979D6">
        <w:rPr>
          <w:rFonts w:asciiTheme="majorHAnsi" w:hAnsiTheme="majorHAnsi"/>
          <w:b/>
          <w:sz w:val="22"/>
        </w:rPr>
        <w:t>piperaquine</w:t>
      </w:r>
      <w:proofErr w:type="spellEnd"/>
      <w:r w:rsidR="00A979D6">
        <w:rPr>
          <w:rFonts w:asciiTheme="majorHAnsi" w:hAnsiTheme="majorHAnsi"/>
          <w:b/>
          <w:sz w:val="22"/>
        </w:rPr>
        <w:t xml:space="preserve"> Cday7 included (complete case only analysis, n=297).</w:t>
      </w:r>
    </w:p>
    <w:p w14:paraId="5744F6E2" w14:textId="77777777" w:rsidR="00ED0C1D" w:rsidRDefault="00ED0C1D" w:rsidP="00ED0C1D"/>
    <w:tbl>
      <w:tblPr>
        <w:tblStyle w:val="TableGrid"/>
        <w:tblW w:w="8585" w:type="dxa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1679"/>
        <w:gridCol w:w="1790"/>
        <w:gridCol w:w="1804"/>
      </w:tblGrid>
      <w:tr w:rsidR="00ED0C1D" w:rsidRPr="00A44F62" w14:paraId="2525DAAA" w14:textId="77777777">
        <w:trPr>
          <w:trHeight w:val="275"/>
          <w:jc w:val="center"/>
        </w:trPr>
        <w:tc>
          <w:tcPr>
            <w:tcW w:w="3312" w:type="dxa"/>
            <w:shd w:val="clear" w:color="auto" w:fill="F2F2F2" w:themeFill="background1" w:themeFillShade="F2"/>
          </w:tcPr>
          <w:p w14:paraId="0BC02E26" w14:textId="77777777" w:rsidR="00ED0C1D" w:rsidRPr="00A44F62" w:rsidRDefault="00E24E0F" w:rsidP="00CD50C5">
            <w:pPr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Factor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66B711EA" w14:textId="77777777" w:rsidR="00ED0C1D" w:rsidRDefault="00ED0C1D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Estimate</w:t>
            </w:r>
            <w:r w:rsidR="00A979D6">
              <w:rPr>
                <w:rFonts w:asciiTheme="majorHAnsi" w:hAnsiTheme="majorHAnsi"/>
                <w:b/>
                <w:lang w:val="en-GB"/>
              </w:rPr>
              <w:t xml:space="preserve"> (WT)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18371AFF" w14:textId="77777777" w:rsidR="00ED0C1D" w:rsidRDefault="00ED0C1D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95% CI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15136C13" w14:textId="77777777" w:rsidR="00ED0C1D" w:rsidRDefault="00ED0C1D" w:rsidP="00B95BD1">
            <w:pPr>
              <w:jc w:val="center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p-value</w:t>
            </w:r>
          </w:p>
        </w:tc>
      </w:tr>
      <w:tr w:rsidR="00ED0C1D" w:rsidRPr="00A44F62" w14:paraId="35816F47" w14:textId="77777777">
        <w:trPr>
          <w:trHeight w:val="275"/>
          <w:jc w:val="center"/>
        </w:trPr>
        <w:tc>
          <w:tcPr>
            <w:tcW w:w="3312" w:type="dxa"/>
          </w:tcPr>
          <w:p w14:paraId="3842635B" w14:textId="77777777" w:rsidR="00ED0C1D" w:rsidRPr="00ED0C1D" w:rsidRDefault="00ED0C1D" w:rsidP="00ED0C1D">
            <w:r w:rsidRPr="00ED0C1D">
              <w:t>True Wild Type (WT; no mutation) vs. any mutation (MUT)</w:t>
            </w:r>
          </w:p>
          <w:p w14:paraId="65EA6B5B" w14:textId="77777777" w:rsidR="00ED0C1D" w:rsidRPr="00930DEF" w:rsidRDefault="00ED0C1D" w:rsidP="00CD50C5">
            <w:pPr>
              <w:rPr>
                <w:rFonts w:asciiTheme="majorHAnsi" w:hAnsiTheme="majorHAnsi"/>
                <w:vertAlign w:val="superscript"/>
                <w:lang w:val="en-GB"/>
              </w:rPr>
            </w:pPr>
          </w:p>
        </w:tc>
        <w:tc>
          <w:tcPr>
            <w:tcW w:w="1679" w:type="dxa"/>
          </w:tcPr>
          <w:p w14:paraId="6D255EF8" w14:textId="77777777" w:rsidR="00ED0C1D" w:rsidRDefault="00ED0C1D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0.78</w:t>
            </w:r>
          </w:p>
        </w:tc>
        <w:tc>
          <w:tcPr>
            <w:tcW w:w="1790" w:type="dxa"/>
          </w:tcPr>
          <w:p w14:paraId="4DB932EC" w14:textId="77777777" w:rsidR="00ED0C1D" w:rsidRDefault="00ED0C1D" w:rsidP="00ED0C1D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(-0.08 – 1.66)</w:t>
            </w:r>
          </w:p>
        </w:tc>
        <w:tc>
          <w:tcPr>
            <w:tcW w:w="1804" w:type="dxa"/>
          </w:tcPr>
          <w:p w14:paraId="54E3780D" w14:textId="77777777" w:rsidR="00ED0C1D" w:rsidRDefault="00ED0C1D" w:rsidP="00ED0C1D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0.0760</w:t>
            </w:r>
          </w:p>
        </w:tc>
      </w:tr>
      <w:tr w:rsidR="00ED0C1D" w:rsidRPr="00A44F62" w14:paraId="46FF2E17" w14:textId="77777777">
        <w:trPr>
          <w:trHeight w:val="275"/>
          <w:jc w:val="center"/>
        </w:trPr>
        <w:tc>
          <w:tcPr>
            <w:tcW w:w="3312" w:type="dxa"/>
          </w:tcPr>
          <w:p w14:paraId="4196C77E" w14:textId="77777777" w:rsidR="00ED0C1D" w:rsidRPr="00A44F62" w:rsidRDefault="00ED0C1D" w:rsidP="001C2B88">
            <w:pPr>
              <w:rPr>
                <w:rFonts w:asciiTheme="majorHAnsi" w:hAnsiTheme="majorHAnsi"/>
                <w:lang w:val="en-GB"/>
              </w:rPr>
            </w:pPr>
            <w:r>
              <w:t>C580Y and I543T mutations (MUT) vs. WT for these 2 alleles</w:t>
            </w:r>
          </w:p>
        </w:tc>
        <w:tc>
          <w:tcPr>
            <w:tcW w:w="1679" w:type="dxa"/>
          </w:tcPr>
          <w:p w14:paraId="506FF84D" w14:textId="77777777" w:rsidR="00ED0C1D" w:rsidRDefault="00ED0C1D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0.89</w:t>
            </w:r>
          </w:p>
        </w:tc>
        <w:tc>
          <w:tcPr>
            <w:tcW w:w="1790" w:type="dxa"/>
          </w:tcPr>
          <w:p w14:paraId="72957F68" w14:textId="77777777" w:rsidR="00ED0C1D" w:rsidRDefault="00ED0C1D" w:rsidP="00ED0C1D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(-0.25 – 2.08)</w:t>
            </w:r>
          </w:p>
        </w:tc>
        <w:tc>
          <w:tcPr>
            <w:tcW w:w="1804" w:type="dxa"/>
          </w:tcPr>
          <w:p w14:paraId="6C45A606" w14:textId="77777777" w:rsidR="00ED0C1D" w:rsidRDefault="00ED0C1D" w:rsidP="00ED0C1D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0.1298</w:t>
            </w:r>
          </w:p>
        </w:tc>
      </w:tr>
      <w:tr w:rsidR="00ED0C1D" w:rsidRPr="00A44F62" w14:paraId="29CFFBC0" w14:textId="77777777">
        <w:trPr>
          <w:trHeight w:val="275"/>
          <w:jc w:val="center"/>
        </w:trPr>
        <w:tc>
          <w:tcPr>
            <w:tcW w:w="3312" w:type="dxa"/>
          </w:tcPr>
          <w:p w14:paraId="4697F036" w14:textId="77777777" w:rsidR="00ED0C1D" w:rsidRPr="00ED0C1D" w:rsidRDefault="00ED0C1D" w:rsidP="00ED0C1D">
            <w:r w:rsidRPr="00ED0C1D">
              <w:t>C580Y, I543T as well as P553L and V568G (MUT) vs. WT for these 4 alleles</w:t>
            </w:r>
          </w:p>
          <w:p w14:paraId="4DE728E0" w14:textId="77777777" w:rsidR="00ED0C1D" w:rsidRPr="00A44F62" w:rsidRDefault="00ED0C1D" w:rsidP="00291433">
            <w:pPr>
              <w:rPr>
                <w:rFonts w:asciiTheme="majorHAnsi" w:hAnsiTheme="majorHAnsi"/>
                <w:lang w:val="en-GB"/>
              </w:rPr>
            </w:pPr>
          </w:p>
        </w:tc>
        <w:tc>
          <w:tcPr>
            <w:tcW w:w="1679" w:type="dxa"/>
          </w:tcPr>
          <w:p w14:paraId="3817EA60" w14:textId="77777777" w:rsidR="00ED0C1D" w:rsidRDefault="00ED0C1D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0.88</w:t>
            </w:r>
          </w:p>
        </w:tc>
        <w:tc>
          <w:tcPr>
            <w:tcW w:w="1790" w:type="dxa"/>
          </w:tcPr>
          <w:p w14:paraId="088725EB" w14:textId="77777777" w:rsidR="00ED0C1D" w:rsidRDefault="00ED0C1D" w:rsidP="00ED0C1D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(-0.07 – 1.86)</w:t>
            </w:r>
          </w:p>
        </w:tc>
        <w:tc>
          <w:tcPr>
            <w:tcW w:w="1804" w:type="dxa"/>
          </w:tcPr>
          <w:p w14:paraId="43C64EF6" w14:textId="77777777" w:rsidR="00ED0C1D" w:rsidRDefault="00ED0C1D" w:rsidP="00B95BD1">
            <w:pPr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0.0720</w:t>
            </w:r>
          </w:p>
        </w:tc>
      </w:tr>
    </w:tbl>
    <w:p w14:paraId="2AF9BA0F" w14:textId="77777777" w:rsidR="00ED0C1D" w:rsidRDefault="00ED0C1D" w:rsidP="00ED0C1D"/>
    <w:p w14:paraId="4963ABF6" w14:textId="77777777" w:rsidR="00ED0C1D" w:rsidRDefault="00ED0C1D" w:rsidP="00ED0C1D"/>
    <w:p w14:paraId="0FC8E665" w14:textId="77777777" w:rsidR="00ED0C1D" w:rsidRDefault="00ED0C1D" w:rsidP="00355AF1"/>
    <w:p w14:paraId="293B64FE" w14:textId="77777777" w:rsidR="00D25C34" w:rsidRDefault="00355AF1" w:rsidP="00355AF1">
      <w:r w:rsidRPr="00BE2F29">
        <w:t>The model predictions</w:t>
      </w:r>
      <w:r w:rsidR="00D25C34">
        <w:t xml:space="preserve"> </w:t>
      </w:r>
      <w:r w:rsidRPr="00BE2F29">
        <w:t xml:space="preserve">and observed </w:t>
      </w:r>
      <w:r w:rsidR="00D25C34">
        <w:t xml:space="preserve">ACPR28 </w:t>
      </w:r>
      <w:r w:rsidRPr="00BE2F29">
        <w:t xml:space="preserve">results for </w:t>
      </w:r>
      <w:r w:rsidR="001D0F7B">
        <w:t>various sub populations of interest</w:t>
      </w:r>
      <w:r w:rsidR="00172775">
        <w:t xml:space="preserve"> are shown in Figure 2</w:t>
      </w:r>
      <w:r w:rsidRPr="00BE2F29">
        <w:t>. This figure shows</w:t>
      </w:r>
      <w:r w:rsidR="00D25C34">
        <w:t xml:space="preserve"> that</w:t>
      </w:r>
      <w:r w:rsidRPr="00BE2F29">
        <w:t xml:space="preserve"> the model pred</w:t>
      </w:r>
      <w:r w:rsidR="00D25C34">
        <w:t>icts the observed pACPR28 well.</w:t>
      </w:r>
    </w:p>
    <w:p w14:paraId="669E35DE" w14:textId="77777777" w:rsidR="00355AF1" w:rsidRPr="00BE2F29" w:rsidRDefault="00355AF1" w:rsidP="00355AF1"/>
    <w:p w14:paraId="5E857E6E" w14:textId="77777777" w:rsidR="00355AF1" w:rsidRPr="00BE2F29" w:rsidRDefault="001C7C07" w:rsidP="00355AF1">
      <w:pPr>
        <w:rPr>
          <w:b/>
          <w:lang w:val="en-GB"/>
        </w:rPr>
      </w:pPr>
      <w:r>
        <w:rPr>
          <w:b/>
          <w:lang w:val="en-GB"/>
        </w:rPr>
        <w:t>Figure</w:t>
      </w:r>
      <w:r w:rsidR="00172775">
        <w:rPr>
          <w:b/>
          <w:lang w:val="en-GB"/>
        </w:rPr>
        <w:t xml:space="preserve"> 2</w:t>
      </w:r>
      <w:r w:rsidR="00355AF1" w:rsidRPr="00BE2F29">
        <w:rPr>
          <w:b/>
          <w:lang w:val="en-GB"/>
        </w:rPr>
        <w:t xml:space="preserve">. Observed and model predicted p(ACPR28) for the Phase </w:t>
      </w:r>
      <w:proofErr w:type="spellStart"/>
      <w:r w:rsidR="00355AF1" w:rsidRPr="00BE2F29">
        <w:rPr>
          <w:b/>
          <w:lang w:val="en-GB"/>
        </w:rPr>
        <w:t>IIb</w:t>
      </w:r>
      <w:proofErr w:type="spellEnd"/>
      <w:r w:rsidR="00355AF1" w:rsidRPr="00BE2F29">
        <w:rPr>
          <w:b/>
          <w:lang w:val="en-GB"/>
        </w:rPr>
        <w:t xml:space="preserve"> study population with 90%CI </w:t>
      </w:r>
      <w:r w:rsidR="000169EE">
        <w:rPr>
          <w:b/>
          <w:lang w:val="en-GB"/>
        </w:rPr>
        <w:t>in various sub-populations.</w:t>
      </w:r>
      <w:r w:rsidR="00842128">
        <w:rPr>
          <w:b/>
          <w:lang w:val="en-GB"/>
        </w:rPr>
        <w:t xml:space="preserve"> </w:t>
      </w:r>
      <w:r w:rsidR="006F5848">
        <w:rPr>
          <w:b/>
          <w:lang w:val="en-GB"/>
        </w:rPr>
        <w:t xml:space="preserve">The simulations were similar to </w:t>
      </w:r>
      <w:r w:rsidR="006F5848" w:rsidRPr="006F5848">
        <w:rPr>
          <w:b/>
          <w:lang w:val="en-GB"/>
        </w:rPr>
        <w:t xml:space="preserve">the simulation method described below but based on the </w:t>
      </w:r>
      <w:r w:rsidR="006F5848">
        <w:rPr>
          <w:b/>
          <w:lang w:val="en-GB"/>
        </w:rPr>
        <w:t xml:space="preserve">actual patient population in each subgroup (i.e. </w:t>
      </w:r>
      <w:r w:rsidR="006F5848" w:rsidRPr="006F5848">
        <w:rPr>
          <w:b/>
          <w:lang w:val="en-GB"/>
        </w:rPr>
        <w:t xml:space="preserve">estimated </w:t>
      </w:r>
      <w:r w:rsidR="006F5848">
        <w:rPr>
          <w:b/>
          <w:lang w:val="en-GB"/>
        </w:rPr>
        <w:t xml:space="preserve">individual </w:t>
      </w:r>
      <w:r w:rsidR="006F5848" w:rsidRPr="006F5848">
        <w:rPr>
          <w:b/>
          <w:lang w:val="en-GB"/>
        </w:rPr>
        <w:t>Cday7 and covariates in those patients</w:t>
      </w:r>
      <w:r w:rsidR="006F5848">
        <w:rPr>
          <w:b/>
          <w:lang w:val="en-GB"/>
        </w:rPr>
        <w:t xml:space="preserve">) and </w:t>
      </w:r>
      <w:r w:rsidR="00070521">
        <w:rPr>
          <w:b/>
          <w:lang w:val="en-GB"/>
        </w:rPr>
        <w:t xml:space="preserve">summarised </w:t>
      </w:r>
      <w:r w:rsidR="006F5848">
        <w:rPr>
          <w:b/>
          <w:lang w:val="en-GB"/>
        </w:rPr>
        <w:t>a</w:t>
      </w:r>
      <w:r w:rsidR="006F5848" w:rsidRPr="006F5848">
        <w:rPr>
          <w:b/>
          <w:lang w:val="en-GB"/>
        </w:rPr>
        <w:t>cross 1000 replicates</w:t>
      </w:r>
      <w:r w:rsidR="006F5848">
        <w:rPr>
          <w:b/>
          <w:lang w:val="en-GB"/>
        </w:rPr>
        <w:t>.</w:t>
      </w:r>
    </w:p>
    <w:p w14:paraId="42503AAC" w14:textId="77777777" w:rsidR="00355AF1" w:rsidRPr="00BE2F29" w:rsidRDefault="00355AF1" w:rsidP="00355AF1">
      <w:pPr>
        <w:rPr>
          <w:lang w:val="en-GB"/>
        </w:rPr>
      </w:pPr>
    </w:p>
    <w:p w14:paraId="1AE7A3DD" w14:textId="77777777" w:rsidR="00355AF1" w:rsidRPr="00BE2F29" w:rsidRDefault="00355AF1" w:rsidP="00355AF1">
      <w:pPr>
        <w:rPr>
          <w:lang w:val="en-GB"/>
        </w:rPr>
      </w:pPr>
      <w:r w:rsidRPr="00BE2F29">
        <w:rPr>
          <w:rFonts w:eastAsia="Cambria" w:cs="Times New Roman"/>
          <w:b/>
          <w:noProof/>
        </w:rPr>
        <w:lastRenderedPageBreak/>
        <w:drawing>
          <wp:inline distT="0" distB="0" distL="0" distR="0" wp14:anchorId="7C87DD6F" wp14:editId="0346D7E6">
            <wp:extent cx="5227320" cy="2630036"/>
            <wp:effectExtent l="25400" t="0" r="5080" b="0"/>
            <wp:docPr id="24" name="Picture 4" descr="PKACPRmodelVPC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ACPRmodelVPC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6544" cy="263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624C9" w14:textId="77777777" w:rsidR="00D25C34" w:rsidRDefault="00D25C34">
      <w:pPr>
        <w:rPr>
          <w:b/>
        </w:rPr>
      </w:pPr>
      <w:r>
        <w:rPr>
          <w:b/>
          <w:noProof/>
        </w:rPr>
        <w:drawing>
          <wp:inline distT="0" distB="0" distL="0" distR="0" wp14:anchorId="4FD54DAC" wp14:editId="4511A564">
            <wp:extent cx="5270500" cy="2613025"/>
            <wp:effectExtent l="25400" t="0" r="0" b="0"/>
            <wp:docPr id="1" name="Picture 0" descr="PKACPRmodelVPCAFover5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ACPRmodelVPCAFover5.pd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E0226" w14:textId="77777777" w:rsidR="0050263E" w:rsidRPr="00BE2F29" w:rsidRDefault="00D25C34">
      <w:pPr>
        <w:rPr>
          <w:b/>
        </w:rPr>
      </w:pPr>
      <w:r>
        <w:rPr>
          <w:b/>
          <w:noProof/>
        </w:rPr>
        <w:drawing>
          <wp:inline distT="0" distB="0" distL="0" distR="0" wp14:anchorId="5102B901" wp14:editId="708046BC">
            <wp:extent cx="5270500" cy="2606040"/>
            <wp:effectExtent l="25400" t="0" r="0" b="0"/>
            <wp:docPr id="2" name="Picture 1" descr="PKACPRmodelVPCASove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ACPRmodelVPCASover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1816" w14:textId="77777777" w:rsidR="0050263E" w:rsidRPr="00BE2F29" w:rsidRDefault="0050263E">
      <w:pPr>
        <w:rPr>
          <w:b/>
        </w:rPr>
      </w:pPr>
    </w:p>
    <w:p w14:paraId="0CD9EB3F" w14:textId="77777777" w:rsidR="0050263E" w:rsidRPr="00BE2F29" w:rsidRDefault="0020175A">
      <w:pPr>
        <w:rPr>
          <w:b/>
        </w:rPr>
      </w:pPr>
      <w:r>
        <w:rPr>
          <w:b/>
        </w:rPr>
        <w:t>Simulation method</w:t>
      </w:r>
    </w:p>
    <w:p w14:paraId="1F228EE7" w14:textId="77777777" w:rsidR="0050263E" w:rsidRPr="00BE2F29" w:rsidRDefault="0050263E">
      <w:pPr>
        <w:rPr>
          <w:b/>
        </w:rPr>
      </w:pPr>
    </w:p>
    <w:p w14:paraId="0BD1048B" w14:textId="77777777" w:rsidR="0050263E" w:rsidRPr="00BE2F29" w:rsidRDefault="0050263E" w:rsidP="0050263E">
      <w:pPr>
        <w:rPr>
          <w:rFonts w:eastAsia="Calibri" w:cs="Times New Roman"/>
          <w:szCs w:val="22"/>
        </w:rPr>
      </w:pPr>
      <w:r w:rsidRPr="00BE2F29">
        <w:t>Two thousand patie</w:t>
      </w:r>
      <w:r w:rsidR="00C9000E">
        <w:t>nts per simulated treatment arm</w:t>
      </w:r>
      <w:r w:rsidRPr="00BE2F29">
        <w:t xml:space="preserve"> were sampled from the relevant study population, while maintaining the covariate structure within each </w:t>
      </w:r>
      <w:r w:rsidRPr="00BE2F29">
        <w:lastRenderedPageBreak/>
        <w:t>sampled patient (e.g. bod</w:t>
      </w:r>
      <w:r w:rsidR="00682344">
        <w:t xml:space="preserve">y weight, age, baseline </w:t>
      </w:r>
      <w:proofErr w:type="spellStart"/>
      <w:r w:rsidR="00682344">
        <w:t>parasit</w:t>
      </w:r>
      <w:r w:rsidRPr="00BE2F29">
        <w:t>emia</w:t>
      </w:r>
      <w:proofErr w:type="spellEnd"/>
      <w:r w:rsidRPr="00BE2F29">
        <w:t xml:space="preserve">). A set of population PK parameters and </w:t>
      </w:r>
      <w:r w:rsidR="00BE2F29" w:rsidRPr="00BE2F29">
        <w:t>exposure-response</w:t>
      </w:r>
      <w:r w:rsidRPr="00BE2F29">
        <w:t xml:space="preserve"> parameters was sampled from their estimated uncertainty distributions. </w:t>
      </w:r>
      <w:r w:rsidR="002336FF">
        <w:t xml:space="preserve">That is, </w:t>
      </w:r>
      <w:r w:rsidR="002336FF">
        <w:rPr>
          <w:lang w:val="en-GB"/>
        </w:rPr>
        <w:t>e</w:t>
      </w:r>
      <w:r w:rsidR="002336FF" w:rsidRPr="00CC5C4B">
        <w:rPr>
          <w:lang w:val="en-GB"/>
        </w:rPr>
        <w:t>ach simulated replicate used a set of model parameters drawn f</w:t>
      </w:r>
      <w:r w:rsidR="008106F2">
        <w:rPr>
          <w:lang w:val="en-GB"/>
        </w:rPr>
        <w:t>rom</w:t>
      </w:r>
      <w:r w:rsidR="002336FF" w:rsidRPr="00CC5C4B">
        <w:rPr>
          <w:lang w:val="en-GB"/>
        </w:rPr>
        <w:t xml:space="preserve"> the multivariate normal distribution based on the estimated variance-covariance matrix</w:t>
      </w:r>
      <w:r w:rsidR="008106F2">
        <w:rPr>
          <w:lang w:val="en-GB"/>
        </w:rPr>
        <w:t xml:space="preserve"> (separately for each </w:t>
      </w:r>
      <w:proofErr w:type="spellStart"/>
      <w:r w:rsidR="008106F2">
        <w:rPr>
          <w:lang w:val="en-GB"/>
        </w:rPr>
        <w:t>popPK</w:t>
      </w:r>
      <w:proofErr w:type="spellEnd"/>
      <w:r w:rsidR="008106F2">
        <w:rPr>
          <w:lang w:val="en-GB"/>
        </w:rPr>
        <w:t xml:space="preserve"> and exposure-response model)</w:t>
      </w:r>
      <w:r w:rsidR="002336FF" w:rsidRPr="00CC5C4B">
        <w:rPr>
          <w:lang w:val="en-GB"/>
        </w:rPr>
        <w:t>.</w:t>
      </w:r>
      <w:r w:rsidR="008106F2">
        <w:rPr>
          <w:lang w:val="en-GB"/>
        </w:rPr>
        <w:t xml:space="preserve"> </w:t>
      </w:r>
      <w:r w:rsidRPr="00BE2F29">
        <w:t xml:space="preserve">Then, for each patient, a Cday7 for </w:t>
      </w:r>
      <w:proofErr w:type="spellStart"/>
      <w:r w:rsidRPr="00BE2F29">
        <w:t>artefenomel</w:t>
      </w:r>
      <w:proofErr w:type="spellEnd"/>
      <w:r w:rsidRPr="00BE2F29">
        <w:t xml:space="preserve"> and </w:t>
      </w:r>
      <w:proofErr w:type="spellStart"/>
      <w:r w:rsidRPr="00BE2F29">
        <w:t>piperaquine</w:t>
      </w:r>
      <w:proofErr w:type="spellEnd"/>
      <w:r w:rsidRPr="00BE2F29">
        <w:t xml:space="preserve"> and subsequently, a</w:t>
      </w:r>
      <w:r w:rsidR="00E45EB3">
        <w:t xml:space="preserve"> probability of </w:t>
      </w:r>
      <w:r w:rsidRPr="00BE2F29">
        <w:t xml:space="preserve">ACPR28 </w:t>
      </w:r>
      <w:r w:rsidR="00E45EB3">
        <w:t xml:space="preserve">followed by treatment outcome </w:t>
      </w:r>
      <w:r w:rsidRPr="00BE2F29">
        <w:t xml:space="preserve">(success or failure) was simulated, using the developed models, the set of sampled parameters, each patient’s covariates, and the </w:t>
      </w:r>
      <w:proofErr w:type="spellStart"/>
      <w:r w:rsidRPr="00BE2F29">
        <w:t>artefenomel</w:t>
      </w:r>
      <w:proofErr w:type="spellEnd"/>
      <w:r w:rsidRPr="00BE2F29">
        <w:t xml:space="preserve"> and PQP doses. The </w:t>
      </w:r>
      <w:r w:rsidR="00E45EB3">
        <w:t>treatment</w:t>
      </w:r>
      <w:r w:rsidR="00E45EB3" w:rsidRPr="00BE2F29">
        <w:t xml:space="preserve"> </w:t>
      </w:r>
      <w:r w:rsidR="00E45EB3">
        <w:t>outcomes</w:t>
      </w:r>
      <w:r w:rsidR="00E45EB3" w:rsidRPr="00BE2F29">
        <w:t xml:space="preserve"> </w:t>
      </w:r>
      <w:r w:rsidRPr="00BE2F29">
        <w:t xml:space="preserve">for the 2000 patients were then </w:t>
      </w:r>
      <w:proofErr w:type="spellStart"/>
      <w:r w:rsidRPr="00BE2F29">
        <w:t>summarised</w:t>
      </w:r>
      <w:proofErr w:type="spellEnd"/>
      <w:r w:rsidRPr="00BE2F29">
        <w:t xml:space="preserve"> by treatment (number of successes/2000) to generate an estimate of </w:t>
      </w:r>
      <w:r w:rsidR="00E45EB3">
        <w:t>%</w:t>
      </w:r>
      <w:r w:rsidRPr="00BE2F29">
        <w:t xml:space="preserve">ACPR28. These steps were repeated 750 times (replicates), each time sampling a new set of patients and parameters. For each simulated treatment arm the ACPR28 across replicates was </w:t>
      </w:r>
      <w:proofErr w:type="spellStart"/>
      <w:r w:rsidRPr="00BE2F29">
        <w:t>summarised</w:t>
      </w:r>
      <w:proofErr w:type="spellEnd"/>
      <w:r w:rsidRPr="00BE2F29">
        <w:t xml:space="preserve"> to generate a point estimate and 90% Confidence Interval (median, 5</w:t>
      </w:r>
      <w:r w:rsidRPr="00BE2F29">
        <w:rPr>
          <w:vertAlign w:val="superscript"/>
        </w:rPr>
        <w:t>th</w:t>
      </w:r>
      <w:r w:rsidRPr="00BE2F29">
        <w:t xml:space="preserve"> and 95</w:t>
      </w:r>
      <w:r w:rsidRPr="00BE2F29">
        <w:rPr>
          <w:vertAlign w:val="superscript"/>
        </w:rPr>
        <w:t>th</w:t>
      </w:r>
      <w:r w:rsidRPr="00BE2F29">
        <w:t xml:space="preserve"> percentile of the distribution across replicates).</w:t>
      </w:r>
    </w:p>
    <w:p w14:paraId="6CA80D0E" w14:textId="77777777" w:rsidR="00E63083" w:rsidRPr="00BE2F29" w:rsidRDefault="00E63083">
      <w:pPr>
        <w:rPr>
          <w:b/>
        </w:rPr>
      </w:pPr>
    </w:p>
    <w:sectPr w:rsidR="00E63083" w:rsidRPr="00BE2F29" w:rsidSect="00E63083">
      <w:footerReference w:type="default" r:id="rId11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144AB" w14:textId="77777777" w:rsidR="0089309B" w:rsidRDefault="0089309B" w:rsidP="0068111E">
      <w:r>
        <w:separator/>
      </w:r>
    </w:p>
  </w:endnote>
  <w:endnote w:type="continuationSeparator" w:id="0">
    <w:p w14:paraId="56C2C8D0" w14:textId="77777777" w:rsidR="0089309B" w:rsidRDefault="0089309B" w:rsidP="0068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539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4EDAE" w14:textId="77777777" w:rsidR="00AE4CBD" w:rsidRDefault="00470C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C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EF1796" w14:textId="77777777" w:rsidR="00AE4CBD" w:rsidRDefault="00AE4CB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78B47" w14:textId="77777777" w:rsidR="0089309B" w:rsidRDefault="0089309B" w:rsidP="0068111E">
      <w:r>
        <w:separator/>
      </w:r>
    </w:p>
  </w:footnote>
  <w:footnote w:type="continuationSeparator" w:id="0">
    <w:p w14:paraId="6B13DA5E" w14:textId="77777777" w:rsidR="0089309B" w:rsidRDefault="0089309B" w:rsidP="0068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F92C26"/>
    <w:multiLevelType w:val="hybridMultilevel"/>
    <w:tmpl w:val="BE6CE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C7"/>
    <w:rsid w:val="000169EE"/>
    <w:rsid w:val="00070521"/>
    <w:rsid w:val="000727A3"/>
    <w:rsid w:val="00076600"/>
    <w:rsid w:val="000D62F9"/>
    <w:rsid w:val="000D6AAC"/>
    <w:rsid w:val="000F2DD6"/>
    <w:rsid w:val="000F3CCA"/>
    <w:rsid w:val="001018E4"/>
    <w:rsid w:val="00170B83"/>
    <w:rsid w:val="00172775"/>
    <w:rsid w:val="00185A73"/>
    <w:rsid w:val="001C2B88"/>
    <w:rsid w:val="001C7C07"/>
    <w:rsid w:val="001D0F7B"/>
    <w:rsid w:val="001E67CC"/>
    <w:rsid w:val="0020175A"/>
    <w:rsid w:val="002336FF"/>
    <w:rsid w:val="00243FCE"/>
    <w:rsid w:val="00260003"/>
    <w:rsid w:val="00291433"/>
    <w:rsid w:val="002A29B8"/>
    <w:rsid w:val="003224AB"/>
    <w:rsid w:val="00355AF1"/>
    <w:rsid w:val="003B1D1F"/>
    <w:rsid w:val="003D62C1"/>
    <w:rsid w:val="00407061"/>
    <w:rsid w:val="00421469"/>
    <w:rsid w:val="00460357"/>
    <w:rsid w:val="004638C1"/>
    <w:rsid w:val="00470C6F"/>
    <w:rsid w:val="004B67A0"/>
    <w:rsid w:val="004B6F15"/>
    <w:rsid w:val="0050263E"/>
    <w:rsid w:val="005418CF"/>
    <w:rsid w:val="005E0E46"/>
    <w:rsid w:val="006303BA"/>
    <w:rsid w:val="00636FF2"/>
    <w:rsid w:val="00643624"/>
    <w:rsid w:val="00671957"/>
    <w:rsid w:val="0068111E"/>
    <w:rsid w:val="00682344"/>
    <w:rsid w:val="00695518"/>
    <w:rsid w:val="006F5848"/>
    <w:rsid w:val="00723CA7"/>
    <w:rsid w:val="007559A7"/>
    <w:rsid w:val="0077780E"/>
    <w:rsid w:val="00790D4E"/>
    <w:rsid w:val="00797896"/>
    <w:rsid w:val="007B79CB"/>
    <w:rsid w:val="008106F2"/>
    <w:rsid w:val="008407BB"/>
    <w:rsid w:val="00842128"/>
    <w:rsid w:val="00857427"/>
    <w:rsid w:val="00860E49"/>
    <w:rsid w:val="00872240"/>
    <w:rsid w:val="008917CA"/>
    <w:rsid w:val="0089309B"/>
    <w:rsid w:val="008B7F20"/>
    <w:rsid w:val="008C1541"/>
    <w:rsid w:val="008C7B7C"/>
    <w:rsid w:val="008D369A"/>
    <w:rsid w:val="008D39EC"/>
    <w:rsid w:val="00900B8E"/>
    <w:rsid w:val="00917494"/>
    <w:rsid w:val="009255C8"/>
    <w:rsid w:val="009378B4"/>
    <w:rsid w:val="00944222"/>
    <w:rsid w:val="00950FB9"/>
    <w:rsid w:val="0097034E"/>
    <w:rsid w:val="009A2AC3"/>
    <w:rsid w:val="009A66C4"/>
    <w:rsid w:val="009D7893"/>
    <w:rsid w:val="00A177AE"/>
    <w:rsid w:val="00A2304D"/>
    <w:rsid w:val="00A32EC9"/>
    <w:rsid w:val="00A4325A"/>
    <w:rsid w:val="00A82230"/>
    <w:rsid w:val="00A962BC"/>
    <w:rsid w:val="00A979D6"/>
    <w:rsid w:val="00AC5E74"/>
    <w:rsid w:val="00AE4CBD"/>
    <w:rsid w:val="00B73C2A"/>
    <w:rsid w:val="00B95BD1"/>
    <w:rsid w:val="00BA0F59"/>
    <w:rsid w:val="00BD2D60"/>
    <w:rsid w:val="00BE2F29"/>
    <w:rsid w:val="00BF3E19"/>
    <w:rsid w:val="00C24AFE"/>
    <w:rsid w:val="00C65070"/>
    <w:rsid w:val="00C66C9B"/>
    <w:rsid w:val="00C77522"/>
    <w:rsid w:val="00C9000E"/>
    <w:rsid w:val="00CD50C5"/>
    <w:rsid w:val="00CE2D9B"/>
    <w:rsid w:val="00CE4E1B"/>
    <w:rsid w:val="00CE6AB6"/>
    <w:rsid w:val="00D04FB3"/>
    <w:rsid w:val="00D06EC7"/>
    <w:rsid w:val="00D16A73"/>
    <w:rsid w:val="00D22964"/>
    <w:rsid w:val="00D25C34"/>
    <w:rsid w:val="00D5305F"/>
    <w:rsid w:val="00D555B8"/>
    <w:rsid w:val="00D61834"/>
    <w:rsid w:val="00D91B91"/>
    <w:rsid w:val="00DA7B8E"/>
    <w:rsid w:val="00DD1C9E"/>
    <w:rsid w:val="00DF7C30"/>
    <w:rsid w:val="00E0204F"/>
    <w:rsid w:val="00E24E0F"/>
    <w:rsid w:val="00E3798D"/>
    <w:rsid w:val="00E45EB3"/>
    <w:rsid w:val="00E63083"/>
    <w:rsid w:val="00E72851"/>
    <w:rsid w:val="00EA4E22"/>
    <w:rsid w:val="00EB1997"/>
    <w:rsid w:val="00ED0C1D"/>
    <w:rsid w:val="00ED0C82"/>
    <w:rsid w:val="00F10832"/>
    <w:rsid w:val="00F1397A"/>
    <w:rsid w:val="00F312A5"/>
    <w:rsid w:val="00F342D5"/>
    <w:rsid w:val="00F41A16"/>
    <w:rsid w:val="00F65485"/>
    <w:rsid w:val="00F81580"/>
    <w:rsid w:val="00F90011"/>
    <w:rsid w:val="00FD4953"/>
    <w:rsid w:val="00FE3E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C56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34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502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63E"/>
    <w:pPr>
      <w:suppressAutoHyphens/>
      <w:spacing w:after="1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63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6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355AF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A32EC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F1397A"/>
    <w:pPr>
      <w:suppressAutoHyphens w:val="0"/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397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6811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111E"/>
  </w:style>
  <w:style w:type="paragraph" w:styleId="Footer">
    <w:name w:val="footer"/>
    <w:basedOn w:val="Normal"/>
    <w:link w:val="FooterChar"/>
    <w:uiPriority w:val="99"/>
    <w:rsid w:val="006811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6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1063</Words>
  <Characters>6062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 Pharm Consulting</Company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Laurijssens</dc:creator>
  <cp:lastModifiedBy>Johannes Mischlinger</cp:lastModifiedBy>
  <cp:revision>5</cp:revision>
  <cp:lastPrinted>2017-01-24T12:54:00Z</cp:lastPrinted>
  <dcterms:created xsi:type="dcterms:W3CDTF">2017-07-05T11:50:00Z</dcterms:created>
  <dcterms:modified xsi:type="dcterms:W3CDTF">2017-10-30T17:40:00Z</dcterms:modified>
</cp:coreProperties>
</file>