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959" w:rsidRDefault="00F17888">
      <w:pPr>
        <w:rPr>
          <w:b/>
        </w:rPr>
      </w:pPr>
      <w:r>
        <w:rPr>
          <w:b/>
        </w:rPr>
        <w:t>Table</w:t>
      </w:r>
      <w:r w:rsidR="001B7DA1">
        <w:rPr>
          <w:b/>
        </w:rPr>
        <w:t xml:space="preserve"> </w:t>
      </w:r>
      <w:r>
        <w:rPr>
          <w:b/>
        </w:rPr>
        <w:t>S</w:t>
      </w:r>
      <w:r w:rsidR="00E01E3E">
        <w:rPr>
          <w:b/>
        </w:rPr>
        <w:t>1</w:t>
      </w:r>
      <w:r w:rsidR="001B7DA1">
        <w:rPr>
          <w:b/>
        </w:rPr>
        <w:t>: DETAILS OF INCLUDED STUDIES AND RELATED PUBLICATIONS</w:t>
      </w:r>
    </w:p>
    <w:tbl>
      <w:tblPr>
        <w:tblStyle w:val="TableGrid"/>
        <w:tblW w:w="0" w:type="auto"/>
        <w:tblLook w:val="04A0"/>
      </w:tblPr>
      <w:tblGrid>
        <w:gridCol w:w="7087"/>
        <w:gridCol w:w="7087"/>
      </w:tblGrid>
      <w:tr w:rsidR="009F2F0A" w:rsidTr="009F2F0A">
        <w:tc>
          <w:tcPr>
            <w:tcW w:w="14174" w:type="dxa"/>
            <w:gridSpan w:val="2"/>
            <w:shd w:val="clear" w:color="auto" w:fill="A6A6A6" w:themeFill="background1" w:themeFillShade="A6"/>
          </w:tcPr>
          <w:p w:rsidR="009F2F0A" w:rsidRDefault="009F2F0A">
            <w:r w:rsidRPr="00C82262">
              <w:rPr>
                <w:rFonts w:eastAsia="Calibri" w:cs="Times New Roman"/>
                <w:b/>
                <w:i/>
                <w:noProof/>
                <w:sz w:val="24"/>
              </w:rPr>
              <w:t>OC-sensor</w:t>
            </w:r>
          </w:p>
        </w:tc>
      </w:tr>
      <w:tr w:rsidR="009F2F0A" w:rsidTr="009F2F0A">
        <w:tc>
          <w:tcPr>
            <w:tcW w:w="7087" w:type="dxa"/>
            <w:shd w:val="clear" w:color="auto" w:fill="D9D9D9" w:themeFill="background1" w:themeFillShade="D9"/>
          </w:tcPr>
          <w:p w:rsidR="009F2F0A" w:rsidRDefault="009F2F0A">
            <w:pPr>
              <w:rPr>
                <w:b/>
              </w:rPr>
            </w:pPr>
            <w:r>
              <w:rPr>
                <w:b/>
              </w:rPr>
              <w:t>Primary publication</w:t>
            </w:r>
          </w:p>
        </w:tc>
        <w:tc>
          <w:tcPr>
            <w:tcW w:w="7087" w:type="dxa"/>
            <w:shd w:val="clear" w:color="auto" w:fill="D9D9D9" w:themeFill="background1" w:themeFillShade="D9"/>
          </w:tcPr>
          <w:p w:rsidR="009F2F0A" w:rsidRDefault="009F2F0A">
            <w:pPr>
              <w:rPr>
                <w:b/>
              </w:rPr>
            </w:pPr>
            <w:r>
              <w:rPr>
                <w:b/>
              </w:rPr>
              <w:t>Additional articles</w:t>
            </w:r>
          </w:p>
        </w:tc>
      </w:tr>
      <w:tr w:rsidR="009F2F0A" w:rsidTr="009F2F0A">
        <w:tc>
          <w:tcPr>
            <w:tcW w:w="7087" w:type="dxa"/>
          </w:tcPr>
          <w:p w:rsidR="009F2F0A" w:rsidRDefault="00695F05">
            <w:pPr>
              <w:rPr>
                <w:b/>
              </w:rPr>
            </w:pPr>
            <w:r w:rsidRPr="001945F1">
              <w:rPr>
                <w:rFonts w:cs="Arial"/>
                <w:noProof/>
              </w:rPr>
              <w:t xml:space="preserve">McDonald PJ, Digby J, Innes C, Strachan JA, Carey FA, Steele RJ, et al. Low faecal haemoglobin concentration potentially rules out significant colorectal disease. </w:t>
            </w:r>
            <w:r w:rsidRPr="001945F1">
              <w:rPr>
                <w:rFonts w:cs="Arial"/>
                <w:i/>
                <w:noProof/>
              </w:rPr>
              <w:t>Colorectal Dis</w:t>
            </w:r>
            <w:r w:rsidRPr="001945F1">
              <w:rPr>
                <w:rFonts w:cs="Arial"/>
                <w:noProof/>
              </w:rPr>
              <w:t xml:space="preserve"> 2013;15(3):e151-9.</w:t>
            </w:r>
          </w:p>
        </w:tc>
        <w:tc>
          <w:tcPr>
            <w:tcW w:w="7087" w:type="dxa"/>
          </w:tcPr>
          <w:p w:rsidR="009F2F0A" w:rsidRPr="009F2F0A" w:rsidRDefault="009F2F0A">
            <w:r w:rsidRPr="009F2F0A">
              <w:t>None</w:t>
            </w:r>
          </w:p>
        </w:tc>
      </w:tr>
      <w:tr w:rsidR="009F2F0A" w:rsidTr="009F2F0A">
        <w:tc>
          <w:tcPr>
            <w:tcW w:w="7087" w:type="dxa"/>
          </w:tcPr>
          <w:p w:rsidR="009F2F0A" w:rsidRDefault="00695F05">
            <w:pPr>
              <w:rPr>
                <w:b/>
              </w:rPr>
            </w:pPr>
            <w:r w:rsidRPr="001945F1">
              <w:rPr>
                <w:rFonts w:cs="Arial"/>
                <w:noProof/>
              </w:rPr>
              <w:t xml:space="preserve">Mowat C, Digby J, Strachan JA, Wilson R, Carey FA, Fraser CG, et al. Faecal haemoglobin and faecal calprotectin as indicators of bowel disease in patients presenting to primary care with bowel symptoms. </w:t>
            </w:r>
            <w:r w:rsidRPr="001945F1">
              <w:rPr>
                <w:rFonts w:cs="Arial"/>
                <w:i/>
                <w:noProof/>
              </w:rPr>
              <w:t>Gut</w:t>
            </w:r>
            <w:r w:rsidRPr="001945F1">
              <w:rPr>
                <w:rFonts w:cs="Arial"/>
                <w:noProof/>
              </w:rPr>
              <w:t xml:space="preserve"> 2015:doi:10.1136/gutjnl-2015-309579.</w:t>
            </w:r>
          </w:p>
        </w:tc>
        <w:tc>
          <w:tcPr>
            <w:tcW w:w="7087" w:type="dxa"/>
          </w:tcPr>
          <w:p w:rsidR="009F2F0A" w:rsidRDefault="00695F05">
            <w:pPr>
              <w:rPr>
                <w:b/>
              </w:rPr>
            </w:pPr>
            <w:r w:rsidRPr="001945F1">
              <w:rPr>
                <w:rFonts w:cs="Arial"/>
                <w:noProof/>
              </w:rPr>
              <w:t xml:space="preserve">Steele R, Digby J, Strachan J, Mowat C, Lang J, McDonald P, et al. Quantitative FIT as triage for colonoscopy [Presentation].  </w:t>
            </w:r>
            <w:r w:rsidRPr="001945F1">
              <w:rPr>
                <w:rFonts w:cs="Arial"/>
                <w:i/>
                <w:noProof/>
              </w:rPr>
              <w:t>WEO Colorectal Cancer Screening Meeting</w:t>
            </w:r>
            <w:r w:rsidRPr="001945F1">
              <w:rPr>
                <w:rFonts w:cs="Arial"/>
                <w:noProof/>
              </w:rPr>
              <w:t>: Vienna, Austria, 2014.</w:t>
            </w:r>
          </w:p>
        </w:tc>
      </w:tr>
      <w:tr w:rsidR="009F2F0A" w:rsidTr="009F2F0A">
        <w:tc>
          <w:tcPr>
            <w:tcW w:w="7087" w:type="dxa"/>
          </w:tcPr>
          <w:p w:rsidR="009F2F0A" w:rsidRDefault="00695F05">
            <w:pPr>
              <w:rPr>
                <w:b/>
              </w:rPr>
            </w:pPr>
            <w:r w:rsidRPr="001945F1">
              <w:rPr>
                <w:rFonts w:cs="Arial"/>
                <w:noProof/>
              </w:rPr>
              <w:t xml:space="preserve">Rodriguez-Alonso L, Rodriguez-Moranta F, Ruiz-Cerulla A, Lobaton T, Arajol C, Binefa G, et al. An urgent referral strategy for symptomatic patients with suspected colorectal cancer based on a quantitative immunochemical faecal occult blood test. </w:t>
            </w:r>
            <w:r w:rsidRPr="001945F1">
              <w:rPr>
                <w:rFonts w:cs="Arial"/>
                <w:i/>
                <w:noProof/>
              </w:rPr>
              <w:t>Dig Liver Dis</w:t>
            </w:r>
            <w:r w:rsidRPr="001945F1">
              <w:rPr>
                <w:rFonts w:cs="Arial"/>
                <w:noProof/>
              </w:rPr>
              <w:t xml:space="preserve"> 2015;47(9):797-804.</w:t>
            </w:r>
          </w:p>
        </w:tc>
        <w:tc>
          <w:tcPr>
            <w:tcW w:w="7087" w:type="dxa"/>
          </w:tcPr>
          <w:p w:rsidR="009F2F0A" w:rsidRPr="00695F05" w:rsidRDefault="00695F05">
            <w:r w:rsidRPr="00695F05">
              <w:t>None</w:t>
            </w:r>
          </w:p>
        </w:tc>
      </w:tr>
      <w:tr w:rsidR="007A4CA8" w:rsidTr="009F2F0A">
        <w:tc>
          <w:tcPr>
            <w:tcW w:w="7087" w:type="dxa"/>
            <w:vMerge w:val="restart"/>
          </w:tcPr>
          <w:p w:rsidR="007A4CA8" w:rsidRDefault="007A4CA8">
            <w:pPr>
              <w:rPr>
                <w:b/>
              </w:rPr>
            </w:pPr>
            <w:r w:rsidRPr="001945F1">
              <w:rPr>
                <w:rFonts w:cs="Arial"/>
                <w:noProof/>
              </w:rPr>
              <w:t xml:space="preserve">Cubiella J, Salve M, Diaz-Ondina M, Vega P, Alves MT, Iglesias F, et al. Diagnostic accuracy of the faecal immunochemical test for colorectal cancer in symptomatic patients: comparison with NICE and SIGN referral criteria. </w:t>
            </w:r>
            <w:r w:rsidRPr="001945F1">
              <w:rPr>
                <w:rFonts w:cs="Arial"/>
                <w:i/>
                <w:noProof/>
              </w:rPr>
              <w:t>Colorectal Dis</w:t>
            </w:r>
            <w:r w:rsidRPr="001945F1">
              <w:rPr>
                <w:rFonts w:cs="Arial"/>
                <w:noProof/>
              </w:rPr>
              <w:t xml:space="preserve"> 2014;16(8):O273-82.</w:t>
            </w:r>
          </w:p>
        </w:tc>
        <w:tc>
          <w:tcPr>
            <w:tcW w:w="7087" w:type="dxa"/>
          </w:tcPr>
          <w:p w:rsidR="007A4CA8" w:rsidRPr="00695F05" w:rsidRDefault="007A4CA8">
            <w:r w:rsidRPr="001945F1">
              <w:rPr>
                <w:rFonts w:cs="Arial"/>
                <w:noProof/>
              </w:rPr>
              <w:t xml:space="preserve">Diaz Ondina M, Blanco Vila MI, Ceballos Ogando S, Salve Bouzo M, Macia Cortinas P, Cubiella Fernandez J. Clinical or analytical criteria for colorectal cancer (CRC) detection in symptomatic patients? A diagnostic tests study. </w:t>
            </w:r>
            <w:r w:rsidRPr="001945F1">
              <w:rPr>
                <w:rFonts w:cs="Arial"/>
                <w:i/>
                <w:noProof/>
              </w:rPr>
              <w:t>Clin Chem Lab Med</w:t>
            </w:r>
            <w:r w:rsidRPr="001945F1">
              <w:rPr>
                <w:rFonts w:cs="Arial"/>
                <w:noProof/>
              </w:rPr>
              <w:t xml:space="preserve"> 2014;52:S384.</w:t>
            </w:r>
          </w:p>
        </w:tc>
      </w:tr>
      <w:tr w:rsidR="007A4CA8" w:rsidTr="009F2F0A">
        <w:tc>
          <w:tcPr>
            <w:tcW w:w="7087" w:type="dxa"/>
            <w:vMerge/>
          </w:tcPr>
          <w:p w:rsidR="007A4CA8" w:rsidRDefault="007A4CA8">
            <w:pPr>
              <w:rPr>
                <w:b/>
              </w:rPr>
            </w:pPr>
          </w:p>
        </w:tc>
        <w:tc>
          <w:tcPr>
            <w:tcW w:w="7087" w:type="dxa"/>
          </w:tcPr>
          <w:p w:rsidR="007A4CA8" w:rsidRPr="00695F05" w:rsidRDefault="007A4CA8">
            <w:r w:rsidRPr="001945F1">
              <w:rPr>
                <w:rFonts w:cs="Arial"/>
                <w:noProof/>
              </w:rPr>
              <w:t xml:space="preserve">Cubiella J. Colorectal cancer prediction model in symptomatic patients based on FIT, age and sex [Presentation].  </w:t>
            </w:r>
            <w:r w:rsidRPr="001945F1">
              <w:rPr>
                <w:rFonts w:cs="Arial"/>
                <w:i/>
                <w:noProof/>
              </w:rPr>
              <w:t>WEO Colorectal Cancer Screening Meeting</w:t>
            </w:r>
            <w:r w:rsidRPr="001945F1">
              <w:rPr>
                <w:rFonts w:cs="Arial"/>
                <w:noProof/>
              </w:rPr>
              <w:t>: Barcelona, Spain, 2015.</w:t>
            </w:r>
          </w:p>
        </w:tc>
      </w:tr>
      <w:tr w:rsidR="007A4CA8" w:rsidTr="009F2F0A">
        <w:tc>
          <w:tcPr>
            <w:tcW w:w="7087" w:type="dxa"/>
            <w:vMerge/>
          </w:tcPr>
          <w:p w:rsidR="007A4CA8" w:rsidRDefault="007A4CA8">
            <w:pPr>
              <w:rPr>
                <w:b/>
              </w:rPr>
            </w:pPr>
          </w:p>
        </w:tc>
        <w:tc>
          <w:tcPr>
            <w:tcW w:w="7087" w:type="dxa"/>
          </w:tcPr>
          <w:p w:rsidR="007A4CA8" w:rsidRPr="00725611" w:rsidRDefault="007A4CA8">
            <w:proofErr w:type="spellStart"/>
            <w:r w:rsidRPr="00725611">
              <w:t>Cubiella</w:t>
            </w:r>
            <w:proofErr w:type="spellEnd"/>
            <w:r w:rsidRPr="00725611">
              <w:t xml:space="preserve"> J, Vega P, Salve M, Diaz-</w:t>
            </w:r>
            <w:proofErr w:type="spellStart"/>
            <w:r w:rsidRPr="00725611">
              <w:t>Ondina</w:t>
            </w:r>
            <w:proofErr w:type="spellEnd"/>
            <w:r w:rsidRPr="00725611">
              <w:t xml:space="preserve"> M, </w:t>
            </w:r>
            <w:proofErr w:type="spellStart"/>
            <w:r w:rsidRPr="00725611">
              <w:t>Alves</w:t>
            </w:r>
            <w:proofErr w:type="spellEnd"/>
            <w:r w:rsidRPr="00725611">
              <w:t xml:space="preserve"> MT, Quintero E, et al. Development and external validation of a faecal immunochemical test-based prediction model for colorectal cancer detection in symptomatic patients. </w:t>
            </w:r>
            <w:r w:rsidRPr="00725611">
              <w:rPr>
                <w:i/>
              </w:rPr>
              <w:t>BMC Med</w:t>
            </w:r>
            <w:r w:rsidRPr="00725611">
              <w:t xml:space="preserve"> 2016</w:t>
            </w:r>
            <w:proofErr w:type="gramStart"/>
            <w:r w:rsidRPr="00725611">
              <w:t>;14</w:t>
            </w:r>
            <w:proofErr w:type="gramEnd"/>
            <w:r w:rsidRPr="00725611">
              <w:t>(1):128.</w:t>
            </w:r>
          </w:p>
        </w:tc>
      </w:tr>
      <w:tr w:rsidR="007A4CA8" w:rsidTr="009F2F0A">
        <w:tc>
          <w:tcPr>
            <w:tcW w:w="7087" w:type="dxa"/>
            <w:vMerge/>
          </w:tcPr>
          <w:p w:rsidR="007A4CA8" w:rsidRDefault="007A4CA8">
            <w:pPr>
              <w:rPr>
                <w:b/>
              </w:rPr>
            </w:pPr>
          </w:p>
        </w:tc>
        <w:tc>
          <w:tcPr>
            <w:tcW w:w="7087" w:type="dxa"/>
          </w:tcPr>
          <w:p w:rsidR="007A4CA8" w:rsidRPr="007A4CA8" w:rsidRDefault="007A4CA8" w:rsidP="007A4CA8">
            <w:pPr>
              <w:rPr>
                <w:lang w:val="es-ES"/>
              </w:rPr>
            </w:pPr>
            <w:proofErr w:type="spellStart"/>
            <w:r w:rsidRPr="007A4CA8">
              <w:rPr>
                <w:lang w:val="es-ES"/>
              </w:rPr>
              <w:t>Cubiella</w:t>
            </w:r>
            <w:proofErr w:type="spellEnd"/>
            <w:r w:rsidRPr="007A4CA8">
              <w:rPr>
                <w:lang w:val="es-ES"/>
              </w:rPr>
              <w:t xml:space="preserve">, J. </w:t>
            </w:r>
            <w:proofErr w:type="spellStart"/>
            <w:r w:rsidRPr="007A4CA8">
              <w:rPr>
                <w:lang w:val="es-ES"/>
              </w:rPr>
              <w:t>Digby</w:t>
            </w:r>
            <w:proofErr w:type="spellEnd"/>
            <w:r w:rsidRPr="007A4CA8">
              <w:rPr>
                <w:lang w:val="es-ES"/>
              </w:rPr>
              <w:t xml:space="preserve">, F. </w:t>
            </w:r>
            <w:proofErr w:type="spellStart"/>
            <w:r w:rsidRPr="007A4CA8">
              <w:rPr>
                <w:lang w:val="es-ES"/>
              </w:rPr>
              <w:t>Rodriguez-Moranta</w:t>
            </w:r>
            <w:proofErr w:type="spellEnd"/>
            <w:r w:rsidRPr="007A4CA8">
              <w:rPr>
                <w:lang w:val="es-ES"/>
              </w:rPr>
              <w:t xml:space="preserve">, L. </w:t>
            </w:r>
            <w:proofErr w:type="spellStart"/>
            <w:r w:rsidRPr="007A4CA8">
              <w:rPr>
                <w:lang w:val="es-ES"/>
              </w:rPr>
              <w:t>Bujanda</w:t>
            </w:r>
            <w:proofErr w:type="spellEnd"/>
            <w:r w:rsidRPr="007A4CA8">
              <w:rPr>
                <w:lang w:val="es-ES"/>
              </w:rPr>
              <w:t xml:space="preserve">, P. Vega, M. </w:t>
            </w:r>
            <w:proofErr w:type="spellStart"/>
            <w:r w:rsidRPr="007A4CA8">
              <w:rPr>
                <w:lang w:val="es-ES"/>
              </w:rPr>
              <w:t>Diaz</w:t>
            </w:r>
            <w:proofErr w:type="spellEnd"/>
            <w:r w:rsidRPr="007A4CA8">
              <w:rPr>
                <w:lang w:val="es-ES"/>
              </w:rPr>
              <w:t xml:space="preserve">-Ondina, L. </w:t>
            </w:r>
            <w:proofErr w:type="spellStart"/>
            <w:r w:rsidRPr="007A4CA8">
              <w:rPr>
                <w:lang w:val="es-ES"/>
              </w:rPr>
              <w:t>Rodrıguez</w:t>
            </w:r>
            <w:proofErr w:type="spellEnd"/>
            <w:r w:rsidRPr="007A4CA8">
              <w:rPr>
                <w:lang w:val="es-ES"/>
              </w:rPr>
              <w:t xml:space="preserve">-Alonso, J. Guardiola, C. Fraser, </w:t>
            </w:r>
            <w:proofErr w:type="spellStart"/>
            <w:r w:rsidRPr="007A4CA8">
              <w:rPr>
                <w:lang w:val="es-ES"/>
              </w:rPr>
              <w:t>on</w:t>
            </w:r>
            <w:proofErr w:type="spellEnd"/>
            <w:r w:rsidRPr="007A4CA8">
              <w:rPr>
                <w:lang w:val="es-ES"/>
              </w:rPr>
              <w:t xml:space="preserve"> </w:t>
            </w:r>
            <w:proofErr w:type="spellStart"/>
            <w:r w:rsidRPr="007A4CA8">
              <w:rPr>
                <w:lang w:val="es-ES"/>
              </w:rPr>
              <w:t>behalf</w:t>
            </w:r>
            <w:proofErr w:type="spellEnd"/>
            <w:r w:rsidRPr="007A4CA8">
              <w:rPr>
                <w:lang w:val="es-ES"/>
              </w:rPr>
              <w:t xml:space="preserve"> of </w:t>
            </w:r>
            <w:proofErr w:type="spellStart"/>
            <w:r w:rsidRPr="007A4CA8">
              <w:rPr>
                <w:lang w:val="es-ES"/>
              </w:rPr>
              <w:t>CriPS</w:t>
            </w:r>
            <w:proofErr w:type="spellEnd"/>
            <w:r w:rsidRPr="007A4CA8">
              <w:rPr>
                <w:lang w:val="es-ES"/>
              </w:rPr>
              <w:t xml:space="preserve">. </w:t>
            </w:r>
            <w:proofErr w:type="gramStart"/>
            <w:r w:rsidRPr="007A4CA8">
              <w:rPr>
                <w:lang w:val="en-US"/>
              </w:rPr>
              <w:t>the</w:t>
            </w:r>
            <w:proofErr w:type="gramEnd"/>
            <w:r w:rsidRPr="007A4CA8">
              <w:rPr>
                <w:lang w:val="en-US"/>
              </w:rPr>
              <w:t xml:space="preserve"> </w:t>
            </w:r>
            <w:proofErr w:type="spellStart"/>
            <w:r w:rsidRPr="007A4CA8">
              <w:rPr>
                <w:lang w:val="en-US"/>
              </w:rPr>
              <w:t>fas</w:t>
            </w:r>
            <w:proofErr w:type="spellEnd"/>
            <w:r w:rsidRPr="007A4CA8">
              <w:rPr>
                <w:lang w:val="en-US"/>
              </w:rPr>
              <w:t xml:space="preserve"> (</w:t>
            </w:r>
            <w:proofErr w:type="spellStart"/>
            <w:r w:rsidRPr="007A4CA8">
              <w:rPr>
                <w:lang w:val="en-US"/>
              </w:rPr>
              <w:t>fecal</w:t>
            </w:r>
            <w:proofErr w:type="spellEnd"/>
            <w:r w:rsidRPr="007A4CA8">
              <w:rPr>
                <w:lang w:val="en-US"/>
              </w:rPr>
              <w:t xml:space="preserve"> hemoglobin concentration, age and sex) model: development and external validation of a simple predictive model for colorectal cancer detection in symptomatic patients. </w:t>
            </w:r>
            <w:proofErr w:type="spellStart"/>
            <w:r w:rsidRPr="007A4CA8">
              <w:rPr>
                <w:lang w:val="es-ES"/>
              </w:rPr>
              <w:t>United</w:t>
            </w:r>
            <w:proofErr w:type="spellEnd"/>
            <w:r w:rsidRPr="007A4CA8">
              <w:rPr>
                <w:lang w:val="es-ES"/>
              </w:rPr>
              <w:t xml:space="preserve"> </w:t>
            </w:r>
            <w:proofErr w:type="spellStart"/>
            <w:r w:rsidRPr="007A4CA8">
              <w:rPr>
                <w:lang w:val="es-ES"/>
              </w:rPr>
              <w:t>European</w:t>
            </w:r>
            <w:proofErr w:type="spellEnd"/>
            <w:r w:rsidRPr="007A4CA8">
              <w:rPr>
                <w:lang w:val="es-ES"/>
              </w:rPr>
              <w:t xml:space="preserve"> </w:t>
            </w:r>
            <w:proofErr w:type="spellStart"/>
            <w:r w:rsidRPr="007A4CA8">
              <w:rPr>
                <w:lang w:val="es-ES"/>
              </w:rPr>
              <w:t>Gastroenterology</w:t>
            </w:r>
            <w:proofErr w:type="spellEnd"/>
            <w:r w:rsidRPr="007A4CA8">
              <w:rPr>
                <w:lang w:val="es-ES"/>
              </w:rPr>
              <w:t xml:space="preserve"> </w:t>
            </w:r>
            <w:proofErr w:type="spellStart"/>
            <w:r w:rsidRPr="007A4CA8">
              <w:rPr>
                <w:lang w:val="es-ES"/>
              </w:rPr>
              <w:t>Journal</w:t>
            </w:r>
            <w:proofErr w:type="spellEnd"/>
            <w:r w:rsidRPr="007A4CA8">
              <w:rPr>
                <w:lang w:val="es-ES"/>
              </w:rPr>
              <w:t xml:space="preserve"> 3(5S),  A122. </w:t>
            </w:r>
            <w:proofErr w:type="spellStart"/>
            <w:r w:rsidRPr="007A4CA8">
              <w:rPr>
                <w:lang w:val="es-ES"/>
              </w:rPr>
              <w:t>United</w:t>
            </w:r>
            <w:proofErr w:type="spellEnd"/>
            <w:r w:rsidRPr="007A4CA8">
              <w:rPr>
                <w:lang w:val="es-ES"/>
              </w:rPr>
              <w:t xml:space="preserve"> </w:t>
            </w:r>
            <w:proofErr w:type="spellStart"/>
            <w:r w:rsidRPr="007A4CA8">
              <w:rPr>
                <w:lang w:val="es-ES"/>
              </w:rPr>
              <w:t>European</w:t>
            </w:r>
            <w:proofErr w:type="spellEnd"/>
            <w:r w:rsidRPr="007A4CA8">
              <w:rPr>
                <w:lang w:val="es-ES"/>
              </w:rPr>
              <w:t xml:space="preserve"> </w:t>
            </w:r>
            <w:proofErr w:type="spellStart"/>
            <w:r w:rsidRPr="007A4CA8">
              <w:rPr>
                <w:lang w:val="es-ES"/>
              </w:rPr>
              <w:t>Gastroenterology</w:t>
            </w:r>
            <w:proofErr w:type="spellEnd"/>
            <w:r w:rsidRPr="007A4CA8">
              <w:rPr>
                <w:lang w:val="es-ES"/>
              </w:rPr>
              <w:t xml:space="preserve"> </w:t>
            </w:r>
            <w:proofErr w:type="spellStart"/>
            <w:r w:rsidRPr="007A4CA8">
              <w:rPr>
                <w:lang w:val="es-ES"/>
              </w:rPr>
              <w:t>Week</w:t>
            </w:r>
            <w:proofErr w:type="spellEnd"/>
            <w:r w:rsidRPr="007A4CA8">
              <w:rPr>
                <w:lang w:val="es-ES"/>
              </w:rPr>
              <w:t xml:space="preserve"> </w:t>
            </w:r>
          </w:p>
          <w:p w:rsidR="007A4CA8" w:rsidRPr="00725611" w:rsidRDefault="007A4CA8">
            <w:bookmarkStart w:id="0" w:name="_GoBack"/>
            <w:bookmarkEnd w:id="0"/>
          </w:p>
        </w:tc>
      </w:tr>
      <w:tr w:rsidR="00725611" w:rsidTr="009F2F0A">
        <w:tc>
          <w:tcPr>
            <w:tcW w:w="7087" w:type="dxa"/>
            <w:vMerge w:val="restart"/>
          </w:tcPr>
          <w:p w:rsidR="00725611" w:rsidRDefault="00725611">
            <w:pPr>
              <w:rPr>
                <w:b/>
              </w:rPr>
            </w:pPr>
            <w:r w:rsidRPr="001945F1">
              <w:rPr>
                <w:rFonts w:cs="Arial"/>
                <w:noProof/>
              </w:rPr>
              <w:lastRenderedPageBreak/>
              <w:t xml:space="preserve">Terhaar sive Droste JS, Oort FA, van der Hulst RW, van Heukelem HA, Loffeld RJ, van Turenhout ST, et al. Higher fecal immunochemical test cutoff levels: lower positivity rates but still acceptable detection rates for early-stage colorectal cancers. </w:t>
            </w:r>
            <w:r w:rsidRPr="001945F1">
              <w:rPr>
                <w:rFonts w:cs="Arial"/>
                <w:i/>
                <w:noProof/>
              </w:rPr>
              <w:t>Cancer Epidemiol Biomarkers Prev</w:t>
            </w:r>
            <w:r w:rsidRPr="001945F1">
              <w:rPr>
                <w:rFonts w:cs="Arial"/>
                <w:noProof/>
              </w:rPr>
              <w:t xml:space="preserve"> 2011;20(2):272-80.</w:t>
            </w:r>
          </w:p>
        </w:tc>
        <w:tc>
          <w:tcPr>
            <w:tcW w:w="7087" w:type="dxa"/>
          </w:tcPr>
          <w:p w:rsidR="00725611" w:rsidRDefault="00725611">
            <w:pPr>
              <w:rPr>
                <w:b/>
              </w:rPr>
            </w:pPr>
            <w:r w:rsidRPr="001945F1">
              <w:rPr>
                <w:rFonts w:cs="Arial"/>
                <w:noProof/>
              </w:rPr>
              <w:t xml:space="preserve">Oort FA, van Turenhout ST, Coupe VM, van der Hulst RW, Wesdorp EI, Terhaar sive Droste JS, et al. Double sampling of a faecal immunochemical test is not superior to single sampling for detection of colorectal neoplasia: a colonoscopy controlled prospective cohort study. </w:t>
            </w:r>
            <w:r w:rsidRPr="001945F1">
              <w:rPr>
                <w:rFonts w:cs="Arial"/>
                <w:i/>
                <w:noProof/>
              </w:rPr>
              <w:t>BMC Cancer</w:t>
            </w:r>
            <w:r w:rsidRPr="001945F1">
              <w:rPr>
                <w:rFonts w:cs="Arial"/>
                <w:noProof/>
              </w:rPr>
              <w:t xml:space="preserve"> 2011;11:434.</w:t>
            </w:r>
          </w:p>
        </w:tc>
      </w:tr>
      <w:tr w:rsidR="00725611" w:rsidTr="009F2F0A">
        <w:tc>
          <w:tcPr>
            <w:tcW w:w="7087" w:type="dxa"/>
            <w:vMerge/>
          </w:tcPr>
          <w:p w:rsidR="00725611" w:rsidRDefault="00725611">
            <w:pPr>
              <w:rPr>
                <w:b/>
              </w:rPr>
            </w:pPr>
          </w:p>
        </w:tc>
        <w:tc>
          <w:tcPr>
            <w:tcW w:w="7087" w:type="dxa"/>
          </w:tcPr>
          <w:p w:rsidR="00725611" w:rsidRDefault="00725611">
            <w:pPr>
              <w:rPr>
                <w:b/>
              </w:rPr>
            </w:pPr>
            <w:r>
              <w:rPr>
                <w:rFonts w:cs="Arial"/>
                <w:noProof/>
              </w:rPr>
              <w:t>v</w:t>
            </w:r>
            <w:r w:rsidRPr="001945F1">
              <w:rPr>
                <w:rFonts w:cs="Arial"/>
                <w:noProof/>
              </w:rPr>
              <w:t xml:space="preserve">an Turenhout ST, Oort FA, Coupe VM, Van Der Hulst RW, Wesdorp EC, Larbi IB, et al. Double versus single sampling of fecal immunochemical tests for colorectal cancer screening; added value or added costs? </w:t>
            </w:r>
            <w:r w:rsidRPr="001945F1">
              <w:rPr>
                <w:rFonts w:cs="Arial"/>
                <w:i/>
                <w:noProof/>
              </w:rPr>
              <w:t>Gastroenterology</w:t>
            </w:r>
            <w:r w:rsidRPr="001945F1">
              <w:rPr>
                <w:rFonts w:cs="Arial"/>
                <w:noProof/>
              </w:rPr>
              <w:t xml:space="preserve"> 2010;138(5 Suppl 1):S185.</w:t>
            </w:r>
          </w:p>
        </w:tc>
      </w:tr>
      <w:tr w:rsidR="00725611" w:rsidTr="009F2F0A">
        <w:tc>
          <w:tcPr>
            <w:tcW w:w="7087" w:type="dxa"/>
            <w:vMerge/>
          </w:tcPr>
          <w:p w:rsidR="00725611" w:rsidRDefault="00725611">
            <w:pPr>
              <w:rPr>
                <w:b/>
              </w:rPr>
            </w:pPr>
          </w:p>
        </w:tc>
        <w:tc>
          <w:tcPr>
            <w:tcW w:w="7087" w:type="dxa"/>
          </w:tcPr>
          <w:p w:rsidR="00725611" w:rsidRDefault="00725611">
            <w:pPr>
              <w:rPr>
                <w:b/>
              </w:rPr>
            </w:pPr>
            <w:r w:rsidRPr="001945F1">
              <w:rPr>
                <w:rFonts w:cs="Arial"/>
                <w:noProof/>
              </w:rPr>
              <w:t xml:space="preserve">van Turenhout ST, Oort FA, van der Hulst RW, Visscher AP, Terhaar sive Droste JS, Scholten P, et al. Prospective cross-sectional study on faecal immunochemical tests: sex specific cut-off values to obtain equal sensitivity for colorectal cancer? </w:t>
            </w:r>
            <w:r w:rsidRPr="001945F1">
              <w:rPr>
                <w:rFonts w:cs="Arial"/>
                <w:i/>
                <w:noProof/>
              </w:rPr>
              <w:t>BMC Gastroenterology</w:t>
            </w:r>
            <w:r w:rsidRPr="001945F1">
              <w:rPr>
                <w:rFonts w:cs="Arial"/>
                <w:noProof/>
              </w:rPr>
              <w:t xml:space="preserve"> 2014;14:217.</w:t>
            </w:r>
          </w:p>
        </w:tc>
      </w:tr>
      <w:tr w:rsidR="00725611" w:rsidTr="009F2F0A">
        <w:tc>
          <w:tcPr>
            <w:tcW w:w="7087" w:type="dxa"/>
            <w:vMerge/>
          </w:tcPr>
          <w:p w:rsidR="00725611" w:rsidRDefault="00725611">
            <w:pPr>
              <w:rPr>
                <w:b/>
              </w:rPr>
            </w:pPr>
          </w:p>
        </w:tc>
        <w:tc>
          <w:tcPr>
            <w:tcW w:w="7087" w:type="dxa"/>
          </w:tcPr>
          <w:p w:rsidR="00725611" w:rsidRDefault="00725611">
            <w:pPr>
              <w:rPr>
                <w:b/>
              </w:rPr>
            </w:pPr>
            <w:r w:rsidRPr="001945F1">
              <w:rPr>
                <w:rFonts w:cs="Arial"/>
                <w:noProof/>
              </w:rPr>
              <w:t xml:space="preserve">van Turenhout ST, Oort FA, Terhaar sive Droste JS, Coupe VM, van der Hulst RW, Loffeld RJ, et al. Hemorrhoids detected at colonoscopy: an infrequent cause of false-positive fecal immunochemical test results. </w:t>
            </w:r>
            <w:r w:rsidRPr="001945F1">
              <w:rPr>
                <w:rFonts w:cs="Arial"/>
                <w:i/>
                <w:noProof/>
              </w:rPr>
              <w:t>Gastrointest Endosc</w:t>
            </w:r>
            <w:r w:rsidRPr="001945F1">
              <w:rPr>
                <w:rFonts w:cs="Arial"/>
                <w:noProof/>
              </w:rPr>
              <w:t xml:space="preserve"> 2012;76(1):136-43.</w:t>
            </w:r>
          </w:p>
        </w:tc>
      </w:tr>
      <w:tr w:rsidR="00725611" w:rsidTr="009F2F0A">
        <w:tc>
          <w:tcPr>
            <w:tcW w:w="7087" w:type="dxa"/>
            <w:vMerge/>
          </w:tcPr>
          <w:p w:rsidR="00725611" w:rsidRDefault="00725611">
            <w:pPr>
              <w:rPr>
                <w:b/>
              </w:rPr>
            </w:pPr>
          </w:p>
        </w:tc>
        <w:tc>
          <w:tcPr>
            <w:tcW w:w="7087" w:type="dxa"/>
          </w:tcPr>
          <w:p w:rsidR="00725611" w:rsidRDefault="00725611">
            <w:pPr>
              <w:rPr>
                <w:b/>
              </w:rPr>
            </w:pPr>
            <w:r>
              <w:rPr>
                <w:rFonts w:cs="Arial"/>
                <w:noProof/>
              </w:rPr>
              <w:t>v</w:t>
            </w:r>
            <w:r w:rsidRPr="001945F1">
              <w:rPr>
                <w:rFonts w:cs="Arial"/>
                <w:noProof/>
              </w:rPr>
              <w:t xml:space="preserve">an Turenhout ST, Oort FA, Droste JSTS, Visscher AP, Coupe VM, Van Der Hulst RW, et al. Gender disparities in performance of a fecal immunochemical test for detection of advanced neoplasia. </w:t>
            </w:r>
            <w:r w:rsidRPr="001945F1">
              <w:rPr>
                <w:rFonts w:cs="Arial"/>
                <w:i/>
                <w:noProof/>
              </w:rPr>
              <w:t>Gastroenterology</w:t>
            </w:r>
            <w:r w:rsidRPr="001945F1">
              <w:rPr>
                <w:rFonts w:cs="Arial"/>
                <w:noProof/>
              </w:rPr>
              <w:t xml:space="preserve"> 2011;140(5 Suppl 1):S405-S406.</w:t>
            </w:r>
          </w:p>
        </w:tc>
      </w:tr>
      <w:tr w:rsidR="00725611" w:rsidTr="009F2F0A">
        <w:tc>
          <w:tcPr>
            <w:tcW w:w="7087" w:type="dxa"/>
            <w:vMerge/>
          </w:tcPr>
          <w:p w:rsidR="00725611" w:rsidRDefault="00725611">
            <w:pPr>
              <w:rPr>
                <w:b/>
              </w:rPr>
            </w:pPr>
          </w:p>
        </w:tc>
        <w:tc>
          <w:tcPr>
            <w:tcW w:w="7087" w:type="dxa"/>
          </w:tcPr>
          <w:p w:rsidR="00725611" w:rsidRDefault="00725611">
            <w:pPr>
              <w:rPr>
                <w:b/>
              </w:rPr>
            </w:pPr>
            <w:r w:rsidRPr="001945F1">
              <w:rPr>
                <w:rFonts w:cs="Arial"/>
                <w:noProof/>
              </w:rPr>
              <w:t xml:space="preserve">Oort FA, Terhaar Sive Droste JS, Van Der Hulst RW, Van Heukelem HA, Loffeld RJ, Wesdorp IC, et al. Colonoscopy-controlled intra-individual comparisons to screen relevant neoplasia: faecal immunochemical test vs. guaiac-based faecal occult blood test. </w:t>
            </w:r>
            <w:r w:rsidRPr="001945F1">
              <w:rPr>
                <w:rFonts w:cs="Arial"/>
                <w:i/>
                <w:noProof/>
              </w:rPr>
              <w:t>Aliment Pharmacol Ther</w:t>
            </w:r>
            <w:r w:rsidRPr="001945F1">
              <w:rPr>
                <w:rFonts w:cs="Arial"/>
                <w:noProof/>
              </w:rPr>
              <w:t xml:space="preserve"> 2010;31(3):432-9.</w:t>
            </w:r>
          </w:p>
        </w:tc>
      </w:tr>
      <w:tr w:rsidR="00725611" w:rsidTr="009F2F0A">
        <w:tc>
          <w:tcPr>
            <w:tcW w:w="7087" w:type="dxa"/>
            <w:vMerge/>
          </w:tcPr>
          <w:p w:rsidR="00725611" w:rsidRDefault="00725611">
            <w:pPr>
              <w:rPr>
                <w:b/>
              </w:rPr>
            </w:pPr>
          </w:p>
        </w:tc>
        <w:tc>
          <w:tcPr>
            <w:tcW w:w="7087" w:type="dxa"/>
          </w:tcPr>
          <w:p w:rsidR="00725611" w:rsidRDefault="00725611">
            <w:pPr>
              <w:rPr>
                <w:b/>
              </w:rPr>
            </w:pPr>
            <w:r w:rsidRPr="001945F1">
              <w:rPr>
                <w:rFonts w:cs="Arial"/>
                <w:noProof/>
              </w:rPr>
              <w:t xml:space="preserve">van Turenhout ST, van Rossum LG, Oort FA, Laheij RJ, van Rijn AF, Terhaar sive Droste JS, et al. Similar fecal immunochemical test results in screening and referral colorectal cancer. </w:t>
            </w:r>
            <w:r w:rsidRPr="001945F1">
              <w:rPr>
                <w:rFonts w:cs="Arial"/>
                <w:i/>
                <w:noProof/>
              </w:rPr>
              <w:t>World J Gastroenterol</w:t>
            </w:r>
            <w:r w:rsidRPr="001945F1">
              <w:rPr>
                <w:rFonts w:cs="Arial"/>
                <w:noProof/>
              </w:rPr>
              <w:t xml:space="preserve"> 2012;18(38):5397-403.</w:t>
            </w:r>
          </w:p>
        </w:tc>
      </w:tr>
      <w:tr w:rsidR="00725611" w:rsidTr="009F2F0A">
        <w:tc>
          <w:tcPr>
            <w:tcW w:w="7087" w:type="dxa"/>
            <w:vMerge/>
          </w:tcPr>
          <w:p w:rsidR="00725611" w:rsidRDefault="00725611">
            <w:pPr>
              <w:rPr>
                <w:b/>
              </w:rPr>
            </w:pPr>
          </w:p>
        </w:tc>
        <w:tc>
          <w:tcPr>
            <w:tcW w:w="7087" w:type="dxa"/>
          </w:tcPr>
          <w:p w:rsidR="00725611" w:rsidRPr="001945F1" w:rsidRDefault="00725611">
            <w:pPr>
              <w:rPr>
                <w:rFonts w:cs="Arial"/>
                <w:noProof/>
              </w:rPr>
            </w:pPr>
            <w:r>
              <w:rPr>
                <w:rFonts w:cs="Arial"/>
                <w:noProof/>
              </w:rPr>
              <w:t>Larbi IB, v</w:t>
            </w:r>
            <w:r w:rsidRPr="001945F1">
              <w:rPr>
                <w:rFonts w:cs="Arial"/>
                <w:noProof/>
              </w:rPr>
              <w:t xml:space="preserve">an Turenhout ST, Oort FA, Sive Droste JST, Van Der Hulst RW, Scholten P, et al. FIT in the elderly: performance of a frequently used fecal immunochemical test in subjects 75 of age and older. </w:t>
            </w:r>
            <w:r w:rsidRPr="001945F1">
              <w:rPr>
                <w:rFonts w:cs="Arial"/>
                <w:i/>
                <w:noProof/>
              </w:rPr>
              <w:t>Gastroenterology</w:t>
            </w:r>
            <w:r w:rsidRPr="001945F1">
              <w:rPr>
                <w:rFonts w:cs="Arial"/>
                <w:noProof/>
              </w:rPr>
              <w:t xml:space="preserve"> 2012;142(5 Suppl 1):S773.</w:t>
            </w:r>
          </w:p>
        </w:tc>
      </w:tr>
      <w:tr w:rsidR="00725611" w:rsidTr="009F2F0A">
        <w:tc>
          <w:tcPr>
            <w:tcW w:w="7087" w:type="dxa"/>
            <w:vMerge/>
          </w:tcPr>
          <w:p w:rsidR="00725611" w:rsidRDefault="00725611">
            <w:pPr>
              <w:rPr>
                <w:b/>
              </w:rPr>
            </w:pPr>
          </w:p>
        </w:tc>
        <w:tc>
          <w:tcPr>
            <w:tcW w:w="7087" w:type="dxa"/>
          </w:tcPr>
          <w:p w:rsidR="00725611" w:rsidRPr="001945F1" w:rsidRDefault="00725611">
            <w:pPr>
              <w:rPr>
                <w:rFonts w:cs="Arial"/>
                <w:noProof/>
              </w:rPr>
            </w:pPr>
            <w:r>
              <w:rPr>
                <w:rFonts w:cs="Arial"/>
                <w:noProof/>
              </w:rPr>
              <w:t>v</w:t>
            </w:r>
            <w:r w:rsidRPr="001945F1">
              <w:rPr>
                <w:rFonts w:cs="Arial"/>
                <w:noProof/>
              </w:rPr>
              <w:t xml:space="preserve">an Turenhout ST, Oort FA, Coupe VM, Van Der Hulst RW, Wesdorp EC, Larbi </w:t>
            </w:r>
            <w:r w:rsidRPr="001945F1">
              <w:rPr>
                <w:rFonts w:cs="Arial"/>
                <w:noProof/>
              </w:rPr>
              <w:lastRenderedPageBreak/>
              <w:t xml:space="preserve">IB, et al. Comparing three different strategies of double sampling by fecal immunochemical tests for detection of advanced colorectal neoplasm's. </w:t>
            </w:r>
            <w:r w:rsidRPr="001945F1">
              <w:rPr>
                <w:rFonts w:cs="Arial"/>
                <w:i/>
                <w:noProof/>
              </w:rPr>
              <w:t>Gastroenterology</w:t>
            </w:r>
            <w:r w:rsidRPr="001945F1">
              <w:rPr>
                <w:rFonts w:cs="Arial"/>
                <w:noProof/>
              </w:rPr>
              <w:t xml:space="preserve"> 2010;138(5 Suppl 1):S134.</w:t>
            </w:r>
          </w:p>
        </w:tc>
      </w:tr>
      <w:tr w:rsidR="00725611" w:rsidTr="00725611">
        <w:tc>
          <w:tcPr>
            <w:tcW w:w="14174" w:type="dxa"/>
            <w:gridSpan w:val="2"/>
            <w:shd w:val="clear" w:color="auto" w:fill="A6A6A6" w:themeFill="background1" w:themeFillShade="A6"/>
          </w:tcPr>
          <w:p w:rsidR="00725611" w:rsidRPr="00725611" w:rsidRDefault="00725611">
            <w:pPr>
              <w:rPr>
                <w:rFonts w:cs="Arial"/>
                <w:b/>
                <w:i/>
                <w:noProof/>
              </w:rPr>
            </w:pPr>
            <w:r>
              <w:rPr>
                <w:rFonts w:cs="Arial"/>
                <w:b/>
                <w:i/>
                <w:noProof/>
              </w:rPr>
              <w:lastRenderedPageBreak/>
              <w:t>HM-JACKarc</w:t>
            </w:r>
          </w:p>
        </w:tc>
      </w:tr>
      <w:tr w:rsidR="00725611" w:rsidTr="009F2F0A">
        <w:tc>
          <w:tcPr>
            <w:tcW w:w="7087" w:type="dxa"/>
          </w:tcPr>
          <w:p w:rsidR="00725611" w:rsidRPr="00725611" w:rsidRDefault="00725611">
            <w:r w:rsidRPr="001945F1">
              <w:rPr>
                <w:rFonts w:cs="Arial"/>
                <w:noProof/>
              </w:rPr>
              <w:t xml:space="preserve">Thomas CL, Tomkins C, Widlak M, Smith S, Arasaradnam R. Can immunochemical tests for faecal haemoglobin and faecal calprotectin be used to risk stratify patients for referral to colonoscopy for suspected colorectal cancer? </w:t>
            </w:r>
            <w:r w:rsidRPr="001945F1">
              <w:rPr>
                <w:rFonts w:cs="Arial"/>
                <w:i/>
                <w:noProof/>
              </w:rPr>
              <w:t>Ann Clin Biochem</w:t>
            </w:r>
            <w:r w:rsidRPr="001945F1">
              <w:rPr>
                <w:rFonts w:cs="Arial"/>
                <w:noProof/>
              </w:rPr>
              <w:t xml:space="preserve"> 2016;53(Suppl 1):38-9.</w:t>
            </w:r>
          </w:p>
        </w:tc>
        <w:tc>
          <w:tcPr>
            <w:tcW w:w="7087" w:type="dxa"/>
          </w:tcPr>
          <w:p w:rsidR="00725611" w:rsidRDefault="00725611">
            <w:pPr>
              <w:rPr>
                <w:rFonts w:cs="Arial"/>
                <w:noProof/>
              </w:rPr>
            </w:pPr>
            <w:r>
              <w:rPr>
                <w:rFonts w:cs="Arial"/>
                <w:noProof/>
              </w:rPr>
              <w:t>None</w:t>
            </w:r>
          </w:p>
        </w:tc>
      </w:tr>
      <w:tr w:rsidR="006A5497" w:rsidTr="009F2F0A">
        <w:tc>
          <w:tcPr>
            <w:tcW w:w="7087" w:type="dxa"/>
            <w:vMerge w:val="restart"/>
          </w:tcPr>
          <w:p w:rsidR="006A5497" w:rsidRDefault="006A5497">
            <w:pPr>
              <w:rPr>
                <w:b/>
              </w:rPr>
            </w:pPr>
            <w:r w:rsidRPr="001945F1">
              <w:rPr>
                <w:rFonts w:cs="Arial"/>
                <w:noProof/>
              </w:rPr>
              <w:t xml:space="preserve">Godber IM, Todd LM, Fraser CG, MacDonald LR, Younes HB. Use of a faecal immunochemical test for haemoglobin can aid in the investigation of patients with lower abdominal symptoms. </w:t>
            </w:r>
            <w:r w:rsidRPr="001945F1">
              <w:rPr>
                <w:rFonts w:cs="Arial"/>
                <w:i/>
                <w:noProof/>
              </w:rPr>
              <w:t>Clin Chem Lab Med</w:t>
            </w:r>
            <w:r w:rsidRPr="001945F1">
              <w:rPr>
                <w:rFonts w:cs="Arial"/>
                <w:noProof/>
              </w:rPr>
              <w:t xml:space="preserve"> 2016;54(4):595-602.</w:t>
            </w:r>
          </w:p>
        </w:tc>
        <w:tc>
          <w:tcPr>
            <w:tcW w:w="7087" w:type="dxa"/>
          </w:tcPr>
          <w:p w:rsidR="006A5497" w:rsidRDefault="006A5497">
            <w:pPr>
              <w:rPr>
                <w:rFonts w:cs="Arial"/>
                <w:noProof/>
              </w:rPr>
            </w:pPr>
            <w:r w:rsidRPr="001945F1">
              <w:rPr>
                <w:rFonts w:cs="Arial"/>
                <w:noProof/>
              </w:rPr>
              <w:t xml:space="preserve">Macdonald LR, Smith L, Godber IM, Todd LM, Fraser CG, Downey M, et al. Faecal immunochemical testing for haemoglobin in symptomatic patients can help decide need for colonoscopy. </w:t>
            </w:r>
            <w:r w:rsidRPr="001945F1">
              <w:rPr>
                <w:rFonts w:cs="Arial"/>
                <w:i/>
                <w:noProof/>
              </w:rPr>
              <w:t>Gut</w:t>
            </w:r>
            <w:r w:rsidRPr="001945F1">
              <w:rPr>
                <w:rFonts w:cs="Arial"/>
                <w:noProof/>
              </w:rPr>
              <w:t xml:space="preserve"> 2015;64:A49.</w:t>
            </w:r>
          </w:p>
        </w:tc>
      </w:tr>
      <w:tr w:rsidR="006A5497" w:rsidTr="009F2F0A">
        <w:tc>
          <w:tcPr>
            <w:tcW w:w="7087" w:type="dxa"/>
            <w:vMerge/>
          </w:tcPr>
          <w:p w:rsidR="006A5497" w:rsidRPr="001945F1" w:rsidRDefault="006A5497">
            <w:pPr>
              <w:rPr>
                <w:rFonts w:cs="Arial"/>
                <w:noProof/>
              </w:rPr>
            </w:pPr>
          </w:p>
        </w:tc>
        <w:tc>
          <w:tcPr>
            <w:tcW w:w="7087" w:type="dxa"/>
          </w:tcPr>
          <w:p w:rsidR="006A5497" w:rsidRDefault="006A5497">
            <w:pPr>
              <w:rPr>
                <w:rFonts w:cs="Arial"/>
                <w:noProof/>
              </w:rPr>
            </w:pPr>
            <w:r w:rsidRPr="001945F1">
              <w:rPr>
                <w:rFonts w:cs="Arial"/>
                <w:noProof/>
              </w:rPr>
              <w:t xml:space="preserve">Godber IM, Todd LM, Fraser CG, Robertson C, Smith L, McDonald L, et al. Can an automated faecal immunochemical test (FIT) determine whether faecal haemoglobin (f-Hb) concentrations can aid in stratifying symptomatic patients referred for colonoscopy. </w:t>
            </w:r>
            <w:r w:rsidRPr="001945F1">
              <w:rPr>
                <w:rFonts w:cs="Arial"/>
                <w:i/>
                <w:noProof/>
              </w:rPr>
              <w:t>Clin Chem Lab Med</w:t>
            </w:r>
            <w:r w:rsidRPr="001945F1">
              <w:rPr>
                <w:rFonts w:cs="Arial"/>
                <w:noProof/>
              </w:rPr>
              <w:t xml:space="preserve"> 2014;52(11):eA268.</w:t>
            </w:r>
          </w:p>
        </w:tc>
      </w:tr>
      <w:tr w:rsidR="006A5497" w:rsidTr="009F2F0A">
        <w:tc>
          <w:tcPr>
            <w:tcW w:w="7087" w:type="dxa"/>
            <w:vMerge w:val="restart"/>
          </w:tcPr>
          <w:p w:rsidR="006A5497" w:rsidRPr="001945F1" w:rsidRDefault="006A5497">
            <w:pPr>
              <w:rPr>
                <w:rFonts w:cs="Arial"/>
                <w:noProof/>
              </w:rPr>
            </w:pPr>
            <w:r w:rsidRPr="001945F1">
              <w:rPr>
                <w:rFonts w:cs="Arial"/>
                <w:noProof/>
              </w:rPr>
              <w:t xml:space="preserve">Auge JM, Fraser CG, Rodriguez C, Roset A, Lopez-Ceron M, Grau J, et al. Clinical utility of one versus two faecal immunochemical test samples in the detection of advanced colorectal neoplasia in symptomatic patients. </w:t>
            </w:r>
            <w:r w:rsidRPr="001945F1">
              <w:rPr>
                <w:rFonts w:cs="Arial"/>
                <w:i/>
                <w:noProof/>
              </w:rPr>
              <w:t>Clin Chem Lab Med</w:t>
            </w:r>
            <w:r>
              <w:rPr>
                <w:rFonts w:cs="Arial"/>
                <w:noProof/>
              </w:rPr>
              <w:t xml:space="preserve"> 2016;54(1):125-32.</w:t>
            </w:r>
          </w:p>
        </w:tc>
        <w:tc>
          <w:tcPr>
            <w:tcW w:w="7087" w:type="dxa"/>
          </w:tcPr>
          <w:p w:rsidR="006A5497" w:rsidRDefault="006A5497">
            <w:pPr>
              <w:rPr>
                <w:rFonts w:cs="Arial"/>
                <w:noProof/>
              </w:rPr>
            </w:pPr>
            <w:r w:rsidRPr="001945F1">
              <w:rPr>
                <w:rFonts w:cs="Arial"/>
                <w:noProof/>
              </w:rPr>
              <w:t xml:space="preserve">Auge Fradera JM, Roset A, Escudero JM, Foj L, Filella X, Molina R. Clinical utility of HM JACKarc for the detection of colorectal cancer and high-risk adenomas. </w:t>
            </w:r>
            <w:r w:rsidRPr="001945F1">
              <w:rPr>
                <w:rFonts w:cs="Arial"/>
                <w:i/>
                <w:noProof/>
              </w:rPr>
              <w:t>Tumor Biol</w:t>
            </w:r>
            <w:r w:rsidRPr="001945F1">
              <w:rPr>
                <w:rFonts w:cs="Arial"/>
                <w:noProof/>
              </w:rPr>
              <w:t xml:space="preserve"> 2014;35:S15.</w:t>
            </w:r>
          </w:p>
        </w:tc>
      </w:tr>
      <w:tr w:rsidR="006A5497" w:rsidTr="009F2F0A">
        <w:tc>
          <w:tcPr>
            <w:tcW w:w="7087" w:type="dxa"/>
            <w:vMerge/>
          </w:tcPr>
          <w:p w:rsidR="006A5497" w:rsidRPr="001945F1" w:rsidRDefault="006A5497">
            <w:pPr>
              <w:rPr>
                <w:rFonts w:cs="Arial"/>
                <w:noProof/>
              </w:rPr>
            </w:pPr>
          </w:p>
        </w:tc>
        <w:tc>
          <w:tcPr>
            <w:tcW w:w="7087" w:type="dxa"/>
          </w:tcPr>
          <w:p w:rsidR="006A5497" w:rsidRDefault="006A5497">
            <w:pPr>
              <w:rPr>
                <w:rFonts w:cs="Arial"/>
                <w:noProof/>
              </w:rPr>
            </w:pPr>
            <w:r w:rsidRPr="001945F1">
              <w:rPr>
                <w:rFonts w:cs="Arial"/>
                <w:noProof/>
              </w:rPr>
              <w:t>Auge Fradera JM. The performance of FIT to triage symptomatic patients (Clinical evaluation of "HM-JACKarc" analyser) [Presentation]. Barcelona: Hospital Clinic - Barcelona. Biomedical Diagnostic Center, Biochemistry and Molecular Genetics Department, 2015.</w:t>
            </w:r>
          </w:p>
        </w:tc>
      </w:tr>
      <w:tr w:rsidR="006A5497" w:rsidTr="006A5497">
        <w:tc>
          <w:tcPr>
            <w:tcW w:w="14174" w:type="dxa"/>
            <w:gridSpan w:val="2"/>
            <w:shd w:val="clear" w:color="auto" w:fill="A6A6A6" w:themeFill="background1" w:themeFillShade="A6"/>
          </w:tcPr>
          <w:p w:rsidR="006A5497" w:rsidRPr="006A5497" w:rsidRDefault="006A5497">
            <w:pPr>
              <w:rPr>
                <w:rFonts w:cs="Arial"/>
                <w:b/>
                <w:noProof/>
              </w:rPr>
            </w:pPr>
            <w:r>
              <w:rPr>
                <w:rFonts w:cs="Arial"/>
                <w:b/>
                <w:i/>
                <w:noProof/>
              </w:rPr>
              <w:t>FOB Gold</w:t>
            </w:r>
          </w:p>
        </w:tc>
      </w:tr>
      <w:tr w:rsidR="006A5497" w:rsidTr="009F2F0A">
        <w:tc>
          <w:tcPr>
            <w:tcW w:w="7087" w:type="dxa"/>
          </w:tcPr>
          <w:p w:rsidR="006A5497" w:rsidRPr="001945F1" w:rsidRDefault="006A5497">
            <w:pPr>
              <w:rPr>
                <w:rFonts w:cs="Arial"/>
                <w:noProof/>
              </w:rPr>
            </w:pPr>
            <w:r w:rsidRPr="001945F1">
              <w:rPr>
                <w:rFonts w:cs="Arial"/>
                <w:noProof/>
              </w:rPr>
              <w:t xml:space="preserve">Krivec S, Konda G, Sibli R, Marc J. Assessment of the diagnostic applicability of quantitative immunochemical faecal occult blood tests. </w:t>
            </w:r>
            <w:r w:rsidRPr="001945F1">
              <w:rPr>
                <w:rFonts w:cs="Arial"/>
                <w:i/>
                <w:noProof/>
              </w:rPr>
              <w:t>Clin Chem Lab Med</w:t>
            </w:r>
            <w:r w:rsidRPr="001945F1">
              <w:rPr>
                <w:rFonts w:cs="Arial"/>
                <w:noProof/>
              </w:rPr>
              <w:t xml:space="preserve"> 2011;49:S587.</w:t>
            </w:r>
          </w:p>
        </w:tc>
        <w:tc>
          <w:tcPr>
            <w:tcW w:w="7087" w:type="dxa"/>
          </w:tcPr>
          <w:p w:rsidR="006A5497" w:rsidRDefault="006A5497">
            <w:pPr>
              <w:rPr>
                <w:rFonts w:cs="Arial"/>
                <w:noProof/>
              </w:rPr>
            </w:pPr>
            <w:r>
              <w:rPr>
                <w:rFonts w:cs="Arial"/>
                <w:noProof/>
              </w:rPr>
              <w:t>None</w:t>
            </w:r>
          </w:p>
        </w:tc>
      </w:tr>
    </w:tbl>
    <w:p w:rsidR="009F2F0A" w:rsidRDefault="009F2F0A">
      <w:pPr>
        <w:rPr>
          <w:b/>
        </w:rPr>
      </w:pPr>
    </w:p>
    <w:p w:rsidR="00725611" w:rsidRDefault="00725611">
      <w:pPr>
        <w:rPr>
          <w:b/>
        </w:rPr>
      </w:pPr>
    </w:p>
    <w:p w:rsidR="00725611" w:rsidRPr="00725611" w:rsidRDefault="00121E0D" w:rsidP="00725611">
      <w:pPr>
        <w:spacing w:line="240" w:lineRule="auto"/>
        <w:rPr>
          <w:rFonts w:ascii="Calibri" w:hAnsi="Calibri" w:cs="Calibri"/>
          <w:b/>
          <w:noProof/>
        </w:rPr>
      </w:pPr>
      <w:r>
        <w:rPr>
          <w:b/>
        </w:rPr>
        <w:fldChar w:fldCharType="begin"/>
      </w:r>
      <w:r w:rsidR="00725611">
        <w:rPr>
          <w:b/>
        </w:rPr>
        <w:instrText xml:space="preserve"> ADDIN EN.REFLIST </w:instrText>
      </w:r>
      <w:r>
        <w:rPr>
          <w:b/>
        </w:rPr>
        <w:fldChar w:fldCharType="separate"/>
      </w:r>
    </w:p>
    <w:p w:rsidR="00725611" w:rsidRDefault="00725611" w:rsidP="00725611">
      <w:pPr>
        <w:spacing w:line="240" w:lineRule="auto"/>
        <w:rPr>
          <w:b/>
          <w:noProof/>
        </w:rPr>
      </w:pPr>
    </w:p>
    <w:p w:rsidR="00725611" w:rsidRPr="001B7DA1" w:rsidRDefault="00121E0D">
      <w:pPr>
        <w:rPr>
          <w:b/>
        </w:rPr>
      </w:pPr>
      <w:r>
        <w:rPr>
          <w:b/>
        </w:rPr>
        <w:fldChar w:fldCharType="end"/>
      </w:r>
    </w:p>
    <w:sectPr w:rsidR="00725611" w:rsidRPr="001B7DA1" w:rsidSect="009F2F0A">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rebuchetM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15F6E14A"/>
    <w:name w:val="WW8Num5"/>
    <w:lvl w:ilvl="0">
      <w:start w:val="1"/>
      <w:numFmt w:val="decimal"/>
      <w:lvlText w:val="%1."/>
      <w:lvlJc w:val="left"/>
      <w:pPr>
        <w:tabs>
          <w:tab w:val="num" w:pos="360"/>
        </w:tabs>
        <w:ind w:left="360" w:hanging="360"/>
      </w:pPr>
      <w:rPr>
        <w:rFonts w:ascii="Arial" w:eastAsia="TrebuchetMS" w:hAnsi="Arial" w:cs="Arial"/>
        <w:b/>
        <w:bCs/>
        <w:caps/>
        <w:szCs w:val="14"/>
        <w:lang w:val="es-ES" w:eastAsia="zh-TW"/>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EN.Layout" w:val="&lt;ENLayout&gt;&lt;Style&gt;Vancouver_N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09dw9et8sfxe4ev094vsttywzet9p5aaxv2&quot;&gt;NICE Faecal tests_Main45&lt;record-ids&gt;&lt;item&gt;24257&lt;/item&gt;&lt;/record-ids&gt;&lt;/item&gt;&lt;/Libraries&gt;"/>
    <w:docVar w:name="Total_Editing_Time" w:val="20"/>
  </w:docVars>
  <w:rsids>
    <w:rsidRoot w:val="001B7DA1"/>
    <w:rsid w:val="00121E0D"/>
    <w:rsid w:val="001B7DA1"/>
    <w:rsid w:val="00236959"/>
    <w:rsid w:val="00695F05"/>
    <w:rsid w:val="006A5497"/>
    <w:rsid w:val="00725611"/>
    <w:rsid w:val="007A4CA8"/>
    <w:rsid w:val="00917386"/>
    <w:rsid w:val="009F2F0A"/>
    <w:rsid w:val="00E01E3E"/>
    <w:rsid w:val="00F178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2F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2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F0A"/>
    <w:rPr>
      <w:rFonts w:ascii="Tahoma" w:hAnsi="Tahoma" w:cs="Tahoma"/>
      <w:sz w:val="16"/>
      <w:szCs w:val="16"/>
    </w:rPr>
  </w:style>
  <w:style w:type="character" w:styleId="Hyperlink">
    <w:name w:val="Hyperlink"/>
    <w:basedOn w:val="DefaultParagraphFont"/>
    <w:uiPriority w:val="99"/>
    <w:unhideWhenUsed/>
    <w:rsid w:val="007256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2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2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F0A"/>
    <w:rPr>
      <w:rFonts w:ascii="Tahoma" w:hAnsi="Tahoma" w:cs="Tahoma"/>
      <w:sz w:val="16"/>
      <w:szCs w:val="16"/>
    </w:rPr>
  </w:style>
  <w:style w:type="character" w:styleId="Hyperlink">
    <w:name w:val="Hyperlink"/>
    <w:basedOn w:val="DefaultParagraphFont"/>
    <w:uiPriority w:val="99"/>
    <w:unhideWhenUsed/>
    <w:rsid w:val="00725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1286</Words>
  <Characters>5675</Characters>
  <Application>Microsoft Office Word</Application>
  <DocSecurity>0</DocSecurity>
  <Lines>945</Lines>
  <Paragraphs>773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LACOSTA</cp:lastModifiedBy>
  <cp:revision>5</cp:revision>
  <dcterms:created xsi:type="dcterms:W3CDTF">2016-11-17T14:01:00Z</dcterms:created>
  <dcterms:modified xsi:type="dcterms:W3CDTF">2017-10-03T01:16:00Z</dcterms:modified>
</cp:coreProperties>
</file>