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3BA" w:rsidRPr="00916285" w:rsidRDefault="00BE03BA" w:rsidP="00BE03BA">
      <w:pPr>
        <w:pStyle w:val="Heading1"/>
        <w:spacing w:before="0" w:line="276" w:lineRule="auto"/>
        <w:rPr>
          <w:rFonts w:asciiTheme="minorHAnsi" w:hAnsiTheme="minorHAnsi"/>
        </w:rPr>
      </w:pPr>
      <w:bookmarkStart w:id="0" w:name="Method"/>
      <w:r>
        <w:rPr>
          <w:rFonts w:asciiTheme="minorHAnsi" w:hAnsiTheme="minorHAnsi"/>
        </w:rPr>
        <w:t>Online appendix 1</w:t>
      </w:r>
      <w:r w:rsidR="00A52730">
        <w:rPr>
          <w:rFonts w:asciiTheme="minorHAnsi" w:hAnsiTheme="minorHAnsi"/>
        </w:rPr>
        <w:t>: details on methods and additional analyses</w:t>
      </w:r>
    </w:p>
    <w:p w:rsidR="00BE03BA" w:rsidRDefault="00BE03BA" w:rsidP="003410FF">
      <w:pPr>
        <w:pStyle w:val="Heading1"/>
        <w:spacing w:before="0" w:line="276" w:lineRule="auto"/>
        <w:rPr>
          <w:rFonts w:asciiTheme="minorHAnsi" w:hAnsiTheme="minorHAnsi"/>
        </w:rPr>
      </w:pPr>
    </w:p>
    <w:bookmarkEnd w:id="0"/>
    <w:p w:rsidR="003410FF" w:rsidRPr="00916285" w:rsidRDefault="003C3B84" w:rsidP="003410FF">
      <w:pPr>
        <w:pStyle w:val="Heading1"/>
        <w:spacing w:before="0" w:line="276" w:lineRule="auto"/>
        <w:rPr>
          <w:rFonts w:asciiTheme="minorHAnsi" w:hAnsiTheme="minorHAnsi"/>
        </w:rPr>
      </w:pPr>
      <w:r>
        <w:rPr>
          <w:rFonts w:asciiTheme="minorHAnsi" w:hAnsiTheme="minorHAnsi"/>
        </w:rPr>
        <w:t>Data collection</w:t>
      </w:r>
    </w:p>
    <w:p w:rsidR="003410FF" w:rsidRPr="00916285" w:rsidRDefault="003410FF" w:rsidP="003410FF">
      <w:pPr>
        <w:pStyle w:val="Heading2"/>
        <w:spacing w:before="0" w:line="276" w:lineRule="auto"/>
        <w:rPr>
          <w:rFonts w:asciiTheme="minorHAnsi" w:hAnsiTheme="minorHAnsi"/>
        </w:rPr>
      </w:pPr>
    </w:p>
    <w:p w:rsidR="003410FF" w:rsidRPr="00916285" w:rsidRDefault="003410FF" w:rsidP="003410FF">
      <w:pPr>
        <w:pStyle w:val="Heading2"/>
        <w:spacing w:before="0" w:line="276" w:lineRule="auto"/>
        <w:rPr>
          <w:rFonts w:asciiTheme="minorHAnsi" w:hAnsiTheme="minorHAnsi"/>
        </w:rPr>
      </w:pPr>
      <w:r w:rsidRPr="00916285">
        <w:rPr>
          <w:rFonts w:asciiTheme="minorHAnsi" w:hAnsiTheme="minorHAnsi"/>
        </w:rPr>
        <w:t>English Indices of Deprivation</w:t>
      </w:r>
    </w:p>
    <w:p w:rsidR="003410FF" w:rsidRPr="00916285" w:rsidRDefault="003410FF" w:rsidP="003410FF">
      <w:pPr>
        <w:pStyle w:val="NoSpacing"/>
        <w:spacing w:line="276" w:lineRule="auto"/>
        <w:ind w:firstLine="284"/>
        <w:jc w:val="both"/>
        <w:rPr>
          <w:rFonts w:asciiTheme="minorHAnsi" w:hAnsiTheme="minorHAnsi"/>
          <w:lang w:val="en-GB"/>
        </w:rPr>
      </w:pPr>
      <w:bookmarkStart w:id="1" w:name="Clinical_computing_systems"/>
      <w:r w:rsidRPr="00916285">
        <w:rPr>
          <w:rFonts w:asciiTheme="minorHAnsi" w:hAnsiTheme="minorHAnsi"/>
          <w:lang w:val="en-GB"/>
        </w:rPr>
        <w:t>In England, the most complete and widely used approach to quantify deprivation and affluence is through the English Indices of Deprivation and their aggregate score the Index of Multiple Deprivation (IMD), with the latest available update released in 2015.</w:t>
      </w:r>
      <w:r w:rsidRPr="00916285">
        <w:rPr>
          <w:rFonts w:asciiTheme="minorHAnsi" w:hAnsiTheme="minorHAnsi"/>
        </w:rPr>
        <w:fldChar w:fldCharType="begin"/>
      </w:r>
      <w:r w:rsidR="00916285" w:rsidRPr="00916285">
        <w:rPr>
          <w:rFonts w:asciiTheme="minorHAnsi" w:hAnsiTheme="minorHAnsi"/>
        </w:rPr>
        <w:instrText xml:space="preserve"> ADDIN EN.CITE &lt;EndNote&gt;&lt;Cite&gt;&lt;RecNum&gt;1&lt;/RecNum&gt;&lt;DisplayText&gt;&lt;style face="superscript"&gt;1&lt;/style&gt;&lt;/DisplayText&gt;&lt;record&gt;&lt;rec-number&gt;1&lt;/rec-number&gt;&lt;foreign-keys&gt;&lt;key app="EN" db-id="avwff925sdxd9me05vrxt2sjvf0eaes5f9w0" timestamp="1475071451"&gt;1&lt;/key&gt;&lt;/foreign-keys&gt;&lt;ref-type name="Report"&gt;27&lt;/ref-type&gt;&lt;contributors&gt;&lt;authors&gt;&lt;author&gt;Communities and Local Government,&lt;/author&gt;&lt;/authors&gt;&lt;tertiary-authors&gt;&lt;author&gt;Department for Communities and Local Government&lt;/author&gt;&lt;/tertiary-authors&gt;&lt;/contributors&gt;&lt;titles&gt;&lt;title&gt;The English Indices of Deprivation 2015: Technical Report&lt;/title&gt;&lt;/titles&gt;&lt;dates&gt;&lt;year&gt;2015&lt;/year&gt;&lt;/dates&gt;&lt;publisher&gt;Department for Communities and Local Government&lt;/publisher&gt;&lt;urls&gt;&lt;related-urls&gt;&lt;url&gt;https://www.gov.uk/government/publications/english-indices-of-deprivation-2015-technical-report&lt;/url&gt;&lt;/related-urls&gt;&lt;/urls&gt;&lt;/record&gt;&lt;/Cite&gt;&lt;/EndNote&gt;</w:instrText>
      </w:r>
      <w:r w:rsidRPr="00916285">
        <w:rPr>
          <w:rFonts w:asciiTheme="minorHAnsi" w:hAnsiTheme="minorHAnsi"/>
        </w:rPr>
        <w:fldChar w:fldCharType="separate"/>
      </w:r>
      <w:r w:rsidR="00916285" w:rsidRPr="00916285">
        <w:rPr>
          <w:rFonts w:asciiTheme="minorHAnsi" w:hAnsiTheme="minorHAnsi"/>
          <w:noProof/>
          <w:vertAlign w:val="superscript"/>
        </w:rPr>
        <w:t>1</w:t>
      </w:r>
      <w:r w:rsidRPr="00916285">
        <w:rPr>
          <w:rFonts w:asciiTheme="minorHAnsi" w:hAnsiTheme="minorHAnsi"/>
        </w:rPr>
        <w:fldChar w:fldCharType="end"/>
      </w:r>
      <w:r w:rsidRPr="00916285">
        <w:rPr>
          <w:rFonts w:asciiTheme="minorHAnsi" w:hAnsiTheme="minorHAnsi"/>
          <w:lang w:val="en-GB"/>
        </w:rPr>
        <w:t xml:space="preserve"> The measure quantifies relative deprivation across seven domains: income, employment, education and skills, health and disability, crime, barriers to housing and services, and living environment. Deprivation scores are calculated and assigned to very low UK geographical units. The overall IMD is calculated as a weighted mean across the seven domains, with income and employment deprivation given the largest weight (22.5% each), followed by health and education deprivation (13.5% each), and with the other three domains given equal weights (9.3%).</w:t>
      </w:r>
    </w:p>
    <w:p w:rsidR="003410FF" w:rsidRPr="00916285" w:rsidRDefault="003410FF" w:rsidP="003410FF">
      <w:pPr>
        <w:pStyle w:val="Heading2"/>
        <w:spacing w:before="0" w:line="276" w:lineRule="auto"/>
        <w:rPr>
          <w:rFonts w:asciiTheme="minorHAnsi" w:hAnsiTheme="minorHAnsi"/>
        </w:rPr>
      </w:pPr>
    </w:p>
    <w:p w:rsidR="003410FF" w:rsidRPr="00916285" w:rsidRDefault="003410FF" w:rsidP="003410FF">
      <w:pPr>
        <w:pStyle w:val="Heading2"/>
        <w:spacing w:before="0" w:line="276" w:lineRule="auto"/>
        <w:rPr>
          <w:rFonts w:asciiTheme="minorHAnsi" w:hAnsiTheme="minorHAnsi"/>
        </w:rPr>
      </w:pPr>
      <w:r w:rsidRPr="00916285">
        <w:rPr>
          <w:rFonts w:asciiTheme="minorHAnsi" w:hAnsiTheme="minorHAnsi"/>
        </w:rPr>
        <w:t>Lower Super Output Areas</w:t>
      </w:r>
    </w:p>
    <w:p w:rsidR="003410FF" w:rsidRPr="00916285" w:rsidRDefault="003410FF" w:rsidP="003410FF">
      <w:pPr>
        <w:pStyle w:val="NoSpacing"/>
        <w:spacing w:line="276" w:lineRule="auto"/>
        <w:ind w:firstLine="284"/>
        <w:jc w:val="both"/>
        <w:rPr>
          <w:rFonts w:asciiTheme="minorHAnsi" w:hAnsiTheme="minorHAnsi"/>
          <w:lang w:val="en-GB"/>
        </w:rPr>
      </w:pPr>
      <w:r w:rsidRPr="00916285">
        <w:rPr>
          <w:rFonts w:asciiTheme="minorHAnsi" w:hAnsiTheme="minorHAnsi"/>
          <w:lang w:val="en-GB"/>
        </w:rPr>
        <w:t>The low geographical units to which the indices of deprivation are assigned are called lower super output areas (LSOAs) and they are designed to contain around 1500 inhabitants, on average. Following the 2011 census, there were 32,844 English LSOAs.</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&lt;EndNote&gt;&lt;Cite&gt;&lt;RecNum&gt;2&lt;/RecNum&gt;&lt;DisplayText&gt;&lt;style face="superscript"&gt;2&lt;/style&gt;&lt;/DisplayText&gt;&lt;record&gt;&lt;rec-number&gt;2&lt;/rec-number&gt;&lt;foreign-keys&gt;&lt;key app="EN" db-id="avwff925sdxd9me05vrxt2sjvf0eaes5f9w0" timestamp="1475071451"&gt;2&lt;/key&gt;&lt;/foreign-keys&gt;&lt;ref-type name="Report"&gt;27&lt;/ref-type&gt;&lt;contributors&gt;&lt;authors&gt;&lt;author&gt;Office for National Statistics,&lt;/author&gt;&lt;/authors&gt;&lt;tertiary-authors&gt;&lt;author&gt;ONS&lt;/author&gt;&lt;/tertiary-authors&gt;&lt;/contributors&gt;&lt;titles&gt;&lt;title&gt;Changes to Output Areas and Super Output Areas in England and Wales, 2001 to 2011&lt;/title&gt;&lt;/titles&gt;&lt;pages&gt;13&lt;/pages&gt;&lt;dates&gt;&lt;year&gt;2012&lt;/year&gt;&lt;/dates&gt;&lt;urls&gt;&lt;related-urls&gt;&lt;url&gt;http://www.ons.gov.uk/ons/guide-method/geography/products/census/report--changes-to-output-areas-and-super-output-areas-in-england-and-wales--2001-to-2011.pdf&lt;/url&gt;&lt;/related-urls&gt;&lt;/urls&gt;&lt;language&gt;Eng&lt;/language&gt;&lt;access-date&gt;2014&lt;/access-date&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2</w:t>
      </w:r>
      <w:r w:rsidRPr="00916285">
        <w:rPr>
          <w:rFonts w:asciiTheme="minorHAnsi" w:hAnsiTheme="minorHAnsi"/>
          <w:lang w:val="en-GB"/>
        </w:rPr>
        <w:fldChar w:fldCharType="end"/>
      </w:r>
      <w:r w:rsidRPr="00916285">
        <w:rPr>
          <w:rFonts w:asciiTheme="minorHAnsi" w:hAnsiTheme="minorHAnsi"/>
          <w:lang w:val="en-GB"/>
        </w:rPr>
        <w:t xml:space="preserve"> Ethnicity information was collected through the census.</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&lt;EndNote&gt;&lt;Cite&gt;&lt;RecNum&gt;22&lt;/RecNum&gt;&lt;DisplayText&gt;&lt;style face="superscript"&gt;3&lt;/style&gt;&lt;/DisplayText&gt;&lt;record&gt;&lt;rec-number&gt;22&lt;/rec-number&gt;&lt;foreign-keys&gt;&lt;key app="EN" db-id="avwff925sdxd9me05vrxt2sjvf0eaes5f9w0" timestamp="1484585184"&gt;22&lt;/key&gt;&lt;/foreign-keys&gt;&lt;ref-type name="Web Page"&gt;12&lt;/ref-type&gt;&lt;contributors&gt;&lt;authors&gt;&lt;author&gt;Office of National Statistics,&lt;/author&gt;&lt;/authors&gt;&lt;/contributors&gt;&lt;titles&gt;&lt;title&gt;Census 2011 Table Links&lt;/title&gt;&lt;/titles&gt;&lt;dates&gt;&lt;year&gt;2017&lt;/year&gt;&lt;/dates&gt;&lt;publisher&gt;ONS&lt;/publisher&gt;&lt;urls&gt;&lt;related-urls&gt;&lt;url&gt;https://www.nomisweb.co.uk/census/2011/quick_statistics&lt;/url&gt;&lt;/related-urls&gt;&lt;/urls&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3</w:t>
      </w:r>
      <w:r w:rsidRPr="00916285">
        <w:rPr>
          <w:rFonts w:asciiTheme="minorHAnsi" w:hAnsiTheme="minorHAnsi"/>
          <w:lang w:val="en-GB"/>
        </w:rPr>
        <w:fldChar w:fldCharType="end"/>
      </w:r>
      <w:r w:rsidRPr="00916285">
        <w:rPr>
          <w:rFonts w:asciiTheme="minorHAnsi" w:hAnsiTheme="minorHAnsi"/>
          <w:lang w:val="en-GB"/>
        </w:rPr>
        <w:t xml:space="preserve"> Urbanity information was also updated following the census,</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&lt;EndNote&gt;&lt;Cite&gt;&lt;RecNum&gt;24&lt;/RecNum&gt;&lt;DisplayText&gt;&lt;style face="superscript"&gt;4&lt;/style&gt;&lt;/DisplayText&gt;&lt;record&gt;&lt;rec-number&gt;24&lt;/rec-number&gt;&lt;foreign-keys&gt;&lt;key app="EN" db-id="avwff925sdxd9me05vrxt2sjvf0eaes5f9w0" timestamp="1491381705"&gt;24&lt;/key&gt;&lt;key app="ENWeb" db-id=""&gt;0&lt;/key&gt;&lt;/foreign-keys&gt;&lt;ref-type name="Journal Article"&gt;17&lt;/ref-type&gt;&lt;contributors&gt;&lt;authors&gt;&lt;author&gt;Bibby, PR&lt;/author&gt;&lt;author&gt;Brindley, PG&lt;/author&gt;&lt;/authors&gt;&lt;/contributors&gt;&lt;titles&gt;&lt;title&gt;Urban and rural area definitions for policy purposes in England and Wales: Methodology&lt;/title&gt;&lt;secondary-title&gt;Government Statistical Service, London&lt;/secondary-title&gt;&lt;/titles&gt;&lt;periodical&gt;&lt;full-title&gt;Government Statistical Service, London&lt;/full-title&gt;&lt;/periodical&gt;&lt;dates&gt;&lt;year&gt;2013&lt;/year&gt;&lt;/dates&gt;&lt;urls&gt;&lt;/urls&gt;&lt;/record&gt;&lt;/Cite&gt;&lt;/EndNote&gt;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4</w:t>
      </w:r>
      <w:r w:rsidRPr="00916285">
        <w:rPr>
          <w:rFonts w:asciiTheme="minorHAnsi" w:hAnsiTheme="minorHAnsi"/>
          <w:lang w:val="en-GB"/>
        </w:rPr>
        <w:fldChar w:fldCharType="end"/>
      </w:r>
      <w:r w:rsidRPr="00916285">
        <w:rPr>
          <w:rFonts w:asciiTheme="minorHAnsi" w:hAnsiTheme="minorHAnsi"/>
          <w:lang w:val="en-GB"/>
        </w:rPr>
        <w:t xml:space="preserve">  and we used a rural vs urban dichotomy for simplicity, with settlements with 10,000 people or more defined as urban. Census-adjusted population estimates over time, by age groups and sex and for each English LSOA, were obtained from the Office of National Statistics.</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ExcludeYear="1"&gt;&lt;Author&gt;Office for National Statistics&lt;/Author&gt;&lt;RecNum&gt;4&lt;/RecNum&gt;&lt;DisplayText&gt;&lt;style face="superscript"&gt;5&lt;/style&gt;&lt;/DisplayText&gt;&lt;record&gt;&lt;rec-number&gt;4&lt;/rec-number&gt;&lt;foreign-keys&gt;&lt;key app="EN" db-id="avwff925sdxd9me05vrxt2sjvf0eaes5f9w0" timestamp="1475071452"&gt;4&lt;/key&gt;&lt;/foreign-keys&gt;&lt;ref-type name="Web Page"&gt;12&lt;/ref-type&gt;&lt;contributors&gt;&lt;authors&gt;&lt;author&gt;Office for National Statistics,&lt;/author&gt;&lt;/authors&gt;&lt;/contributors&gt;&lt;titles&gt;&lt;title&gt;Super Output Area mid-year population estimates for England and Wales, Mid-2011 (Census Based)&lt;/title&gt;&lt;/titles&gt;&lt;volume&gt;2016&lt;/volume&gt;&lt;dates&gt;&lt;/dates&gt;&lt;urls&gt;&lt;related-urls&gt;&lt;url&gt;http://www.ons.gov.uk/ons/publications/re-reference-tables.html?edition=tcm%3A77-285629&lt;/url&gt;&lt;/related-urls&gt;&lt;/urls&gt;&lt;language&gt;Eng&lt;/language&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5</w:t>
      </w:r>
      <w:r w:rsidRPr="00916285">
        <w:rPr>
          <w:rFonts w:asciiTheme="minorHAnsi" w:hAnsiTheme="minorHAnsi"/>
          <w:lang w:val="en-GB"/>
        </w:rPr>
        <w:fldChar w:fldCharType="end"/>
      </w:r>
      <w:r w:rsidRPr="00916285">
        <w:rPr>
          <w:rFonts w:asciiTheme="minorHAnsi" w:hAnsiTheme="minorHAnsi"/>
          <w:lang w:val="en-GB"/>
        </w:rPr>
        <w:t xml:space="preserve"> Spatial coordinates for the 2011 LSOAs were obtained from the ONS open geography portal.</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ExcludeYear="1"&gt;&lt;Author&gt;Office for National Statistics&lt;/Author&gt;&lt;RecNum&gt;7&lt;/RecNum&gt;&lt;DisplayText&gt;&lt;style face="superscript"&gt;6&lt;/style&gt;&lt;/DisplayText&gt;&lt;record&gt;&lt;rec-number&gt;7&lt;/rec-number&gt;&lt;foreign-keys&gt;&lt;key app="EN" db-id="avwff925sdxd9me05vrxt2sjvf0eaes5f9w0" timestamp="1475071452"&gt;7&lt;/key&gt;&lt;/foreign-keys&gt;&lt;ref-type name="Web Page"&gt;12&lt;/ref-type&gt;&lt;contributors&gt;&lt;authors&gt;&lt;author&gt;Office for National Statistics,&lt;/author&gt;&lt;/authors&gt;&lt;/contributors&gt;&lt;titles&gt;&lt;title&gt;Open Geography Portal&lt;/title&gt;&lt;/titles&gt;&lt;volume&gt;2016&lt;/volume&gt;&lt;dates&gt;&lt;/dates&gt;&lt;urls&gt;&lt;related-urls&gt;&lt;url&gt;http://geoportal.statistics.gov.uk/&lt;/url&gt;&lt;/related-urls&gt;&lt;/urls&gt;&lt;language&gt;Eng&lt;/language&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6</w:t>
      </w:r>
      <w:r w:rsidRPr="00916285">
        <w:rPr>
          <w:rFonts w:asciiTheme="minorHAnsi" w:hAnsiTheme="minorHAnsi"/>
          <w:lang w:val="en-GB"/>
        </w:rPr>
        <w:fldChar w:fldCharType="end"/>
      </w:r>
      <w:r w:rsidRPr="00916285">
        <w:rPr>
          <w:rFonts w:asciiTheme="minorHAnsi" w:hAnsiTheme="minorHAnsi"/>
          <w:lang w:val="en-GB"/>
        </w:rPr>
        <w:t xml:space="preserve"> We used digital vector boundaries generalised to 20 meters and clipped to the coastline to reduce size and improve visualisation. To allow for comparisons within England, we organised LSOAs into 10 regions: North East, North West, Yorkshire &amp; the Humber, East Midlands, West Midlands, East of England, London, South East Coast, South Central and South West.</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ExcludeYear="1"&gt;&lt;Author&gt;Department of Health&lt;/Author&gt;&lt;Year&gt;2006&lt;/Year&gt;&lt;RecNum&gt;13&lt;/RecNum&gt;&lt;DisplayText&gt;&lt;style face="superscript"&gt;7&lt;/style&gt;&lt;/DisplayText&gt;&lt;record&gt;&lt;rec-number&gt;13&lt;/rec-number&gt;&lt;foreign-keys&gt;&lt;key app="EN" db-id="avwff925sdxd9me05vrxt2sjvf0eaes5f9w0" timestamp="1475508860"&gt;13&lt;/key&gt;&lt;/foreign-keys&gt;&lt;ref-type name="Web Page"&gt;12&lt;/ref-type&gt;&lt;contributors&gt;&lt;authors&gt;&lt;author&gt;Department of Health,&lt;/author&gt;&lt;/authors&gt;&lt;/contributors&gt;&lt;titles&gt;&lt;title&gt;Strategic Health Authority Configurations&lt;/title&gt;&lt;/titles&gt;&lt;dates&gt;&lt;year&gt;2006&lt;/year&gt;&lt;/dates&gt;&lt;urls&gt;&lt;related-urls&gt;&lt;url&gt;https://web.archive.org/web/20070205232558/http://www.dh.gov.uk/assetRoot/04/13/37/60/04133760.pdf&lt;/url&gt;&lt;/related-urls&gt;&lt;/urls&gt;&lt;language&gt;Eng&lt;/language&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7</w:t>
      </w:r>
      <w:r w:rsidRPr="00916285">
        <w:rPr>
          <w:rFonts w:asciiTheme="minorHAnsi" w:hAnsiTheme="minorHAnsi"/>
          <w:lang w:val="en-GB"/>
        </w:rPr>
        <w:fldChar w:fldCharType="end"/>
      </w:r>
      <w:r w:rsidRPr="00916285">
        <w:rPr>
          <w:rFonts w:asciiTheme="minorHAnsi" w:hAnsiTheme="minorHAnsi"/>
          <w:lang w:val="en-GB"/>
        </w:rPr>
        <w:t xml:space="preserve"> </w:t>
      </w:r>
    </w:p>
    <w:p w:rsidR="003410FF" w:rsidRPr="00916285" w:rsidRDefault="003410FF" w:rsidP="003410FF">
      <w:pPr>
        <w:pStyle w:val="Heading2"/>
        <w:spacing w:before="0" w:line="276" w:lineRule="auto"/>
        <w:rPr>
          <w:rFonts w:asciiTheme="minorHAnsi" w:hAnsiTheme="minorHAnsi"/>
        </w:rPr>
      </w:pPr>
    </w:p>
    <w:p w:rsidR="003410FF" w:rsidRPr="00916285" w:rsidRDefault="003410FF" w:rsidP="003410FF">
      <w:pPr>
        <w:pStyle w:val="Heading2"/>
        <w:spacing w:before="0" w:line="276" w:lineRule="auto"/>
        <w:rPr>
          <w:rFonts w:asciiTheme="minorHAnsi" w:hAnsiTheme="minorHAnsi"/>
        </w:rPr>
      </w:pPr>
      <w:r w:rsidRPr="00916285">
        <w:rPr>
          <w:rFonts w:asciiTheme="minorHAnsi" w:hAnsiTheme="minorHAnsi"/>
        </w:rPr>
        <w:t>Chronic morbidity index (CMI)</w:t>
      </w:r>
    </w:p>
    <w:p w:rsidR="003410FF" w:rsidRPr="00916285" w:rsidRDefault="003410FF" w:rsidP="003410FF">
      <w:pPr>
        <w:pStyle w:val="NoSpacing"/>
        <w:spacing w:line="276" w:lineRule="auto"/>
        <w:ind w:firstLine="284"/>
        <w:jc w:val="both"/>
        <w:rPr>
          <w:rFonts w:asciiTheme="minorHAnsi" w:hAnsiTheme="minorHAnsi"/>
          <w:lang w:val="en-GB"/>
        </w:rPr>
      </w:pPr>
      <w:r w:rsidRPr="00916285">
        <w:rPr>
          <w:rFonts w:asciiTheme="minorHAnsi" w:hAnsiTheme="minorHAnsi"/>
          <w:lang w:val="en-GB"/>
        </w:rPr>
        <w:t>The Quality and Outcomes Framework (QOF), since its introduction in 2004,</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&lt;EndNote&gt;&lt;Cite&gt;&lt;RecNum&gt;25&lt;/RecNum&gt;&lt;DisplayText&gt;&lt;style face="superscript"&gt;8&lt;/style&gt;&lt;/DisplayText&gt;&lt;record&gt;&lt;rec-number&gt;25&lt;/rec-number&gt;&lt;foreign-keys&gt;&lt;key app="EN" db-id="avwff925sdxd9me05vrxt2sjvf0eaes5f9w0" timestamp="1487694150"&gt;25&lt;/key&gt;&lt;/foreign-keys&gt;&lt;ref-type name="Journal Article"&gt;17&lt;/ref-type&gt;&lt;contributors&gt;&lt;authors&gt;&lt;author&gt;Roland, M.&lt;/author&gt;&lt;/authors&gt;&lt;/contributors&gt;&lt;auth-address&gt;National Primary Care Research and Development Centre, University of Manchester, Manchester, United Kingdom.&lt;/auth-address&gt;&lt;titles&gt;&lt;title&gt;Linking physicians&amp;apos; pay to the quality of care--a major experiment in the United kingdom&lt;/title&gt;&lt;secondary-title&gt;N Engl J Med&lt;/secondary-title&gt;&lt;/titles&gt;&lt;periodical&gt;&lt;full-title&gt;N Engl J Med&lt;/full-title&gt;&lt;/periodical&gt;&lt;pages&gt;1448-54&lt;/pages&gt;&lt;volume&gt;351&lt;/volume&gt;&lt;number&gt;14&lt;/number&gt;&lt;keywords&gt;&lt;keyword&gt;Contracts&lt;/keyword&gt;&lt;keyword&gt;Delivery of Health Care/*standards&lt;/keyword&gt;&lt;keyword&gt;*Employee Incentive Plans&lt;/keyword&gt;&lt;keyword&gt;Health Care Surveys&lt;/keyword&gt;&lt;keyword&gt;Humans&lt;/keyword&gt;&lt;keyword&gt;Medical Records/standards&lt;/keyword&gt;&lt;keyword&gt;Organizational Innovation&lt;/keyword&gt;&lt;keyword&gt;Organizational Objectives&lt;/keyword&gt;&lt;keyword&gt;Patient Education as Topic/standards&lt;/keyword&gt;&lt;keyword&gt;Physician-Patient Relations&lt;/keyword&gt;&lt;keyword&gt;Physicians/*economics/standards&lt;/keyword&gt;&lt;keyword&gt;Practice Management, Medical/standards&lt;/keyword&gt;&lt;keyword&gt;*Quality of Health Care&lt;/keyword&gt;&lt;keyword&gt;*Salaries and Fringe Benefits&lt;/keyword&gt;&lt;keyword&gt;State Medicine/economics/organization &amp;amp; administration/*standards&lt;/keyword&gt;&lt;keyword&gt;United Kingdom&lt;/keyword&gt;&lt;/keywords&gt;&lt;dates&gt;&lt;year&gt;2004&lt;/year&gt;&lt;pub-dates&gt;&lt;date&gt;Sep 30&lt;/date&gt;&lt;/pub-dates&gt;&lt;/dates&gt;&lt;isbn&gt;1533-4406 (Electronic)&amp;#xD;0028-4793 (Linking)&lt;/isbn&gt;&lt;accession-num&gt;15459308&lt;/accession-num&gt;&lt;urls&gt;&lt;related-urls&gt;&lt;url&gt;https://www.ncbi.nlm.nih.gov/pubmed/15459308&lt;/url&gt;&lt;/related-urls&gt;&lt;/urls&gt;&lt;electronic-resource-num&gt;10.1056/NEJMhpr041294&lt;/electronic-resource-num&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8</w:t>
      </w:r>
      <w:r w:rsidRPr="00916285">
        <w:rPr>
          <w:rFonts w:asciiTheme="minorHAnsi" w:hAnsiTheme="minorHAnsi"/>
          <w:lang w:val="en-GB"/>
        </w:rPr>
        <w:fldChar w:fldCharType="end"/>
      </w:r>
      <w:r w:rsidRPr="00916285">
        <w:rPr>
          <w:rFonts w:asciiTheme="minorHAnsi" w:hAnsiTheme="minorHAnsi"/>
          <w:lang w:val="en-GB"/>
        </w:rPr>
        <w:t xml:space="preserve"> has underpinned high quality of recording in primary care.</w:t>
      </w:r>
      <w:r w:rsidRPr="00916285">
        <w:rPr>
          <w:rFonts w:asciiTheme="minorHAnsi" w:hAnsiTheme="minorHAnsi"/>
          <w:lang w:val="en-GB"/>
        </w:rPr>
        <w:fldChar w:fldCharType="begin">
          <w:fldData xml:space="preserve">PEVuZE5vdGU+PENpdGU+PFJlY051bT4yNjwvUmVjTnVtPjxEaXNwbGF5VGV4dD48c3R5bGUgZmFj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==
</w:fldData>
        </w:fldChar>
      </w:r>
      <w:r w:rsidR="00916285" w:rsidRPr="00916285">
        <w:rPr>
          <w:rFonts w:asciiTheme="minorHAnsi" w:hAnsiTheme="minorHAnsi"/>
          <w:lang w:val="en-GB"/>
        </w:rPr>
        <w:instrText xml:space="preserve"> ADDIN EN.CITE </w:instrText>
      </w:r>
      <w:r w:rsidR="00916285" w:rsidRPr="00916285">
        <w:rPr>
          <w:rFonts w:asciiTheme="minorHAnsi" w:hAnsiTheme="minorHAnsi"/>
          <w:lang w:val="en-GB"/>
        </w:rPr>
        <w:fldChar w:fldCharType="begin">
          <w:fldData xml:space="preserve">PEVuZE5vdGU+PENpdGU+PFJlY051bT4yNjwvUmVjTnVtPjxEaXNwbGF5VGV4dD48c3R5bGUgZmFj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==
</w:fldData>
        </w:fldChar>
      </w:r>
      <w:r w:rsidR="00916285" w:rsidRPr="00916285">
        <w:rPr>
          <w:rFonts w:asciiTheme="minorHAnsi" w:hAnsiTheme="minorHAnsi"/>
          <w:lang w:val="en-GB"/>
        </w:rPr>
        <w:instrText xml:space="preserve"> ADDIN EN.CITE.DATA </w:instrText>
      </w:r>
      <w:r w:rsidR="00916285" w:rsidRPr="00916285">
        <w:rPr>
          <w:rFonts w:asciiTheme="minorHAnsi" w:hAnsiTheme="minorHAnsi"/>
          <w:lang w:val="en-GB"/>
        </w:rPr>
      </w:r>
      <w:r w:rsidR="00916285" w:rsidRPr="00916285">
        <w:rPr>
          <w:rFonts w:asciiTheme="minorHAnsi" w:hAnsiTheme="minorHAnsi"/>
          <w:lang w:val="en-GB"/>
        </w:rPr>
        <w:fldChar w:fldCharType="end"/>
      </w:r>
      <w:r w:rsidRPr="00916285">
        <w:rPr>
          <w:rFonts w:asciiTheme="minorHAnsi" w:hAnsiTheme="minorHAnsi"/>
          <w:lang w:val="en-GB"/>
        </w:rPr>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9</w:t>
      </w:r>
      <w:r w:rsidRPr="00916285">
        <w:rPr>
          <w:rFonts w:asciiTheme="minorHAnsi" w:hAnsiTheme="minorHAnsi"/>
          <w:lang w:val="en-GB"/>
        </w:rPr>
        <w:fldChar w:fldCharType="end"/>
      </w:r>
      <w:r w:rsidRPr="00916285">
        <w:rPr>
          <w:rFonts w:asciiTheme="minorHAnsi" w:hAnsiTheme="minorHAnsi"/>
          <w:lang w:val="en-GB"/>
        </w:rPr>
        <w:t xml:space="preserve"> Under the QOF umbrella, recording, management and treatment of large number of clinical domains was financially and reputationally incentivised. The number of domains varied over time with a maximum of 24 clinical domains being included in the scheme for the 2013-14 financial year.</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&lt;EndNote&gt;&lt;Cite&gt;&lt;RecNum&gt;27&lt;/RecNum&gt;&lt;DisplayText&gt;&lt;style face="superscript"&gt;10&lt;/style&gt;&lt;/DisplayText&gt;&lt;record&gt;&lt;rec-number&gt;27&lt;/rec-number&gt;&lt;foreign-keys&gt;&lt;key app="EN" db-id="avwff925sdxd9me05vrxt2sjvf0eaes5f9w0" timestamp="1487695015"&gt;27&lt;/key&gt;&lt;/foreign-keys&gt;&lt;ref-type name="Web Page"&gt;12&lt;/ref-type&gt;&lt;contributors&gt;&lt;authors&gt;&lt;author&gt;Health &amp;amp; Social Care Information Centre,&lt;/author&gt;&lt;/authors&gt;&lt;/contributors&gt;&lt;titles&gt;&lt;title&gt;The Quality and Outcomes Framework&lt;/title&gt;&lt;/titles&gt;&lt;volume&gt;2013&lt;/volume&gt;&lt;dates&gt;&lt;/dates&gt;&lt;urls&gt;&lt;related-urls&gt;&lt;url&gt;http://www.ic.nhs.uk/qof&lt;/url&gt;&lt;/related-urls&gt;&lt;/urls&gt;&lt;language&gt;Eng&lt;/language&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10</w:t>
      </w:r>
      <w:r w:rsidRPr="00916285">
        <w:rPr>
          <w:rFonts w:asciiTheme="minorHAnsi" w:hAnsiTheme="minorHAnsi"/>
          <w:lang w:val="en-GB"/>
        </w:rPr>
        <w:fldChar w:fldCharType="end"/>
      </w:r>
      <w:r w:rsidRPr="00916285">
        <w:rPr>
          <w:rFonts w:asciiTheme="minorHAnsi" w:hAnsiTheme="minorHAnsi"/>
          <w:lang w:val="en-GB"/>
        </w:rPr>
        <w:t xml:space="preserve"> We focused on financial year 2014-15, as the most relevant in linking to the latest available primary care payment data (2015-16). The underlying hypothesis is that health need drives payments to primary care and morbidity burden on a particular year should be associated with payments </w:t>
      </w:r>
      <w:r w:rsidRPr="00916285">
        <w:rPr>
          <w:rFonts w:asciiTheme="minorHAnsi" w:hAnsiTheme="minorHAnsi"/>
          <w:lang w:val="en-GB"/>
        </w:rPr>
        <w:lastRenderedPageBreak/>
        <w:t xml:space="preserve">to practice in the following year. In 2014-15, 21 clinical domains were incentivised under the QOF and we focused on 19 that reflected chronic conditions, thus excluding Cardiovascular Disease Primary Prevention and Obesity. The 19 conditions were: Atrial Fibrillation, Asthma, Cancer, Coronary Heart Disease, Chronic Kidney Disease (for those aged 18 or over), Chronic Obstructive Pulmonary Disease, Dementia, Depression (18 or over), Diabetes both types (17 or over), Epilepsy (18 or over), Heart Failure, Hypertension, Learning Disability (18 or over), Severe Mental Illness, Osteoporosis (50 or over), Peripheral Artery Disease, Palliative Care, Rheumatoid Arthritis (16 or over) and Stroke. </w:t>
      </w:r>
    </w:p>
    <w:p w:rsidR="003410FF" w:rsidRPr="00916285" w:rsidRDefault="003410FF" w:rsidP="003410FF">
      <w:pPr>
        <w:pStyle w:val="NoSpacing"/>
        <w:spacing w:line="276" w:lineRule="auto"/>
        <w:ind w:firstLine="284"/>
        <w:jc w:val="both"/>
        <w:rPr>
          <w:rFonts w:asciiTheme="minorHAnsi" w:hAnsiTheme="minorHAnsi"/>
          <w:lang w:val="en-GB"/>
        </w:rPr>
      </w:pPr>
    </w:p>
    <w:p w:rsidR="003410FF" w:rsidRPr="00916285" w:rsidRDefault="003410FF" w:rsidP="003410FF">
      <w:pPr>
        <w:pStyle w:val="NoSpacing"/>
        <w:spacing w:line="276" w:lineRule="auto"/>
        <w:ind w:firstLine="284"/>
        <w:jc w:val="both"/>
        <w:rPr>
          <w:rFonts w:asciiTheme="minorHAnsi" w:hAnsiTheme="minorHAnsi"/>
          <w:lang w:val="en-GB"/>
        </w:rPr>
      </w:pPr>
      <w:r w:rsidRPr="00916285">
        <w:rPr>
          <w:rFonts w:asciiTheme="minorHAnsi" w:hAnsiTheme="minorHAnsi"/>
          <w:lang w:val="en-GB"/>
        </w:rPr>
        <w:t>General practices use specific annually issued coding guidelines to record the domain registers, i.e. the number of patients included in each domain. The current coding system uses a clinical vocabulary based on Read codes,</w:t>
      </w:r>
      <w:r w:rsidRPr="00916285">
        <w:rPr>
          <w:rFonts w:asciiTheme="minorHAnsi" w:hAnsiTheme="minorHAnsi"/>
        </w:rPr>
        <w:t xml:space="preserve"> </w:t>
      </w:r>
      <w:r w:rsidRPr="00916285">
        <w:rPr>
          <w:rFonts w:asciiTheme="minorHAnsi" w:hAnsiTheme="minorHAnsi"/>
          <w:lang w:val="en-GB"/>
        </w:rPr>
        <w:fldChar w:fldCharType="begin">
          <w:fldData xml:space="preserve">PEVuZE5vdGU+PENpdGU+PFJlY051bT4yNjwvUmVjTnVtPjxEaXNwbGF5VGV4dD48c3R5bGUgZmFj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==
</w:fldData>
        </w:fldChar>
      </w:r>
      <w:r w:rsidR="00916285" w:rsidRPr="00916285">
        <w:rPr>
          <w:rFonts w:asciiTheme="minorHAnsi" w:hAnsiTheme="minorHAnsi"/>
          <w:lang w:val="en-GB"/>
        </w:rPr>
        <w:instrText xml:space="preserve"> ADDIN EN.CITE </w:instrText>
      </w:r>
      <w:r w:rsidR="00916285" w:rsidRPr="00916285">
        <w:rPr>
          <w:rFonts w:asciiTheme="minorHAnsi" w:hAnsiTheme="minorHAnsi"/>
          <w:lang w:val="en-GB"/>
        </w:rPr>
        <w:fldChar w:fldCharType="begin">
          <w:fldData xml:space="preserve">PEVuZE5vdGU+PENpdGU+PFJlY051bT4yNjwvUmVjTnVtPjxEaXNwbGF5VGV4dD48c3R5bGUgZmFj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==
</w:fldData>
        </w:fldChar>
      </w:r>
      <w:r w:rsidR="00916285" w:rsidRPr="00916285">
        <w:rPr>
          <w:rFonts w:asciiTheme="minorHAnsi" w:hAnsiTheme="minorHAnsi"/>
          <w:lang w:val="en-GB"/>
        </w:rPr>
        <w:instrText xml:space="preserve"> ADDIN EN.CITE.DATA </w:instrText>
      </w:r>
      <w:r w:rsidR="00916285" w:rsidRPr="00916285">
        <w:rPr>
          <w:rFonts w:asciiTheme="minorHAnsi" w:hAnsiTheme="minorHAnsi"/>
          <w:lang w:val="en-GB"/>
        </w:rPr>
      </w:r>
      <w:r w:rsidR="00916285" w:rsidRPr="00916285">
        <w:rPr>
          <w:rFonts w:asciiTheme="minorHAnsi" w:hAnsiTheme="minorHAnsi"/>
          <w:lang w:val="en-GB"/>
        </w:rPr>
        <w:fldChar w:fldCharType="end"/>
      </w:r>
      <w:r w:rsidRPr="00916285">
        <w:rPr>
          <w:rFonts w:asciiTheme="minorHAnsi" w:hAnsiTheme="minorHAnsi"/>
          <w:lang w:val="en-GB"/>
        </w:rPr>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9</w:t>
      </w:r>
      <w:r w:rsidRPr="00916285">
        <w:rPr>
          <w:rFonts w:asciiTheme="minorHAnsi" w:hAnsiTheme="minorHAnsi"/>
          <w:lang w:val="en-GB"/>
        </w:rPr>
        <w:fldChar w:fldCharType="end"/>
      </w:r>
      <w:r w:rsidRPr="00916285">
        <w:rPr>
          <w:rFonts w:asciiTheme="minorHAnsi" w:hAnsiTheme="minorHAnsi"/>
          <w:lang w:val="en-GB"/>
        </w:rPr>
        <w:t xml:space="preserve"> but a switch to SNOMED CT is underway. The domain registers for 2014-15 were extracted on the last day of the financial year (31 March 2015). For each of the 7,779 practices contributing to the QOF we calculated the total sum of all condition registers (since multimorbidity at the patient level cannot be accounted in existing national administrative systems) and also the chronic morbidity index (CMI), the total register over the practice list size. Next, using the total register and a database that attributes general practice patients to LSOAs using their residential postcode (attribution dataset),</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ExcludeYear="1"&gt;&lt;Author&gt;NHS Digital&lt;/Author&gt;&lt;Year&gt;2016&lt;/Year&gt;&lt;RecNum&gt;18&lt;/RecNum&gt;&lt;DisplayText&gt;&lt;style face="superscript"&gt;11&lt;/style&gt;&lt;/DisplayText&gt;&lt;record&gt;&lt;rec-number&gt;18&lt;/rec-number&gt;&lt;foreign-keys&gt;&lt;key app="EN" db-id="avwff925sdxd9me05vrxt2sjvf0eaes5f9w0" timestamp="1476202968"&gt;18&lt;/key&gt;&lt;/foreign-keys&gt;&lt;ref-type name="Web Page"&gt;12&lt;/ref-type&gt;&lt;contributors&gt;&lt;authors&gt;&lt;author&gt;NHS Digital,&lt;/author&gt;&lt;/authors&gt;&lt;/contributors&gt;&lt;titles&gt;&lt;title&gt;Numbers of Patients Registered at a GP Practice - Jan 2016&lt;/title&gt;&lt;/titles&gt;&lt;dates&gt;&lt;year&gt;2016&lt;/year&gt;&lt;/dates&gt;&lt;publisher&gt;NHS Digital&lt;/publisher&gt;&lt;urls&gt;&lt;related-urls&gt;&lt;url&gt;http://content.digital.nhs.uk/article/2021/Website-Search?productid=20032&amp;amp;q=Numbers+of+Patients+Registered+at+a+GP+Practice&amp;amp;sort=Relevance&amp;amp;size=10&amp;amp;page=1&amp;amp;area=both#top&lt;/url&gt;&lt;/related-urls&gt;&lt;/urls&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11</w:t>
      </w:r>
      <w:r w:rsidRPr="00916285">
        <w:rPr>
          <w:rFonts w:asciiTheme="minorHAnsi" w:hAnsiTheme="minorHAnsi"/>
          <w:lang w:val="en-GB"/>
        </w:rPr>
        <w:fldChar w:fldCharType="end"/>
      </w:r>
      <w:r w:rsidRPr="00916285">
        <w:rPr>
          <w:rFonts w:asciiTheme="minorHAnsi" w:hAnsiTheme="minorHAnsi"/>
          <w:lang w:val="en-GB"/>
        </w:rPr>
        <w:t xml:space="preserve"> we estimated the CMI at the LSOA level as a weighted mean. For example, if an LSOA was served by two practices, one looking after 900 patients with a CMI of 0.3 and the second 500 patients with 0.5, the LSOA CMI would be ((900*0.3)+(500*0.5))/1400=0.371. The key underlying assumption of the measure is that the distribution of practice morbidity to LSOAs is uniform (see limitations section). A very small number of practice registered patients (in Jan 2015: 20,377 of 56,924,424 patients, or 0.036%) not attributed to an LSOA because of a missing postcode in the record, due to homelessness or another reason, were excluded from the process.</w:t>
      </w:r>
    </w:p>
    <w:p w:rsidR="003410FF" w:rsidRPr="00916285" w:rsidRDefault="003410FF" w:rsidP="003410FF">
      <w:pPr>
        <w:pStyle w:val="NoSpacing"/>
        <w:spacing w:line="276" w:lineRule="auto"/>
        <w:ind w:firstLine="284"/>
        <w:jc w:val="both"/>
        <w:rPr>
          <w:rFonts w:asciiTheme="minorHAnsi" w:hAnsiTheme="minorHAnsi"/>
          <w:lang w:val="en-GB"/>
        </w:rPr>
      </w:pPr>
    </w:p>
    <w:p w:rsidR="003410FF" w:rsidRPr="00916285" w:rsidRDefault="003410FF" w:rsidP="003410FF">
      <w:pPr>
        <w:pStyle w:val="NoSpacing"/>
        <w:spacing w:line="276" w:lineRule="auto"/>
        <w:ind w:firstLine="284"/>
        <w:jc w:val="both"/>
        <w:rPr>
          <w:rFonts w:asciiTheme="minorHAnsi" w:hAnsiTheme="minorHAnsi"/>
          <w:lang w:val="en-GB"/>
        </w:rPr>
      </w:pPr>
      <w:r w:rsidRPr="00916285">
        <w:rPr>
          <w:rFonts w:asciiTheme="minorHAnsi" w:hAnsiTheme="minorHAnsi"/>
          <w:lang w:val="en-GB"/>
        </w:rPr>
        <w:t>Although access to health care is free in the UK, not all people in the UK are registered with primary care and not all general practices participate in the QOF. However, over 95% of the UK population is estimated to be registered with a practice, and over 99% of registered patients attend practices participating in the QOF.</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ExcludeYear="1"&gt;&lt;Author&gt;Health &amp;amp; Social Care Information Centre&lt;/Author&gt;&lt;Year&gt;2013&lt;/Year&gt;&lt;RecNum&gt;28&lt;/RecNum&gt;&lt;DisplayText&gt;&lt;style face="superscript"&gt;12&lt;/style&gt;&lt;/DisplayText&gt;&lt;record&gt;&lt;rec-number&gt;28&lt;/rec-number&gt;&lt;foreign-keys&gt;&lt;key app="EN" db-id="avwff925sdxd9me05vrxt2sjvf0eaes5f9w0" timestamp="1487755712"&gt;28&lt;/key&gt;&lt;/foreign-keys&gt;&lt;ref-type name="Report"&gt;27&lt;/ref-type&gt;&lt;contributors&gt;&lt;authors&gt;&lt;author&gt;Health &amp;amp; Social Care Information Centre,&lt;/author&gt;&lt;/authors&gt;&lt;tertiary-authors&gt;&lt;author&gt;HSCIC&lt;/author&gt;&lt;/tertiary-authors&gt;&lt;/contributors&gt;&lt;titles&gt;&lt;title&gt;Quality and  Outcomes  Framework  Achievement,  prevalence and  exceptions data, 2012/13: Frequently asked questions&lt;/title&gt;&lt;/titles&gt;&lt;pages&gt;20&lt;/pages&gt;&lt;dates&gt;&lt;year&gt;2013&lt;/year&gt;&lt;pub-dates&gt;&lt;date&gt;29/10/2013&lt;/date&gt;&lt;/pub-dates&gt;&lt;/dates&gt;&lt;urls&gt;&lt;related-urls&gt;&lt;url&gt;http://www.hscic.gov.uk/catalogue/PUB12262/qual-outc-fram-freq-aske-ques-2012-13-gui.pdf&lt;/url&gt;&lt;/related-urls&gt;&lt;/urls&gt;&lt;language&gt;Eng&lt;/language&gt;&lt;access-date&gt;2014&lt;/access-date&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12</w:t>
      </w:r>
      <w:r w:rsidRPr="00916285">
        <w:rPr>
          <w:rFonts w:asciiTheme="minorHAnsi" w:hAnsiTheme="minorHAnsi"/>
          <w:lang w:val="en-GB"/>
        </w:rPr>
        <w:fldChar w:fldCharType="end"/>
      </w:r>
      <w:r w:rsidRPr="00916285">
        <w:rPr>
          <w:rFonts w:asciiTheme="minorHAnsi" w:hAnsiTheme="minorHAnsi"/>
          <w:lang w:val="en-GB"/>
        </w:rPr>
        <w:t xml:space="preserve"> Therefore, we argue that the CMI is a measure that can successfully capture the health of the population of England at a low geographical level.</w:t>
      </w:r>
    </w:p>
    <w:p w:rsidR="003410FF" w:rsidRPr="00916285" w:rsidRDefault="003410FF" w:rsidP="003410FF">
      <w:pPr>
        <w:pStyle w:val="Heading2"/>
        <w:spacing w:before="0" w:line="276" w:lineRule="auto"/>
        <w:rPr>
          <w:rFonts w:asciiTheme="minorHAnsi" w:hAnsiTheme="minorHAnsi"/>
        </w:rPr>
      </w:pPr>
    </w:p>
    <w:p w:rsidR="003410FF" w:rsidRPr="00916285" w:rsidRDefault="003410FF" w:rsidP="003410FF">
      <w:pPr>
        <w:pStyle w:val="Heading2"/>
        <w:spacing w:before="0" w:line="276" w:lineRule="auto"/>
        <w:rPr>
          <w:rFonts w:asciiTheme="minorHAnsi" w:hAnsiTheme="minorHAnsi"/>
        </w:rPr>
      </w:pPr>
      <w:r w:rsidRPr="00916285">
        <w:rPr>
          <w:rFonts w:asciiTheme="minorHAnsi" w:hAnsiTheme="minorHAnsi"/>
        </w:rPr>
        <w:t>Payments to general practice</w:t>
      </w:r>
    </w:p>
    <w:p w:rsidR="003410FF" w:rsidRPr="00916285" w:rsidRDefault="003410FF" w:rsidP="00CA1E32">
      <w:pPr>
        <w:pStyle w:val="NoSpacing"/>
        <w:spacing w:line="276" w:lineRule="auto"/>
        <w:ind w:firstLine="284"/>
        <w:jc w:val="both"/>
        <w:rPr>
          <w:rFonts w:asciiTheme="minorHAnsi" w:hAnsiTheme="minorHAnsi"/>
          <w:lang w:val="en-GB"/>
        </w:rPr>
      </w:pPr>
      <w:r w:rsidRPr="00916285">
        <w:rPr>
          <w:rFonts w:asciiTheme="minorHAnsi" w:hAnsiTheme="minorHAnsi"/>
          <w:lang w:val="en-GB"/>
        </w:rPr>
        <w:t>We obtained data on National Health Service payments to general practice for the financial year 2015</w:t>
      </w:r>
      <w:r w:rsidR="00487C83" w:rsidRPr="00916285">
        <w:rPr>
          <w:rFonts w:asciiTheme="minorHAnsi" w:hAnsiTheme="minorHAnsi"/>
          <w:lang w:val="en-GB"/>
        </w:rPr>
        <w:t>-</w:t>
      </w:r>
      <w:r w:rsidRPr="00916285">
        <w:rPr>
          <w:rFonts w:asciiTheme="minorHAnsi" w:hAnsiTheme="minorHAnsi"/>
          <w:lang w:val="en-GB"/>
        </w:rPr>
        <w:t>16 and for the whole of England.</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ExcludeYear="1"&gt;&lt;Author&gt;NHS Digital&lt;/Author&gt;&lt;Year&gt;2016&lt;/Year&gt;&lt;RecNum&gt;17&lt;/RecNum&gt;&lt;DisplayText&gt;&lt;style face="superscript"&gt;13&lt;/style&gt;&lt;/DisplayText&gt;&lt;record&gt;&lt;rec-number&gt;17&lt;/rec-number&gt;&lt;foreign-keys&gt;&lt;key app="EN" db-id="avwff925sdxd9me05vrxt2sjvf0eaes5f9w0" timestamp="1476202065"&gt;17&lt;/key&gt;&lt;/foreign-keys&gt;&lt;ref-type name="Web Page"&gt;12&lt;/ref-type&gt;&lt;contributors&gt;&lt;authors&gt;&lt;author&gt;NHS Digital,&lt;/author&gt;&lt;/authors&gt;&lt;/contributors&gt;&lt;titles&gt;&lt;title&gt;NHS Payments to General Practice, England, 2015/16&lt;/title&gt;&lt;/titles&gt;&lt;dates&gt;&lt;year&gt;2016&lt;/year&gt;&lt;/dates&gt;&lt;publisher&gt;NHS Digital&lt;/publisher&gt;&lt;urls&gt;&lt;related-urls&gt;&lt;url&gt;http://content.digital.nhs.uk/catalogue/PUB21318&lt;/url&gt;&lt;/related-urls&gt;&lt;/urls&gt;&lt;/record&gt;&lt;/Cite&gt;&lt;/EndNote&gt;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13</w:t>
      </w:r>
      <w:r w:rsidRPr="00916285">
        <w:rPr>
          <w:rFonts w:asciiTheme="minorHAnsi" w:hAnsiTheme="minorHAnsi"/>
          <w:lang w:val="en-GB"/>
        </w:rPr>
        <w:fldChar w:fldCharType="end"/>
      </w:r>
      <w:r w:rsidRPr="00916285">
        <w:rPr>
          <w:rFonts w:asciiTheme="minorHAnsi" w:hAnsiTheme="minorHAnsi"/>
          <w:lang w:val="en-GB"/>
        </w:rPr>
        <w:t xml:space="preserve"> The database included details on all payments made to each general practice under various different remuneration schemes</w:t>
      </w:r>
      <w:r w:rsidR="00CA1E32">
        <w:rPr>
          <w:rFonts w:asciiTheme="minorHAnsi" w:hAnsiTheme="minorHAnsi"/>
          <w:lang w:val="en-GB"/>
        </w:rPr>
        <w:t xml:space="preserve"> (including </w:t>
      </w:r>
      <w:r w:rsidR="00CA1E32" w:rsidRPr="00CA1E32">
        <w:rPr>
          <w:rFonts w:asciiTheme="minorHAnsi" w:hAnsiTheme="minorHAnsi"/>
          <w:lang w:val="en-GB"/>
        </w:rPr>
        <w:t>Global S</w:t>
      </w:r>
      <w:r w:rsidR="00CA1E32">
        <w:rPr>
          <w:rFonts w:asciiTheme="minorHAnsi" w:hAnsiTheme="minorHAnsi"/>
          <w:lang w:val="en-GB"/>
        </w:rPr>
        <w:t xml:space="preserve">um, the Minimum Practice Income </w:t>
      </w:r>
      <w:r w:rsidR="00CA1E32" w:rsidRPr="00CA1E32">
        <w:rPr>
          <w:rFonts w:asciiTheme="minorHAnsi" w:hAnsiTheme="minorHAnsi"/>
          <w:lang w:val="en-GB"/>
        </w:rPr>
        <w:t>Guarantee (MPIG), Balance of PMS expenditure, Quality Outcomes Framework (QOF) and Enhanced</w:t>
      </w:r>
      <w:r w:rsidR="00CA1E32">
        <w:rPr>
          <w:rFonts w:asciiTheme="minorHAnsi" w:hAnsiTheme="minorHAnsi"/>
          <w:lang w:val="en-GB"/>
        </w:rPr>
        <w:t xml:space="preserve"> </w:t>
      </w:r>
      <w:r w:rsidR="00CA1E32" w:rsidRPr="00CA1E32">
        <w:rPr>
          <w:rFonts w:asciiTheme="minorHAnsi" w:hAnsiTheme="minorHAnsi"/>
          <w:lang w:val="en-GB"/>
        </w:rPr>
        <w:t>Services</w:t>
      </w:r>
      <w:r w:rsidR="00CA1E32">
        <w:rPr>
          <w:rFonts w:asciiTheme="minorHAnsi" w:hAnsiTheme="minorHAnsi"/>
          <w:lang w:val="en-GB"/>
        </w:rPr>
        <w:t>; but not including i</w:t>
      </w:r>
      <w:r w:rsidR="00CA1E32" w:rsidRPr="00CA1E32">
        <w:rPr>
          <w:rFonts w:asciiTheme="minorHAnsi" w:hAnsiTheme="minorHAnsi"/>
          <w:lang w:val="en-GB"/>
        </w:rPr>
        <w:t>nvoices raised by providers that were paid directly from</w:t>
      </w:r>
      <w:r w:rsidR="00CA1E32">
        <w:rPr>
          <w:rFonts w:asciiTheme="minorHAnsi" w:hAnsiTheme="minorHAnsi"/>
          <w:lang w:val="en-GB"/>
        </w:rPr>
        <w:t xml:space="preserve"> </w:t>
      </w:r>
      <w:r w:rsidR="00CA1E32" w:rsidRPr="00CA1E32">
        <w:rPr>
          <w:rFonts w:asciiTheme="minorHAnsi" w:hAnsiTheme="minorHAnsi"/>
          <w:lang w:val="en-GB"/>
        </w:rPr>
        <w:t>other sources</w:t>
      </w:r>
      <w:r w:rsidR="00CA1E32">
        <w:rPr>
          <w:rFonts w:asciiTheme="minorHAnsi" w:hAnsiTheme="minorHAnsi"/>
          <w:lang w:val="en-GB"/>
        </w:rPr>
        <w:t xml:space="preserve"> like</w:t>
      </w:r>
      <w:r w:rsidR="00CA1E32" w:rsidRPr="00CA1E32">
        <w:rPr>
          <w:rFonts w:asciiTheme="minorHAnsi" w:hAnsiTheme="minorHAnsi"/>
          <w:lang w:val="en-GB"/>
        </w:rPr>
        <w:t xml:space="preserve"> Local Authority Public Health </w:t>
      </w:r>
      <w:r w:rsidR="00CA1E32" w:rsidRPr="00CA1E32">
        <w:rPr>
          <w:rFonts w:asciiTheme="minorHAnsi" w:hAnsiTheme="minorHAnsi"/>
          <w:lang w:val="en-GB"/>
        </w:rPr>
        <w:lastRenderedPageBreak/>
        <w:t>funding</w:t>
      </w:r>
      <w:r w:rsidR="00CA1E32">
        <w:rPr>
          <w:rFonts w:asciiTheme="minorHAnsi" w:hAnsiTheme="minorHAnsi"/>
          <w:lang w:val="en-GB"/>
        </w:rPr>
        <w:t>)</w:t>
      </w:r>
      <w:r w:rsidRPr="00916285">
        <w:rPr>
          <w:rFonts w:asciiTheme="minorHAnsi" w:hAnsiTheme="minorHAnsi"/>
          <w:lang w:val="en-GB"/>
        </w:rPr>
        <w:t>. We calculated the total payment made but also the total payment made minus prescribing and dispensing fee payments, since most practices are not dispensing medications and we aimed to obtain comparable payment estimates across practices. As for the CMI, we used the attribution dataset to transpose the financial data from general practice to the LSOA level,</w:t>
      </w:r>
      <w:r w:rsidRPr="00916285">
        <w:rPr>
          <w:rFonts w:asciiTheme="minorHAnsi" w:hAnsiTheme="minorHAnsi"/>
          <w:lang w:val="en-GB"/>
        </w:rPr>
        <w:fldChar w:fldCharType="begin"/>
      </w:r>
      <w:r w:rsidR="00916285" w:rsidRPr="00916285">
        <w:rPr>
          <w:rFonts w:asciiTheme="minorHAnsi" w:hAnsiTheme="minorHAnsi"/>
          <w:lang w:val="en-GB"/>
        </w:rPr>
        <w:instrText xml:space="preserve"> ADDIN EN.CITE &lt;EndNote&gt;&lt;Cite ExcludeAuth="1" ExcludeYear="1"&gt;&lt;Author&gt;NHS Digital&lt;/Author&gt;&lt;Year&gt;2016&lt;/Year&gt;&lt;RecNum&gt;18&lt;/RecNum&gt;&lt;DisplayText&gt;&lt;style face="superscript"&gt;11&lt;/style&gt;&lt;/DisplayText&gt;&lt;record&gt;&lt;rec-number&gt;18&lt;/rec-number&gt;&lt;foreign-keys&gt;&lt;key app="EN" db-id="avwff925sdxd9me05vrxt2sjvf0eaes5f9w0" timestamp="1476202968"&gt;18&lt;/key&gt;&lt;/foreign-keys&gt;&lt;ref-type name="Web Page"&gt;12&lt;/ref-type&gt;&lt;contributors&gt;&lt;authors&gt;&lt;author&gt;NHS Digital,&lt;/author&gt;&lt;/authors&gt;&lt;/contributors&gt;&lt;titles&gt;&lt;title&gt;Numbers of Patients Registered at a GP Practice - Jan 2016&lt;/title&gt;&lt;/titles&gt;&lt;dates&gt;&lt;year&gt;2016&lt;/year&gt;&lt;/dates&gt;&lt;publisher&gt;NHS Digital&lt;/publisher&gt;&lt;urls&gt;&lt;related-urls&gt;&lt;url&gt;http://content.digital.nhs.uk/article/2021/Website-Search?productid=20032&amp;amp;q=Numbers+of+Patients+Registered+at+a+GP+Practice&amp;amp;sort=Relevance&amp;amp;size=10&amp;amp;page=1&amp;amp;area=both#top&lt;/url&gt;&lt;/related-urls&gt;&lt;/urls&gt;&lt;/record&gt;&lt;/Cite&gt;&lt;/EndNote&gt;</w:instrText>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11</w:t>
      </w:r>
      <w:r w:rsidRPr="00916285">
        <w:rPr>
          <w:rFonts w:asciiTheme="minorHAnsi" w:hAnsiTheme="minorHAnsi"/>
          <w:lang w:val="en-GB"/>
        </w:rPr>
        <w:fldChar w:fldCharType="end"/>
      </w:r>
      <w:r w:rsidRPr="00916285">
        <w:rPr>
          <w:rFonts w:asciiTheme="minorHAnsi" w:hAnsiTheme="minorHAnsi"/>
          <w:lang w:val="en-GB"/>
        </w:rPr>
        <w:t xml:space="preserve"> under the same assumptions. Per person LSOA payment estimates were calculated as a weighted mean of the average payment within each contributing practice, using two approaches. The first approach used the attribution population (i.e. from practice list sizes) as the denominator. The second approach used the 2015 LSOA population estimates as the denominator, aiming to adjust for areas with under-registration and, especially, over-registration and thus provide more realistic costs (generally higher than reported elsewhere).</w:t>
      </w:r>
      <w:r w:rsidRPr="00916285">
        <w:rPr>
          <w:rFonts w:asciiTheme="minorHAnsi" w:hAnsiTheme="minorHAnsi"/>
          <w:lang w:val="en-GB"/>
        </w:rPr>
        <w:fldChar w:fldCharType="begin">
          <w:fldData xml:space="preserve">PEVuZE5vdGU+PENpdGUgRXhjbHVkZUF1dGg9IjEiIEV4Y2x1ZGVZZWFyPSIxIj48QXV0aG9yPkxl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=
</w:fldData>
        </w:fldChar>
      </w:r>
      <w:r w:rsidR="00916285" w:rsidRPr="00916285">
        <w:rPr>
          <w:rFonts w:asciiTheme="minorHAnsi" w:hAnsiTheme="minorHAnsi"/>
          <w:lang w:val="en-GB"/>
        </w:rPr>
        <w:instrText xml:space="preserve"> ADDIN EN.CITE </w:instrText>
      </w:r>
      <w:r w:rsidR="00916285" w:rsidRPr="00916285">
        <w:rPr>
          <w:rFonts w:asciiTheme="minorHAnsi" w:hAnsiTheme="minorHAnsi"/>
          <w:lang w:val="en-GB"/>
        </w:rPr>
        <w:fldChar w:fldCharType="begin">
          <w:fldData xml:space="preserve">PEVuZE5vdGU+PENpdGUgRXhjbHVkZUF1dGg9IjEiIEV4Y2x1ZGVZZWFyPSIxIj48QXV0aG9yPkxl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=
</w:fldData>
        </w:fldChar>
      </w:r>
      <w:r w:rsidR="00916285" w:rsidRPr="00916285">
        <w:rPr>
          <w:rFonts w:asciiTheme="minorHAnsi" w:hAnsiTheme="minorHAnsi"/>
          <w:lang w:val="en-GB"/>
        </w:rPr>
        <w:instrText xml:space="preserve"> ADDIN EN.CITE.DATA </w:instrText>
      </w:r>
      <w:r w:rsidR="00916285" w:rsidRPr="00916285">
        <w:rPr>
          <w:rFonts w:asciiTheme="minorHAnsi" w:hAnsiTheme="minorHAnsi"/>
          <w:lang w:val="en-GB"/>
        </w:rPr>
      </w:r>
      <w:r w:rsidR="00916285" w:rsidRPr="00916285">
        <w:rPr>
          <w:rFonts w:asciiTheme="minorHAnsi" w:hAnsiTheme="minorHAnsi"/>
          <w:lang w:val="en-GB"/>
        </w:rPr>
        <w:fldChar w:fldCharType="end"/>
      </w:r>
      <w:r w:rsidRPr="00916285">
        <w:rPr>
          <w:rFonts w:asciiTheme="minorHAnsi" w:hAnsiTheme="minorHAnsi"/>
          <w:lang w:val="en-GB"/>
        </w:rPr>
      </w:r>
      <w:r w:rsidRPr="00916285">
        <w:rPr>
          <w:rFonts w:asciiTheme="minorHAnsi" w:hAnsiTheme="minorHAnsi"/>
          <w:lang w:val="en-GB"/>
        </w:rPr>
        <w:fldChar w:fldCharType="separate"/>
      </w:r>
      <w:r w:rsidR="00916285" w:rsidRPr="00916285">
        <w:rPr>
          <w:rFonts w:asciiTheme="minorHAnsi" w:hAnsiTheme="minorHAnsi"/>
          <w:noProof/>
          <w:vertAlign w:val="superscript"/>
          <w:lang w:val="en-GB"/>
        </w:rPr>
        <w:t>14</w:t>
      </w:r>
      <w:r w:rsidRPr="00916285">
        <w:rPr>
          <w:rFonts w:asciiTheme="minorHAnsi" w:hAnsiTheme="minorHAnsi"/>
          <w:lang w:val="en-GB"/>
        </w:rPr>
        <w:fldChar w:fldCharType="end"/>
      </w:r>
      <w:r w:rsidRPr="00916285">
        <w:rPr>
          <w:rFonts w:asciiTheme="minorHAnsi" w:hAnsiTheme="minorHAnsi"/>
          <w:lang w:val="en-GB"/>
        </w:rPr>
        <w:t xml:space="preserve"> </w:t>
      </w:r>
    </w:p>
    <w:p w:rsidR="003410FF" w:rsidRPr="00916285" w:rsidRDefault="003410FF" w:rsidP="003410FF">
      <w:pPr>
        <w:pStyle w:val="Heading2"/>
        <w:spacing w:before="0" w:line="276" w:lineRule="auto"/>
        <w:rPr>
          <w:rFonts w:asciiTheme="minorHAnsi" w:hAnsiTheme="minorHAnsi"/>
        </w:rPr>
      </w:pPr>
    </w:p>
    <w:p w:rsidR="003C3B84" w:rsidRPr="00916285" w:rsidRDefault="003C3B84" w:rsidP="003C3B84">
      <w:pPr>
        <w:pStyle w:val="Heading1"/>
        <w:spacing w:before="0" w:line="276" w:lineRule="auto"/>
        <w:rPr>
          <w:rFonts w:asciiTheme="minorHAnsi" w:hAnsiTheme="minorHAnsi"/>
        </w:rPr>
      </w:pPr>
      <w:r>
        <w:rPr>
          <w:rFonts w:asciiTheme="minorHAnsi" w:hAnsiTheme="minorHAnsi"/>
        </w:rPr>
        <w:t>Additional Analyses</w:t>
      </w:r>
    </w:p>
    <w:p w:rsidR="003410FF" w:rsidRPr="0061254F" w:rsidRDefault="003410FF" w:rsidP="003410FF">
      <w:pPr>
        <w:spacing w:line="276" w:lineRule="auto"/>
        <w:ind w:firstLine="284"/>
        <w:jc w:val="both"/>
        <w:rPr>
          <w:rFonts w:asciiTheme="minorHAnsi" w:hAnsiTheme="minorHAnsi"/>
        </w:rPr>
      </w:pPr>
      <w:r w:rsidRPr="0061254F">
        <w:rPr>
          <w:rFonts w:asciiTheme="minorHAnsi" w:hAnsiTheme="minorHAnsi"/>
        </w:rPr>
        <w:t>At the LSOA level (with 32,844 data points), we used two linear regression models to quantify the strength of association between the outcome of interest, average primary care pay per person and: region, demographic characteristics (age, sex and ethnicity), urbanity, the CMI and the IMD. The first model (A) did not include interaction terms</w:t>
      </w:r>
      <w:r w:rsidR="00B46A26" w:rsidRPr="0061254F">
        <w:rPr>
          <w:rFonts w:asciiTheme="minorHAnsi" w:hAnsiTheme="minorHAnsi"/>
        </w:rPr>
        <w:t xml:space="preserve"> (presented</w:t>
      </w:r>
      <w:r w:rsidR="008704D8" w:rsidRPr="0061254F">
        <w:rPr>
          <w:rFonts w:asciiTheme="minorHAnsi" w:hAnsiTheme="minorHAnsi"/>
        </w:rPr>
        <w:t xml:space="preserve"> in the main paper)</w:t>
      </w:r>
      <w:r w:rsidRPr="0061254F">
        <w:rPr>
          <w:rFonts w:asciiTheme="minorHAnsi" w:hAnsiTheme="minorHAnsi"/>
        </w:rPr>
        <w:t xml:space="preserve">, while the second model (B) included interaction terms between region and IMD, and also region and CMI. The role of the interaction terms was to evaluate whether the association of each of the two key covariates with primary care pay varied across regions. Using model B estimates and the </w:t>
      </w:r>
      <w:r w:rsidRPr="0061254F">
        <w:rPr>
          <w:rFonts w:asciiTheme="minorHAnsi" w:hAnsiTheme="minorHAnsi"/>
          <w:i/>
        </w:rPr>
        <w:t>margins</w:t>
      </w:r>
      <w:r w:rsidRPr="0061254F">
        <w:rPr>
          <w:rFonts w:asciiTheme="minorHAnsi" w:hAnsiTheme="minorHAnsi"/>
        </w:rPr>
        <w:t xml:space="preserve"> command in Stata, we estimated and plotted average levels of pay at various levels of IMD and CMI, within each region. Both models were weighted for the size of each LSOA, using 2014 population estimates.</w:t>
      </w:r>
    </w:p>
    <w:p w:rsidR="003410FF" w:rsidRPr="0061254F" w:rsidRDefault="003410FF" w:rsidP="003410FF">
      <w:pPr>
        <w:spacing w:line="276" w:lineRule="auto"/>
        <w:jc w:val="both"/>
        <w:rPr>
          <w:rFonts w:asciiTheme="minorHAnsi" w:hAnsiTheme="minorHAnsi"/>
        </w:rPr>
      </w:pPr>
    </w:p>
    <w:p w:rsidR="003410FF" w:rsidRPr="0061254F" w:rsidRDefault="000D5934" w:rsidP="00112DBA">
      <w:pPr>
        <w:pStyle w:val="Heading1"/>
        <w:spacing w:before="0" w:line="276" w:lineRule="auto"/>
        <w:rPr>
          <w:rFonts w:asciiTheme="minorHAnsi" w:hAnsiTheme="minorHAnsi"/>
        </w:rPr>
      </w:pPr>
      <w:r w:rsidRPr="0061254F">
        <w:rPr>
          <w:rFonts w:asciiTheme="minorHAnsi" w:hAnsiTheme="minorHAnsi"/>
        </w:rPr>
        <w:t xml:space="preserve">Additional </w:t>
      </w:r>
      <w:r w:rsidR="003410FF" w:rsidRPr="0061254F">
        <w:rPr>
          <w:rFonts w:asciiTheme="minorHAnsi" w:hAnsiTheme="minorHAnsi"/>
        </w:rPr>
        <w:t>Results</w:t>
      </w:r>
    </w:p>
    <w:p w:rsidR="003410FF" w:rsidRPr="00916285" w:rsidRDefault="003410FF" w:rsidP="00112DBA">
      <w:pPr>
        <w:spacing w:line="276" w:lineRule="auto"/>
        <w:ind w:firstLine="284"/>
        <w:jc w:val="both"/>
        <w:rPr>
          <w:rFonts w:asciiTheme="minorHAnsi" w:hAnsiTheme="minorHAnsi"/>
        </w:rPr>
      </w:pPr>
      <w:r w:rsidRPr="0061254F">
        <w:rPr>
          <w:rFonts w:asciiTheme="minorHAnsi" w:hAnsiTheme="minorHAnsi"/>
        </w:rPr>
        <w:t xml:space="preserve">Results from regression model B show that the adjusted associations between the CMI and pay, and the IMD and pay vary across regions (Table </w:t>
      </w:r>
      <w:r w:rsidR="008704D8" w:rsidRPr="0061254F">
        <w:rPr>
          <w:rFonts w:asciiTheme="minorHAnsi" w:hAnsiTheme="minorHAnsi"/>
        </w:rPr>
        <w:t>A1</w:t>
      </w:r>
      <w:r w:rsidRPr="0061254F">
        <w:rPr>
          <w:rFonts w:asciiTheme="minorHAnsi" w:hAnsiTheme="minorHAnsi"/>
        </w:rPr>
        <w:t xml:space="preserve">). This regional variability can be </w:t>
      </w:r>
      <w:r w:rsidR="00D927EE">
        <w:rPr>
          <w:rFonts w:asciiTheme="minorHAnsi" w:hAnsiTheme="minorHAnsi"/>
        </w:rPr>
        <w:t>observed in Figure A1</w:t>
      </w:r>
      <w:r w:rsidRPr="0061254F">
        <w:rPr>
          <w:rFonts w:asciiTheme="minorHAnsi" w:hAnsiTheme="minorHAnsi"/>
        </w:rPr>
        <w:t>. There we see that higher levels on the CMI mean higher pay in all regions, except London. However, the strength of the (largely) positive association varies, with the steeper slope observed for East England and the least steep for the North West. Positive associations were also observed between the IMD and pay in all regions, except the East Midlands. The slopes in this graph are much gentler, reflecting the weaker associations (compared to the CMI and pay). Nevertheless, we still observe regional variability with the steeper slopes observed for London, the North West and the North East.</w:t>
      </w:r>
    </w:p>
    <w:p w:rsidR="003410FF" w:rsidRPr="00916285" w:rsidRDefault="003410FF" w:rsidP="003410FF">
      <w:pPr>
        <w:autoSpaceDE/>
        <w:autoSpaceDN/>
        <w:adjustRightInd/>
        <w:rPr>
          <w:rFonts w:asciiTheme="minorHAnsi" w:hAnsiTheme="minorHAnsi"/>
        </w:rPr>
      </w:pPr>
    </w:p>
    <w:bookmarkEnd w:id="1"/>
    <w:p w:rsidR="003410FF" w:rsidRPr="00916285" w:rsidRDefault="003C3B84" w:rsidP="00112DBA">
      <w:pPr>
        <w:pStyle w:val="Heading1"/>
        <w:spacing w:before="0"/>
        <w:rPr>
          <w:rFonts w:asciiTheme="minorHAnsi" w:hAnsiTheme="minorHAnsi"/>
        </w:rPr>
      </w:pPr>
      <w:r w:rsidRPr="00112DBA">
        <w:rPr>
          <w:rFonts w:asciiTheme="minorHAnsi" w:hAnsiTheme="minorHAnsi"/>
        </w:rPr>
        <w:t>Limitations: ecological fallacy assessment</w:t>
      </w:r>
    </w:p>
    <w:p w:rsidR="003410FF" w:rsidRPr="00916285" w:rsidRDefault="003410FF" w:rsidP="003410FF">
      <w:pPr>
        <w:spacing w:line="276" w:lineRule="auto"/>
        <w:ind w:firstLine="284"/>
        <w:jc w:val="both"/>
        <w:rPr>
          <w:rFonts w:asciiTheme="minorHAnsi" w:hAnsiTheme="minorHAnsi"/>
        </w:rPr>
      </w:pPr>
      <w:r w:rsidRPr="00916285">
        <w:rPr>
          <w:rFonts w:asciiTheme="minorHAnsi" w:hAnsiTheme="minorHAnsi"/>
        </w:rPr>
        <w:t xml:space="preserve">The key underlying assumption in our analyses is that the distribution of practice data to attributed LSOAs is uniform, when it may be the case that more deprived LSOAs carry higher rates of morbidity and higher payment, which would lead to a form of ecological fallacy. An average practice (7304 patients in 2014-15) serves under 5 LSOAs (average of 1654 people in 2014) and therefore practices located in deprived areas tend to serve populations residing in </w:t>
      </w:r>
      <w:r w:rsidRPr="00916285">
        <w:rPr>
          <w:rFonts w:asciiTheme="minorHAnsi" w:hAnsiTheme="minorHAnsi"/>
        </w:rPr>
        <w:lastRenderedPageBreak/>
        <w:t>deprived areas. However, some variability is present in IMD patient residence within each practice. Across all practices, the mean standard deviation of weighted patient location IMD was 10.2, which would take the IMD from 14.4 (50</w:t>
      </w:r>
      <w:r w:rsidRPr="00916285">
        <w:rPr>
          <w:rFonts w:asciiTheme="minorHAnsi" w:hAnsiTheme="minorHAnsi"/>
          <w:vertAlign w:val="superscript"/>
        </w:rPr>
        <w:t>th</w:t>
      </w:r>
      <w:r w:rsidRPr="00916285">
        <w:rPr>
          <w:rFonts w:asciiTheme="minorHAnsi" w:hAnsiTheme="minorHAnsi"/>
        </w:rPr>
        <w:t xml:space="preserve"> centile) to 24.6 (66</w:t>
      </w:r>
      <w:r w:rsidRPr="00916285">
        <w:rPr>
          <w:rFonts w:asciiTheme="minorHAnsi" w:hAnsiTheme="minorHAnsi"/>
          <w:vertAlign w:val="superscript"/>
        </w:rPr>
        <w:t>th</w:t>
      </w:r>
      <w:r w:rsidRPr="00916285">
        <w:rPr>
          <w:rFonts w:asciiTheme="minorHAnsi" w:hAnsiTheme="minorHAnsi"/>
        </w:rPr>
        <w:t xml:space="preserve"> centile) across all LSOAs. Thus, under the assumption that morbidity and payments are not uniformly distributed across LSOAs, and deprivation is a confounding factor, our regression models would underestimate the associations between morbidity, deprivation and payments (regional comparisons would be unaffected). On the other hand, variability between practices in weighted patient residence IMD also exists, and the standard deviation of the mean practice IMD was 11.7. This between-practice IMD variability (which implies that practices in more deprived locations serve patients living in more deprived areas) was not masked in the models and should be enough to identify an existing association between deprivation and the CMI. To scrutinize the confounding potential of deprivation in our uniform attribution assumption even further, we investigated the associations between pay, deprivation and morbidity at the practice level.  These were non-existent, except for the association between pay and morbidity, indicating that practices in poorer areas are not paid more and do not have higher morbidity levels, corroborating our uniform attribution assumption. We conclude, regarding this potential limitation, that ecological fallacy is unlikely.</w:t>
      </w:r>
    </w:p>
    <w:p w:rsidR="003410FF" w:rsidRPr="00916285" w:rsidRDefault="003410FF" w:rsidP="003410FF">
      <w:pPr>
        <w:spacing w:line="276" w:lineRule="auto"/>
        <w:jc w:val="both"/>
        <w:rPr>
          <w:rFonts w:asciiTheme="minorHAnsi" w:hAnsiTheme="minorHAnsi"/>
          <w:highlight w:val="yellow"/>
        </w:rPr>
      </w:pPr>
    </w:p>
    <w:p w:rsidR="003410FF" w:rsidRPr="00216923" w:rsidRDefault="001C596D" w:rsidP="00216923">
      <w:pPr>
        <w:pStyle w:val="Heading1"/>
        <w:spacing w:before="0"/>
        <w:rPr>
          <w:rFonts w:asciiTheme="minorHAnsi" w:hAnsiTheme="minorHAnsi"/>
        </w:rPr>
      </w:pPr>
      <w:r w:rsidRPr="00216923">
        <w:rPr>
          <w:rFonts w:asciiTheme="minorHAnsi" w:hAnsiTheme="minorHAnsi"/>
        </w:rPr>
        <w:t>References</w:t>
      </w:r>
    </w:p>
    <w:p w:rsidR="00CA1E32" w:rsidRPr="00CA1E32" w:rsidRDefault="00916285" w:rsidP="00CA1E32">
      <w:pPr>
        <w:pStyle w:val="EndNoteBibliography"/>
        <w:ind w:left="720" w:hanging="720"/>
      </w:pPr>
      <w:r w:rsidRPr="00916285">
        <w:rPr>
          <w:rFonts w:asciiTheme="minorHAnsi" w:hAnsiTheme="minorHAnsi"/>
        </w:rPr>
        <w:fldChar w:fldCharType="begin"/>
      </w:r>
      <w:r w:rsidRPr="00916285">
        <w:rPr>
          <w:rFonts w:asciiTheme="minorHAnsi" w:hAnsiTheme="minorHAnsi"/>
        </w:rPr>
        <w:instrText xml:space="preserve"> ADDIN EN.REFLIST </w:instrText>
      </w:r>
      <w:r w:rsidRPr="00916285">
        <w:rPr>
          <w:rFonts w:asciiTheme="minorHAnsi" w:hAnsiTheme="minorHAnsi"/>
        </w:rPr>
        <w:fldChar w:fldCharType="separate"/>
      </w:r>
      <w:r w:rsidR="00CA1E32" w:rsidRPr="00CA1E32">
        <w:t xml:space="preserve">1. Communities and Local Government. The English Indices of Deprivation 2015: Technical Report. Government DfCaL, 2015. </w:t>
      </w:r>
      <w:hyperlink r:id="rId8" w:history="1">
        <w:r w:rsidR="00CA1E32" w:rsidRPr="00CA1E32">
          <w:rPr>
            <w:rStyle w:val="Hyperlink"/>
          </w:rPr>
          <w:t>https://www.gov.uk/government/publications/english-indices-of-deprivation-2015-technical-report</w:t>
        </w:r>
      </w:hyperlink>
    </w:p>
    <w:p w:rsidR="00CA1E32" w:rsidRPr="00CA1E32" w:rsidRDefault="00CA1E32" w:rsidP="00CA1E32">
      <w:pPr>
        <w:pStyle w:val="EndNoteBibliography"/>
        <w:ind w:left="720" w:hanging="720"/>
      </w:pPr>
      <w:r w:rsidRPr="00CA1E32">
        <w:t xml:space="preserve">2. Office for National Statistics. Changes to Output Areas and Super Output Areas in England and Wales, 2001 to 2011. ONS, 2012:13. </w:t>
      </w:r>
      <w:hyperlink r:id="rId9" w:history="1">
        <w:r w:rsidRPr="00CA1E32">
          <w:rPr>
            <w:rStyle w:val="Hyperlink"/>
          </w:rPr>
          <w:t>http://www.ons.gov.uk/ons/guide-method/geography/products/census/report--changes-to-output-areas-and-super-output-areas-in-england-and-wales--2001-to-2011.pdf</w:t>
        </w:r>
      </w:hyperlink>
    </w:p>
    <w:p w:rsidR="00CA1E32" w:rsidRPr="00CA1E32" w:rsidRDefault="00CA1E32" w:rsidP="00CA1E32">
      <w:pPr>
        <w:pStyle w:val="EndNoteBibliography"/>
        <w:ind w:left="720" w:hanging="720"/>
      </w:pPr>
      <w:r w:rsidRPr="00CA1E32">
        <w:t xml:space="preserve">3. Office of National Statistics. Census 2011 Table Links. </w:t>
      </w:r>
      <w:hyperlink r:id="rId10" w:history="1">
        <w:r w:rsidRPr="00CA1E32">
          <w:rPr>
            <w:rStyle w:val="Hyperlink"/>
          </w:rPr>
          <w:t>https://www.nomisweb.co.uk/census/2011/quick_statistics</w:t>
        </w:r>
      </w:hyperlink>
    </w:p>
    <w:p w:rsidR="00CA1E32" w:rsidRPr="00CA1E32" w:rsidRDefault="00CA1E32" w:rsidP="00CA1E32">
      <w:pPr>
        <w:pStyle w:val="EndNoteBibliography"/>
        <w:ind w:left="720" w:hanging="720"/>
      </w:pPr>
      <w:r w:rsidRPr="00CA1E32">
        <w:t xml:space="preserve">4. Bibby P, Brindley P. Urban and rural area definitions for policy purposes in England and Wales: Methodology. </w:t>
      </w:r>
      <w:r w:rsidRPr="00CA1E32">
        <w:rPr>
          <w:i/>
        </w:rPr>
        <w:t>Government Statistical Service, London</w:t>
      </w:r>
      <w:r w:rsidRPr="00CA1E32">
        <w:t xml:space="preserve"> 2013.</w:t>
      </w:r>
    </w:p>
    <w:p w:rsidR="00CA1E32" w:rsidRPr="00CA1E32" w:rsidRDefault="00CA1E32" w:rsidP="00CA1E32">
      <w:pPr>
        <w:pStyle w:val="EndNoteBibliography"/>
        <w:ind w:left="720" w:hanging="720"/>
      </w:pPr>
      <w:r w:rsidRPr="00CA1E32">
        <w:t xml:space="preserve">5. Office for National Statistics. Super Output Area mid-year population estimates for England and Wales, Mid-2011 (Census Based). 2016. </w:t>
      </w:r>
      <w:hyperlink r:id="rId11" w:history="1">
        <w:r w:rsidRPr="00CA1E32">
          <w:rPr>
            <w:rStyle w:val="Hyperlink"/>
          </w:rPr>
          <w:t>http://www.ons.gov.uk/ons/publications/re-reference-tables.html?edition=tcm%3A77-285629</w:t>
        </w:r>
      </w:hyperlink>
    </w:p>
    <w:p w:rsidR="00CA1E32" w:rsidRPr="00CA1E32" w:rsidRDefault="00CA1E32" w:rsidP="00CA1E32">
      <w:pPr>
        <w:pStyle w:val="EndNoteBibliography"/>
        <w:ind w:left="720" w:hanging="720"/>
      </w:pPr>
      <w:r w:rsidRPr="00CA1E32">
        <w:t xml:space="preserve">6. Office for National Statistics. Open Geography Portal. 2016. </w:t>
      </w:r>
      <w:hyperlink r:id="rId12" w:history="1">
        <w:r w:rsidRPr="00CA1E32">
          <w:rPr>
            <w:rStyle w:val="Hyperlink"/>
          </w:rPr>
          <w:t>http://geoportal.statistics.gov.uk/</w:t>
        </w:r>
      </w:hyperlink>
    </w:p>
    <w:p w:rsidR="00CA1E32" w:rsidRPr="00CA1E32" w:rsidRDefault="00CA1E32" w:rsidP="00CA1E32">
      <w:pPr>
        <w:pStyle w:val="EndNoteBibliography"/>
        <w:ind w:left="720" w:hanging="720"/>
      </w:pPr>
      <w:r w:rsidRPr="00CA1E32">
        <w:t xml:space="preserve">7. Department of Health. Strategic Health Authority Configurations. </w:t>
      </w:r>
      <w:hyperlink r:id="rId13" w:history="1">
        <w:r w:rsidRPr="00CA1E32">
          <w:rPr>
            <w:rStyle w:val="Hyperlink"/>
          </w:rPr>
          <w:t>https://web.archive.org/web/20070205232558/http://www.dh.gov.uk/assetRoot/04/13/37/60/04133760.pdf</w:t>
        </w:r>
      </w:hyperlink>
    </w:p>
    <w:p w:rsidR="00CA1E32" w:rsidRPr="00CA1E32" w:rsidRDefault="00CA1E32" w:rsidP="00CA1E32">
      <w:pPr>
        <w:pStyle w:val="EndNoteBibliography"/>
        <w:ind w:left="720" w:hanging="720"/>
      </w:pPr>
      <w:r w:rsidRPr="00CA1E32">
        <w:t xml:space="preserve">8. Roland M. Linking physicians' pay to the quality of care--a major experiment in the United kingdom. </w:t>
      </w:r>
      <w:r w:rsidRPr="00CA1E32">
        <w:rPr>
          <w:i/>
        </w:rPr>
        <w:t>N Engl J Med</w:t>
      </w:r>
      <w:r w:rsidRPr="00CA1E32">
        <w:t xml:space="preserve"> 2004;351:1448-54.</w:t>
      </w:r>
    </w:p>
    <w:p w:rsidR="00CA1E32" w:rsidRPr="00CA1E32" w:rsidRDefault="00CA1E32" w:rsidP="00CA1E32">
      <w:pPr>
        <w:pStyle w:val="EndNoteBibliography"/>
        <w:ind w:left="720" w:hanging="720"/>
      </w:pPr>
      <w:r w:rsidRPr="00CA1E32">
        <w:lastRenderedPageBreak/>
        <w:t xml:space="preserve">9. Olier I, Springate DA, Ashcroft DM, Doran T, Reeves D, Planner C, et al. Modelling Conditions and Health Care Processes in Electronic Health Records: An Application to Severe Mental Illness with the Clinical Practice Research Datalink. </w:t>
      </w:r>
      <w:r w:rsidRPr="00CA1E32">
        <w:rPr>
          <w:i/>
        </w:rPr>
        <w:t>Plos One</w:t>
      </w:r>
      <w:r w:rsidRPr="00CA1E32">
        <w:t xml:space="preserve"> 2016;11.</w:t>
      </w:r>
    </w:p>
    <w:p w:rsidR="00CA1E32" w:rsidRPr="00CA1E32" w:rsidRDefault="00CA1E32" w:rsidP="00CA1E32">
      <w:pPr>
        <w:pStyle w:val="EndNoteBibliography"/>
        <w:ind w:left="720" w:hanging="720"/>
      </w:pPr>
      <w:r w:rsidRPr="00CA1E32">
        <w:t xml:space="preserve">10. Health &amp; Social Care Information Centre. The Quality and Outcomes Framework. 2013. </w:t>
      </w:r>
      <w:hyperlink r:id="rId14" w:history="1">
        <w:r w:rsidRPr="00CA1E32">
          <w:rPr>
            <w:rStyle w:val="Hyperlink"/>
          </w:rPr>
          <w:t>http://www.ic.nhs.uk/qof</w:t>
        </w:r>
      </w:hyperlink>
    </w:p>
    <w:p w:rsidR="00CA1E32" w:rsidRPr="00CA1E32" w:rsidRDefault="00CA1E32" w:rsidP="00CA1E32">
      <w:pPr>
        <w:pStyle w:val="EndNoteBibliography"/>
        <w:ind w:left="720" w:hanging="720"/>
      </w:pPr>
      <w:r w:rsidRPr="00CA1E32">
        <w:t xml:space="preserve">11. NHS Digital. Numbers of Patients Registered at a GP Practice - Jan 2016. </w:t>
      </w:r>
      <w:hyperlink r:id="rId15" w:anchor="top" w:history="1">
        <w:r w:rsidRPr="00CA1E32">
          <w:rPr>
            <w:rStyle w:val="Hyperlink"/>
          </w:rPr>
          <w:t>http://content.digital.nhs.uk/article/2021/Website-Search?productid=20032&amp;q=Numbers+of+Patients+Registered+at+a+GP+Practice&amp;sort=Relevance&amp;size=10&amp;page=1&amp;area=both#top</w:t>
        </w:r>
      </w:hyperlink>
    </w:p>
    <w:p w:rsidR="00CA1E32" w:rsidRPr="00CA1E32" w:rsidRDefault="00CA1E32" w:rsidP="00CA1E32">
      <w:pPr>
        <w:pStyle w:val="EndNoteBibliography"/>
        <w:ind w:left="720" w:hanging="720"/>
      </w:pPr>
      <w:r w:rsidRPr="00CA1E32">
        <w:t xml:space="preserve">12. Health &amp; Social Care Information Centre. Quality and  Outcomes  Framework  Achievement,  prevalence and  exceptions data, 2012/13: Frequently asked questions. HSCIC, 2013:20. </w:t>
      </w:r>
      <w:hyperlink r:id="rId16" w:history="1">
        <w:r w:rsidRPr="00CA1E32">
          <w:rPr>
            <w:rStyle w:val="Hyperlink"/>
          </w:rPr>
          <w:t>http://www.hscic.gov.uk/catalogue/PUB12262/qual-outc-fram-freq-aske-ques-2012-13-gui.pdf</w:t>
        </w:r>
      </w:hyperlink>
    </w:p>
    <w:p w:rsidR="00CA1E32" w:rsidRPr="00CA1E32" w:rsidRDefault="00CA1E32" w:rsidP="00CA1E32">
      <w:pPr>
        <w:pStyle w:val="EndNoteBibliography"/>
        <w:ind w:left="720" w:hanging="720"/>
      </w:pPr>
      <w:r w:rsidRPr="00CA1E32">
        <w:t xml:space="preserve">13. NHS Digital. NHS Payments to General Practice, England, 2015/16. </w:t>
      </w:r>
      <w:hyperlink r:id="rId17" w:history="1">
        <w:r w:rsidRPr="00CA1E32">
          <w:rPr>
            <w:rStyle w:val="Hyperlink"/>
          </w:rPr>
          <w:t>http://content.digital.nhs.uk/catalogue/PUB21318</w:t>
        </w:r>
      </w:hyperlink>
    </w:p>
    <w:p w:rsidR="00CA1E32" w:rsidRPr="00CA1E32" w:rsidRDefault="00CA1E32" w:rsidP="00CA1E32">
      <w:pPr>
        <w:pStyle w:val="EndNoteBibliography"/>
        <w:ind w:left="720" w:hanging="720"/>
      </w:pPr>
      <w:r w:rsidRPr="00CA1E32">
        <w:t xml:space="preserve">14. Levene LS, Baker R, Wilson A, Walker N, Boomla K, Bankart MJG. Population health needs as predictors of variations in NHS practice payments: a cross-sectional study of English general practices in 2013-2014 and 2014-2015. </w:t>
      </w:r>
      <w:r w:rsidRPr="00CA1E32">
        <w:rPr>
          <w:i/>
        </w:rPr>
        <w:t>Brit J Gen Pract</w:t>
      </w:r>
      <w:r w:rsidRPr="00CA1E32">
        <w:t xml:space="preserve"> 2017;67:E10-E19.</w:t>
      </w:r>
    </w:p>
    <w:p w:rsidR="00897641" w:rsidRDefault="00916285">
      <w:pPr>
        <w:rPr>
          <w:rFonts w:asciiTheme="minorHAnsi" w:hAnsiTheme="minorHAnsi"/>
        </w:rPr>
      </w:pPr>
      <w:r w:rsidRPr="00916285">
        <w:rPr>
          <w:rFonts w:asciiTheme="minorHAnsi" w:hAnsiTheme="minorHAnsi"/>
        </w:rPr>
        <w:fldChar w:fldCharType="end"/>
      </w:r>
    </w:p>
    <w:p w:rsidR="00897641" w:rsidRDefault="00897641" w:rsidP="00897641"/>
    <w:p w:rsidR="00897641" w:rsidRDefault="00897641" w:rsidP="00897641">
      <w:pPr>
        <w:pStyle w:val="Caption"/>
        <w:keepNext/>
        <w:spacing w:after="0" w:line="276" w:lineRule="auto"/>
        <w:rPr>
          <w:rFonts w:ascii="Calibri" w:hAnsi="Calibri" w:cs="Calibri"/>
          <w:sz w:val="20"/>
          <w:szCs w:val="20"/>
        </w:rPr>
        <w:sectPr w:rsidR="00897641">
          <w:footerReference w:type="default" r:id="rId18"/>
          <w:pgSz w:w="11906" w:h="16838"/>
          <w:pgMar w:top="1440" w:right="1440" w:bottom="1440" w:left="1440" w:header="708" w:footer="708" w:gutter="0"/>
          <w:cols w:space="708"/>
          <w:docGrid w:linePitch="360"/>
        </w:sectPr>
      </w:pPr>
    </w:p>
    <w:p w:rsidR="00897641" w:rsidRDefault="00897641" w:rsidP="00897641">
      <w:pPr>
        <w:pStyle w:val="Caption"/>
        <w:keepNext/>
        <w:spacing w:after="0" w:line="276" w:lineRule="auto"/>
        <w:rPr>
          <w:rFonts w:ascii="Calibri" w:hAnsi="Calibri" w:cs="Calibri"/>
          <w:sz w:val="20"/>
          <w:szCs w:val="20"/>
        </w:rPr>
      </w:pPr>
      <w:r>
        <w:rPr>
          <w:rFonts w:ascii="Calibri" w:hAnsi="Calibri" w:cs="Calibri"/>
          <w:sz w:val="20"/>
          <w:szCs w:val="20"/>
        </w:rPr>
        <w:lastRenderedPageBreak/>
        <w:t>Table A</w:t>
      </w:r>
      <w:r>
        <w:rPr>
          <w:rFonts w:ascii="Calibri" w:hAnsi="Calibri" w:cs="Calibri"/>
          <w:sz w:val="20"/>
          <w:szCs w:val="20"/>
        </w:rPr>
        <w:fldChar w:fldCharType="begin"/>
      </w:r>
      <w:r>
        <w:rPr>
          <w:rFonts w:ascii="Calibri" w:hAnsi="Calibri" w:cs="Calibri"/>
          <w:sz w:val="20"/>
          <w:szCs w:val="20"/>
        </w:rPr>
        <w:instrText xml:space="preserve"> SEQ Table \* ARABIC </w:instrText>
      </w:r>
      <w:r>
        <w:rPr>
          <w:rFonts w:ascii="Calibri" w:hAnsi="Calibri" w:cs="Calibri"/>
          <w:sz w:val="20"/>
          <w:szCs w:val="20"/>
        </w:rPr>
        <w:fldChar w:fldCharType="separate"/>
      </w:r>
      <w:r>
        <w:rPr>
          <w:rFonts w:ascii="Calibri" w:hAnsi="Calibri" w:cs="Calibri"/>
          <w:noProof/>
          <w:sz w:val="20"/>
          <w:szCs w:val="20"/>
        </w:rPr>
        <w:t>1</w:t>
      </w:r>
      <w:r>
        <w:rPr>
          <w:rFonts w:ascii="Calibri" w:hAnsi="Calibri" w:cs="Calibri"/>
          <w:noProof/>
          <w:sz w:val="20"/>
          <w:szCs w:val="20"/>
        </w:rPr>
        <w:fldChar w:fldCharType="end"/>
      </w:r>
      <w:r>
        <w:rPr>
          <w:rFonts w:ascii="Calibri" w:hAnsi="Calibri" w:cs="Calibri"/>
          <w:sz w:val="20"/>
          <w:szCs w:val="20"/>
        </w:rPr>
        <w:t>: Results from model B, linear regression at the LSOA level, with region-morbidity and region-IMD interactions*†‡</w:t>
      </w:r>
    </w:p>
    <w:tbl>
      <w:tblPr>
        <w:tblW w:w="6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162"/>
        <w:gridCol w:w="960"/>
        <w:gridCol w:w="960"/>
        <w:gridCol w:w="960"/>
      </w:tblGrid>
      <w:tr w:rsidR="00897641" w:rsidRPr="0055773D" w:rsidTr="0055773D">
        <w:trPr>
          <w:tblHeader/>
        </w:trPr>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rPr>
                <w:rFonts w:asciiTheme="minorHAnsi" w:hAnsiTheme="minorHAnsi" w:cstheme="minorHAnsi"/>
                <w:sz w:val="20"/>
                <w:szCs w:val="20"/>
              </w:rPr>
            </w:pP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coefficient</w:t>
            </w:r>
          </w:p>
        </w:tc>
        <w:tc>
          <w:tcPr>
            <w:tcW w:w="1920" w:type="dxa"/>
            <w:gridSpan w:val="2"/>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95% Confidence Interval</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p-value</w:t>
            </w:r>
          </w:p>
        </w:tc>
      </w:tr>
      <w:tr w:rsidR="00897641" w:rsidRPr="0055773D" w:rsidTr="0055773D">
        <w:tc>
          <w:tcPr>
            <w:tcW w:w="6720" w:type="dxa"/>
            <w:gridSpan w:val="5"/>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Region</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Yorkshire &amp; Humber</w:t>
            </w:r>
          </w:p>
        </w:tc>
        <w:tc>
          <w:tcPr>
            <w:tcW w:w="4042" w:type="dxa"/>
            <w:gridSpan w:val="4"/>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reference</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North East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-7.73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-17.55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2.08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0.122</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North West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1.99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-4.78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8.75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0.565</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East Midlands</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-23.55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-30.51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-16.59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West Midlands</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-2.96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-10.35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4.42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0.432</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East England</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-37.91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-44.36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-31.46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London</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43.14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36.65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49.64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East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-20.58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-27.40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-13.77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Central</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-1.75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-8.69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5.20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0.622</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West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-11.59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2.32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0.191</w:t>
            </w:r>
          </w:p>
        </w:tc>
      </w:tr>
      <w:tr w:rsidR="00897641" w:rsidRPr="0055773D" w:rsidTr="0055773D">
        <w:tc>
          <w:tcPr>
            <w:tcW w:w="6720" w:type="dxa"/>
            <w:gridSpan w:val="5"/>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Demographics†</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 aged 30-59, 2015</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0.835</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 aged 60 or over, 2015</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 Female, 2015</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-0.45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-0.35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 White British, 2011</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6720" w:type="dxa"/>
            <w:gridSpan w:val="5"/>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Urbanity†</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Rural LSOA</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34.47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33.78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35.16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6720" w:type="dxa"/>
            <w:gridSpan w:val="5"/>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Morbidity and deprivation†</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Chronic morbidity index</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87.27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78.23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96.31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bookmarkStart w:id="2" w:name="_GoBack"/>
        <w:bookmarkEnd w:id="2"/>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IMD 2015</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constant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115.37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108.55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122.18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6720" w:type="dxa"/>
            <w:gridSpan w:val="5"/>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proofErr w:type="spellStart"/>
            <w:r w:rsidRPr="0055773D">
              <w:rPr>
                <w:rFonts w:asciiTheme="minorHAnsi" w:eastAsia="Times New Roman" w:hAnsiTheme="minorHAnsi" w:cstheme="minorHAnsi"/>
                <w:color w:val="000000"/>
                <w:sz w:val="22"/>
                <w:szCs w:val="22"/>
                <w:lang w:val="en-US" w:eastAsia="en-GB"/>
              </w:rPr>
              <w:t>Region#Morbidity</w:t>
            </w:r>
            <w:proofErr w:type="spellEnd"/>
            <w:r w:rsidRPr="0055773D">
              <w:rPr>
                <w:rFonts w:asciiTheme="minorHAnsi" w:eastAsia="Times New Roman" w:hAnsiTheme="minorHAnsi" w:cstheme="minorHAnsi"/>
                <w:color w:val="000000"/>
                <w:sz w:val="22"/>
                <w:szCs w:val="22"/>
                <w:lang w:val="en-US" w:eastAsia="en-GB"/>
              </w:rPr>
              <w:t xml:space="preserve"> interaction</w:t>
            </w:r>
            <w:r w:rsidRPr="0055773D">
              <w:rPr>
                <w:rFonts w:asciiTheme="minorHAnsi" w:hAnsiTheme="minorHAnsi" w:cstheme="minorHAnsi"/>
                <w:sz w:val="22"/>
                <w:szCs w:val="22"/>
                <w:lang w:val="en-US"/>
              </w:rPr>
              <w:t>‡</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Yorkshire &amp; Humber</w:t>
            </w:r>
          </w:p>
        </w:tc>
        <w:tc>
          <w:tcPr>
            <w:tcW w:w="4042" w:type="dxa"/>
            <w:gridSpan w:val="4"/>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reference</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North East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-15.60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-32.63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1.44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0.073</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North West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-33.64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-45.72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-21.57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East Midlands</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44.21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31.80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56.61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West Midlands</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-9.12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-22.28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4.04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0.174</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East England</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62.15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50.03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74.28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London</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-123.41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-137.00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-109.82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East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14.53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1.59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27.47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0.028</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Central</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-24.68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-38.22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-11.15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West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-1.92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-14.48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10.65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0.765</w:t>
            </w:r>
          </w:p>
        </w:tc>
      </w:tr>
      <w:tr w:rsidR="00897641" w:rsidRPr="0055773D" w:rsidTr="0055773D">
        <w:tc>
          <w:tcPr>
            <w:tcW w:w="6720" w:type="dxa"/>
            <w:gridSpan w:val="5"/>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proofErr w:type="spellStart"/>
            <w:r w:rsidRPr="0055773D">
              <w:rPr>
                <w:rFonts w:asciiTheme="minorHAnsi" w:eastAsia="Times New Roman" w:hAnsiTheme="minorHAnsi" w:cstheme="minorHAnsi"/>
                <w:color w:val="000000"/>
                <w:sz w:val="22"/>
                <w:szCs w:val="22"/>
                <w:lang w:val="en-US" w:eastAsia="en-GB"/>
              </w:rPr>
              <w:t>Region#IMD</w:t>
            </w:r>
            <w:proofErr w:type="spellEnd"/>
            <w:r w:rsidRPr="0055773D">
              <w:rPr>
                <w:rFonts w:asciiTheme="minorHAnsi" w:eastAsia="Times New Roman" w:hAnsiTheme="minorHAnsi" w:cstheme="minorHAnsi"/>
                <w:color w:val="000000"/>
                <w:sz w:val="22"/>
                <w:szCs w:val="22"/>
                <w:lang w:val="en-US" w:eastAsia="en-GB"/>
              </w:rPr>
              <w:t xml:space="preserve"> interaction</w:t>
            </w:r>
            <w:r w:rsidRPr="0055773D">
              <w:rPr>
                <w:rFonts w:asciiTheme="minorHAnsi" w:hAnsiTheme="minorHAnsi" w:cstheme="minorHAnsi"/>
                <w:sz w:val="22"/>
                <w:szCs w:val="22"/>
                <w:lang w:val="en-US"/>
              </w:rPr>
              <w:t>‡</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Yorkshire &amp; Humber</w:t>
            </w:r>
          </w:p>
        </w:tc>
        <w:tc>
          <w:tcPr>
            <w:tcW w:w="4042" w:type="dxa"/>
            <w:gridSpan w:val="4"/>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sz w:val="20"/>
                <w:szCs w:val="20"/>
                <w:lang w:val="en-US" w:eastAsia="en-GB"/>
              </w:rPr>
            </w:pPr>
            <w:r w:rsidRPr="0055773D">
              <w:rPr>
                <w:rFonts w:asciiTheme="minorHAnsi" w:eastAsia="Times New Roman" w:hAnsiTheme="minorHAnsi" w:cstheme="minorHAnsi"/>
                <w:color w:val="000000"/>
                <w:sz w:val="22"/>
                <w:szCs w:val="22"/>
                <w:lang w:val="en-US" w:eastAsia="en-GB"/>
              </w:rPr>
              <w:t>reference</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North East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0.006</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North West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East Midlands</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-0.17</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West Midlands</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0.11</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0.089</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East England</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-0.19</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0.001</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London</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East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-0.08</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0.041</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Central</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-0.03</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0.14</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0.210</w:t>
            </w:r>
          </w:p>
        </w:tc>
      </w:tr>
      <w:tr w:rsidR="00897641" w:rsidRPr="0055773D" w:rsidTr="0055773D">
        <w:tc>
          <w:tcPr>
            <w:tcW w:w="2678"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rPr>
                <w:rFonts w:asciiTheme="minorHAnsi" w:eastAsia="Times New Roman" w:hAnsiTheme="minorHAnsi" w:cstheme="minorHAnsi"/>
                <w:color w:val="000000"/>
                <w:sz w:val="22"/>
                <w:szCs w:val="22"/>
                <w:lang w:val="en-US" w:eastAsia="en-GB"/>
              </w:rPr>
            </w:pPr>
            <w:r w:rsidRPr="0055773D">
              <w:rPr>
                <w:rFonts w:asciiTheme="minorHAnsi" w:eastAsia="Times New Roman" w:hAnsiTheme="minorHAnsi" w:cstheme="minorHAnsi"/>
                <w:color w:val="000000"/>
                <w:sz w:val="22"/>
                <w:szCs w:val="22"/>
                <w:lang w:val="en-US" w:eastAsia="en-GB"/>
              </w:rPr>
              <w:t>South West</w:t>
            </w:r>
          </w:p>
        </w:tc>
        <w:tc>
          <w:tcPr>
            <w:tcW w:w="1162"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-0.12</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-0.20</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-0.05</w:t>
            </w:r>
          </w:p>
        </w:tc>
        <w:tc>
          <w:tcPr>
            <w:tcW w:w="960" w:type="dxa"/>
            <w:tcBorders>
              <w:top w:val="single" w:sz="4" w:space="0" w:color="auto"/>
              <w:left w:val="single" w:sz="4" w:space="0" w:color="auto"/>
              <w:bottom w:val="single" w:sz="4" w:space="0" w:color="auto"/>
              <w:right w:val="single" w:sz="4" w:space="0" w:color="auto"/>
            </w:tcBorders>
            <w:noWrap/>
            <w:vAlign w:val="bottom"/>
            <w:hideMark/>
          </w:tcPr>
          <w:p w:rsidR="00897641" w:rsidRPr="0055773D" w:rsidRDefault="00897641" w:rsidP="0055773D">
            <w:pPr>
              <w:autoSpaceDE/>
              <w:adjustRightInd/>
              <w:jc w:val="right"/>
              <w:rPr>
                <w:rFonts w:asciiTheme="minorHAnsi" w:eastAsia="Times New Roman" w:hAnsiTheme="minorHAnsi" w:cstheme="minorHAnsi"/>
                <w:color w:val="000000"/>
                <w:sz w:val="22"/>
                <w:szCs w:val="22"/>
                <w:lang w:val="en-US" w:eastAsia="en-GB"/>
              </w:rPr>
            </w:pPr>
            <w:r w:rsidRPr="0055773D">
              <w:rPr>
                <w:rFonts w:asciiTheme="minorHAnsi" w:hAnsiTheme="minorHAnsi" w:cstheme="minorHAnsi"/>
                <w:color w:val="000000"/>
                <w:sz w:val="22"/>
                <w:szCs w:val="22"/>
                <w:lang w:val="en-US"/>
              </w:rPr>
              <w:t>0.001</w:t>
            </w:r>
          </w:p>
        </w:tc>
      </w:tr>
    </w:tbl>
    <w:p w:rsidR="00897641" w:rsidRPr="0055773D" w:rsidRDefault="00897641" w:rsidP="00897641">
      <w:pPr>
        <w:autoSpaceDE/>
        <w:adjustRightInd/>
        <w:rPr>
          <w:rFonts w:asciiTheme="minorHAnsi" w:hAnsiTheme="minorHAnsi" w:cstheme="minorHAnsi"/>
          <w:sz w:val="22"/>
          <w:szCs w:val="22"/>
        </w:rPr>
      </w:pPr>
      <w:r w:rsidRPr="0055773D">
        <w:rPr>
          <w:rFonts w:asciiTheme="minorHAnsi" w:hAnsiTheme="minorHAnsi" w:cstheme="minorHAnsi"/>
          <w:sz w:val="22"/>
          <w:szCs w:val="22"/>
        </w:rPr>
        <w:t>* 32844 LSOAs (observations) with analytic weighting, adjusted R-squared=40.89%</w:t>
      </w:r>
    </w:p>
    <w:p w:rsidR="00897641" w:rsidRPr="0055773D" w:rsidRDefault="00897641" w:rsidP="00897641">
      <w:pPr>
        <w:autoSpaceDE/>
        <w:adjustRightInd/>
        <w:rPr>
          <w:rFonts w:asciiTheme="minorHAnsi" w:eastAsia="Times New Roman" w:hAnsiTheme="minorHAnsi" w:cstheme="minorHAnsi"/>
          <w:color w:val="000000"/>
          <w:sz w:val="22"/>
          <w:szCs w:val="22"/>
          <w:lang w:eastAsia="en-GB"/>
        </w:rPr>
      </w:pPr>
      <w:r w:rsidRPr="0055773D">
        <w:rPr>
          <w:rFonts w:asciiTheme="minorHAnsi" w:eastAsia="Times New Roman" w:hAnsiTheme="minorHAnsi" w:cstheme="minorHAnsi"/>
          <w:color w:val="000000"/>
          <w:sz w:val="22"/>
          <w:szCs w:val="22"/>
          <w:lang w:eastAsia="en-GB"/>
        </w:rPr>
        <w:t>† Coefficients reported are for the reference region only, Yorkshire &amp; the Humber</w:t>
      </w:r>
    </w:p>
    <w:p w:rsidR="00897641" w:rsidRPr="0055773D" w:rsidRDefault="00897641" w:rsidP="00897641">
      <w:pPr>
        <w:autoSpaceDE/>
        <w:adjustRightInd/>
        <w:rPr>
          <w:rFonts w:asciiTheme="minorHAnsi" w:hAnsiTheme="minorHAnsi" w:cstheme="minorHAnsi"/>
          <w:sz w:val="22"/>
          <w:szCs w:val="22"/>
        </w:rPr>
      </w:pPr>
      <w:r w:rsidRPr="0055773D">
        <w:rPr>
          <w:rFonts w:asciiTheme="minorHAnsi" w:hAnsiTheme="minorHAnsi" w:cstheme="minorHAnsi"/>
          <w:sz w:val="22"/>
          <w:szCs w:val="22"/>
        </w:rPr>
        <w:t>‡ Differences to the coefficients reported for the reference region</w:t>
      </w:r>
    </w:p>
    <w:p w:rsidR="0019355B" w:rsidRDefault="0019355B" w:rsidP="00897641">
      <w:pPr>
        <w:autoSpaceDE/>
        <w:adjustRightInd/>
        <w:rPr>
          <w:rFonts w:asciiTheme="majorHAnsi" w:hAnsiTheme="majorHAnsi"/>
          <w:sz w:val="22"/>
          <w:szCs w:val="22"/>
        </w:rPr>
      </w:pPr>
    </w:p>
    <w:p w:rsidR="00897641" w:rsidRDefault="00897641" w:rsidP="00897641">
      <w:pPr>
        <w:pStyle w:val="Caption"/>
        <w:keepNext/>
        <w:spacing w:after="0" w:line="276" w:lineRule="auto"/>
        <w:rPr>
          <w:rFonts w:ascii="Calibri" w:hAnsi="Calibri"/>
          <w:sz w:val="20"/>
          <w:szCs w:val="20"/>
        </w:rPr>
      </w:pPr>
      <w:r>
        <w:rPr>
          <w:rFonts w:ascii="Calibri" w:hAnsi="Calibri"/>
          <w:sz w:val="20"/>
          <w:szCs w:val="20"/>
        </w:rPr>
        <w:lastRenderedPageBreak/>
        <w:t xml:space="preserve">Figure </w:t>
      </w:r>
      <w:proofErr w:type="gramStart"/>
      <w:r w:rsidR="00D927EE">
        <w:rPr>
          <w:rFonts w:ascii="Calibri" w:hAnsi="Calibri"/>
          <w:sz w:val="20"/>
          <w:szCs w:val="20"/>
        </w:rPr>
        <w:t>A</w:t>
      </w:r>
      <w:proofErr w:type="gramEnd"/>
      <w:r>
        <w:rPr>
          <w:rFonts w:ascii="Calibri" w:hAnsi="Calibri"/>
          <w:sz w:val="20"/>
          <w:szCs w:val="20"/>
        </w:rPr>
        <w:fldChar w:fldCharType="begin"/>
      </w:r>
      <w:r>
        <w:rPr>
          <w:rFonts w:ascii="Calibri" w:hAnsi="Calibri"/>
          <w:sz w:val="20"/>
          <w:szCs w:val="20"/>
        </w:rPr>
        <w:instrText xml:space="preserve"> SEQ Figure \* ARABIC </w:instrText>
      </w:r>
      <w:r>
        <w:rPr>
          <w:rFonts w:ascii="Calibri" w:hAnsi="Calibri"/>
          <w:sz w:val="20"/>
          <w:szCs w:val="20"/>
        </w:rPr>
        <w:fldChar w:fldCharType="separate"/>
      </w:r>
      <w:r w:rsidR="0061254F">
        <w:rPr>
          <w:rFonts w:ascii="Calibri" w:hAnsi="Calibri"/>
          <w:noProof/>
          <w:sz w:val="20"/>
          <w:szCs w:val="20"/>
        </w:rPr>
        <w:t>1</w:t>
      </w:r>
      <w:r>
        <w:rPr>
          <w:rFonts w:ascii="Calibri" w:hAnsi="Calibri"/>
          <w:sz w:val="20"/>
          <w:szCs w:val="20"/>
        </w:rPr>
        <w:fldChar w:fldCharType="end"/>
      </w:r>
      <w:r>
        <w:rPr>
          <w:rFonts w:ascii="Calibri" w:hAnsi="Calibri"/>
          <w:sz w:val="20"/>
          <w:szCs w:val="20"/>
        </w:rPr>
        <w:t>: Cost estimates (and 95% CIs) by region from model B, at various levels for the chronic morbidity index (top) and the index of multiple deprivation (bottom)*</w:t>
      </w:r>
    </w:p>
    <w:tbl>
      <w:tblPr>
        <w:tblStyle w:val="TableGrid"/>
        <w:tblW w:w="0" w:type="auto"/>
        <w:tblLook w:val="04A0" w:firstRow="1" w:lastRow="0" w:firstColumn="1" w:lastColumn="0" w:noHBand="0" w:noVBand="1"/>
      </w:tblPr>
      <w:tblGrid>
        <w:gridCol w:w="10456"/>
      </w:tblGrid>
      <w:tr w:rsidR="00897641" w:rsidTr="00897641">
        <w:tc>
          <w:tcPr>
            <w:tcW w:w="10716" w:type="dxa"/>
            <w:tcBorders>
              <w:top w:val="single" w:sz="4" w:space="0" w:color="auto"/>
              <w:left w:val="single" w:sz="4" w:space="0" w:color="auto"/>
              <w:bottom w:val="single" w:sz="4" w:space="0" w:color="auto"/>
              <w:right w:val="single" w:sz="4" w:space="0" w:color="auto"/>
            </w:tcBorders>
            <w:hideMark/>
          </w:tcPr>
          <w:p w:rsidR="00897641" w:rsidRDefault="00897641">
            <w:r>
              <w:rPr>
                <w:noProof/>
                <w:lang w:eastAsia="en-GB"/>
              </w:rPr>
              <w:drawing>
                <wp:inline distT="0" distB="0" distL="0" distR="0">
                  <wp:extent cx="6667500" cy="3971925"/>
                  <wp:effectExtent l="0" t="0" r="0"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897641" w:rsidTr="00897641">
        <w:tc>
          <w:tcPr>
            <w:tcW w:w="10716" w:type="dxa"/>
            <w:tcBorders>
              <w:top w:val="single" w:sz="4" w:space="0" w:color="auto"/>
              <w:left w:val="single" w:sz="4" w:space="0" w:color="auto"/>
              <w:bottom w:val="single" w:sz="4" w:space="0" w:color="auto"/>
              <w:right w:val="single" w:sz="4" w:space="0" w:color="auto"/>
            </w:tcBorders>
            <w:hideMark/>
          </w:tcPr>
          <w:p w:rsidR="00897641" w:rsidRDefault="00897641">
            <w:r>
              <w:rPr>
                <w:noProof/>
                <w:lang w:eastAsia="en-GB"/>
              </w:rPr>
              <w:drawing>
                <wp:inline distT="0" distB="0" distL="0" distR="0">
                  <wp:extent cx="6667500" cy="3971925"/>
                  <wp:effectExtent l="0" t="0" r="0" b="95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897641" w:rsidRDefault="00897641" w:rsidP="00897641">
      <w:pPr>
        <w:autoSpaceDE/>
        <w:adjustRightInd/>
        <w:rPr>
          <w:rFonts w:asciiTheme="majorHAnsi" w:hAnsiTheme="majorHAnsi"/>
          <w:sz w:val="22"/>
          <w:szCs w:val="22"/>
        </w:rPr>
      </w:pPr>
      <w:r>
        <w:rPr>
          <w:rFonts w:asciiTheme="majorHAnsi" w:hAnsiTheme="majorHAnsi"/>
          <w:sz w:val="22"/>
          <w:szCs w:val="22"/>
        </w:rPr>
        <w:t>* Corresponding to 10</w:t>
      </w:r>
      <w:r>
        <w:rPr>
          <w:rFonts w:asciiTheme="majorHAnsi" w:hAnsiTheme="majorHAnsi"/>
          <w:sz w:val="22"/>
          <w:szCs w:val="22"/>
          <w:vertAlign w:val="superscript"/>
        </w:rPr>
        <w:t>th</w:t>
      </w:r>
      <w:r>
        <w:rPr>
          <w:rFonts w:asciiTheme="majorHAnsi" w:hAnsiTheme="majorHAnsi"/>
          <w:sz w:val="22"/>
          <w:szCs w:val="22"/>
        </w:rPr>
        <w:t>, 25</w:t>
      </w:r>
      <w:r>
        <w:rPr>
          <w:rFonts w:asciiTheme="majorHAnsi" w:hAnsiTheme="majorHAnsi"/>
          <w:sz w:val="22"/>
          <w:szCs w:val="22"/>
          <w:vertAlign w:val="superscript"/>
        </w:rPr>
        <w:t>th</w:t>
      </w:r>
      <w:r>
        <w:rPr>
          <w:rFonts w:asciiTheme="majorHAnsi" w:hAnsiTheme="majorHAnsi"/>
          <w:sz w:val="22"/>
          <w:szCs w:val="22"/>
        </w:rPr>
        <w:t>, 50</w:t>
      </w:r>
      <w:r>
        <w:rPr>
          <w:rFonts w:asciiTheme="majorHAnsi" w:hAnsiTheme="majorHAnsi"/>
          <w:sz w:val="22"/>
          <w:szCs w:val="22"/>
          <w:vertAlign w:val="superscript"/>
        </w:rPr>
        <w:t>th</w:t>
      </w:r>
      <w:r>
        <w:rPr>
          <w:rFonts w:asciiTheme="majorHAnsi" w:hAnsiTheme="majorHAnsi"/>
          <w:sz w:val="22"/>
          <w:szCs w:val="22"/>
        </w:rPr>
        <w:t>, 75</w:t>
      </w:r>
      <w:r>
        <w:rPr>
          <w:rFonts w:asciiTheme="majorHAnsi" w:hAnsiTheme="majorHAnsi"/>
          <w:sz w:val="22"/>
          <w:szCs w:val="22"/>
          <w:vertAlign w:val="superscript"/>
        </w:rPr>
        <w:t>th</w:t>
      </w:r>
      <w:r>
        <w:rPr>
          <w:rFonts w:asciiTheme="majorHAnsi" w:hAnsiTheme="majorHAnsi"/>
          <w:sz w:val="22"/>
          <w:szCs w:val="22"/>
        </w:rPr>
        <w:t xml:space="preserve"> and 90</w:t>
      </w:r>
      <w:r>
        <w:rPr>
          <w:rFonts w:asciiTheme="majorHAnsi" w:hAnsiTheme="majorHAnsi"/>
          <w:sz w:val="22"/>
          <w:szCs w:val="22"/>
          <w:vertAlign w:val="superscript"/>
        </w:rPr>
        <w:t>th</w:t>
      </w:r>
      <w:r>
        <w:rPr>
          <w:rFonts w:asciiTheme="majorHAnsi" w:hAnsiTheme="majorHAnsi"/>
          <w:sz w:val="22"/>
          <w:szCs w:val="22"/>
        </w:rPr>
        <w:t xml:space="preserve"> centile for the chronic morbidity index (0.375, 0.445, 0.513, 0.568 and 0.614) and deprivation as measured by the Index of Multiple Deprivation 2015 (5.7, 9.7, 17.4, 30.1 and 44.6)</w:t>
      </w:r>
    </w:p>
    <w:p w:rsidR="000B7677" w:rsidRPr="00916285" w:rsidRDefault="000B7677">
      <w:pPr>
        <w:rPr>
          <w:rFonts w:asciiTheme="minorHAnsi" w:hAnsiTheme="minorHAnsi"/>
        </w:rPr>
      </w:pPr>
    </w:p>
    <w:sectPr w:rsidR="000B7677" w:rsidRPr="00916285" w:rsidSect="0089764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510" w:rsidRDefault="004E7510" w:rsidP="004E7510">
      <w:r>
        <w:separator/>
      </w:r>
    </w:p>
  </w:endnote>
  <w:endnote w:type="continuationSeparator" w:id="0">
    <w:p w:rsidR="004E7510" w:rsidRDefault="004E7510" w:rsidP="004E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MT">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501275"/>
      <w:docPartObj>
        <w:docPartGallery w:val="Page Numbers (Bottom of Page)"/>
        <w:docPartUnique/>
      </w:docPartObj>
    </w:sdtPr>
    <w:sdtEndPr>
      <w:rPr>
        <w:noProof/>
      </w:rPr>
    </w:sdtEndPr>
    <w:sdtContent>
      <w:p w:rsidR="004E7510" w:rsidRDefault="004E7510">
        <w:pPr>
          <w:pStyle w:val="Footer"/>
          <w:jc w:val="right"/>
        </w:pPr>
        <w:r>
          <w:fldChar w:fldCharType="begin"/>
        </w:r>
        <w:r>
          <w:instrText xml:space="preserve"> PAGE   \* MERGEFORMAT </w:instrText>
        </w:r>
        <w:r>
          <w:fldChar w:fldCharType="separate"/>
        </w:r>
        <w:r w:rsidR="0055773D">
          <w:rPr>
            <w:noProof/>
          </w:rPr>
          <w:t>7</w:t>
        </w:r>
        <w:r>
          <w:rPr>
            <w:noProof/>
          </w:rPr>
          <w:fldChar w:fldCharType="end"/>
        </w:r>
      </w:p>
    </w:sdtContent>
  </w:sdt>
  <w:p w:rsidR="004E7510" w:rsidRDefault="004E75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510" w:rsidRDefault="004E7510" w:rsidP="004E7510">
      <w:r>
        <w:separator/>
      </w:r>
    </w:p>
  </w:footnote>
  <w:footnote w:type="continuationSeparator" w:id="0">
    <w:p w:rsidR="004E7510" w:rsidRDefault="004E7510" w:rsidP="004E7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F5E41"/>
    <w:multiLevelType w:val="hybridMultilevel"/>
    <w:tmpl w:val="4F002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71103AF"/>
    <w:multiLevelType w:val="hybridMultilevel"/>
    <w:tmpl w:val="71424DB2"/>
    <w:lvl w:ilvl="0" w:tplc="6C92991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03E6567"/>
    <w:multiLevelType w:val="hybridMultilevel"/>
    <w:tmpl w:val="724A2178"/>
    <w:lvl w:ilvl="0" w:tplc="6C92991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72B2A38"/>
    <w:multiLevelType w:val="hybridMultilevel"/>
    <w:tmpl w:val="E8742D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F27116"/>
    <w:multiLevelType w:val="hybridMultilevel"/>
    <w:tmpl w:val="5162A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AE66E2"/>
    <w:multiLevelType w:val="hybridMultilevel"/>
    <w:tmpl w:val="567AF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162F7"/>
    <w:multiLevelType w:val="hybridMultilevel"/>
    <w:tmpl w:val="DDEE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4B0259"/>
    <w:multiLevelType w:val="hybridMultilevel"/>
    <w:tmpl w:val="6D3AE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93565A"/>
    <w:multiLevelType w:val="hybridMultilevel"/>
    <w:tmpl w:val="E670E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5D7E1B"/>
    <w:multiLevelType w:val="hybridMultilevel"/>
    <w:tmpl w:val="4E4E69DA"/>
    <w:lvl w:ilvl="0" w:tplc="6C929916">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7434ADE"/>
    <w:multiLevelType w:val="hybridMultilevel"/>
    <w:tmpl w:val="50C8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5C7246"/>
    <w:multiLevelType w:val="hybridMultilevel"/>
    <w:tmpl w:val="4FCA7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AA5553"/>
    <w:multiLevelType w:val="hybridMultilevel"/>
    <w:tmpl w:val="4A30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3"/>
  </w:num>
  <w:num w:numId="10">
    <w:abstractNumId w:val="6"/>
  </w:num>
  <w:num w:numId="11">
    <w:abstractNumId w:val="7"/>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rit Medical J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wff925sdxd9me05vrxt2sjvf0eaes5f9w0&quot;&gt;2016IMDspatial&lt;record-ids&gt;&lt;item&gt;1&lt;/item&gt;&lt;item&gt;2&lt;/item&gt;&lt;item&gt;4&lt;/item&gt;&lt;item&gt;7&lt;/item&gt;&lt;item&gt;13&lt;/item&gt;&lt;item&gt;17&lt;/item&gt;&lt;item&gt;18&lt;/item&gt;&lt;item&gt;22&lt;/item&gt;&lt;item&gt;24&lt;/item&gt;&lt;item&gt;25&lt;/item&gt;&lt;item&gt;26&lt;/item&gt;&lt;item&gt;27&lt;/item&gt;&lt;item&gt;28&lt;/item&gt;&lt;item&gt;30&lt;/item&gt;&lt;/record-ids&gt;&lt;/item&gt;&lt;/Libraries&gt;"/>
  </w:docVars>
  <w:rsids>
    <w:rsidRoot w:val="00385745"/>
    <w:rsid w:val="000B7677"/>
    <w:rsid w:val="000D5934"/>
    <w:rsid w:val="00112DBA"/>
    <w:rsid w:val="0019355B"/>
    <w:rsid w:val="001C596D"/>
    <w:rsid w:val="00216923"/>
    <w:rsid w:val="003410FF"/>
    <w:rsid w:val="00385745"/>
    <w:rsid w:val="003C3B84"/>
    <w:rsid w:val="00487C83"/>
    <w:rsid w:val="004E7510"/>
    <w:rsid w:val="0055773D"/>
    <w:rsid w:val="0061254F"/>
    <w:rsid w:val="008704D8"/>
    <w:rsid w:val="00897641"/>
    <w:rsid w:val="00916285"/>
    <w:rsid w:val="00A52730"/>
    <w:rsid w:val="00A95062"/>
    <w:rsid w:val="00B46A26"/>
    <w:rsid w:val="00BE03BA"/>
    <w:rsid w:val="00C16093"/>
    <w:rsid w:val="00CA1E32"/>
    <w:rsid w:val="00D92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EC7E6-814C-4500-BF5E-CC42913A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rsid w:val="003410FF"/>
    <w:pPr>
      <w:autoSpaceDE w:val="0"/>
      <w:autoSpaceDN w:val="0"/>
      <w:adjustRightInd w:val="0"/>
      <w:spacing w:after="0" w:line="240" w:lineRule="auto"/>
    </w:pPr>
    <w:rPr>
      <w:rFonts w:ascii="TimesNewRomanPSMT" w:eastAsia="TimesNewRomanPSMT" w:hAnsi="TimesNewRomanPSMT" w:cs="TimesNewRomanPSMT"/>
      <w:sz w:val="24"/>
      <w:szCs w:val="24"/>
    </w:rPr>
  </w:style>
  <w:style w:type="paragraph" w:styleId="Heading1">
    <w:name w:val="heading 1"/>
    <w:basedOn w:val="Normal"/>
    <w:next w:val="Normal"/>
    <w:link w:val="Heading1Char"/>
    <w:uiPriority w:val="9"/>
    <w:qFormat/>
    <w:rsid w:val="003410FF"/>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410F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410FF"/>
    <w:pPr>
      <w:keepNext/>
      <w:keepLines/>
      <w:spacing w:before="200"/>
      <w:outlineLvl w:val="2"/>
    </w:pPr>
    <w:rPr>
      <w:rFonts w:asciiTheme="majorHAnsi" w:eastAsiaTheme="majorEastAsia" w:hAnsiTheme="majorHAnsi" w:cstheme="majorBidi"/>
      <w:b/>
      <w:bCs/>
      <w:i/>
      <w:color w:val="5B9BD5" w:themeColor="accent1"/>
    </w:rPr>
  </w:style>
  <w:style w:type="paragraph" w:styleId="Heading4">
    <w:name w:val="heading 4"/>
    <w:basedOn w:val="Normal"/>
    <w:next w:val="Normal"/>
    <w:link w:val="Heading4Char"/>
    <w:uiPriority w:val="9"/>
    <w:unhideWhenUsed/>
    <w:qFormat/>
    <w:rsid w:val="003410FF"/>
    <w:pPr>
      <w:keepNext/>
      <w:keepLines/>
      <w:spacing w:before="200"/>
      <w:outlineLvl w:val="3"/>
    </w:pPr>
    <w:rPr>
      <w:rFonts w:asciiTheme="majorHAnsi" w:eastAsiaTheme="majorEastAsia" w:hAnsiTheme="majorHAnsi" w:cstheme="majorBidi"/>
      <w:bCs/>
      <w:i/>
      <w:iCs/>
      <w:color w:val="5B9BD5" w:themeColor="accent1"/>
    </w:rPr>
  </w:style>
  <w:style w:type="paragraph" w:styleId="Heading5">
    <w:name w:val="heading 5"/>
    <w:basedOn w:val="Normal"/>
    <w:next w:val="Normal"/>
    <w:link w:val="Heading5Char"/>
    <w:uiPriority w:val="9"/>
    <w:unhideWhenUsed/>
    <w:qFormat/>
    <w:rsid w:val="003410FF"/>
    <w:pPr>
      <w:keepNext/>
      <w:keepLines/>
      <w:spacing w:before="20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0FF"/>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3410F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3410FF"/>
    <w:rPr>
      <w:rFonts w:asciiTheme="majorHAnsi" w:eastAsiaTheme="majorEastAsia" w:hAnsiTheme="majorHAnsi" w:cstheme="majorBidi"/>
      <w:b/>
      <w:bCs/>
      <w:i/>
      <w:color w:val="5B9BD5" w:themeColor="accent1"/>
      <w:sz w:val="24"/>
      <w:szCs w:val="24"/>
    </w:rPr>
  </w:style>
  <w:style w:type="character" w:customStyle="1" w:styleId="Heading4Char">
    <w:name w:val="Heading 4 Char"/>
    <w:basedOn w:val="DefaultParagraphFont"/>
    <w:link w:val="Heading4"/>
    <w:uiPriority w:val="9"/>
    <w:rsid w:val="003410FF"/>
    <w:rPr>
      <w:rFonts w:asciiTheme="majorHAnsi" w:eastAsiaTheme="majorEastAsia" w:hAnsiTheme="majorHAnsi" w:cstheme="majorBidi"/>
      <w:bCs/>
      <w:i/>
      <w:iCs/>
      <w:color w:val="5B9BD5" w:themeColor="accent1"/>
      <w:sz w:val="24"/>
      <w:szCs w:val="24"/>
    </w:rPr>
  </w:style>
  <w:style w:type="character" w:customStyle="1" w:styleId="Heading5Char">
    <w:name w:val="Heading 5 Char"/>
    <w:basedOn w:val="DefaultParagraphFont"/>
    <w:link w:val="Heading5"/>
    <w:uiPriority w:val="9"/>
    <w:rsid w:val="003410F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3410FF"/>
    <w:pPr>
      <w:spacing w:after="0" w:line="240" w:lineRule="auto"/>
    </w:pPr>
    <w:rPr>
      <w:rFonts w:ascii="TimesNewRomanPSMT" w:eastAsia="TimesNewRomanPSMT" w:hAnsi="TimesNewRomanPSMT" w:cs="TimesNewRomanPSMT"/>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10FF"/>
    <w:rPr>
      <w:rFonts w:ascii="Tahoma" w:hAnsi="Tahoma" w:cs="Tahoma"/>
      <w:sz w:val="16"/>
      <w:szCs w:val="16"/>
    </w:rPr>
  </w:style>
  <w:style w:type="character" w:customStyle="1" w:styleId="BalloonTextChar">
    <w:name w:val="Balloon Text Char"/>
    <w:basedOn w:val="DefaultParagraphFont"/>
    <w:link w:val="BalloonText"/>
    <w:uiPriority w:val="99"/>
    <w:semiHidden/>
    <w:rsid w:val="003410FF"/>
    <w:rPr>
      <w:rFonts w:ascii="Tahoma" w:eastAsia="TimesNewRomanPSMT" w:hAnsi="Tahoma" w:cs="Tahoma"/>
      <w:sz w:val="16"/>
      <w:szCs w:val="16"/>
    </w:rPr>
  </w:style>
  <w:style w:type="paragraph" w:styleId="Header">
    <w:name w:val="header"/>
    <w:basedOn w:val="Normal"/>
    <w:link w:val="HeaderChar"/>
    <w:uiPriority w:val="99"/>
    <w:unhideWhenUsed/>
    <w:rsid w:val="003410FF"/>
    <w:pPr>
      <w:tabs>
        <w:tab w:val="center" w:pos="4513"/>
        <w:tab w:val="right" w:pos="9026"/>
      </w:tabs>
    </w:pPr>
  </w:style>
  <w:style w:type="character" w:customStyle="1" w:styleId="HeaderChar">
    <w:name w:val="Header Char"/>
    <w:basedOn w:val="DefaultParagraphFont"/>
    <w:link w:val="Header"/>
    <w:uiPriority w:val="99"/>
    <w:rsid w:val="003410FF"/>
    <w:rPr>
      <w:rFonts w:ascii="TimesNewRomanPSMT" w:eastAsia="TimesNewRomanPSMT" w:hAnsi="TimesNewRomanPSMT" w:cs="TimesNewRomanPSMT"/>
      <w:sz w:val="24"/>
      <w:szCs w:val="24"/>
    </w:rPr>
  </w:style>
  <w:style w:type="paragraph" w:styleId="Footer">
    <w:name w:val="footer"/>
    <w:basedOn w:val="Normal"/>
    <w:link w:val="FooterChar"/>
    <w:uiPriority w:val="99"/>
    <w:unhideWhenUsed/>
    <w:rsid w:val="003410FF"/>
    <w:pPr>
      <w:tabs>
        <w:tab w:val="center" w:pos="4513"/>
        <w:tab w:val="right" w:pos="9026"/>
      </w:tabs>
    </w:pPr>
  </w:style>
  <w:style w:type="character" w:customStyle="1" w:styleId="FooterChar">
    <w:name w:val="Footer Char"/>
    <w:basedOn w:val="DefaultParagraphFont"/>
    <w:link w:val="Footer"/>
    <w:uiPriority w:val="99"/>
    <w:rsid w:val="003410FF"/>
    <w:rPr>
      <w:rFonts w:ascii="TimesNewRomanPSMT" w:eastAsia="TimesNewRomanPSMT" w:hAnsi="TimesNewRomanPSMT" w:cs="TimesNewRomanPSMT"/>
      <w:sz w:val="24"/>
      <w:szCs w:val="24"/>
    </w:rPr>
  </w:style>
  <w:style w:type="character" w:styleId="CommentReference">
    <w:name w:val="annotation reference"/>
    <w:basedOn w:val="DefaultParagraphFont"/>
    <w:uiPriority w:val="99"/>
    <w:unhideWhenUsed/>
    <w:rsid w:val="003410FF"/>
    <w:rPr>
      <w:sz w:val="16"/>
      <w:szCs w:val="16"/>
    </w:rPr>
  </w:style>
  <w:style w:type="paragraph" w:styleId="CommentText">
    <w:name w:val="annotation text"/>
    <w:basedOn w:val="Normal"/>
    <w:link w:val="CommentTextChar"/>
    <w:uiPriority w:val="99"/>
    <w:unhideWhenUsed/>
    <w:rsid w:val="003410FF"/>
  </w:style>
  <w:style w:type="character" w:customStyle="1" w:styleId="CommentTextChar">
    <w:name w:val="Comment Text Char"/>
    <w:basedOn w:val="DefaultParagraphFont"/>
    <w:link w:val="CommentText"/>
    <w:uiPriority w:val="99"/>
    <w:rsid w:val="003410FF"/>
    <w:rPr>
      <w:rFonts w:ascii="TimesNewRomanPSMT" w:eastAsia="TimesNewRomanPSMT" w:hAnsi="TimesNewRomanPSMT" w:cs="TimesNewRomanPSMT"/>
      <w:sz w:val="24"/>
      <w:szCs w:val="24"/>
    </w:rPr>
  </w:style>
  <w:style w:type="paragraph" w:styleId="CommentSubject">
    <w:name w:val="annotation subject"/>
    <w:basedOn w:val="CommentText"/>
    <w:next w:val="CommentText"/>
    <w:link w:val="CommentSubjectChar"/>
    <w:uiPriority w:val="99"/>
    <w:semiHidden/>
    <w:unhideWhenUsed/>
    <w:rsid w:val="003410FF"/>
    <w:rPr>
      <w:b/>
      <w:bCs/>
    </w:rPr>
  </w:style>
  <w:style w:type="character" w:customStyle="1" w:styleId="CommentSubjectChar">
    <w:name w:val="Comment Subject Char"/>
    <w:basedOn w:val="CommentTextChar"/>
    <w:link w:val="CommentSubject"/>
    <w:uiPriority w:val="99"/>
    <w:semiHidden/>
    <w:rsid w:val="003410FF"/>
    <w:rPr>
      <w:rFonts w:ascii="TimesNewRomanPSMT" w:eastAsia="TimesNewRomanPSMT" w:hAnsi="TimesNewRomanPSMT" w:cs="TimesNewRomanPSMT"/>
      <w:b/>
      <w:bCs/>
      <w:sz w:val="24"/>
      <w:szCs w:val="24"/>
    </w:rPr>
  </w:style>
  <w:style w:type="paragraph" w:styleId="Revision">
    <w:name w:val="Revision"/>
    <w:hidden/>
    <w:uiPriority w:val="99"/>
    <w:semiHidden/>
    <w:rsid w:val="003410FF"/>
    <w:pPr>
      <w:spacing w:after="0" w:line="240" w:lineRule="auto"/>
    </w:pPr>
    <w:rPr>
      <w:rFonts w:ascii="TimesNewRomanPSMT" w:eastAsia="TimesNewRomanPSMT" w:hAnsi="TimesNewRomanPSMT" w:cs="TimesNewRomanPSMT"/>
      <w:sz w:val="24"/>
      <w:szCs w:val="24"/>
      <w:lang w:val="en-US"/>
    </w:rPr>
  </w:style>
  <w:style w:type="paragraph" w:styleId="Caption">
    <w:name w:val="caption"/>
    <w:basedOn w:val="Normal"/>
    <w:next w:val="Normal"/>
    <w:uiPriority w:val="35"/>
    <w:unhideWhenUsed/>
    <w:qFormat/>
    <w:rsid w:val="003410FF"/>
    <w:pPr>
      <w:spacing w:after="200"/>
    </w:pPr>
    <w:rPr>
      <w:b/>
      <w:bCs/>
      <w:color w:val="5B9BD5" w:themeColor="accent1"/>
      <w:sz w:val="18"/>
      <w:szCs w:val="18"/>
    </w:rPr>
  </w:style>
  <w:style w:type="paragraph" w:styleId="ListParagraph">
    <w:name w:val="List Paragraph"/>
    <w:basedOn w:val="Normal"/>
    <w:uiPriority w:val="34"/>
    <w:qFormat/>
    <w:rsid w:val="003410FF"/>
    <w:pPr>
      <w:ind w:left="720"/>
      <w:contextualSpacing/>
    </w:pPr>
  </w:style>
  <w:style w:type="character" w:styleId="Hyperlink">
    <w:name w:val="Hyperlink"/>
    <w:basedOn w:val="DefaultParagraphFont"/>
    <w:uiPriority w:val="99"/>
    <w:unhideWhenUsed/>
    <w:rsid w:val="003410FF"/>
    <w:rPr>
      <w:color w:val="0563C1" w:themeColor="hyperlink"/>
      <w:u w:val="single"/>
    </w:rPr>
  </w:style>
  <w:style w:type="character" w:styleId="PlaceholderText">
    <w:name w:val="Placeholder Text"/>
    <w:basedOn w:val="DefaultParagraphFont"/>
    <w:uiPriority w:val="99"/>
    <w:semiHidden/>
    <w:rsid w:val="003410FF"/>
    <w:rPr>
      <w:color w:val="808080"/>
    </w:rPr>
  </w:style>
  <w:style w:type="paragraph" w:customStyle="1" w:styleId="FreeForm">
    <w:name w:val="Free Form"/>
    <w:autoRedefine/>
    <w:rsid w:val="003410FF"/>
    <w:pPr>
      <w:spacing w:after="0" w:line="240" w:lineRule="auto"/>
    </w:pPr>
    <w:rPr>
      <w:rFonts w:ascii="Times New Roman" w:eastAsia="ヒラギノ角ゴ Pro W3" w:hAnsi="Times New Roman" w:cs="Times New Roman"/>
      <w:color w:val="000000"/>
      <w:sz w:val="24"/>
      <w:szCs w:val="24"/>
      <w:lang w:val="en-US" w:eastAsia="zh-CN"/>
    </w:rPr>
  </w:style>
  <w:style w:type="character" w:styleId="FollowedHyperlink">
    <w:name w:val="FollowedHyperlink"/>
    <w:basedOn w:val="DefaultParagraphFont"/>
    <w:uiPriority w:val="99"/>
    <w:semiHidden/>
    <w:unhideWhenUsed/>
    <w:rsid w:val="003410FF"/>
    <w:rPr>
      <w:color w:val="954F72" w:themeColor="followedHyperlink"/>
      <w:u w:val="single"/>
    </w:rPr>
  </w:style>
  <w:style w:type="paragraph" w:styleId="NoSpacing">
    <w:name w:val="No Spacing"/>
    <w:uiPriority w:val="1"/>
    <w:qFormat/>
    <w:rsid w:val="003410FF"/>
    <w:pPr>
      <w:autoSpaceDE w:val="0"/>
      <w:autoSpaceDN w:val="0"/>
      <w:adjustRightInd w:val="0"/>
      <w:spacing w:after="0" w:line="240" w:lineRule="auto"/>
    </w:pPr>
    <w:rPr>
      <w:rFonts w:ascii="Calibri" w:eastAsia="TimesNewRomanPSMT" w:hAnsi="Calibri" w:cs="TimesNewRomanPSMT"/>
      <w:sz w:val="24"/>
      <w:szCs w:val="24"/>
      <w:lang w:val="en-US"/>
    </w:rPr>
  </w:style>
  <w:style w:type="paragraph" w:styleId="EndnoteText">
    <w:name w:val="endnote text"/>
    <w:basedOn w:val="Normal"/>
    <w:link w:val="EndnoteTextChar"/>
    <w:uiPriority w:val="99"/>
    <w:unhideWhenUsed/>
    <w:rsid w:val="003410FF"/>
  </w:style>
  <w:style w:type="character" w:customStyle="1" w:styleId="EndnoteTextChar">
    <w:name w:val="Endnote Text Char"/>
    <w:basedOn w:val="DefaultParagraphFont"/>
    <w:link w:val="EndnoteText"/>
    <w:uiPriority w:val="99"/>
    <w:rsid w:val="003410FF"/>
    <w:rPr>
      <w:rFonts w:ascii="TimesNewRomanPSMT" w:eastAsia="TimesNewRomanPSMT" w:hAnsi="TimesNewRomanPSMT" w:cs="TimesNewRomanPSMT"/>
      <w:sz w:val="24"/>
      <w:szCs w:val="24"/>
    </w:rPr>
  </w:style>
  <w:style w:type="character" w:styleId="EndnoteReference">
    <w:name w:val="endnote reference"/>
    <w:basedOn w:val="DefaultParagraphFont"/>
    <w:uiPriority w:val="99"/>
    <w:unhideWhenUsed/>
    <w:rsid w:val="003410FF"/>
    <w:rPr>
      <w:vertAlign w:val="superscript"/>
    </w:rPr>
  </w:style>
  <w:style w:type="paragraph" w:customStyle="1" w:styleId="EndNoteBibliographyTitle">
    <w:name w:val="EndNote Bibliography Title"/>
    <w:basedOn w:val="Normal"/>
    <w:link w:val="EndNoteBibliographyTitleChar"/>
    <w:rsid w:val="003410FF"/>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410FF"/>
    <w:rPr>
      <w:rFonts w:ascii="Calibri" w:eastAsia="TimesNewRomanPSMT" w:hAnsi="Calibri" w:cs="TimesNewRomanPSMT"/>
      <w:noProof/>
      <w:sz w:val="24"/>
      <w:szCs w:val="24"/>
      <w:lang w:val="en-US"/>
    </w:rPr>
  </w:style>
  <w:style w:type="paragraph" w:customStyle="1" w:styleId="EndNoteBibliography">
    <w:name w:val="EndNote Bibliography"/>
    <w:basedOn w:val="Normal"/>
    <w:link w:val="EndNoteBibliographyChar"/>
    <w:rsid w:val="003410FF"/>
    <w:rPr>
      <w:rFonts w:ascii="Calibri" w:hAnsi="Calibri"/>
      <w:noProof/>
      <w:lang w:val="en-US"/>
    </w:rPr>
  </w:style>
  <w:style w:type="character" w:customStyle="1" w:styleId="EndNoteBibliographyChar">
    <w:name w:val="EndNote Bibliography Char"/>
    <w:basedOn w:val="DefaultParagraphFont"/>
    <w:link w:val="EndNoteBibliography"/>
    <w:rsid w:val="003410FF"/>
    <w:rPr>
      <w:rFonts w:ascii="Calibri" w:eastAsia="TimesNewRomanPSMT" w:hAnsi="Calibri" w:cs="TimesNewRomanPSMT"/>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638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nglish-indices-of-deprivation-2015-technical-report" TargetMode="External"/><Relationship Id="rId13" Type="http://schemas.openxmlformats.org/officeDocument/2006/relationships/hyperlink" Target="https://web.archive.org/web/20070205232558/http://www.dh.gov.uk/assetRoot/04/13/37/60/0413376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eoportal.statistics.gov.uk/" TargetMode="External"/><Relationship Id="rId17" Type="http://schemas.openxmlformats.org/officeDocument/2006/relationships/hyperlink" Target="http://content.digital.nhs.uk/catalogue/PUB21318" TargetMode="External"/><Relationship Id="rId2" Type="http://schemas.openxmlformats.org/officeDocument/2006/relationships/numbering" Target="numbering.xml"/><Relationship Id="rId16" Type="http://schemas.openxmlformats.org/officeDocument/2006/relationships/hyperlink" Target="http://www.hscic.gov.uk/catalogue/PUB12262/qual-outc-fram-freq-aske-ques-2012-13-gui.pdf"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s.gov.uk/ons/publications/re-reference-tables.html?edition=tcm%3A77-285629" TargetMode="External"/><Relationship Id="rId5" Type="http://schemas.openxmlformats.org/officeDocument/2006/relationships/webSettings" Target="webSettings.xml"/><Relationship Id="rId15" Type="http://schemas.openxmlformats.org/officeDocument/2006/relationships/hyperlink" Target="http://content.digital.nhs.uk/article/2021/Website-Search?productid=20032&amp;q=Numbers+of+Patients+Registered+at+a+GP+Practice&amp;sort=Relevance&amp;size=10&amp;page=1&amp;area=both" TargetMode="External"/><Relationship Id="rId10" Type="http://schemas.openxmlformats.org/officeDocument/2006/relationships/hyperlink" Target="https://www.nomisweb.co.uk/census/2011/quick_statistics"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ons.gov.uk/ons/guide-method/geography/products/census/report--changes-to-output-areas-and-super-output-areas-in-england-and-wales--2001-to-2011.pdf" TargetMode="External"/><Relationship Id="rId14" Type="http://schemas.openxmlformats.org/officeDocument/2006/relationships/hyperlink" Target="http://www.ic.nhs.uk/qof"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nask.man.ac.uk\home$\Evan\Spatial\Large%20programme\%231IMD\z2-primary_care_spending\regression_resul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nask.man.ac.uk\home$\Evan\Spatial\Large%20programme\%231IMD\z2-primary_care_spending\regression_resul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'margins A'!$C$3</c:f>
              <c:strCache>
                <c:ptCount val="1"/>
                <c:pt idx="0">
                  <c:v>10th centile</c:v>
                </c:pt>
              </c:strCache>
            </c:strRef>
          </c:tx>
          <c:spPr>
            <a:solidFill>
              <a:schemeClr val="accent2">
                <a:tint val="54000"/>
              </a:schemeClr>
            </a:solidFill>
            <a:ln>
              <a:noFill/>
            </a:ln>
            <a:effectLst/>
          </c:spPr>
          <c:invertIfNegative val="0"/>
          <c:errBars>
            <c:errBarType val="both"/>
            <c:errValType val="cust"/>
            <c:noEndCap val="0"/>
            <c:plus>
              <c:numRef>
                <c:f>'margins A'!$R$4:$R$13</c:f>
                <c:numCache>
                  <c:formatCode>General</c:formatCode>
                  <c:ptCount val="10"/>
                  <c:pt idx="0">
                    <c:v>3.1850000000000023</c:v>
                  </c:pt>
                  <c:pt idx="1">
                    <c:v>1.6508999999999929</c:v>
                  </c:pt>
                  <c:pt idx="2">
                    <c:v>1.5861000000000161</c:v>
                  </c:pt>
                  <c:pt idx="3">
                    <c:v>1.7120000000000033</c:v>
                  </c:pt>
                  <c:pt idx="4">
                    <c:v>1.7972000000000037</c:v>
                  </c:pt>
                  <c:pt idx="5">
                    <c:v>1.3653000000000048</c:v>
                  </c:pt>
                  <c:pt idx="6">
                    <c:v>0.86599999999998545</c:v>
                  </c:pt>
                  <c:pt idx="7">
                    <c:v>1.5225999999999971</c:v>
                  </c:pt>
                  <c:pt idx="8">
                    <c:v>1.3696999999999946</c:v>
                  </c:pt>
                  <c:pt idx="9">
                    <c:v>1.7269999999999897</c:v>
                  </c:pt>
                </c:numCache>
              </c:numRef>
            </c:plus>
            <c:minus>
              <c:numRef>
                <c:f>'margins A'!$R$4:$R$13</c:f>
                <c:numCache>
                  <c:formatCode>General</c:formatCode>
                  <c:ptCount val="10"/>
                  <c:pt idx="0">
                    <c:v>3.1850000000000023</c:v>
                  </c:pt>
                  <c:pt idx="1">
                    <c:v>1.6508999999999929</c:v>
                  </c:pt>
                  <c:pt idx="2">
                    <c:v>1.5861000000000161</c:v>
                  </c:pt>
                  <c:pt idx="3">
                    <c:v>1.7120000000000033</c:v>
                  </c:pt>
                  <c:pt idx="4">
                    <c:v>1.7972000000000037</c:v>
                  </c:pt>
                  <c:pt idx="5">
                    <c:v>1.3653000000000048</c:v>
                  </c:pt>
                  <c:pt idx="6">
                    <c:v>0.86599999999998545</c:v>
                  </c:pt>
                  <c:pt idx="7">
                    <c:v>1.5225999999999971</c:v>
                  </c:pt>
                  <c:pt idx="8">
                    <c:v>1.3696999999999946</c:v>
                  </c:pt>
                  <c:pt idx="9">
                    <c:v>1.7269999999999897</c:v>
                  </c:pt>
                </c:numCache>
              </c:numRef>
            </c:minus>
            <c:spPr>
              <a:noFill/>
              <a:ln w="9525" cap="flat" cmpd="sng" algn="ctr">
                <a:solidFill>
                  <a:schemeClr val="tx1">
                    <a:lumMod val="65000"/>
                    <a:lumOff val="35000"/>
                  </a:schemeClr>
                </a:solidFill>
                <a:round/>
              </a:ln>
              <a:effectLst/>
            </c:spPr>
          </c:errBars>
          <c:cat>
            <c:strRef>
              <c:f>'margins A'!$B$4:$B$13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A'!$C$4:$C$13</c:f>
              <c:numCache>
                <c:formatCode>0.0</c:formatCode>
                <c:ptCount val="10"/>
                <c:pt idx="0">
                  <c:v>124.8245</c:v>
                </c:pt>
                <c:pt idx="1">
                  <c:v>128.53579999999999</c:v>
                </c:pt>
                <c:pt idx="2">
                  <c:v>136.16390000000001</c:v>
                </c:pt>
                <c:pt idx="3">
                  <c:v>125.3798</c:v>
                </c:pt>
                <c:pt idx="4">
                  <c:v>130.9068</c:v>
                </c:pt>
                <c:pt idx="5">
                  <c:v>118.9705</c:v>
                </c:pt>
                <c:pt idx="6">
                  <c:v>137.00899999999999</c:v>
                </c:pt>
                <c:pt idx="7">
                  <c:v>119.2825</c:v>
                </c:pt>
                <c:pt idx="8">
                  <c:v>126.339</c:v>
                </c:pt>
                <c:pt idx="9">
                  <c:v>128.09649999999999</c:v>
                </c:pt>
              </c:numCache>
            </c:numRef>
          </c:val>
        </c:ser>
        <c:ser>
          <c:idx val="1"/>
          <c:order val="1"/>
          <c:tx>
            <c:strRef>
              <c:f>'margins A'!$D$3</c:f>
              <c:strCache>
                <c:ptCount val="1"/>
                <c:pt idx="0">
                  <c:v>25th</c:v>
                </c:pt>
              </c:strCache>
            </c:strRef>
          </c:tx>
          <c:spPr>
            <a:solidFill>
              <a:schemeClr val="accent2">
                <a:tint val="77000"/>
              </a:schemeClr>
            </a:solidFill>
            <a:ln>
              <a:noFill/>
            </a:ln>
            <a:effectLst/>
          </c:spPr>
          <c:invertIfNegative val="0"/>
          <c:errBars>
            <c:errBarType val="both"/>
            <c:errValType val="cust"/>
            <c:noEndCap val="0"/>
            <c:plus>
              <c:numRef>
                <c:f>'margins A'!$S$4:$S$13</c:f>
                <c:numCache>
                  <c:formatCode>General</c:formatCode>
                  <c:ptCount val="10"/>
                  <c:pt idx="0">
                    <c:v>2.2173999999999978</c:v>
                  </c:pt>
                  <c:pt idx="1">
                    <c:v>1.0968000000000018</c:v>
                  </c:pt>
                  <c:pt idx="2">
                    <c:v>1.0729000000000042</c:v>
                  </c:pt>
                  <c:pt idx="3">
                    <c:v>1.1604999999999848</c:v>
                  </c:pt>
                  <c:pt idx="4">
                    <c:v>1.1546999999999912</c:v>
                  </c:pt>
                  <c:pt idx="5">
                    <c:v>0.90430000000000632</c:v>
                  </c:pt>
                  <c:pt idx="6">
                    <c:v>1.042900000000003</c:v>
                  </c:pt>
                  <c:pt idx="7">
                    <c:v>1.037700000000001</c:v>
                  </c:pt>
                  <c:pt idx="8">
                    <c:v>1.0156000000000063</c:v>
                  </c:pt>
                  <c:pt idx="9">
                    <c:v>1.1716000000000122</c:v>
                  </c:pt>
                </c:numCache>
              </c:numRef>
            </c:plus>
            <c:minus>
              <c:numRef>
                <c:f>'margins A'!$S$4:$S$13</c:f>
                <c:numCache>
                  <c:formatCode>General</c:formatCode>
                  <c:ptCount val="10"/>
                  <c:pt idx="0">
                    <c:v>2.2173999999999978</c:v>
                  </c:pt>
                  <c:pt idx="1">
                    <c:v>1.0968000000000018</c:v>
                  </c:pt>
                  <c:pt idx="2">
                    <c:v>1.0729000000000042</c:v>
                  </c:pt>
                  <c:pt idx="3">
                    <c:v>1.1604999999999848</c:v>
                  </c:pt>
                  <c:pt idx="4">
                    <c:v>1.1546999999999912</c:v>
                  </c:pt>
                  <c:pt idx="5">
                    <c:v>0.90430000000000632</c:v>
                  </c:pt>
                  <c:pt idx="6">
                    <c:v>1.042900000000003</c:v>
                  </c:pt>
                  <c:pt idx="7">
                    <c:v>1.037700000000001</c:v>
                  </c:pt>
                  <c:pt idx="8">
                    <c:v>1.0156000000000063</c:v>
                  </c:pt>
                  <c:pt idx="9">
                    <c:v>1.1716000000000122</c:v>
                  </c:pt>
                </c:numCache>
              </c:numRef>
            </c:minus>
            <c:spPr>
              <a:noFill/>
              <a:ln w="9525" cap="flat" cmpd="sng" algn="ctr">
                <a:solidFill>
                  <a:schemeClr val="tx1">
                    <a:lumMod val="65000"/>
                    <a:lumOff val="35000"/>
                  </a:schemeClr>
                </a:solidFill>
                <a:round/>
              </a:ln>
              <a:effectLst/>
            </c:spPr>
          </c:errBars>
          <c:cat>
            <c:strRef>
              <c:f>'margins A'!$B$4:$B$13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A'!$D$4:$D$13</c:f>
              <c:numCache>
                <c:formatCode>0.0</c:formatCode>
                <c:ptCount val="10"/>
                <c:pt idx="0">
                  <c:v>129.87819999999999</c:v>
                </c:pt>
                <c:pt idx="1">
                  <c:v>132.31700000000001</c:v>
                </c:pt>
                <c:pt idx="2">
                  <c:v>142.3175</c:v>
                </c:pt>
                <c:pt idx="3">
                  <c:v>134.65039999999999</c:v>
                </c:pt>
                <c:pt idx="4">
                  <c:v>136.41749999999999</c:v>
                </c:pt>
                <c:pt idx="5">
                  <c:v>129.5067</c:v>
                </c:pt>
                <c:pt idx="6">
                  <c:v>134.46100000000001</c:v>
                </c:pt>
                <c:pt idx="7">
                  <c:v>126.4605</c:v>
                </c:pt>
                <c:pt idx="8">
                  <c:v>130.75210000000001</c:v>
                </c:pt>
                <c:pt idx="9">
                  <c:v>134.11490000000001</c:v>
                </c:pt>
              </c:numCache>
            </c:numRef>
          </c:val>
        </c:ser>
        <c:ser>
          <c:idx val="2"/>
          <c:order val="2"/>
          <c:tx>
            <c:strRef>
              <c:f>'margins A'!$E$3</c:f>
              <c:strCache>
                <c:ptCount val="1"/>
                <c:pt idx="0">
                  <c:v>50th (median)</c:v>
                </c:pt>
              </c:strCache>
            </c:strRef>
          </c:tx>
          <c:spPr>
            <a:solidFill>
              <a:schemeClr val="accent2"/>
            </a:solidFill>
            <a:ln>
              <a:noFill/>
            </a:ln>
            <a:effectLst/>
          </c:spPr>
          <c:invertIfNegative val="0"/>
          <c:errBars>
            <c:errBarType val="both"/>
            <c:errValType val="cust"/>
            <c:noEndCap val="0"/>
            <c:plus>
              <c:numRef>
                <c:f>'margins A'!$T$4:$T$13</c:f>
                <c:numCache>
                  <c:formatCode>General</c:formatCode>
                  <c:ptCount val="10"/>
                  <c:pt idx="0">
                    <c:v>1.4343000000000075</c:v>
                  </c:pt>
                  <c:pt idx="1">
                    <c:v>0.72520000000000095</c:v>
                  </c:pt>
                  <c:pt idx="2">
                    <c:v>0.7786999999999864</c:v>
                  </c:pt>
                  <c:pt idx="3">
                    <c:v>0.82460000000000377</c:v>
                  </c:pt>
                  <c:pt idx="4">
                    <c:v>0.75329999999999586</c:v>
                  </c:pt>
                  <c:pt idx="5">
                    <c:v>0.74750000000000227</c:v>
                  </c:pt>
                  <c:pt idx="6">
                    <c:v>1.5682000000000187</c:v>
                  </c:pt>
                  <c:pt idx="7">
                    <c:v>0.89179999999998927</c:v>
                  </c:pt>
                  <c:pt idx="8">
                    <c:v>1.1509000000000071</c:v>
                  </c:pt>
                  <c:pt idx="9">
                    <c:v>0.82380000000000564</c:v>
                  </c:pt>
                </c:numCache>
              </c:numRef>
            </c:plus>
            <c:minus>
              <c:numRef>
                <c:f>'margins A'!$T$4:$T$13</c:f>
                <c:numCache>
                  <c:formatCode>General</c:formatCode>
                  <c:ptCount val="10"/>
                  <c:pt idx="0">
                    <c:v>1.4343000000000075</c:v>
                  </c:pt>
                  <c:pt idx="1">
                    <c:v>0.72520000000000095</c:v>
                  </c:pt>
                  <c:pt idx="2">
                    <c:v>0.7786999999999864</c:v>
                  </c:pt>
                  <c:pt idx="3">
                    <c:v>0.82460000000000377</c:v>
                  </c:pt>
                  <c:pt idx="4">
                    <c:v>0.75329999999999586</c:v>
                  </c:pt>
                  <c:pt idx="5">
                    <c:v>0.74750000000000227</c:v>
                  </c:pt>
                  <c:pt idx="6">
                    <c:v>1.5682000000000187</c:v>
                  </c:pt>
                  <c:pt idx="7">
                    <c:v>0.89179999999998927</c:v>
                  </c:pt>
                  <c:pt idx="8">
                    <c:v>1.1509000000000071</c:v>
                  </c:pt>
                  <c:pt idx="9">
                    <c:v>0.82380000000000564</c:v>
                  </c:pt>
                </c:numCache>
              </c:numRef>
            </c:minus>
            <c:spPr>
              <a:noFill/>
              <a:ln w="9525" cap="flat" cmpd="sng" algn="ctr">
                <a:solidFill>
                  <a:schemeClr val="tx1">
                    <a:lumMod val="65000"/>
                    <a:lumOff val="35000"/>
                  </a:schemeClr>
                </a:solidFill>
                <a:round/>
              </a:ln>
              <a:effectLst/>
            </c:spPr>
          </c:errBars>
          <c:cat>
            <c:strRef>
              <c:f>'margins A'!$B$4:$B$13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A'!$E$4:$E$13</c:f>
              <c:numCache>
                <c:formatCode>0.0</c:formatCode>
                <c:ptCount val="10"/>
                <c:pt idx="0">
                  <c:v>134.70590000000001</c:v>
                </c:pt>
                <c:pt idx="1">
                  <c:v>135.92910000000001</c:v>
                </c:pt>
                <c:pt idx="2">
                  <c:v>148.19579999999999</c:v>
                </c:pt>
                <c:pt idx="3">
                  <c:v>143.50630000000001</c:v>
                </c:pt>
                <c:pt idx="4">
                  <c:v>141.6816</c:v>
                </c:pt>
                <c:pt idx="5">
                  <c:v>139.57159999999999</c:v>
                </c:pt>
                <c:pt idx="6">
                  <c:v>132.02690000000001</c:v>
                </c:pt>
                <c:pt idx="7">
                  <c:v>133.3175</c:v>
                </c:pt>
                <c:pt idx="8">
                  <c:v>134.96780000000001</c:v>
                </c:pt>
                <c:pt idx="9">
                  <c:v>139.86410000000001</c:v>
                </c:pt>
              </c:numCache>
            </c:numRef>
          </c:val>
        </c:ser>
        <c:ser>
          <c:idx val="3"/>
          <c:order val="3"/>
          <c:tx>
            <c:strRef>
              <c:f>'margins A'!$F$3</c:f>
              <c:strCache>
                <c:ptCount val="1"/>
                <c:pt idx="0">
                  <c:v>75th</c:v>
                </c:pt>
              </c:strCache>
            </c:strRef>
          </c:tx>
          <c:spPr>
            <a:solidFill>
              <a:schemeClr val="accent2">
                <a:shade val="76000"/>
              </a:schemeClr>
            </a:solidFill>
            <a:ln>
              <a:noFill/>
            </a:ln>
            <a:effectLst/>
          </c:spPr>
          <c:invertIfNegative val="0"/>
          <c:errBars>
            <c:errBarType val="both"/>
            <c:errValType val="cust"/>
            <c:noEndCap val="0"/>
            <c:plus>
              <c:numRef>
                <c:f>'margins A'!$U$4:$U$13</c:f>
                <c:numCache>
                  <c:formatCode>General</c:formatCode>
                  <c:ptCount val="10"/>
                  <c:pt idx="0">
                    <c:v>1.1260000000000048</c:v>
                  </c:pt>
                  <c:pt idx="1">
                    <c:v>0.73440000000002215</c:v>
                  </c:pt>
                  <c:pt idx="2">
                    <c:v>0.84580000000002542</c:v>
                  </c:pt>
                  <c:pt idx="3">
                    <c:v>0.8674000000000035</c:v>
                  </c:pt>
                  <c:pt idx="4">
                    <c:v>0.84010000000000673</c:v>
                  </c:pt>
                  <c:pt idx="5">
                    <c:v>0.94319999999999027</c:v>
                  </c:pt>
                  <c:pt idx="6">
                    <c:v>2.0885999999999996</c:v>
                  </c:pt>
                  <c:pt idx="7">
                    <c:v>1.1083999999999889</c:v>
                  </c:pt>
                  <c:pt idx="8">
                    <c:v>1.5413000000000068</c:v>
                  </c:pt>
                  <c:pt idx="9">
                    <c:v>0.85249999999999204</c:v>
                  </c:pt>
                </c:numCache>
              </c:numRef>
            </c:plus>
            <c:minus>
              <c:numRef>
                <c:f>'margins A'!$U$4:$U$13</c:f>
                <c:numCache>
                  <c:formatCode>General</c:formatCode>
                  <c:ptCount val="10"/>
                  <c:pt idx="0">
                    <c:v>1.1260000000000048</c:v>
                  </c:pt>
                  <c:pt idx="1">
                    <c:v>0.73440000000002215</c:v>
                  </c:pt>
                  <c:pt idx="2">
                    <c:v>0.84580000000002542</c:v>
                  </c:pt>
                  <c:pt idx="3">
                    <c:v>0.8674000000000035</c:v>
                  </c:pt>
                  <c:pt idx="4">
                    <c:v>0.84010000000000673</c:v>
                  </c:pt>
                  <c:pt idx="5">
                    <c:v>0.94319999999999027</c:v>
                  </c:pt>
                  <c:pt idx="6">
                    <c:v>2.0885999999999996</c:v>
                  </c:pt>
                  <c:pt idx="7">
                    <c:v>1.1083999999999889</c:v>
                  </c:pt>
                  <c:pt idx="8">
                    <c:v>1.5413000000000068</c:v>
                  </c:pt>
                  <c:pt idx="9">
                    <c:v>0.85249999999999204</c:v>
                  </c:pt>
                </c:numCache>
              </c:numRef>
            </c:minus>
            <c:spPr>
              <a:noFill/>
              <a:ln w="9525" cap="flat" cmpd="sng" algn="ctr">
                <a:solidFill>
                  <a:schemeClr val="tx1">
                    <a:lumMod val="65000"/>
                    <a:lumOff val="35000"/>
                  </a:schemeClr>
                </a:solidFill>
                <a:round/>
              </a:ln>
              <a:effectLst/>
            </c:spPr>
          </c:errBars>
          <c:cat>
            <c:strRef>
              <c:f>'margins A'!$B$4:$B$13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A'!$F$4:$F$13</c:f>
              <c:numCache>
                <c:formatCode>0.0</c:formatCode>
                <c:ptCount val="10"/>
                <c:pt idx="0">
                  <c:v>138.6883</c:v>
                </c:pt>
                <c:pt idx="1">
                  <c:v>138.90880000000001</c:v>
                </c:pt>
                <c:pt idx="2">
                  <c:v>153.04490000000001</c:v>
                </c:pt>
                <c:pt idx="3">
                  <c:v>150.8116</c:v>
                </c:pt>
                <c:pt idx="4">
                  <c:v>146.0241</c:v>
                </c:pt>
                <c:pt idx="5">
                  <c:v>147.8742</c:v>
                </c:pt>
                <c:pt idx="6">
                  <c:v>130.01900000000001</c:v>
                </c:pt>
                <c:pt idx="7">
                  <c:v>138.97389999999999</c:v>
                </c:pt>
                <c:pt idx="8">
                  <c:v>138.44540000000001</c:v>
                </c:pt>
                <c:pt idx="9">
                  <c:v>144.60669999999999</c:v>
                </c:pt>
              </c:numCache>
            </c:numRef>
          </c:val>
        </c:ser>
        <c:ser>
          <c:idx val="4"/>
          <c:order val="4"/>
          <c:tx>
            <c:strRef>
              <c:f>'margins A'!$G$3</c:f>
              <c:strCache>
                <c:ptCount val="1"/>
                <c:pt idx="0">
                  <c:v>90th</c:v>
                </c:pt>
              </c:strCache>
            </c:strRef>
          </c:tx>
          <c:spPr>
            <a:solidFill>
              <a:schemeClr val="accent2">
                <a:shade val="53000"/>
              </a:schemeClr>
            </a:solidFill>
            <a:ln>
              <a:noFill/>
            </a:ln>
            <a:effectLst/>
          </c:spPr>
          <c:invertIfNegative val="0"/>
          <c:errBars>
            <c:errBarType val="both"/>
            <c:errValType val="cust"/>
            <c:noEndCap val="0"/>
            <c:plus>
              <c:numRef>
                <c:f>'margins A'!$V$4:$V$13</c:f>
                <c:numCache>
                  <c:formatCode>General</c:formatCode>
                  <c:ptCount val="10"/>
                  <c:pt idx="0">
                    <c:v>1.2963000000000022</c:v>
                  </c:pt>
                  <c:pt idx="1">
                    <c:v>0.9678000000000111</c:v>
                  </c:pt>
                  <c:pt idx="2">
                    <c:v>1.087299999999999</c:v>
                  </c:pt>
                  <c:pt idx="3">
                    <c:v>1.1102999999999952</c:v>
                  </c:pt>
                  <c:pt idx="4">
                    <c:v>1.1572999999999922</c:v>
                  </c:pt>
                  <c:pt idx="5">
                    <c:v>1.2366999999999848</c:v>
                  </c:pt>
                  <c:pt idx="6">
                    <c:v>2.5389999999999873</c:v>
                  </c:pt>
                  <c:pt idx="7">
                    <c:v>1.4259999999999877</c:v>
                  </c:pt>
                  <c:pt idx="8">
                    <c:v>1.9456000000000131</c:v>
                  </c:pt>
                  <c:pt idx="9">
                    <c:v>1.0889999999999986</c:v>
                  </c:pt>
                </c:numCache>
              </c:numRef>
            </c:plus>
            <c:minus>
              <c:numRef>
                <c:f>'margins A'!$V$4:$V$13</c:f>
                <c:numCache>
                  <c:formatCode>General</c:formatCode>
                  <c:ptCount val="10"/>
                  <c:pt idx="0">
                    <c:v>1.2963000000000022</c:v>
                  </c:pt>
                  <c:pt idx="1">
                    <c:v>0.9678000000000111</c:v>
                  </c:pt>
                  <c:pt idx="2">
                    <c:v>1.087299999999999</c:v>
                  </c:pt>
                  <c:pt idx="3">
                    <c:v>1.1102999999999952</c:v>
                  </c:pt>
                  <c:pt idx="4">
                    <c:v>1.1572999999999922</c:v>
                  </c:pt>
                  <c:pt idx="5">
                    <c:v>1.2366999999999848</c:v>
                  </c:pt>
                  <c:pt idx="6">
                    <c:v>2.5389999999999873</c:v>
                  </c:pt>
                  <c:pt idx="7">
                    <c:v>1.4259999999999877</c:v>
                  </c:pt>
                  <c:pt idx="8">
                    <c:v>1.9456000000000131</c:v>
                  </c:pt>
                  <c:pt idx="9">
                    <c:v>1.0889999999999986</c:v>
                  </c:pt>
                </c:numCache>
              </c:numRef>
            </c:minus>
            <c:spPr>
              <a:noFill/>
              <a:ln w="9525" cap="flat" cmpd="sng" algn="ctr">
                <a:solidFill>
                  <a:schemeClr val="tx1">
                    <a:lumMod val="65000"/>
                    <a:lumOff val="35000"/>
                  </a:schemeClr>
                </a:solidFill>
                <a:round/>
              </a:ln>
              <a:effectLst/>
            </c:spPr>
          </c:errBars>
          <c:cat>
            <c:strRef>
              <c:f>'margins A'!$B$4:$B$13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A'!$G$4:$G$13</c:f>
              <c:numCache>
                <c:formatCode>0.0</c:formatCode>
                <c:ptCount val="10"/>
                <c:pt idx="0">
                  <c:v>141.95820000000001</c:v>
                </c:pt>
                <c:pt idx="1">
                  <c:v>141.3553</c:v>
                </c:pt>
                <c:pt idx="2">
                  <c:v>157.0264</c:v>
                </c:pt>
                <c:pt idx="3">
                  <c:v>156.8099</c:v>
                </c:pt>
                <c:pt idx="4">
                  <c:v>149.58959999999999</c:v>
                </c:pt>
                <c:pt idx="5">
                  <c:v>154.69139999999999</c:v>
                </c:pt>
                <c:pt idx="6">
                  <c:v>128.37039999999999</c:v>
                </c:pt>
                <c:pt idx="7">
                  <c:v>143.6182</c:v>
                </c:pt>
                <c:pt idx="8">
                  <c:v>141.30080000000001</c:v>
                </c:pt>
                <c:pt idx="9">
                  <c:v>148.5008</c:v>
                </c:pt>
              </c:numCache>
            </c:numRef>
          </c:val>
        </c:ser>
        <c:dLbls>
          <c:showLegendKey val="0"/>
          <c:showVal val="0"/>
          <c:showCatName val="0"/>
          <c:showSerName val="0"/>
          <c:showPercent val="0"/>
          <c:showBubbleSize val="0"/>
        </c:dLbls>
        <c:gapWidth val="219"/>
        <c:overlap val="-27"/>
        <c:axId val="498425888"/>
        <c:axId val="498426672"/>
      </c:barChart>
      <c:catAx>
        <c:axId val="498425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98426672"/>
        <c:crosses val="autoZero"/>
        <c:auto val="1"/>
        <c:lblAlgn val="ctr"/>
        <c:lblOffset val="100"/>
        <c:noMultiLvlLbl val="0"/>
      </c:catAx>
      <c:valAx>
        <c:axId val="498426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8425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'margins B'!$C$3</c:f>
              <c:strCache>
                <c:ptCount val="1"/>
                <c:pt idx="0">
                  <c:v>10th centile</c:v>
                </c:pt>
              </c:strCache>
            </c:strRef>
          </c:tx>
          <c:spPr>
            <a:solidFill>
              <a:schemeClr val="accent6">
                <a:tint val="54000"/>
              </a:schemeClr>
            </a:solidFill>
            <a:ln>
              <a:noFill/>
            </a:ln>
            <a:effectLst/>
          </c:spPr>
          <c:invertIfNegative val="0"/>
          <c:errBars>
            <c:errBarType val="both"/>
            <c:errValType val="cust"/>
            <c:noEndCap val="0"/>
            <c:plus>
              <c:numRef>
                <c:f>'margins B'!$R$4:$R$13</c:f>
                <c:numCache>
                  <c:formatCode>General</c:formatCode>
                  <c:ptCount val="10"/>
                  <c:pt idx="0">
                    <c:v>1.9535999999999945</c:v>
                  </c:pt>
                  <c:pt idx="1">
                    <c:v>1.0615000000000236</c:v>
                  </c:pt>
                  <c:pt idx="2">
                    <c:v>1.1520999999999901</c:v>
                  </c:pt>
                  <c:pt idx="3">
                    <c:v>1.2081000000000017</c:v>
                  </c:pt>
                  <c:pt idx="4">
                    <c:v>1.1988000000000056</c:v>
                  </c:pt>
                  <c:pt idx="5">
                    <c:v>0.99950000000001182</c:v>
                  </c:pt>
                  <c:pt idx="6">
                    <c:v>1.596500000000006</c:v>
                  </c:pt>
                  <c:pt idx="7">
                    <c:v>1.073599999999999</c:v>
                  </c:pt>
                  <c:pt idx="8">
                    <c:v>1.1365000000000123</c:v>
                  </c:pt>
                  <c:pt idx="9">
                    <c:v>1.128799999999984</c:v>
                  </c:pt>
                </c:numCache>
              </c:numRef>
            </c:plus>
            <c:minus>
              <c:numRef>
                <c:f>'margins B'!$R$4:$R$13</c:f>
                <c:numCache>
                  <c:formatCode>General</c:formatCode>
                  <c:ptCount val="10"/>
                  <c:pt idx="0">
                    <c:v>1.9535999999999945</c:v>
                  </c:pt>
                  <c:pt idx="1">
                    <c:v>1.0615000000000236</c:v>
                  </c:pt>
                  <c:pt idx="2">
                    <c:v>1.1520999999999901</c:v>
                  </c:pt>
                  <c:pt idx="3">
                    <c:v>1.2081000000000017</c:v>
                  </c:pt>
                  <c:pt idx="4">
                    <c:v>1.1988000000000056</c:v>
                  </c:pt>
                  <c:pt idx="5">
                    <c:v>0.99950000000001182</c:v>
                  </c:pt>
                  <c:pt idx="6">
                    <c:v>1.596500000000006</c:v>
                  </c:pt>
                  <c:pt idx="7">
                    <c:v>1.073599999999999</c:v>
                  </c:pt>
                  <c:pt idx="8">
                    <c:v>1.1365000000000123</c:v>
                  </c:pt>
                  <c:pt idx="9">
                    <c:v>1.128799999999984</c:v>
                  </c:pt>
                </c:numCache>
              </c:numRef>
            </c:minus>
            <c:spPr>
              <a:noFill/>
              <a:ln w="9525" cap="flat" cmpd="sng" algn="ctr">
                <a:solidFill>
                  <a:schemeClr val="tx1">
                    <a:lumMod val="65000"/>
                    <a:lumOff val="35000"/>
                  </a:schemeClr>
                </a:solidFill>
                <a:round/>
              </a:ln>
              <a:effectLst/>
            </c:spPr>
          </c:errBars>
          <c:cat>
            <c:strRef>
              <c:f>'margins B'!$B$4:$B$13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B'!$C$4:$C$13</c:f>
              <c:numCache>
                <c:formatCode>0.0</c:formatCode>
                <c:ptCount val="10"/>
                <c:pt idx="0">
                  <c:v>129.22</c:v>
                </c:pt>
                <c:pt idx="1">
                  <c:v>130.12360000000001</c:v>
                </c:pt>
                <c:pt idx="2">
                  <c:v>144.1619</c:v>
                </c:pt>
                <c:pt idx="3">
                  <c:v>141.70089999999999</c:v>
                </c:pt>
                <c:pt idx="4">
                  <c:v>136.9374</c:v>
                </c:pt>
                <c:pt idx="5">
                  <c:v>136.6241</c:v>
                </c:pt>
                <c:pt idx="6">
                  <c:v>126.7016</c:v>
                </c:pt>
                <c:pt idx="7">
                  <c:v>130.3811</c:v>
                </c:pt>
                <c:pt idx="8">
                  <c:v>130.39240000000001</c:v>
                </c:pt>
                <c:pt idx="9">
                  <c:v>137.86259999999999</c:v>
                </c:pt>
              </c:numCache>
            </c:numRef>
          </c:val>
        </c:ser>
        <c:ser>
          <c:idx val="1"/>
          <c:order val="1"/>
          <c:tx>
            <c:strRef>
              <c:f>'margins B'!$D$3</c:f>
              <c:strCache>
                <c:ptCount val="1"/>
                <c:pt idx="0">
                  <c:v>25th</c:v>
                </c:pt>
              </c:strCache>
            </c:strRef>
          </c:tx>
          <c:spPr>
            <a:solidFill>
              <a:schemeClr val="accent6">
                <a:tint val="77000"/>
              </a:schemeClr>
            </a:solidFill>
            <a:ln>
              <a:noFill/>
            </a:ln>
            <a:effectLst/>
          </c:spPr>
          <c:invertIfNegative val="0"/>
          <c:errBars>
            <c:errBarType val="both"/>
            <c:errValType val="cust"/>
            <c:noEndCap val="0"/>
            <c:plus>
              <c:numRef>
                <c:f>'margins B'!$S$4:$S$13</c:f>
                <c:numCache>
                  <c:formatCode>General</c:formatCode>
                  <c:ptCount val="10"/>
                  <c:pt idx="0">
                    <c:v>1.8172999999999888</c:v>
                  </c:pt>
                  <c:pt idx="1">
                    <c:v>0.96789999999998599</c:v>
                  </c:pt>
                  <c:pt idx="2">
                    <c:v>1.0374999999999943</c:v>
                  </c:pt>
                  <c:pt idx="3">
                    <c:v>1.0670000000000073</c:v>
                  </c:pt>
                  <c:pt idx="4">
                    <c:v>1.0671000000000106</c:v>
                  </c:pt>
                  <c:pt idx="5">
                    <c:v>0.85020000000000095</c:v>
                  </c:pt>
                  <c:pt idx="6">
                    <c:v>1.5215000000000032</c:v>
                  </c:pt>
                  <c:pt idx="7">
                    <c:v>0.92310000000000514</c:v>
                  </c:pt>
                  <c:pt idx="8">
                    <c:v>0.99680000000000746</c:v>
                  </c:pt>
                  <c:pt idx="9">
                    <c:v>0.98599999999999</c:v>
                  </c:pt>
                </c:numCache>
              </c:numRef>
            </c:plus>
            <c:minus>
              <c:numRef>
                <c:f>'margins B'!$S$4:$S$13</c:f>
                <c:numCache>
                  <c:formatCode>General</c:formatCode>
                  <c:ptCount val="10"/>
                  <c:pt idx="0">
                    <c:v>1.8172999999999888</c:v>
                  </c:pt>
                  <c:pt idx="1">
                    <c:v>0.96789999999998599</c:v>
                  </c:pt>
                  <c:pt idx="2">
                    <c:v>1.0374999999999943</c:v>
                  </c:pt>
                  <c:pt idx="3">
                    <c:v>1.0670000000000073</c:v>
                  </c:pt>
                  <c:pt idx="4">
                    <c:v>1.0671000000000106</c:v>
                  </c:pt>
                  <c:pt idx="5">
                    <c:v>0.85020000000000095</c:v>
                  </c:pt>
                  <c:pt idx="6">
                    <c:v>1.5215000000000032</c:v>
                  </c:pt>
                  <c:pt idx="7">
                    <c:v>0.92310000000000514</c:v>
                  </c:pt>
                  <c:pt idx="8">
                    <c:v>0.99680000000000746</c:v>
                  </c:pt>
                  <c:pt idx="9">
                    <c:v>0.98599999999999</c:v>
                  </c:pt>
                </c:numCache>
              </c:numRef>
            </c:minus>
            <c:spPr>
              <a:noFill/>
              <a:ln w="9525" cap="flat" cmpd="sng" algn="ctr">
                <a:solidFill>
                  <a:schemeClr val="tx1">
                    <a:lumMod val="65000"/>
                    <a:lumOff val="35000"/>
                  </a:schemeClr>
                </a:solidFill>
                <a:round/>
              </a:ln>
              <a:effectLst/>
            </c:spPr>
          </c:errBars>
          <c:cat>
            <c:strRef>
              <c:f>'margins B'!$B$4:$B$13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B'!$D$4:$D$13</c:f>
              <c:numCache>
                <c:formatCode>0.0</c:formatCode>
                <c:ptCount val="10"/>
                <c:pt idx="0">
                  <c:v>130.3391</c:v>
                </c:pt>
                <c:pt idx="1">
                  <c:v>131.38</c:v>
                </c:pt>
                <c:pt idx="2">
                  <c:v>144.8725</c:v>
                </c:pt>
                <c:pt idx="3">
                  <c:v>141.71899999999999</c:v>
                </c:pt>
                <c:pt idx="4">
                  <c:v>137.8527</c:v>
                </c:pt>
                <c:pt idx="5">
                  <c:v>136.86529999999999</c:v>
                </c:pt>
                <c:pt idx="6">
                  <c:v>128.1311</c:v>
                </c:pt>
                <c:pt idx="7">
                  <c:v>130.7741</c:v>
                </c:pt>
                <c:pt idx="8">
                  <c:v>131.31659999999999</c:v>
                </c:pt>
                <c:pt idx="9">
                  <c:v>138.0787</c:v>
                </c:pt>
              </c:numCache>
            </c:numRef>
          </c:val>
        </c:ser>
        <c:ser>
          <c:idx val="2"/>
          <c:order val="2"/>
          <c:tx>
            <c:strRef>
              <c:f>'margins B'!$E$3</c:f>
              <c:strCache>
                <c:ptCount val="1"/>
                <c:pt idx="0">
                  <c:v>50th (median)</c:v>
                </c:pt>
              </c:strCache>
            </c:strRef>
          </c:tx>
          <c:spPr>
            <a:solidFill>
              <a:schemeClr val="accent6"/>
            </a:solidFill>
            <a:ln>
              <a:noFill/>
            </a:ln>
            <a:effectLst/>
          </c:spPr>
          <c:invertIfNegative val="0"/>
          <c:errBars>
            <c:errBarType val="both"/>
            <c:errValType val="cust"/>
            <c:noEndCap val="0"/>
            <c:plus>
              <c:numRef>
                <c:f>'margins B'!$T$4:$T$13</c:f>
                <c:numCache>
                  <c:formatCode>General</c:formatCode>
                  <c:ptCount val="10"/>
                  <c:pt idx="0">
                    <c:v>1.6234999999999786</c:v>
                  </c:pt>
                  <c:pt idx="1">
                    <c:v>0.8241999999999905</c:v>
                  </c:pt>
                  <c:pt idx="2">
                    <c:v>0.86469999999999914</c:v>
                  </c:pt>
                  <c:pt idx="3">
                    <c:v>0.88630000000000564</c:v>
                  </c:pt>
                  <c:pt idx="4">
                    <c:v>0.86469999999999914</c:v>
                  </c:pt>
                  <c:pt idx="5">
                    <c:v>0.70490000000000919</c:v>
                  </c:pt>
                  <c:pt idx="6">
                    <c:v>1.4476000000000226</c:v>
                  </c:pt>
                  <c:pt idx="7">
                    <c:v>0.8119000000000085</c:v>
                  </c:pt>
                  <c:pt idx="8">
                    <c:v>0.96030000000001792</c:v>
                  </c:pt>
                  <c:pt idx="9">
                    <c:v>0.84149999999999636</c:v>
                  </c:pt>
                </c:numCache>
              </c:numRef>
            </c:plus>
            <c:minus>
              <c:numRef>
                <c:f>'margins B'!$T$4:$T$13</c:f>
                <c:numCache>
                  <c:formatCode>General</c:formatCode>
                  <c:ptCount val="10"/>
                  <c:pt idx="0">
                    <c:v>1.6234999999999786</c:v>
                  </c:pt>
                  <c:pt idx="1">
                    <c:v>0.8241999999999905</c:v>
                  </c:pt>
                  <c:pt idx="2">
                    <c:v>0.86469999999999914</c:v>
                  </c:pt>
                  <c:pt idx="3">
                    <c:v>0.88630000000000564</c:v>
                  </c:pt>
                  <c:pt idx="4">
                    <c:v>0.86469999999999914</c:v>
                  </c:pt>
                  <c:pt idx="5">
                    <c:v>0.70490000000000919</c:v>
                  </c:pt>
                  <c:pt idx="6">
                    <c:v>1.4476000000000226</c:v>
                  </c:pt>
                  <c:pt idx="7">
                    <c:v>0.8119000000000085</c:v>
                  </c:pt>
                  <c:pt idx="8">
                    <c:v>0.96030000000001792</c:v>
                  </c:pt>
                  <c:pt idx="9">
                    <c:v>0.84149999999999636</c:v>
                  </c:pt>
                </c:numCache>
              </c:numRef>
            </c:minus>
            <c:spPr>
              <a:noFill/>
              <a:ln w="9525" cap="flat" cmpd="sng" algn="ctr">
                <a:solidFill>
                  <a:schemeClr val="tx1">
                    <a:lumMod val="65000"/>
                    <a:lumOff val="35000"/>
                  </a:schemeClr>
                </a:solidFill>
                <a:round/>
              </a:ln>
              <a:effectLst/>
            </c:spPr>
          </c:errBars>
          <c:cat>
            <c:strRef>
              <c:f>'margins B'!$B$4:$B$13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B'!$E$4:$E$13</c:f>
              <c:numCache>
                <c:formatCode>0.0</c:formatCode>
                <c:ptCount val="10"/>
                <c:pt idx="0">
                  <c:v>132.51759999999999</c:v>
                </c:pt>
                <c:pt idx="1">
                  <c:v>133.82589999999999</c:v>
                </c:pt>
                <c:pt idx="2">
                  <c:v>146.256</c:v>
                </c:pt>
                <c:pt idx="3">
                  <c:v>141.75409999999999</c:v>
                </c:pt>
                <c:pt idx="4">
                  <c:v>139.6345</c:v>
                </c:pt>
                <c:pt idx="5">
                  <c:v>137.3348</c:v>
                </c:pt>
                <c:pt idx="6">
                  <c:v>130.91390000000001</c:v>
                </c:pt>
                <c:pt idx="7">
                  <c:v>131.5393</c:v>
                </c:pt>
                <c:pt idx="8">
                  <c:v>133.11580000000001</c:v>
                </c:pt>
                <c:pt idx="9">
                  <c:v>138.49940000000001</c:v>
                </c:pt>
              </c:numCache>
            </c:numRef>
          </c:val>
        </c:ser>
        <c:ser>
          <c:idx val="3"/>
          <c:order val="3"/>
          <c:tx>
            <c:strRef>
              <c:f>'margins B'!$F$3</c:f>
              <c:strCache>
                <c:ptCount val="1"/>
                <c:pt idx="0">
                  <c:v>75th</c:v>
                </c:pt>
              </c:strCache>
            </c:strRef>
          </c:tx>
          <c:spPr>
            <a:solidFill>
              <a:schemeClr val="accent6">
                <a:shade val="76000"/>
              </a:schemeClr>
            </a:solidFill>
            <a:ln>
              <a:noFill/>
            </a:ln>
            <a:effectLst/>
          </c:spPr>
          <c:invertIfNegative val="0"/>
          <c:errBars>
            <c:errBarType val="both"/>
            <c:errValType val="cust"/>
            <c:noEndCap val="0"/>
            <c:plus>
              <c:numRef>
                <c:f>'margins B'!$U$4:$U$13</c:f>
                <c:numCache>
                  <c:formatCode>General</c:formatCode>
                  <c:ptCount val="10"/>
                  <c:pt idx="0">
                    <c:v>1.5795999999999992</c:v>
                  </c:pt>
                  <c:pt idx="1">
                    <c:v>0.75990000000001601</c:v>
                  </c:pt>
                  <c:pt idx="2">
                    <c:v>0.81510000000000105</c:v>
                  </c:pt>
                  <c:pt idx="3">
                    <c:v>0.99150000000000205</c:v>
                  </c:pt>
                  <c:pt idx="4">
                    <c:v>0.80539999999999168</c:v>
                  </c:pt>
                  <c:pt idx="5">
                    <c:v>1.0072999999999865</c:v>
                  </c:pt>
                  <c:pt idx="6">
                    <c:v>1.5522000000000276</c:v>
                  </c:pt>
                  <c:pt idx="7">
                    <c:v>1.2074999999999818</c:v>
                  </c:pt>
                  <c:pt idx="8">
                    <c:v>1.5012000000000114</c:v>
                  </c:pt>
                  <c:pt idx="9">
                    <c:v>1.0952000000000055</c:v>
                  </c:pt>
                </c:numCache>
              </c:numRef>
            </c:plus>
            <c:minus>
              <c:numRef>
                <c:f>'margins B'!$U$4:$U$13</c:f>
                <c:numCache>
                  <c:formatCode>General</c:formatCode>
                  <c:ptCount val="10"/>
                  <c:pt idx="0">
                    <c:v>1.5795999999999992</c:v>
                  </c:pt>
                  <c:pt idx="1">
                    <c:v>0.75990000000001601</c:v>
                  </c:pt>
                  <c:pt idx="2">
                    <c:v>0.81510000000000105</c:v>
                  </c:pt>
                  <c:pt idx="3">
                    <c:v>0.99150000000000205</c:v>
                  </c:pt>
                  <c:pt idx="4">
                    <c:v>0.80539999999999168</c:v>
                  </c:pt>
                  <c:pt idx="5">
                    <c:v>1.0072999999999865</c:v>
                  </c:pt>
                  <c:pt idx="6">
                    <c:v>1.5522000000000276</c:v>
                  </c:pt>
                  <c:pt idx="7">
                    <c:v>1.2074999999999818</c:v>
                  </c:pt>
                  <c:pt idx="8">
                    <c:v>1.5012000000000114</c:v>
                  </c:pt>
                  <c:pt idx="9">
                    <c:v>1.0952000000000055</c:v>
                  </c:pt>
                </c:numCache>
              </c:numRef>
            </c:minus>
            <c:spPr>
              <a:noFill/>
              <a:ln w="9525" cap="flat" cmpd="sng" algn="ctr">
                <a:solidFill>
                  <a:schemeClr val="tx1">
                    <a:lumMod val="65000"/>
                    <a:lumOff val="35000"/>
                  </a:schemeClr>
                </a:solidFill>
                <a:round/>
              </a:ln>
              <a:effectLst/>
            </c:spPr>
          </c:errBars>
          <c:cat>
            <c:strRef>
              <c:f>'margins B'!$B$4:$B$13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B'!$F$4:$F$13</c:f>
              <c:numCache>
                <c:formatCode>0.0</c:formatCode>
                <c:ptCount val="10"/>
                <c:pt idx="0">
                  <c:v>136.08070000000001</c:v>
                </c:pt>
                <c:pt idx="1">
                  <c:v>137.8263</c:v>
                </c:pt>
                <c:pt idx="2">
                  <c:v>148.5187</c:v>
                </c:pt>
                <c:pt idx="3">
                  <c:v>141.81139999999999</c:v>
                </c:pt>
                <c:pt idx="4">
                  <c:v>142.5487</c:v>
                </c:pt>
                <c:pt idx="5">
                  <c:v>138.1027</c:v>
                </c:pt>
                <c:pt idx="6">
                  <c:v>135.46530000000001</c:v>
                </c:pt>
                <c:pt idx="7">
                  <c:v>132.79079999999999</c:v>
                </c:pt>
                <c:pt idx="8">
                  <c:v>136.05850000000001</c:v>
                </c:pt>
                <c:pt idx="9">
                  <c:v>139.1874</c:v>
                </c:pt>
              </c:numCache>
            </c:numRef>
          </c:val>
        </c:ser>
        <c:ser>
          <c:idx val="4"/>
          <c:order val="4"/>
          <c:tx>
            <c:strRef>
              <c:f>'margins B'!$G$3</c:f>
              <c:strCache>
                <c:ptCount val="1"/>
                <c:pt idx="0">
                  <c:v>90th</c:v>
                </c:pt>
              </c:strCache>
            </c:strRef>
          </c:tx>
          <c:spPr>
            <a:solidFill>
              <a:schemeClr val="accent6">
                <a:shade val="53000"/>
              </a:schemeClr>
            </a:solidFill>
            <a:ln>
              <a:noFill/>
            </a:ln>
            <a:effectLst/>
          </c:spPr>
          <c:invertIfNegative val="0"/>
          <c:errBars>
            <c:errBarType val="both"/>
            <c:errValType val="cust"/>
            <c:noEndCap val="0"/>
            <c:plus>
              <c:numRef>
                <c:f>'margins B'!$V$4:$V$13</c:f>
                <c:numCache>
                  <c:formatCode>General</c:formatCode>
                  <c:ptCount val="10"/>
                  <c:pt idx="0">
                    <c:v>1.9447999999999865</c:v>
                  </c:pt>
                  <c:pt idx="1">
                    <c:v>0.97360000000000468</c:v>
                  </c:pt>
                  <c:pt idx="2">
                    <c:v>1.1228999999999871</c:v>
                  </c:pt>
                  <c:pt idx="3">
                    <c:v>1.5460999999999956</c:v>
                  </c:pt>
                  <c:pt idx="4">
                    <c:v>1.1659999999999968</c:v>
                  </c:pt>
                  <c:pt idx="5">
                    <c:v>1.720499999999987</c:v>
                  </c:pt>
                  <c:pt idx="6">
                    <c:v>1.9478000000000009</c:v>
                  </c:pt>
                  <c:pt idx="7">
                    <c:v>2.017799999999994</c:v>
                  </c:pt>
                  <c:pt idx="8">
                    <c:v>2.4463999999999828</c:v>
                  </c:pt>
                  <c:pt idx="9">
                    <c:v>1.7800000000000011</c:v>
                  </c:pt>
                </c:numCache>
              </c:numRef>
            </c:plus>
            <c:minus>
              <c:numRef>
                <c:f>'margins B'!$V$4:$V$13</c:f>
                <c:numCache>
                  <c:formatCode>General</c:formatCode>
                  <c:ptCount val="10"/>
                  <c:pt idx="0">
                    <c:v>1.9447999999999865</c:v>
                  </c:pt>
                  <c:pt idx="1">
                    <c:v>0.97360000000000468</c:v>
                  </c:pt>
                  <c:pt idx="2">
                    <c:v>1.1228999999999871</c:v>
                  </c:pt>
                  <c:pt idx="3">
                    <c:v>1.5460999999999956</c:v>
                  </c:pt>
                  <c:pt idx="4">
                    <c:v>1.1659999999999968</c:v>
                  </c:pt>
                  <c:pt idx="5">
                    <c:v>1.720499999999987</c:v>
                  </c:pt>
                  <c:pt idx="6">
                    <c:v>1.9478000000000009</c:v>
                  </c:pt>
                  <c:pt idx="7">
                    <c:v>2.017799999999994</c:v>
                  </c:pt>
                  <c:pt idx="8">
                    <c:v>2.4463999999999828</c:v>
                  </c:pt>
                  <c:pt idx="9">
                    <c:v>1.7800000000000011</c:v>
                  </c:pt>
                </c:numCache>
              </c:numRef>
            </c:minus>
            <c:spPr>
              <a:noFill/>
              <a:ln w="9525" cap="flat" cmpd="sng" algn="ctr">
                <a:solidFill>
                  <a:schemeClr val="tx1">
                    <a:lumMod val="65000"/>
                    <a:lumOff val="35000"/>
                  </a:schemeClr>
                </a:solidFill>
                <a:round/>
              </a:ln>
              <a:effectLst/>
            </c:spPr>
          </c:errBars>
          <c:cat>
            <c:strRef>
              <c:f>'margins B'!$B$4:$B$13</c:f>
              <c:strCache>
                <c:ptCount val="10"/>
                <c:pt idx="0">
                  <c:v>North East</c:v>
                </c:pt>
                <c:pt idx="1">
                  <c:v>North West</c:v>
                </c:pt>
                <c:pt idx="2">
                  <c:v>Yorkshire &amp; Humber</c:v>
                </c:pt>
                <c:pt idx="3">
                  <c:v>East Midlands</c:v>
                </c:pt>
                <c:pt idx="4">
                  <c:v>West Midlands</c:v>
                </c:pt>
                <c:pt idx="5">
                  <c:v>East England</c:v>
                </c:pt>
                <c:pt idx="6">
                  <c:v>London</c:v>
                </c:pt>
                <c:pt idx="7">
                  <c:v>South East</c:v>
                </c:pt>
                <c:pt idx="8">
                  <c:v>South Central</c:v>
                </c:pt>
                <c:pt idx="9">
                  <c:v>South West</c:v>
                </c:pt>
              </c:strCache>
            </c:strRef>
          </c:cat>
          <c:val>
            <c:numRef>
              <c:f>'margins B'!$G$4:$G$13</c:f>
              <c:numCache>
                <c:formatCode>0.0</c:formatCode>
                <c:ptCount val="10"/>
                <c:pt idx="0">
                  <c:v>140.1601</c:v>
                </c:pt>
                <c:pt idx="1">
                  <c:v>142.40639999999999</c:v>
                </c:pt>
                <c:pt idx="2">
                  <c:v>151.10929999999999</c:v>
                </c:pt>
                <c:pt idx="3">
                  <c:v>141.87719999999999</c:v>
                </c:pt>
                <c:pt idx="4">
                  <c:v>145.8853</c:v>
                </c:pt>
                <c:pt idx="5">
                  <c:v>138.9819</c:v>
                </c:pt>
                <c:pt idx="6">
                  <c:v>140.6764</c:v>
                </c:pt>
                <c:pt idx="7">
                  <c:v>134.22370000000001</c:v>
                </c:pt>
                <c:pt idx="8">
                  <c:v>139.42769999999999</c:v>
                </c:pt>
                <c:pt idx="9">
                  <c:v>139.9751</c:v>
                </c:pt>
              </c:numCache>
            </c:numRef>
          </c:val>
        </c:ser>
        <c:dLbls>
          <c:showLegendKey val="0"/>
          <c:showVal val="0"/>
          <c:showCatName val="0"/>
          <c:showSerName val="0"/>
          <c:showPercent val="0"/>
          <c:showBubbleSize val="0"/>
        </c:dLbls>
        <c:gapWidth val="219"/>
        <c:overlap val="-27"/>
        <c:axId val="201673176"/>
        <c:axId val="201675136"/>
      </c:barChart>
      <c:catAx>
        <c:axId val="20167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201675136"/>
        <c:crosses val="autoZero"/>
        <c:auto val="1"/>
        <c:lblAlgn val="ctr"/>
        <c:lblOffset val="100"/>
        <c:noMultiLvlLbl val="0"/>
      </c:catAx>
      <c:valAx>
        <c:axId val="2016751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73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F705-5083-4188-87F6-0E01BB7AA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Pages>
  <Words>4126</Words>
  <Characters>24429</Characters>
  <Application>Microsoft Office Word</Application>
  <DocSecurity>0</DocSecurity>
  <Lines>436</Lines>
  <Paragraphs>148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Kontopantelis</dc:creator>
  <cp:keywords/>
  <dc:description/>
  <cp:lastModifiedBy>Evan Kontopantelis</cp:lastModifiedBy>
  <cp:revision>21</cp:revision>
  <dcterms:created xsi:type="dcterms:W3CDTF">2017-04-25T08:11:00Z</dcterms:created>
  <dcterms:modified xsi:type="dcterms:W3CDTF">2017-08-10T06:58:00Z</dcterms:modified>
</cp:coreProperties>
</file>