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C7D2F0" w14:textId="77777777" w:rsidR="002B1A7B" w:rsidRPr="00E137F5" w:rsidRDefault="002B1A7B" w:rsidP="002B1A7B">
      <w:pPr>
        <w:rPr>
          <w:rFonts w:ascii="Times New Roman" w:hAnsi="Times New Roman" w:cs="Times New Roman"/>
          <w:b/>
          <w:sz w:val="28"/>
        </w:rPr>
      </w:pPr>
      <w:r w:rsidRPr="00E137F5">
        <w:rPr>
          <w:rFonts w:ascii="Times New Roman" w:hAnsi="Times New Roman" w:cs="Times New Roman"/>
          <w:b/>
          <w:sz w:val="28"/>
        </w:rPr>
        <w:t>Additional file 1</w:t>
      </w:r>
    </w:p>
    <w:p w14:paraId="0CF40467" w14:textId="77777777" w:rsidR="002B1A7B" w:rsidRDefault="002B1A7B" w:rsidP="002B1A7B">
      <w:pPr>
        <w:rPr>
          <w:rFonts w:ascii="Times New Roman" w:hAnsi="Times New Roman" w:cs="Times New Roman"/>
        </w:rPr>
      </w:pPr>
    </w:p>
    <w:p w14:paraId="08599447" w14:textId="77777777" w:rsidR="002B1A7B" w:rsidRDefault="002B1A7B" w:rsidP="002B1A7B">
      <w:pPr>
        <w:rPr>
          <w:rFonts w:ascii="Times New Roman" w:hAnsi="Times New Roman" w:cs="Times New Roman"/>
        </w:rPr>
      </w:pPr>
    </w:p>
    <w:p w14:paraId="6F9A10E3" w14:textId="77777777" w:rsidR="002B1A7B" w:rsidRPr="00E17128" w:rsidRDefault="002B1A7B" w:rsidP="002B1A7B">
      <w:pPr>
        <w:spacing w:line="360" w:lineRule="auto"/>
        <w:jc w:val="both"/>
        <w:rPr>
          <w:rFonts w:ascii="Times New Roman" w:hAnsi="Times New Roman" w:cs="Times New Roman"/>
          <w:bCs/>
          <w:noProof w:val="0"/>
          <w:color w:val="000000" w:themeColor="text1"/>
        </w:rPr>
      </w:pPr>
      <w:r w:rsidRPr="00042358">
        <w:rPr>
          <w:rFonts w:ascii="Times New Roman" w:hAnsi="Times New Roman" w:cs="Times New Roman"/>
          <w:bCs/>
          <w:noProof w:val="0"/>
          <w:color w:val="000000" w:themeColor="text1"/>
        </w:rPr>
        <w:t>Serum magnesium levels and risk of coronary artery disease: Mendelian randomization study</w:t>
      </w:r>
    </w:p>
    <w:p w14:paraId="0486D9A7" w14:textId="77777777" w:rsidR="002B1A7B" w:rsidRPr="00042358" w:rsidRDefault="002B1A7B" w:rsidP="002B1A7B">
      <w:pPr>
        <w:spacing w:line="360" w:lineRule="auto"/>
        <w:jc w:val="both"/>
        <w:rPr>
          <w:rFonts w:ascii="Times New Roman" w:hAnsi="Times New Roman" w:cs="Times New Roman"/>
          <w:noProof w:val="0"/>
          <w:color w:val="000000" w:themeColor="text1"/>
        </w:rPr>
      </w:pPr>
      <w:r w:rsidRPr="00E17128">
        <w:rPr>
          <w:rFonts w:ascii="Times New Roman" w:hAnsi="Times New Roman" w:cs="Times New Roman"/>
          <w:i/>
          <w:noProof w:val="0"/>
          <w:color w:val="000000" w:themeColor="text1"/>
        </w:rPr>
        <w:t>Authors:</w:t>
      </w:r>
      <w:r>
        <w:rPr>
          <w:rFonts w:ascii="Times New Roman" w:hAnsi="Times New Roman" w:cs="Times New Roman"/>
          <w:noProof w:val="0"/>
          <w:color w:val="000000" w:themeColor="text1"/>
        </w:rPr>
        <w:t xml:space="preserve"> </w:t>
      </w:r>
      <w:r w:rsidRPr="00042358">
        <w:rPr>
          <w:rFonts w:ascii="Times New Roman" w:hAnsi="Times New Roman" w:cs="Times New Roman"/>
          <w:noProof w:val="0"/>
          <w:color w:val="000000" w:themeColor="text1"/>
        </w:rPr>
        <w:t>Susanna C. Larsson,</w:t>
      </w:r>
      <w:r>
        <w:rPr>
          <w:rFonts w:ascii="Times New Roman" w:hAnsi="Times New Roman" w:cs="Times New Roman"/>
          <w:noProof w:val="0"/>
          <w:color w:val="000000" w:themeColor="text1"/>
          <w:vertAlign w:val="superscript"/>
        </w:rPr>
        <w:t xml:space="preserve"> </w:t>
      </w:r>
      <w:r w:rsidRPr="00042358">
        <w:rPr>
          <w:rFonts w:ascii="Times New Roman" w:hAnsi="Times New Roman" w:cs="Times New Roman"/>
          <w:noProof w:val="0"/>
          <w:color w:val="000000" w:themeColor="text1"/>
        </w:rPr>
        <w:t>Stephen Burgess, Karl Michaëlsson</w:t>
      </w:r>
    </w:p>
    <w:p w14:paraId="44589D3B" w14:textId="77777777" w:rsidR="002B1A7B" w:rsidRDefault="002B1A7B" w:rsidP="002B1A7B">
      <w:pPr>
        <w:rPr>
          <w:rFonts w:ascii="Times New Roman" w:hAnsi="Times New Roman" w:cs="Times New Roman"/>
        </w:rPr>
      </w:pPr>
    </w:p>
    <w:p w14:paraId="1694B7CE" w14:textId="77777777" w:rsidR="002B1A7B" w:rsidRDefault="002B1A7B" w:rsidP="002B1A7B">
      <w:pPr>
        <w:rPr>
          <w:rFonts w:ascii="Times New Roman" w:hAnsi="Times New Roman" w:cs="Times New Roman"/>
        </w:rPr>
      </w:pPr>
    </w:p>
    <w:p w14:paraId="625C055E" w14:textId="77777777" w:rsidR="002B1A7B" w:rsidRDefault="002B1A7B" w:rsidP="002B1A7B">
      <w:pPr>
        <w:rPr>
          <w:rFonts w:ascii="Times New Roman" w:hAnsi="Times New Roman" w:cs="Times New Roman"/>
        </w:rPr>
      </w:pPr>
    </w:p>
    <w:tbl>
      <w:tblPr>
        <w:tblStyle w:val="Tabellrutnt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0"/>
        <w:gridCol w:w="710"/>
      </w:tblGrid>
      <w:tr w:rsidR="002B1A7B" w:rsidRPr="00E40CCD" w14:paraId="07B6C8C0" w14:textId="77777777" w:rsidTr="00975DBA">
        <w:tc>
          <w:tcPr>
            <w:tcW w:w="8470" w:type="dxa"/>
          </w:tcPr>
          <w:p w14:paraId="7F46D570" w14:textId="77777777" w:rsidR="002B1A7B" w:rsidRPr="00E40CCD" w:rsidRDefault="00330E83" w:rsidP="00975DBA">
            <w:pPr>
              <w:spacing w:after="120" w:line="276" w:lineRule="auto"/>
              <w:jc w:val="both"/>
              <w:rPr>
                <w:rFonts w:ascii="Times New Roman" w:hAnsi="Times New Roman" w:cs="Times New Roman"/>
                <w:b/>
                <w:noProof w:val="0"/>
              </w:rPr>
            </w:pPr>
            <w:r>
              <w:rPr>
                <w:rFonts w:ascii="Times New Roman" w:hAnsi="Times New Roman" w:cs="Times New Roman"/>
                <w:b/>
                <w:noProof w:val="0"/>
              </w:rPr>
              <w:t>Supplemental table</w:t>
            </w:r>
            <w:bookmarkStart w:id="0" w:name="_GoBack"/>
            <w:bookmarkEnd w:id="0"/>
          </w:p>
        </w:tc>
        <w:tc>
          <w:tcPr>
            <w:tcW w:w="710" w:type="dxa"/>
          </w:tcPr>
          <w:p w14:paraId="5B773846" w14:textId="77777777" w:rsidR="002B1A7B" w:rsidRPr="00E40CCD" w:rsidRDefault="002B1A7B" w:rsidP="00975DBA">
            <w:pPr>
              <w:spacing w:after="120" w:line="276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40CCD">
              <w:rPr>
                <w:rFonts w:ascii="Times New Roman" w:hAnsi="Times New Roman" w:cs="Times New Roman"/>
                <w:b/>
              </w:rPr>
              <w:t>Page</w:t>
            </w:r>
          </w:p>
        </w:tc>
      </w:tr>
      <w:tr w:rsidR="002B1A7B" w14:paraId="48E614E3" w14:textId="77777777" w:rsidTr="00975DBA">
        <w:tc>
          <w:tcPr>
            <w:tcW w:w="8470" w:type="dxa"/>
          </w:tcPr>
          <w:p w14:paraId="0A400FC5" w14:textId="77777777" w:rsidR="002B1A7B" w:rsidRDefault="002B1A7B" w:rsidP="00975DB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00C3F">
              <w:rPr>
                <w:rFonts w:ascii="Times New Roman" w:hAnsi="Times New Roman" w:cs="Times New Roman"/>
                <w:b/>
                <w:noProof w:val="0"/>
              </w:rPr>
              <w:t>Table S</w:t>
            </w:r>
            <w:r>
              <w:rPr>
                <w:rFonts w:ascii="Times New Roman" w:hAnsi="Times New Roman" w:cs="Times New Roman"/>
                <w:b/>
                <w:noProof w:val="0"/>
              </w:rPr>
              <w:t>1</w:t>
            </w:r>
            <w:r w:rsidRPr="00E00C3F">
              <w:rPr>
                <w:rFonts w:ascii="Times New Roman" w:hAnsi="Times New Roman" w:cs="Times New Roman"/>
                <w:b/>
                <w:noProof w:val="0"/>
              </w:rPr>
              <w:t xml:space="preserve">. </w:t>
            </w:r>
            <w:r w:rsidRPr="00E00C3F">
              <w:rPr>
                <w:rFonts w:ascii="Times New Roman" w:hAnsi="Times New Roman" w:cs="Times New Roman"/>
                <w:noProof w:val="0"/>
              </w:rPr>
              <w:t>Association</w:t>
            </w:r>
            <w:r w:rsidRPr="00F67737">
              <w:rPr>
                <w:rFonts w:ascii="Times New Roman" w:hAnsi="Times New Roman" w:cs="Times New Roman"/>
                <w:noProof w:val="0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noProof w:val="0"/>
              </w:rPr>
              <w:t>of</w:t>
            </w:r>
            <w:r w:rsidRPr="00F67737">
              <w:rPr>
                <w:rFonts w:ascii="Times New Roman" w:hAnsi="Times New Roman" w:cs="Times New Roman"/>
                <w:noProof w:val="0"/>
                <w:sz w:val="18"/>
              </w:rPr>
              <w:t xml:space="preserve"> </w:t>
            </w:r>
            <w:r w:rsidRPr="00E00C3F">
              <w:rPr>
                <w:rFonts w:ascii="Times New Roman" w:hAnsi="Times New Roman" w:cs="Times New Roman"/>
                <w:noProof w:val="0"/>
              </w:rPr>
              <w:t>genetically</w:t>
            </w:r>
            <w:r w:rsidRPr="00F67737">
              <w:rPr>
                <w:rFonts w:ascii="Times New Roman" w:hAnsi="Times New Roman" w:cs="Times New Roman"/>
                <w:noProof w:val="0"/>
                <w:sz w:val="20"/>
              </w:rPr>
              <w:t xml:space="preserve"> </w:t>
            </w:r>
            <w:r w:rsidRPr="00E00C3F">
              <w:rPr>
                <w:rFonts w:ascii="Times New Roman" w:hAnsi="Times New Roman" w:cs="Times New Roman"/>
                <w:noProof w:val="0"/>
              </w:rPr>
              <w:t>predicted</w:t>
            </w:r>
            <w:r w:rsidRPr="00F67737">
              <w:rPr>
                <w:rFonts w:ascii="Times New Roman" w:hAnsi="Times New Roman" w:cs="Times New Roman"/>
                <w:noProof w:val="0"/>
                <w:sz w:val="20"/>
              </w:rPr>
              <w:t xml:space="preserve"> </w:t>
            </w:r>
            <w:r w:rsidRPr="00E00C3F">
              <w:rPr>
                <w:rFonts w:ascii="Times New Roman" w:hAnsi="Times New Roman" w:cs="Times New Roman"/>
                <w:noProof w:val="0"/>
              </w:rPr>
              <w:t>0.1</w:t>
            </w:r>
            <w:r w:rsidRPr="00F67737">
              <w:rPr>
                <w:rFonts w:ascii="Times New Roman" w:hAnsi="Times New Roman" w:cs="Times New Roman"/>
                <w:noProof w:val="0"/>
                <w:sz w:val="20"/>
              </w:rPr>
              <w:t xml:space="preserve"> </w:t>
            </w:r>
            <w:r w:rsidRPr="00E00C3F">
              <w:rPr>
                <w:rFonts w:ascii="Times New Roman" w:hAnsi="Times New Roman" w:cs="Times New Roman"/>
                <w:noProof w:val="0"/>
              </w:rPr>
              <w:t>mmol/L increase</w:t>
            </w:r>
            <w:r w:rsidRPr="00F67737">
              <w:rPr>
                <w:rFonts w:ascii="Times New Roman" w:hAnsi="Times New Roman" w:cs="Times New Roman"/>
                <w:noProof w:val="0"/>
                <w:sz w:val="16"/>
              </w:rPr>
              <w:t xml:space="preserve"> </w:t>
            </w:r>
            <w:r w:rsidRPr="00E00C3F">
              <w:rPr>
                <w:rFonts w:ascii="Times New Roman" w:hAnsi="Times New Roman" w:cs="Times New Roman"/>
                <w:noProof w:val="0"/>
              </w:rPr>
              <w:t>in</w:t>
            </w:r>
            <w:r w:rsidRPr="00F67737">
              <w:rPr>
                <w:rFonts w:ascii="Times New Roman" w:hAnsi="Times New Roman" w:cs="Times New Roman"/>
                <w:noProof w:val="0"/>
                <w:sz w:val="22"/>
              </w:rPr>
              <w:t xml:space="preserve"> </w:t>
            </w:r>
            <w:r w:rsidRPr="00E00C3F">
              <w:rPr>
                <w:rFonts w:ascii="Times New Roman" w:hAnsi="Times New Roman" w:cs="Times New Roman"/>
                <w:noProof w:val="0"/>
              </w:rPr>
              <w:t xml:space="preserve">serum magnesium </w:t>
            </w:r>
            <w:r>
              <w:rPr>
                <w:rFonts w:ascii="Times New Roman" w:hAnsi="Times New Roman" w:cs="Times New Roman"/>
                <w:noProof w:val="0"/>
              </w:rPr>
              <w:t>with</w:t>
            </w:r>
            <w:r w:rsidRPr="00A467B9">
              <w:rPr>
                <w:rFonts w:ascii="Times New Roman" w:hAnsi="Times New Roman" w:cs="Times New Roman"/>
                <w:noProof w:val="0"/>
              </w:rPr>
              <w:t xml:space="preserve"> coronary artery disease in inverse-variance weighted and </w:t>
            </w:r>
            <w:r w:rsidRPr="00A467B9">
              <w:rPr>
                <w:rFonts w:ascii="Times New Roman" w:eastAsia="Times New Roman" w:hAnsi="Times New Roman" w:cs="Times New Roman"/>
                <w:iCs/>
                <w:noProof w:val="0"/>
              </w:rPr>
              <w:t>sensitivity analyses</w:t>
            </w:r>
          </w:p>
        </w:tc>
        <w:tc>
          <w:tcPr>
            <w:tcW w:w="710" w:type="dxa"/>
          </w:tcPr>
          <w:p w14:paraId="56A9BDE0" w14:textId="77777777" w:rsidR="002B1A7B" w:rsidRDefault="002B1A7B" w:rsidP="00975DBA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B1A7B" w14:paraId="5D7A6A7F" w14:textId="77777777" w:rsidTr="00975DBA">
        <w:tc>
          <w:tcPr>
            <w:tcW w:w="8470" w:type="dxa"/>
          </w:tcPr>
          <w:p w14:paraId="3DBC327D" w14:textId="77777777" w:rsidR="002B1A7B" w:rsidRPr="00FF0DBF" w:rsidRDefault="002B1A7B" w:rsidP="00975DBA">
            <w:pPr>
              <w:spacing w:before="120" w:line="276" w:lineRule="auto"/>
              <w:jc w:val="both"/>
              <w:rPr>
                <w:rFonts w:ascii="Times New Roman" w:hAnsi="Times New Roman" w:cs="Times New Roman"/>
                <w:b/>
                <w:noProof w:val="0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noProof w:val="0"/>
                <w:color w:val="000000" w:themeColor="text1"/>
              </w:rPr>
              <w:t>Table S2</w:t>
            </w:r>
            <w:r w:rsidRPr="00FF0DBF">
              <w:rPr>
                <w:rFonts w:ascii="Times New Roman" w:hAnsi="Times New Roman" w:cs="Times New Roman"/>
                <w:b/>
                <w:noProof w:val="0"/>
                <w:color w:val="000000" w:themeColor="text1"/>
              </w:rPr>
              <w:t xml:space="preserve">. </w:t>
            </w:r>
            <w:r>
              <w:rPr>
                <w:rFonts w:ascii="Times New Roman" w:hAnsi="Times New Roman" w:cs="Times New Roman"/>
                <w:noProof w:val="0"/>
                <w:color w:val="000000" w:themeColor="text1"/>
              </w:rPr>
              <w:t>Genes located in or near the loci for serum magnesium and their biological roles</w:t>
            </w:r>
          </w:p>
        </w:tc>
        <w:tc>
          <w:tcPr>
            <w:tcW w:w="710" w:type="dxa"/>
          </w:tcPr>
          <w:p w14:paraId="77E9C012" w14:textId="77777777" w:rsidR="002B1A7B" w:rsidRDefault="002B1A7B" w:rsidP="00975DBA">
            <w:pPr>
              <w:spacing w:before="120"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3C5482FF" w14:textId="77777777" w:rsidR="002B1A7B" w:rsidRDefault="002B1A7B" w:rsidP="002B1A7B">
      <w:pPr>
        <w:rPr>
          <w:rFonts w:ascii="Times New Roman" w:hAnsi="Times New Roman" w:cs="Times New Roman"/>
        </w:rPr>
        <w:sectPr w:rsidR="002B1A7B" w:rsidSect="006454E8">
          <w:footerReference w:type="even" r:id="rId7"/>
          <w:footerReference w:type="default" r:id="rId8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113249F4" w14:textId="77777777" w:rsidR="002B1A7B" w:rsidRPr="00A467B9" w:rsidRDefault="002B1A7B" w:rsidP="002B1A7B">
      <w:pPr>
        <w:spacing w:line="360" w:lineRule="auto"/>
        <w:jc w:val="both"/>
        <w:rPr>
          <w:rFonts w:ascii="Times New Roman" w:hAnsi="Times New Roman" w:cs="Times New Roman"/>
          <w:b/>
          <w:noProof w:val="0"/>
        </w:rPr>
      </w:pPr>
      <w:r w:rsidRPr="00E00C3F">
        <w:rPr>
          <w:rFonts w:ascii="Times New Roman" w:hAnsi="Times New Roman" w:cs="Times New Roman"/>
          <w:b/>
          <w:noProof w:val="0"/>
        </w:rPr>
        <w:lastRenderedPageBreak/>
        <w:t>Table</w:t>
      </w:r>
      <w:r w:rsidRPr="00F67737">
        <w:rPr>
          <w:rFonts w:ascii="Times New Roman" w:hAnsi="Times New Roman" w:cs="Times New Roman"/>
          <w:b/>
          <w:noProof w:val="0"/>
          <w:sz w:val="18"/>
        </w:rPr>
        <w:t xml:space="preserve"> </w:t>
      </w:r>
      <w:r w:rsidRPr="00E00C3F">
        <w:rPr>
          <w:rFonts w:ascii="Times New Roman" w:hAnsi="Times New Roman" w:cs="Times New Roman"/>
          <w:b/>
          <w:noProof w:val="0"/>
        </w:rPr>
        <w:t>S</w:t>
      </w:r>
      <w:r>
        <w:rPr>
          <w:rFonts w:ascii="Times New Roman" w:hAnsi="Times New Roman" w:cs="Times New Roman"/>
          <w:b/>
          <w:noProof w:val="0"/>
        </w:rPr>
        <w:t>1</w:t>
      </w:r>
      <w:r w:rsidRPr="00E00C3F">
        <w:rPr>
          <w:rFonts w:ascii="Times New Roman" w:hAnsi="Times New Roman" w:cs="Times New Roman"/>
          <w:b/>
          <w:noProof w:val="0"/>
        </w:rPr>
        <w:t>.</w:t>
      </w:r>
      <w:r w:rsidRPr="00F67737">
        <w:rPr>
          <w:rFonts w:ascii="Times New Roman" w:hAnsi="Times New Roman" w:cs="Times New Roman"/>
          <w:b/>
          <w:noProof w:val="0"/>
          <w:sz w:val="16"/>
        </w:rPr>
        <w:t xml:space="preserve"> </w:t>
      </w:r>
      <w:r w:rsidRPr="00E00C3F">
        <w:rPr>
          <w:rFonts w:ascii="Times New Roman" w:hAnsi="Times New Roman" w:cs="Times New Roman"/>
          <w:noProof w:val="0"/>
        </w:rPr>
        <w:t>Association</w:t>
      </w:r>
      <w:r w:rsidRPr="00F67737">
        <w:rPr>
          <w:rFonts w:ascii="Times New Roman" w:hAnsi="Times New Roman" w:cs="Times New Roman"/>
          <w:noProof w:val="0"/>
          <w:sz w:val="20"/>
        </w:rPr>
        <w:t xml:space="preserve"> </w:t>
      </w:r>
      <w:r>
        <w:rPr>
          <w:rFonts w:ascii="Times New Roman" w:hAnsi="Times New Roman" w:cs="Times New Roman"/>
          <w:noProof w:val="0"/>
        </w:rPr>
        <w:t>of</w:t>
      </w:r>
      <w:r w:rsidRPr="00F67737">
        <w:rPr>
          <w:rFonts w:ascii="Times New Roman" w:hAnsi="Times New Roman" w:cs="Times New Roman"/>
          <w:noProof w:val="0"/>
          <w:sz w:val="18"/>
        </w:rPr>
        <w:t xml:space="preserve"> </w:t>
      </w:r>
      <w:r w:rsidRPr="00E00C3F">
        <w:rPr>
          <w:rFonts w:ascii="Times New Roman" w:hAnsi="Times New Roman" w:cs="Times New Roman"/>
          <w:noProof w:val="0"/>
        </w:rPr>
        <w:t>genetically</w:t>
      </w:r>
      <w:r w:rsidRPr="00F67737">
        <w:rPr>
          <w:rFonts w:ascii="Times New Roman" w:hAnsi="Times New Roman" w:cs="Times New Roman"/>
          <w:noProof w:val="0"/>
          <w:sz w:val="20"/>
        </w:rPr>
        <w:t xml:space="preserve"> </w:t>
      </w:r>
      <w:r w:rsidRPr="00E00C3F">
        <w:rPr>
          <w:rFonts w:ascii="Times New Roman" w:hAnsi="Times New Roman" w:cs="Times New Roman"/>
          <w:noProof w:val="0"/>
        </w:rPr>
        <w:t>predicted</w:t>
      </w:r>
      <w:r w:rsidRPr="00F67737">
        <w:rPr>
          <w:rFonts w:ascii="Times New Roman" w:hAnsi="Times New Roman" w:cs="Times New Roman"/>
          <w:noProof w:val="0"/>
          <w:sz w:val="20"/>
        </w:rPr>
        <w:t xml:space="preserve"> </w:t>
      </w:r>
      <w:r w:rsidRPr="00E00C3F">
        <w:rPr>
          <w:rFonts w:ascii="Times New Roman" w:hAnsi="Times New Roman" w:cs="Times New Roman"/>
          <w:noProof w:val="0"/>
        </w:rPr>
        <w:t>0.1</w:t>
      </w:r>
      <w:r w:rsidRPr="00F67737">
        <w:rPr>
          <w:rFonts w:ascii="Times New Roman" w:hAnsi="Times New Roman" w:cs="Times New Roman"/>
          <w:noProof w:val="0"/>
          <w:sz w:val="20"/>
        </w:rPr>
        <w:t xml:space="preserve"> </w:t>
      </w:r>
      <w:r w:rsidRPr="00E00C3F">
        <w:rPr>
          <w:rFonts w:ascii="Times New Roman" w:hAnsi="Times New Roman" w:cs="Times New Roman"/>
          <w:noProof w:val="0"/>
        </w:rPr>
        <w:t>mmol/L increase</w:t>
      </w:r>
      <w:r w:rsidRPr="00F67737">
        <w:rPr>
          <w:rFonts w:ascii="Times New Roman" w:hAnsi="Times New Roman" w:cs="Times New Roman"/>
          <w:noProof w:val="0"/>
          <w:sz w:val="16"/>
        </w:rPr>
        <w:t xml:space="preserve"> </w:t>
      </w:r>
      <w:r w:rsidRPr="00E00C3F">
        <w:rPr>
          <w:rFonts w:ascii="Times New Roman" w:hAnsi="Times New Roman" w:cs="Times New Roman"/>
          <w:noProof w:val="0"/>
        </w:rPr>
        <w:t>in</w:t>
      </w:r>
      <w:r w:rsidRPr="00F67737">
        <w:rPr>
          <w:rFonts w:ascii="Times New Roman" w:hAnsi="Times New Roman" w:cs="Times New Roman"/>
          <w:noProof w:val="0"/>
          <w:sz w:val="22"/>
        </w:rPr>
        <w:t xml:space="preserve"> </w:t>
      </w:r>
      <w:r w:rsidRPr="00E00C3F">
        <w:rPr>
          <w:rFonts w:ascii="Times New Roman" w:hAnsi="Times New Roman" w:cs="Times New Roman"/>
          <w:noProof w:val="0"/>
        </w:rPr>
        <w:t xml:space="preserve">serum magnesium </w:t>
      </w:r>
      <w:r>
        <w:rPr>
          <w:rFonts w:ascii="Times New Roman" w:hAnsi="Times New Roman" w:cs="Times New Roman"/>
          <w:noProof w:val="0"/>
        </w:rPr>
        <w:t>with</w:t>
      </w:r>
      <w:r w:rsidRPr="00A467B9">
        <w:rPr>
          <w:rFonts w:ascii="Times New Roman" w:hAnsi="Times New Roman" w:cs="Times New Roman"/>
          <w:noProof w:val="0"/>
        </w:rPr>
        <w:t xml:space="preserve"> coronary artery disease in inverse-variance weighted and </w:t>
      </w:r>
      <w:r w:rsidRPr="00A467B9">
        <w:rPr>
          <w:rFonts w:ascii="Times New Roman" w:eastAsia="Times New Roman" w:hAnsi="Times New Roman" w:cs="Times New Roman"/>
          <w:iCs/>
          <w:noProof w:val="0"/>
        </w:rPr>
        <w:t>sensitivity analyses</w:t>
      </w:r>
    </w:p>
    <w:tbl>
      <w:tblPr>
        <w:tblW w:w="9775" w:type="dxa"/>
        <w:jc w:val="center"/>
        <w:tblInd w:w="20" w:type="dxa"/>
        <w:tblLayout w:type="fixed"/>
        <w:tblLook w:val="04A0" w:firstRow="1" w:lastRow="0" w:firstColumn="1" w:lastColumn="0" w:noHBand="0" w:noVBand="1"/>
      </w:tblPr>
      <w:tblGrid>
        <w:gridCol w:w="4347"/>
        <w:gridCol w:w="1843"/>
        <w:gridCol w:w="690"/>
        <w:gridCol w:w="236"/>
        <w:gridCol w:w="1808"/>
        <w:gridCol w:w="851"/>
      </w:tblGrid>
      <w:tr w:rsidR="002B1A7B" w:rsidRPr="00E00C3F" w14:paraId="55BCAB9B" w14:textId="77777777" w:rsidTr="00975DBA">
        <w:trPr>
          <w:jc w:val="center"/>
        </w:trPr>
        <w:tc>
          <w:tcPr>
            <w:tcW w:w="4347" w:type="dxa"/>
            <w:tcBorders>
              <w:top w:val="single" w:sz="12" w:space="0" w:color="auto"/>
              <w:left w:val="single" w:sz="12" w:space="0" w:color="auto"/>
            </w:tcBorders>
          </w:tcPr>
          <w:p w14:paraId="514BDCE6" w14:textId="77777777" w:rsidR="002B1A7B" w:rsidRPr="00E00C3F" w:rsidRDefault="002B1A7B" w:rsidP="00975DB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noProof w:val="0"/>
              </w:rPr>
            </w:pPr>
          </w:p>
        </w:tc>
        <w:tc>
          <w:tcPr>
            <w:tcW w:w="2533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6666336D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noProof w:val="0"/>
              </w:rPr>
            </w:pPr>
            <w:r w:rsidRPr="00E00C3F">
              <w:rPr>
                <w:rFonts w:ascii="Times New Roman" w:hAnsi="Times New Roman" w:cs="Times New Roman"/>
                <w:b/>
                <w:noProof w:val="0"/>
              </w:rPr>
              <w:t>All six SNPs</w:t>
            </w:r>
            <w:r w:rsidRPr="00E00C3F">
              <w:rPr>
                <w:rFonts w:ascii="Times New Roman" w:hAnsi="Times New Roman" w:cs="Times New Roman"/>
                <w:noProof w:val="0"/>
                <w:vertAlign w:val="superscript"/>
              </w:rPr>
              <w:t>a</w:t>
            </w: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79CFCE8F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noProof w:val="0"/>
              </w:rPr>
            </w:pPr>
          </w:p>
        </w:tc>
        <w:tc>
          <w:tcPr>
            <w:tcW w:w="2659" w:type="dxa"/>
            <w:gridSpan w:val="2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4344EB8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noProof w:val="0"/>
              </w:rPr>
            </w:pPr>
            <w:r w:rsidRPr="00E00C3F">
              <w:rPr>
                <w:rFonts w:ascii="Times New Roman" w:hAnsi="Times New Roman" w:cs="Times New Roman"/>
                <w:b/>
                <w:noProof w:val="0"/>
              </w:rPr>
              <w:t xml:space="preserve">Excluding </w:t>
            </w:r>
            <w:r w:rsidRPr="00E00C3F">
              <w:rPr>
                <w:rFonts w:ascii="Times New Roman" w:eastAsia="Times New Roman" w:hAnsi="Times New Roman" w:cs="Times New Roman"/>
                <w:b/>
                <w:noProof w:val="0"/>
              </w:rPr>
              <w:t>rs11144134</w:t>
            </w:r>
            <w:r w:rsidRPr="00E00C3F">
              <w:rPr>
                <w:rFonts w:ascii="Times New Roman" w:hAnsi="Times New Roman" w:cs="Times New Roman"/>
                <w:noProof w:val="0"/>
                <w:vertAlign w:val="superscript"/>
              </w:rPr>
              <w:t>b</w:t>
            </w:r>
          </w:p>
        </w:tc>
      </w:tr>
      <w:tr w:rsidR="002B1A7B" w:rsidRPr="00E00C3F" w14:paraId="515C98AA" w14:textId="77777777" w:rsidTr="00975DBA">
        <w:trPr>
          <w:jc w:val="center"/>
        </w:trPr>
        <w:tc>
          <w:tcPr>
            <w:tcW w:w="4347" w:type="dxa"/>
            <w:tcBorders>
              <w:left w:val="single" w:sz="12" w:space="0" w:color="auto"/>
              <w:bottom w:val="single" w:sz="8" w:space="0" w:color="auto"/>
            </w:tcBorders>
          </w:tcPr>
          <w:p w14:paraId="42102D14" w14:textId="77777777" w:rsidR="002B1A7B" w:rsidRPr="00E00C3F" w:rsidRDefault="002B1A7B" w:rsidP="00975DB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noProof w:val="0"/>
              </w:rPr>
            </w:pPr>
            <w:r w:rsidRPr="00E00C3F">
              <w:rPr>
                <w:rFonts w:ascii="Times New Roman" w:hAnsi="Times New Roman" w:cs="Times New Roman"/>
                <w:b/>
                <w:noProof w:val="0"/>
              </w:rPr>
              <w:t xml:space="preserve">Method 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14:paraId="019E34F5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noProof w:val="0"/>
              </w:rPr>
            </w:pPr>
            <w:r w:rsidRPr="00E00C3F">
              <w:rPr>
                <w:rFonts w:ascii="Times New Roman" w:hAnsi="Times New Roman" w:cs="Times New Roman"/>
                <w:b/>
                <w:noProof w:val="0"/>
              </w:rPr>
              <w:t>OR (95% CI)</w:t>
            </w:r>
          </w:p>
        </w:tc>
        <w:tc>
          <w:tcPr>
            <w:tcW w:w="690" w:type="dxa"/>
            <w:tcBorders>
              <w:top w:val="single" w:sz="8" w:space="0" w:color="auto"/>
              <w:bottom w:val="single" w:sz="8" w:space="0" w:color="auto"/>
            </w:tcBorders>
          </w:tcPr>
          <w:p w14:paraId="2D624291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noProof w:val="0"/>
              </w:rPr>
            </w:pPr>
            <w:r w:rsidRPr="00E00C3F">
              <w:rPr>
                <w:rFonts w:ascii="Times New Roman" w:hAnsi="Times New Roman" w:cs="Times New Roman"/>
                <w:b/>
                <w:i/>
                <w:noProof w:val="0"/>
              </w:rPr>
              <w:t>P</w:t>
            </w:r>
          </w:p>
        </w:tc>
        <w:tc>
          <w:tcPr>
            <w:tcW w:w="236" w:type="dxa"/>
            <w:tcBorders>
              <w:bottom w:val="single" w:sz="8" w:space="0" w:color="auto"/>
            </w:tcBorders>
          </w:tcPr>
          <w:p w14:paraId="2DA08AEC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noProof w:val="0"/>
              </w:rPr>
            </w:pPr>
          </w:p>
        </w:tc>
        <w:tc>
          <w:tcPr>
            <w:tcW w:w="1808" w:type="dxa"/>
            <w:tcBorders>
              <w:top w:val="single" w:sz="8" w:space="0" w:color="auto"/>
              <w:bottom w:val="single" w:sz="8" w:space="0" w:color="auto"/>
            </w:tcBorders>
          </w:tcPr>
          <w:p w14:paraId="02FE4157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noProof w:val="0"/>
              </w:rPr>
            </w:pPr>
            <w:r w:rsidRPr="00E00C3F">
              <w:rPr>
                <w:rFonts w:ascii="Times New Roman" w:hAnsi="Times New Roman" w:cs="Times New Roman"/>
                <w:b/>
                <w:noProof w:val="0"/>
              </w:rPr>
              <w:t>OR (95% CI)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F1D47E9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noProof w:val="0"/>
              </w:rPr>
            </w:pPr>
            <w:r w:rsidRPr="00E00C3F">
              <w:rPr>
                <w:rFonts w:ascii="Times New Roman" w:hAnsi="Times New Roman" w:cs="Times New Roman"/>
                <w:b/>
                <w:i/>
                <w:noProof w:val="0"/>
              </w:rPr>
              <w:t>P</w:t>
            </w:r>
          </w:p>
        </w:tc>
      </w:tr>
      <w:tr w:rsidR="002B1A7B" w:rsidRPr="00E00C3F" w14:paraId="2E53E52E" w14:textId="77777777" w:rsidTr="00975DBA">
        <w:trPr>
          <w:jc w:val="center"/>
        </w:trPr>
        <w:tc>
          <w:tcPr>
            <w:tcW w:w="4347" w:type="dxa"/>
            <w:tcBorders>
              <w:top w:val="single" w:sz="8" w:space="0" w:color="auto"/>
              <w:left w:val="single" w:sz="12" w:space="0" w:color="auto"/>
            </w:tcBorders>
          </w:tcPr>
          <w:p w14:paraId="685990FD" w14:textId="77777777" w:rsidR="002B1A7B" w:rsidRPr="00E00C3F" w:rsidRDefault="002B1A7B" w:rsidP="00975DBA">
            <w:pPr>
              <w:spacing w:line="360" w:lineRule="auto"/>
              <w:jc w:val="both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 xml:space="preserve">Inverse-variance weighted, fixed-effects 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4F1C34F1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0.88 (0.78-0.99)</w:t>
            </w:r>
          </w:p>
        </w:tc>
        <w:tc>
          <w:tcPr>
            <w:tcW w:w="690" w:type="dxa"/>
            <w:tcBorders>
              <w:top w:val="single" w:sz="8" w:space="0" w:color="auto"/>
            </w:tcBorders>
          </w:tcPr>
          <w:p w14:paraId="0827E522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0.03</w:t>
            </w:r>
          </w:p>
        </w:tc>
        <w:tc>
          <w:tcPr>
            <w:tcW w:w="236" w:type="dxa"/>
            <w:tcBorders>
              <w:top w:val="single" w:sz="8" w:space="0" w:color="auto"/>
            </w:tcBorders>
          </w:tcPr>
          <w:p w14:paraId="7D8E0C2F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808" w:type="dxa"/>
            <w:tcBorders>
              <w:top w:val="single" w:sz="8" w:space="0" w:color="auto"/>
            </w:tcBorders>
          </w:tcPr>
          <w:p w14:paraId="4D76682D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0.82 (0.72-0.93)</w:t>
            </w:r>
          </w:p>
        </w:tc>
        <w:tc>
          <w:tcPr>
            <w:tcW w:w="851" w:type="dxa"/>
            <w:tcBorders>
              <w:top w:val="single" w:sz="8" w:space="0" w:color="auto"/>
              <w:right w:val="single" w:sz="12" w:space="0" w:color="auto"/>
            </w:tcBorders>
          </w:tcPr>
          <w:p w14:paraId="52875EFD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0.002</w:t>
            </w:r>
          </w:p>
        </w:tc>
      </w:tr>
      <w:tr w:rsidR="002B1A7B" w:rsidRPr="00E00C3F" w14:paraId="493865D9" w14:textId="77777777" w:rsidTr="00975DBA">
        <w:trPr>
          <w:jc w:val="center"/>
        </w:trPr>
        <w:tc>
          <w:tcPr>
            <w:tcW w:w="4347" w:type="dxa"/>
            <w:tcBorders>
              <w:left w:val="single" w:sz="12" w:space="0" w:color="auto"/>
            </w:tcBorders>
          </w:tcPr>
          <w:p w14:paraId="638BE44F" w14:textId="77777777" w:rsidR="002B1A7B" w:rsidRPr="00E00C3F" w:rsidRDefault="002B1A7B" w:rsidP="00975DBA">
            <w:pPr>
              <w:spacing w:line="360" w:lineRule="auto"/>
              <w:jc w:val="both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 xml:space="preserve">Inverse-variance weighted, random-effects </w:t>
            </w:r>
          </w:p>
        </w:tc>
        <w:tc>
          <w:tcPr>
            <w:tcW w:w="1843" w:type="dxa"/>
          </w:tcPr>
          <w:p w14:paraId="08C2994C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0.88 (0.74-1.05)</w:t>
            </w:r>
          </w:p>
        </w:tc>
        <w:tc>
          <w:tcPr>
            <w:tcW w:w="690" w:type="dxa"/>
          </w:tcPr>
          <w:p w14:paraId="2C7FAFFC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0.14</w:t>
            </w:r>
          </w:p>
        </w:tc>
        <w:tc>
          <w:tcPr>
            <w:tcW w:w="236" w:type="dxa"/>
          </w:tcPr>
          <w:p w14:paraId="398F12F1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808" w:type="dxa"/>
          </w:tcPr>
          <w:p w14:paraId="40D66A76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0.82 (0.72-0.93)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7CBF1292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0.002</w:t>
            </w:r>
          </w:p>
        </w:tc>
      </w:tr>
      <w:tr w:rsidR="002B1A7B" w:rsidRPr="00E00C3F" w14:paraId="3055392F" w14:textId="77777777" w:rsidTr="00975DBA">
        <w:trPr>
          <w:jc w:val="center"/>
        </w:trPr>
        <w:tc>
          <w:tcPr>
            <w:tcW w:w="4347" w:type="dxa"/>
            <w:tcBorders>
              <w:left w:val="single" w:sz="12" w:space="0" w:color="auto"/>
            </w:tcBorders>
          </w:tcPr>
          <w:p w14:paraId="13A80496" w14:textId="77777777" w:rsidR="002B1A7B" w:rsidRPr="00E00C3F" w:rsidRDefault="002B1A7B" w:rsidP="00975DBA">
            <w:pPr>
              <w:spacing w:line="360" w:lineRule="auto"/>
              <w:jc w:val="both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 xml:space="preserve">Weighted median </w:t>
            </w:r>
          </w:p>
        </w:tc>
        <w:tc>
          <w:tcPr>
            <w:tcW w:w="1843" w:type="dxa"/>
          </w:tcPr>
          <w:p w14:paraId="2FC49E4C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0.84 (0.72-0.98)</w:t>
            </w:r>
          </w:p>
        </w:tc>
        <w:tc>
          <w:tcPr>
            <w:tcW w:w="690" w:type="dxa"/>
          </w:tcPr>
          <w:p w14:paraId="24F99F1B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0.03</w:t>
            </w:r>
          </w:p>
        </w:tc>
        <w:tc>
          <w:tcPr>
            <w:tcW w:w="236" w:type="dxa"/>
          </w:tcPr>
          <w:p w14:paraId="17598BF4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808" w:type="dxa"/>
          </w:tcPr>
          <w:p w14:paraId="615ACB82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0.82 (0.71-0.96)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733E1915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0.02</w:t>
            </w:r>
          </w:p>
        </w:tc>
      </w:tr>
      <w:tr w:rsidR="002B1A7B" w:rsidRPr="00E00C3F" w14:paraId="09DE7382" w14:textId="77777777" w:rsidTr="00975DBA">
        <w:trPr>
          <w:jc w:val="center"/>
        </w:trPr>
        <w:tc>
          <w:tcPr>
            <w:tcW w:w="4347" w:type="dxa"/>
            <w:tcBorders>
              <w:left w:val="single" w:sz="12" w:space="0" w:color="auto"/>
            </w:tcBorders>
          </w:tcPr>
          <w:p w14:paraId="507F91F8" w14:textId="77777777" w:rsidR="002B1A7B" w:rsidRPr="00E00C3F" w:rsidRDefault="002B1A7B" w:rsidP="00975DBA">
            <w:pPr>
              <w:spacing w:line="360" w:lineRule="auto"/>
              <w:jc w:val="both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Heterogeneity-penalized model averaging</w:t>
            </w:r>
          </w:p>
        </w:tc>
        <w:tc>
          <w:tcPr>
            <w:tcW w:w="1843" w:type="dxa"/>
          </w:tcPr>
          <w:p w14:paraId="490FC563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" w:eastAsia="Times New Roman" w:hAnsi="Times" w:cs="Times New Roman"/>
                <w:noProof w:val="0"/>
                <w:sz w:val="20"/>
                <w:szCs w:val="20"/>
                <w:lang w:val="sv-SE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0.83 (0.71-0.96)</w:t>
            </w:r>
          </w:p>
        </w:tc>
        <w:tc>
          <w:tcPr>
            <w:tcW w:w="690" w:type="dxa"/>
          </w:tcPr>
          <w:p w14:paraId="7D144F30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0.02</w:t>
            </w:r>
          </w:p>
        </w:tc>
        <w:tc>
          <w:tcPr>
            <w:tcW w:w="236" w:type="dxa"/>
          </w:tcPr>
          <w:p w14:paraId="0F2ED7AE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808" w:type="dxa"/>
          </w:tcPr>
          <w:p w14:paraId="1314EFC7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0.83 (0.71-0.95)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253F564C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0.008</w:t>
            </w:r>
          </w:p>
        </w:tc>
      </w:tr>
      <w:tr w:rsidR="002B1A7B" w:rsidRPr="00E00C3F" w14:paraId="614B30FD" w14:textId="77777777" w:rsidTr="00975DBA">
        <w:trPr>
          <w:jc w:val="center"/>
        </w:trPr>
        <w:tc>
          <w:tcPr>
            <w:tcW w:w="4347" w:type="dxa"/>
            <w:tcBorders>
              <w:left w:val="single" w:sz="12" w:space="0" w:color="auto"/>
            </w:tcBorders>
          </w:tcPr>
          <w:p w14:paraId="36020A29" w14:textId="77777777" w:rsidR="002B1A7B" w:rsidRPr="00E00C3F" w:rsidRDefault="002B1A7B" w:rsidP="00975DBA">
            <w:pPr>
              <w:spacing w:line="360" w:lineRule="auto"/>
              <w:jc w:val="both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MR-Egger regression</w:t>
            </w:r>
            <w:r w:rsidRPr="00E00C3F">
              <w:rPr>
                <w:rFonts w:ascii="Times New Roman" w:hAnsi="Times New Roman" w:cs="Times New Roman"/>
                <w:noProof w:val="0"/>
                <w:vertAlign w:val="superscript"/>
              </w:rPr>
              <w:t>c</w:t>
            </w:r>
            <w:r w:rsidRPr="00E00C3F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  <w:tc>
          <w:tcPr>
            <w:tcW w:w="1843" w:type="dxa"/>
          </w:tcPr>
          <w:p w14:paraId="074C88C3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1.19 (0.72-1.98)</w:t>
            </w:r>
          </w:p>
        </w:tc>
        <w:tc>
          <w:tcPr>
            <w:tcW w:w="690" w:type="dxa"/>
          </w:tcPr>
          <w:p w14:paraId="1E27475B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0.50</w:t>
            </w:r>
          </w:p>
        </w:tc>
        <w:tc>
          <w:tcPr>
            <w:tcW w:w="236" w:type="dxa"/>
          </w:tcPr>
          <w:p w14:paraId="63E92F78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808" w:type="dxa"/>
          </w:tcPr>
          <w:p w14:paraId="03CEFE64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0.95 (0.63-1.43)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3701F61B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0.80</w:t>
            </w:r>
          </w:p>
        </w:tc>
      </w:tr>
      <w:tr w:rsidR="002B1A7B" w:rsidRPr="00E00C3F" w14:paraId="75BDC22B" w14:textId="77777777" w:rsidTr="00975DBA">
        <w:trPr>
          <w:jc w:val="center"/>
        </w:trPr>
        <w:tc>
          <w:tcPr>
            <w:tcW w:w="4347" w:type="dxa"/>
            <w:tcBorders>
              <w:left w:val="single" w:sz="12" w:space="0" w:color="auto"/>
              <w:bottom w:val="single" w:sz="12" w:space="0" w:color="auto"/>
            </w:tcBorders>
          </w:tcPr>
          <w:p w14:paraId="1CA3492E" w14:textId="77777777" w:rsidR="002B1A7B" w:rsidRPr="00E00C3F" w:rsidRDefault="002B1A7B" w:rsidP="00975DBA">
            <w:pPr>
              <w:spacing w:line="360" w:lineRule="auto"/>
              <w:jc w:val="both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MR-Egger regression, SIMEX method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3F3B396F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1.19 (0.58-2.42)</w:t>
            </w:r>
          </w:p>
        </w:tc>
        <w:tc>
          <w:tcPr>
            <w:tcW w:w="690" w:type="dxa"/>
            <w:tcBorders>
              <w:bottom w:val="single" w:sz="12" w:space="0" w:color="auto"/>
            </w:tcBorders>
          </w:tcPr>
          <w:p w14:paraId="5E173B5A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0.64</w:t>
            </w:r>
          </w:p>
        </w:tc>
        <w:tc>
          <w:tcPr>
            <w:tcW w:w="236" w:type="dxa"/>
            <w:tcBorders>
              <w:bottom w:val="single" w:sz="12" w:space="0" w:color="auto"/>
            </w:tcBorders>
          </w:tcPr>
          <w:p w14:paraId="3C4CD858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808" w:type="dxa"/>
            <w:tcBorders>
              <w:bottom w:val="single" w:sz="12" w:space="0" w:color="auto"/>
            </w:tcBorders>
          </w:tcPr>
          <w:p w14:paraId="6B1469FA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0.94 (0.23-3.85)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</w:tcPr>
          <w:p w14:paraId="09329D00" w14:textId="77777777" w:rsidR="002B1A7B" w:rsidRPr="00E00C3F" w:rsidRDefault="002B1A7B" w:rsidP="00975DBA">
            <w:pPr>
              <w:spacing w:line="360" w:lineRule="auto"/>
              <w:jc w:val="center"/>
              <w:rPr>
                <w:rFonts w:ascii="Times New Roman" w:hAnsi="Times New Roman" w:cs="Times New Roman"/>
                <w:noProof w:val="0"/>
              </w:rPr>
            </w:pPr>
            <w:r w:rsidRPr="00E00C3F">
              <w:rPr>
                <w:rFonts w:ascii="Times New Roman" w:hAnsi="Times New Roman" w:cs="Times New Roman"/>
                <w:noProof w:val="0"/>
              </w:rPr>
              <w:t>0.93</w:t>
            </w:r>
          </w:p>
        </w:tc>
      </w:tr>
    </w:tbl>
    <w:p w14:paraId="0BCEDC2B" w14:textId="77777777" w:rsidR="002B1A7B" w:rsidRPr="00E00C3F" w:rsidRDefault="002B1A7B" w:rsidP="002B1A7B">
      <w:pPr>
        <w:spacing w:line="276" w:lineRule="auto"/>
        <w:jc w:val="both"/>
        <w:rPr>
          <w:rFonts w:ascii="Times New Roman" w:hAnsi="Times New Roman" w:cs="Times New Roman"/>
          <w:noProof w:val="0"/>
        </w:rPr>
      </w:pPr>
      <w:r w:rsidRPr="00E00C3F">
        <w:rPr>
          <w:rFonts w:ascii="Times New Roman" w:hAnsi="Times New Roman" w:cs="Times New Roman"/>
          <w:noProof w:val="0"/>
        </w:rPr>
        <w:t xml:space="preserve">CI, confidence interval; OR, odds ratio; SIMEX, </w:t>
      </w:r>
      <w:r w:rsidRPr="00E00C3F">
        <w:rPr>
          <w:rFonts w:ascii="Times New Roman" w:hAnsi="Times New Roman" w:cs="Times New Roman"/>
          <w:noProof w:val="0"/>
          <w:szCs w:val="26"/>
        </w:rPr>
        <w:t xml:space="preserve">simulation extrapolation; </w:t>
      </w:r>
      <w:r w:rsidRPr="00E00C3F">
        <w:rPr>
          <w:rFonts w:ascii="Times New Roman" w:hAnsi="Times New Roman" w:cs="Times New Roman"/>
          <w:noProof w:val="0"/>
        </w:rPr>
        <w:t>SNPs, single-nucleotide polymorphisms.</w:t>
      </w:r>
    </w:p>
    <w:p w14:paraId="19E10A81" w14:textId="77777777" w:rsidR="002B1A7B" w:rsidRPr="00E00C3F" w:rsidRDefault="002B1A7B" w:rsidP="002B1A7B">
      <w:pPr>
        <w:spacing w:line="276" w:lineRule="auto"/>
        <w:jc w:val="both"/>
        <w:rPr>
          <w:rFonts w:ascii="Times New Roman" w:hAnsi="Times New Roman" w:cs="Times New Roman"/>
          <w:noProof w:val="0"/>
        </w:rPr>
      </w:pPr>
      <w:r w:rsidRPr="00E00C3F">
        <w:rPr>
          <w:rFonts w:ascii="Times New Roman" w:hAnsi="Times New Roman" w:cs="Times New Roman"/>
          <w:noProof w:val="0"/>
          <w:vertAlign w:val="superscript"/>
        </w:rPr>
        <w:t>a</w:t>
      </w:r>
      <w:r w:rsidRPr="00E00C3F">
        <w:rPr>
          <w:rFonts w:ascii="Times New Roman" w:hAnsi="Times New Roman" w:cs="Times New Roman"/>
          <w:i/>
          <w:noProof w:val="0"/>
          <w:szCs w:val="22"/>
        </w:rPr>
        <w:t>P</w:t>
      </w:r>
      <w:r w:rsidRPr="00E00C3F">
        <w:rPr>
          <w:rFonts w:ascii="Times New Roman" w:hAnsi="Times New Roman" w:cs="Times New Roman"/>
          <w:noProof w:val="0"/>
          <w:szCs w:val="22"/>
        </w:rPr>
        <w:t xml:space="preserve"> value for heterogeneity between estimates from the six individual </w:t>
      </w:r>
      <w:r w:rsidRPr="00E00C3F">
        <w:rPr>
          <w:rFonts w:ascii="Times New Roman" w:hAnsi="Times New Roman" w:cs="Times New Roman"/>
          <w:noProof w:val="0"/>
        </w:rPr>
        <w:t>SNPs was 0.06.</w:t>
      </w:r>
    </w:p>
    <w:p w14:paraId="695CC922" w14:textId="77777777" w:rsidR="002B1A7B" w:rsidRPr="00E00C3F" w:rsidRDefault="002B1A7B" w:rsidP="002B1A7B">
      <w:pPr>
        <w:spacing w:line="276" w:lineRule="auto"/>
        <w:jc w:val="both"/>
        <w:rPr>
          <w:rFonts w:ascii="Times New Roman" w:hAnsi="Times New Roman" w:cs="Times New Roman"/>
          <w:noProof w:val="0"/>
          <w:szCs w:val="22"/>
        </w:rPr>
      </w:pPr>
      <w:r w:rsidRPr="00E00C3F">
        <w:rPr>
          <w:rFonts w:ascii="Times New Roman" w:hAnsi="Times New Roman" w:cs="Times New Roman"/>
          <w:noProof w:val="0"/>
          <w:vertAlign w:val="superscript"/>
        </w:rPr>
        <w:t>b</w:t>
      </w:r>
      <w:r w:rsidRPr="00E00C3F">
        <w:rPr>
          <w:rFonts w:ascii="Times New Roman" w:hAnsi="Times New Roman" w:cs="Times New Roman"/>
          <w:i/>
          <w:noProof w:val="0"/>
          <w:szCs w:val="22"/>
        </w:rPr>
        <w:t>P</w:t>
      </w:r>
      <w:r w:rsidRPr="00E00C3F">
        <w:rPr>
          <w:rFonts w:ascii="Times New Roman" w:hAnsi="Times New Roman" w:cs="Times New Roman"/>
          <w:noProof w:val="0"/>
          <w:szCs w:val="22"/>
        </w:rPr>
        <w:t xml:space="preserve"> value for heterogeneity between estimates from the five individual </w:t>
      </w:r>
      <w:r w:rsidRPr="00E00C3F">
        <w:rPr>
          <w:rFonts w:ascii="Times New Roman" w:hAnsi="Times New Roman" w:cs="Times New Roman"/>
          <w:noProof w:val="0"/>
        </w:rPr>
        <w:t>SNPs was 0.74.</w:t>
      </w:r>
    </w:p>
    <w:p w14:paraId="279D0820" w14:textId="77777777" w:rsidR="002B1A7B" w:rsidRDefault="002B1A7B" w:rsidP="002B1A7B">
      <w:pPr>
        <w:spacing w:line="276" w:lineRule="auto"/>
        <w:jc w:val="both"/>
        <w:rPr>
          <w:rFonts w:ascii="Times New Roman" w:hAnsi="Times New Roman" w:cs="Times New Roman"/>
          <w:noProof w:val="0"/>
          <w:szCs w:val="22"/>
        </w:rPr>
      </w:pPr>
      <w:r w:rsidRPr="00E00C3F">
        <w:rPr>
          <w:rFonts w:ascii="Times New Roman" w:hAnsi="Times New Roman" w:cs="Times New Roman"/>
          <w:noProof w:val="0"/>
          <w:vertAlign w:val="superscript"/>
        </w:rPr>
        <w:t>c</w:t>
      </w:r>
      <w:r w:rsidRPr="00E00C3F">
        <w:rPr>
          <w:rFonts w:ascii="Times New Roman" w:hAnsi="Times New Roman" w:cs="Times New Roman"/>
          <w:noProof w:val="0"/>
          <w:szCs w:val="22"/>
        </w:rPr>
        <w:t>MR-Egger regression provided no evidence of pleiotropy; MR-Egger intercept was -0.023 (</w:t>
      </w:r>
      <w:r w:rsidRPr="00E00C3F">
        <w:rPr>
          <w:rFonts w:ascii="Times New Roman" w:hAnsi="Times New Roman" w:cs="Times New Roman"/>
          <w:i/>
          <w:noProof w:val="0"/>
          <w:szCs w:val="22"/>
        </w:rPr>
        <w:t>P</w:t>
      </w:r>
      <w:r w:rsidRPr="00E00C3F">
        <w:rPr>
          <w:rFonts w:ascii="Times New Roman" w:hAnsi="Times New Roman" w:cs="Times New Roman"/>
          <w:noProof w:val="0"/>
          <w:szCs w:val="22"/>
        </w:rPr>
        <w:t xml:space="preserve"> = 0.21) in the analysis of all six SNPs and -0.010 (</w:t>
      </w:r>
      <w:r w:rsidRPr="00E00C3F">
        <w:rPr>
          <w:rFonts w:ascii="Times New Roman" w:hAnsi="Times New Roman" w:cs="Times New Roman"/>
          <w:i/>
          <w:noProof w:val="0"/>
          <w:szCs w:val="22"/>
        </w:rPr>
        <w:t>P</w:t>
      </w:r>
      <w:r w:rsidRPr="00E00C3F">
        <w:rPr>
          <w:rFonts w:ascii="Times New Roman" w:hAnsi="Times New Roman" w:cs="Times New Roman"/>
          <w:noProof w:val="0"/>
          <w:szCs w:val="22"/>
        </w:rPr>
        <w:t xml:space="preserve"> = 0.46) in the analysis excluding </w:t>
      </w:r>
      <w:r w:rsidRPr="00E00C3F">
        <w:rPr>
          <w:rFonts w:ascii="Times New Roman" w:eastAsia="Times New Roman" w:hAnsi="Times New Roman" w:cs="Times New Roman"/>
          <w:noProof w:val="0"/>
        </w:rPr>
        <w:t xml:space="preserve">rs11144134 in the </w:t>
      </w:r>
      <w:r w:rsidRPr="00E00C3F">
        <w:rPr>
          <w:rFonts w:ascii="Times New Roman" w:eastAsia="Times New Roman" w:hAnsi="Times New Roman" w:cs="Times New Roman"/>
          <w:i/>
          <w:iCs/>
          <w:noProof w:val="0"/>
        </w:rPr>
        <w:t xml:space="preserve">TRPM6 </w:t>
      </w:r>
      <w:r w:rsidRPr="00E00C3F">
        <w:rPr>
          <w:rFonts w:ascii="Times New Roman" w:eastAsia="Times New Roman" w:hAnsi="Times New Roman" w:cs="Times New Roman"/>
          <w:iCs/>
          <w:noProof w:val="0"/>
        </w:rPr>
        <w:t>gene</w:t>
      </w:r>
      <w:r w:rsidRPr="00E00C3F">
        <w:rPr>
          <w:rFonts w:ascii="Times New Roman" w:eastAsia="Times New Roman" w:hAnsi="Times New Roman" w:cs="Times New Roman"/>
          <w:noProof w:val="0"/>
        </w:rPr>
        <w:t>, which was responsible for the observed heterogeneity among estimates from individual SNPs</w:t>
      </w:r>
      <w:r w:rsidRPr="00E00C3F">
        <w:rPr>
          <w:rFonts w:ascii="Times New Roman" w:hAnsi="Times New Roman" w:cs="Times New Roman"/>
          <w:noProof w:val="0"/>
          <w:szCs w:val="22"/>
        </w:rPr>
        <w:t>.</w:t>
      </w:r>
    </w:p>
    <w:p w14:paraId="4E4D873F" w14:textId="77777777" w:rsidR="002B1A7B" w:rsidRDefault="002B1A7B" w:rsidP="002B1A7B">
      <w:pPr>
        <w:spacing w:line="360" w:lineRule="auto"/>
        <w:jc w:val="both"/>
        <w:rPr>
          <w:rFonts w:ascii="Times New Roman" w:hAnsi="Times New Roman" w:cs="Times New Roman"/>
        </w:rPr>
        <w:sectPr w:rsidR="002B1A7B" w:rsidSect="006454E8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0F4A4AA4" w14:textId="77777777" w:rsidR="002B1A7B" w:rsidRPr="00694E07" w:rsidRDefault="002B1A7B" w:rsidP="002B1A7B">
      <w:pPr>
        <w:spacing w:line="480" w:lineRule="auto"/>
        <w:jc w:val="both"/>
        <w:rPr>
          <w:rFonts w:ascii="Times New Roman" w:hAnsi="Times New Roman" w:cs="Times New Roman"/>
          <w:b/>
          <w:noProof w:val="0"/>
          <w:color w:val="000000" w:themeColor="text1"/>
        </w:rPr>
      </w:pPr>
      <w:r>
        <w:rPr>
          <w:rFonts w:ascii="Times New Roman" w:hAnsi="Times New Roman" w:cs="Times New Roman"/>
          <w:b/>
          <w:noProof w:val="0"/>
          <w:color w:val="000000" w:themeColor="text1"/>
        </w:rPr>
        <w:t>Table S2</w:t>
      </w:r>
      <w:r w:rsidRPr="00FF0DBF">
        <w:rPr>
          <w:rFonts w:ascii="Times New Roman" w:hAnsi="Times New Roman" w:cs="Times New Roman"/>
          <w:b/>
          <w:noProof w:val="0"/>
          <w:color w:val="000000" w:themeColor="text1"/>
        </w:rPr>
        <w:t xml:space="preserve">. </w:t>
      </w:r>
      <w:r>
        <w:rPr>
          <w:rFonts w:ascii="Times New Roman" w:hAnsi="Times New Roman" w:cs="Times New Roman"/>
          <w:noProof w:val="0"/>
          <w:color w:val="000000" w:themeColor="text1"/>
        </w:rPr>
        <w:t>Genes located in or near the loci for serum magnesium and their biological roles</w:t>
      </w:r>
    </w:p>
    <w:tbl>
      <w:tblPr>
        <w:tblW w:w="942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1487"/>
        <w:gridCol w:w="6662"/>
      </w:tblGrid>
      <w:tr w:rsidR="002B1A7B" w:rsidRPr="00FF0DBF" w14:paraId="33C59EF0" w14:textId="77777777" w:rsidTr="00975DBA">
        <w:trPr>
          <w:trHeight w:val="280"/>
          <w:jc w:val="center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nil"/>
            </w:tcBorders>
            <w:vAlign w:val="center"/>
          </w:tcPr>
          <w:p w14:paraId="301E2562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 w:val="0"/>
              </w:rPr>
            </w:pPr>
            <w:r w:rsidRPr="00FF0DBF">
              <w:rPr>
                <w:rFonts w:ascii="Times New Roman" w:eastAsia="Times New Roman" w:hAnsi="Times New Roman" w:cs="Times New Roman"/>
                <w:b/>
                <w:bCs/>
                <w:noProof w:val="0"/>
              </w:rPr>
              <w:t>SNP</w:t>
            </w:r>
          </w:p>
        </w:tc>
        <w:tc>
          <w:tcPr>
            <w:tcW w:w="148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F8CF619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 w:val="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</w:rPr>
              <w:t>Closest</w:t>
            </w:r>
            <w:r w:rsidRPr="00FF0DBF">
              <w:rPr>
                <w:rFonts w:ascii="Times New Roman" w:eastAsia="Times New Roman" w:hAnsi="Times New Roman" w:cs="Times New Roman"/>
                <w:b/>
                <w:bCs/>
                <w:noProof w:val="0"/>
              </w:rPr>
              <w:t xml:space="preserve"> gene</w:t>
            </w:r>
          </w:p>
        </w:tc>
        <w:tc>
          <w:tcPr>
            <w:tcW w:w="666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C9DA3A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 w:val="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</w:rPr>
              <w:t>Biological role</w:t>
            </w:r>
          </w:p>
        </w:tc>
      </w:tr>
      <w:tr w:rsidR="002B1A7B" w:rsidRPr="00FF0DBF" w14:paraId="0214C454" w14:textId="77777777" w:rsidTr="00975DBA">
        <w:trPr>
          <w:trHeight w:val="280"/>
          <w:jc w:val="center"/>
        </w:trPr>
        <w:tc>
          <w:tcPr>
            <w:tcW w:w="1277" w:type="dxa"/>
            <w:tcBorders>
              <w:top w:val="single" w:sz="8" w:space="0" w:color="auto"/>
              <w:left w:val="single" w:sz="12" w:space="0" w:color="auto"/>
              <w:right w:val="nil"/>
            </w:tcBorders>
          </w:tcPr>
          <w:p w14:paraId="3F6F3C0C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FF0DBF">
              <w:rPr>
                <w:rFonts w:ascii="Times New Roman" w:eastAsia="Times New Roman" w:hAnsi="Times New Roman" w:cs="Times New Roman"/>
                <w:noProof w:val="0"/>
              </w:rPr>
              <w:t>rs4072037</w:t>
            </w:r>
          </w:p>
        </w:tc>
        <w:tc>
          <w:tcPr>
            <w:tcW w:w="1487" w:type="dxa"/>
            <w:tcBorders>
              <w:top w:val="single" w:sz="8" w:space="0" w:color="auto"/>
              <w:left w:val="nil"/>
              <w:right w:val="nil"/>
            </w:tcBorders>
          </w:tcPr>
          <w:p w14:paraId="295F708D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FF0DBF">
              <w:rPr>
                <w:rFonts w:ascii="Times New Roman" w:eastAsia="Times New Roman" w:hAnsi="Times New Roman" w:cs="Times New Roman"/>
                <w:i/>
                <w:iCs/>
                <w:noProof w:val="0"/>
              </w:rPr>
              <w:t>MUC1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right w:val="single" w:sz="12" w:space="0" w:color="auto"/>
            </w:tcBorders>
            <w:shd w:val="clear" w:color="auto" w:fill="auto"/>
            <w:noWrap/>
          </w:tcPr>
          <w:p w14:paraId="4D6DA30B" w14:textId="77777777" w:rsidR="002B1A7B" w:rsidRPr="00B000CB" w:rsidRDefault="002B1A7B" w:rsidP="00975DBA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B000CB"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 w:themeColor="text1"/>
              </w:rPr>
              <w:t>MUC1 </w:t>
            </w:r>
            <w:r w:rsidRPr="00B000CB"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>encodes mucin 1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 xml:space="preserve">, which is </w:t>
            </w:r>
            <w:r w:rsidRPr="00DD1CBD"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>a membrane-bound protein that is a member of the mucin family. Mucins play a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>n essential</w:t>
            </w:r>
            <w:r w:rsidRPr="00DD1CBD"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 xml:space="preserve"> role in forming protective mucous barriers on epithelial surfaces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 xml:space="preserve"> and are involved in</w:t>
            </w:r>
            <w:r w:rsidRPr="00DD1CBD"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 xml:space="preserve"> intracellular signaling </w:t>
            </w:r>
          </w:p>
        </w:tc>
      </w:tr>
      <w:tr w:rsidR="002B1A7B" w:rsidRPr="00FF0DBF" w14:paraId="2B179420" w14:textId="77777777" w:rsidTr="00975DBA">
        <w:trPr>
          <w:trHeight w:val="280"/>
          <w:jc w:val="center"/>
        </w:trPr>
        <w:tc>
          <w:tcPr>
            <w:tcW w:w="1277" w:type="dxa"/>
            <w:tcBorders>
              <w:top w:val="nil"/>
              <w:left w:val="single" w:sz="12" w:space="0" w:color="auto"/>
              <w:right w:val="nil"/>
            </w:tcBorders>
          </w:tcPr>
          <w:p w14:paraId="71BC6A22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FF0DBF"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>rs7965584</w:t>
            </w:r>
          </w:p>
        </w:tc>
        <w:tc>
          <w:tcPr>
            <w:tcW w:w="1487" w:type="dxa"/>
            <w:tcBorders>
              <w:top w:val="nil"/>
              <w:left w:val="nil"/>
              <w:right w:val="nil"/>
            </w:tcBorders>
          </w:tcPr>
          <w:p w14:paraId="64408D38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B2178D">
              <w:rPr>
                <w:rFonts w:ascii="Times New Roman" w:eastAsia="Times New Roman" w:hAnsi="Times New Roman" w:cs="Times New Roman"/>
                <w:i/>
                <w:iCs/>
                <w:noProof w:val="0"/>
              </w:rPr>
              <w:t>ATP2B1</w:t>
            </w:r>
          </w:p>
        </w:tc>
        <w:tc>
          <w:tcPr>
            <w:tcW w:w="6662" w:type="dxa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noWrap/>
          </w:tcPr>
          <w:p w14:paraId="1B767949" w14:textId="77777777" w:rsidR="002B1A7B" w:rsidRPr="003C2A82" w:rsidRDefault="002B1A7B" w:rsidP="00975DBA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</w:pPr>
            <w:r w:rsidRPr="00B2178D">
              <w:rPr>
                <w:rFonts w:ascii="Times New Roman" w:eastAsia="Times New Roman" w:hAnsi="Times New Roman" w:cs="Times New Roman"/>
                <w:i/>
                <w:iCs/>
                <w:noProof w:val="0"/>
              </w:rPr>
              <w:t>ATP2B1</w:t>
            </w:r>
            <w:r>
              <w:rPr>
                <w:rFonts w:ascii="Times New Roman" w:eastAsia="Times New Roman" w:hAnsi="Times New Roman" w:cs="Times New Roman"/>
                <w:i/>
                <w:iCs/>
                <w:noProof w:val="0"/>
              </w:rPr>
              <w:t xml:space="preserve"> </w:t>
            </w:r>
            <w:r w:rsidRPr="003C2A82"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 xml:space="preserve">encodes plasma-membrane calcium ATPase 1 which 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>is responsible for removal of</w:t>
            </w:r>
            <w:r w:rsidRPr="003C2A82"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 xml:space="preserve"> calcium ions from cells</w:t>
            </w:r>
          </w:p>
        </w:tc>
      </w:tr>
      <w:tr w:rsidR="002B1A7B" w:rsidRPr="00FF0DBF" w14:paraId="25B020E6" w14:textId="77777777" w:rsidTr="00975DBA">
        <w:trPr>
          <w:trHeight w:val="280"/>
          <w:jc w:val="center"/>
        </w:trPr>
        <w:tc>
          <w:tcPr>
            <w:tcW w:w="1277" w:type="dxa"/>
            <w:tcBorders>
              <w:top w:val="nil"/>
              <w:left w:val="single" w:sz="12" w:space="0" w:color="auto"/>
              <w:right w:val="nil"/>
            </w:tcBorders>
          </w:tcPr>
          <w:p w14:paraId="429A68B7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FF0DBF">
              <w:rPr>
                <w:rFonts w:ascii="Times New Roman" w:eastAsia="Times New Roman" w:hAnsi="Times New Roman" w:cs="Times New Roman"/>
                <w:noProof w:val="0"/>
              </w:rPr>
              <w:t>rs3925584</w:t>
            </w:r>
          </w:p>
        </w:tc>
        <w:tc>
          <w:tcPr>
            <w:tcW w:w="1487" w:type="dxa"/>
            <w:tcBorders>
              <w:top w:val="nil"/>
              <w:left w:val="nil"/>
              <w:right w:val="nil"/>
            </w:tcBorders>
          </w:tcPr>
          <w:p w14:paraId="38B00D32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FF0DBF">
              <w:rPr>
                <w:rFonts w:ascii="Times New Roman" w:eastAsia="Times New Roman" w:hAnsi="Times New Roman" w:cs="Times New Roman"/>
                <w:i/>
                <w:iCs/>
                <w:noProof w:val="0"/>
              </w:rPr>
              <w:t>DCDC5</w:t>
            </w:r>
          </w:p>
        </w:tc>
        <w:tc>
          <w:tcPr>
            <w:tcW w:w="6662" w:type="dxa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noWrap/>
          </w:tcPr>
          <w:p w14:paraId="54F71366" w14:textId="77777777" w:rsidR="002B1A7B" w:rsidRPr="00ED1C56" w:rsidRDefault="002B1A7B" w:rsidP="00975DBA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</w:pPr>
            <w:r w:rsidRPr="00ED1C56"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 w:themeColor="text1"/>
              </w:rPr>
              <w:t>DCDC5</w:t>
            </w:r>
            <w:r w:rsidRPr="00ED1C56"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 xml:space="preserve">encodes </w:t>
            </w:r>
            <w:r w:rsidRPr="00ED1C56"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>doublecortin domain containing 5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 xml:space="preserve"> which plays a role in </w:t>
            </w:r>
            <w:r w:rsidRPr="00DD1CBD"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 xml:space="preserve">intracellular 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>signal transduction</w:t>
            </w:r>
          </w:p>
        </w:tc>
      </w:tr>
      <w:tr w:rsidR="002B1A7B" w:rsidRPr="00FF0DBF" w14:paraId="5309CC03" w14:textId="77777777" w:rsidTr="00975DBA">
        <w:trPr>
          <w:trHeight w:val="280"/>
          <w:jc w:val="center"/>
        </w:trPr>
        <w:tc>
          <w:tcPr>
            <w:tcW w:w="1277" w:type="dxa"/>
            <w:tcBorders>
              <w:top w:val="nil"/>
              <w:left w:val="single" w:sz="12" w:space="0" w:color="auto"/>
              <w:right w:val="nil"/>
            </w:tcBorders>
          </w:tcPr>
          <w:p w14:paraId="70EAE028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FF0DBF">
              <w:rPr>
                <w:rFonts w:ascii="Times New Roman" w:eastAsia="Times New Roman" w:hAnsi="Times New Roman" w:cs="Times New Roman"/>
                <w:noProof w:val="0"/>
              </w:rPr>
              <w:t>rs11144134</w:t>
            </w:r>
          </w:p>
        </w:tc>
        <w:tc>
          <w:tcPr>
            <w:tcW w:w="1487" w:type="dxa"/>
            <w:tcBorders>
              <w:top w:val="nil"/>
              <w:left w:val="nil"/>
              <w:right w:val="nil"/>
            </w:tcBorders>
          </w:tcPr>
          <w:p w14:paraId="7DA65F1B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FF0DBF">
              <w:rPr>
                <w:rFonts w:ascii="Times New Roman" w:eastAsia="Times New Roman" w:hAnsi="Times New Roman" w:cs="Times New Roman"/>
                <w:i/>
                <w:iCs/>
                <w:noProof w:val="0"/>
              </w:rPr>
              <w:t>TRPM6</w:t>
            </w:r>
          </w:p>
        </w:tc>
        <w:tc>
          <w:tcPr>
            <w:tcW w:w="6662" w:type="dxa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noWrap/>
          </w:tcPr>
          <w:p w14:paraId="729B8352" w14:textId="77777777" w:rsidR="002B1A7B" w:rsidRPr="00BB2C0D" w:rsidRDefault="002B1A7B" w:rsidP="00975DBA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</w:pPr>
            <w:r w:rsidRPr="00BB2C0D"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 w:themeColor="text1"/>
              </w:rPr>
              <w:t>TRPM6 </w:t>
            </w:r>
            <w:r w:rsidRPr="00BB2C0D"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>encodes a TRP ion channel subunit, which is responsible for transcellular magnesium transport by mediating magnesium reuptake at the apical membrane of renal epithelial cells in the distal tubule</w:t>
            </w:r>
          </w:p>
        </w:tc>
      </w:tr>
      <w:tr w:rsidR="002B1A7B" w:rsidRPr="00FF0DBF" w14:paraId="170BF0F4" w14:textId="77777777" w:rsidTr="00975DBA">
        <w:trPr>
          <w:trHeight w:val="280"/>
          <w:jc w:val="center"/>
        </w:trPr>
        <w:tc>
          <w:tcPr>
            <w:tcW w:w="1277" w:type="dxa"/>
            <w:tcBorders>
              <w:left w:val="single" w:sz="12" w:space="0" w:color="auto"/>
              <w:bottom w:val="nil"/>
              <w:right w:val="nil"/>
            </w:tcBorders>
          </w:tcPr>
          <w:p w14:paraId="39E4663B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FF0DBF">
              <w:rPr>
                <w:rFonts w:ascii="Times New Roman" w:eastAsia="Times New Roman" w:hAnsi="Times New Roman" w:cs="Times New Roman"/>
                <w:noProof w:val="0"/>
              </w:rPr>
              <w:t>rs13146355</w:t>
            </w:r>
          </w:p>
        </w:tc>
        <w:tc>
          <w:tcPr>
            <w:tcW w:w="1487" w:type="dxa"/>
            <w:tcBorders>
              <w:left w:val="nil"/>
              <w:bottom w:val="nil"/>
              <w:right w:val="nil"/>
            </w:tcBorders>
          </w:tcPr>
          <w:p w14:paraId="0A32C8CB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FF0DBF">
              <w:rPr>
                <w:rFonts w:ascii="Times New Roman" w:eastAsia="Times New Roman" w:hAnsi="Times New Roman" w:cs="Times New Roman"/>
                <w:i/>
                <w:iCs/>
                <w:noProof w:val="0"/>
              </w:rPr>
              <w:t>SHROOM3</w:t>
            </w:r>
          </w:p>
        </w:tc>
        <w:tc>
          <w:tcPr>
            <w:tcW w:w="6662" w:type="dxa"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14:paraId="594DC1AD" w14:textId="77777777" w:rsidR="002B1A7B" w:rsidRPr="00AC7DEA" w:rsidRDefault="002B1A7B" w:rsidP="00975DBA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</w:pPr>
            <w:r w:rsidRPr="00FF0DBF">
              <w:rPr>
                <w:rFonts w:ascii="Times New Roman" w:eastAsia="Times New Roman" w:hAnsi="Times New Roman" w:cs="Times New Roman"/>
                <w:i/>
                <w:iCs/>
                <w:noProof w:val="0"/>
              </w:rPr>
              <w:t>SHROOM3</w:t>
            </w:r>
            <w:r>
              <w:rPr>
                <w:rFonts w:ascii="Times New Roman" w:eastAsia="Times New Roman" w:hAnsi="Times New Roman" w:cs="Times New Roman"/>
                <w:i/>
                <w:iCs/>
                <w:noProof w:val="0"/>
              </w:rPr>
              <w:t xml:space="preserve"> </w:t>
            </w:r>
            <w:r w:rsidRPr="00AC7DEA"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>encodes a PDZ-domain-containing protein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>, which</w:t>
            </w:r>
            <w:r w:rsidRPr="00AC7DEA"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> may be involved in regulating cell shape in certain tissues</w:t>
            </w:r>
          </w:p>
        </w:tc>
      </w:tr>
      <w:tr w:rsidR="002B1A7B" w:rsidRPr="00FF0DBF" w14:paraId="1CD9E9B3" w14:textId="77777777" w:rsidTr="00975DBA">
        <w:trPr>
          <w:trHeight w:val="280"/>
          <w:jc w:val="center"/>
        </w:trPr>
        <w:tc>
          <w:tcPr>
            <w:tcW w:w="127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02771B8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FF0DBF">
              <w:rPr>
                <w:rFonts w:ascii="Times New Roman" w:eastAsia="Times New Roman" w:hAnsi="Times New Roman" w:cs="Times New Roman"/>
                <w:noProof w:val="0"/>
              </w:rPr>
              <w:t>rs448378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4278B5" w14:textId="77777777" w:rsidR="002B1A7B" w:rsidRPr="00FF0DBF" w:rsidRDefault="002B1A7B" w:rsidP="00975DBA">
            <w:pPr>
              <w:spacing w:line="27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FF0DBF">
              <w:rPr>
                <w:rFonts w:ascii="Times New Roman" w:eastAsia="Times New Roman" w:hAnsi="Times New Roman" w:cs="Times New Roman"/>
                <w:i/>
                <w:iCs/>
                <w:noProof w:val="0"/>
              </w:rPr>
              <w:t>MDS1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451DA1ED" w14:textId="77777777" w:rsidR="002B1A7B" w:rsidRPr="00B71476" w:rsidRDefault="002B1A7B" w:rsidP="00975DBA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9E21F0">
              <w:rPr>
                <w:rFonts w:ascii="Times New Roman" w:eastAsia="Times New Roman" w:hAnsi="Times New Roman" w:cs="Times New Roman"/>
                <w:i/>
                <w:noProof w:val="0"/>
              </w:rPr>
              <w:t>MDS1</w:t>
            </w:r>
            <w:r>
              <w:rPr>
                <w:rFonts w:ascii="Times New Roman" w:eastAsia="Times New Roman" w:hAnsi="Times New Roman" w:cs="Times New Roman"/>
                <w:noProof w:val="0"/>
              </w:rPr>
              <w:t xml:space="preserve"> encodes </w:t>
            </w:r>
            <w:r w:rsidRPr="008000B6">
              <w:rPr>
                <w:rFonts w:ascii="Times New Roman" w:eastAsia="Times New Roman" w:hAnsi="Times New Roman" w:cs="Times New Roman"/>
                <w:noProof w:val="0"/>
              </w:rPr>
              <w:t xml:space="preserve">myelodysplasia syndrome </w:t>
            </w:r>
            <w:r>
              <w:rPr>
                <w:rFonts w:ascii="Times New Roman" w:eastAsia="Times New Roman" w:hAnsi="Times New Roman" w:cs="Times New Roman"/>
                <w:noProof w:val="0"/>
              </w:rPr>
              <w:t xml:space="preserve">1 which has unknown </w:t>
            </w:r>
            <w:r w:rsidRPr="00CB7A3F">
              <w:rPr>
                <w:rFonts w:ascii="Times New Roman" w:eastAsia="Times New Roman" w:hAnsi="Times New Roman" w:cs="Times New Roman"/>
                <w:bCs/>
                <w:noProof w:val="0"/>
                <w:color w:val="000000" w:themeColor="text1"/>
              </w:rPr>
              <w:t>function</w:t>
            </w:r>
            <w:bookmarkStart w:id="1" w:name="article1.body1.sec3.p9"/>
            <w:bookmarkEnd w:id="1"/>
            <w:r w:rsidRPr="00B71476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</w:tr>
    </w:tbl>
    <w:p w14:paraId="6EE74161" w14:textId="77777777" w:rsidR="002B1A7B" w:rsidRDefault="002B1A7B" w:rsidP="002B1A7B">
      <w:r w:rsidRPr="00FF0DBF">
        <w:rPr>
          <w:rFonts w:ascii="Times New Roman" w:hAnsi="Times New Roman" w:cs="Times New Roman"/>
          <w:noProof w:val="0"/>
          <w:color w:val="000000" w:themeColor="text1"/>
        </w:rPr>
        <w:t>SNP, single-</w:t>
      </w:r>
      <w:r>
        <w:rPr>
          <w:rFonts w:ascii="Times New Roman" w:hAnsi="Times New Roman" w:cs="Times New Roman"/>
          <w:noProof w:val="0"/>
          <w:color w:val="000000" w:themeColor="text1"/>
        </w:rPr>
        <w:t>nucleotide polymorphism.</w:t>
      </w:r>
    </w:p>
    <w:p w14:paraId="38C41FC6" w14:textId="77777777" w:rsidR="002B1A7B" w:rsidRPr="00E00C3F" w:rsidRDefault="002B1A7B" w:rsidP="002B1A7B">
      <w:pPr>
        <w:spacing w:line="276" w:lineRule="auto"/>
        <w:jc w:val="both"/>
        <w:rPr>
          <w:rFonts w:ascii="Times New Roman" w:hAnsi="Times New Roman" w:cs="Times New Roman"/>
        </w:rPr>
      </w:pPr>
    </w:p>
    <w:p w14:paraId="5703BA62" w14:textId="77777777" w:rsidR="006454E8" w:rsidRDefault="006454E8"/>
    <w:sectPr w:rsidR="006454E8" w:rsidSect="006454E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815158" w14:textId="77777777" w:rsidR="00000000" w:rsidRDefault="00330E83">
      <w:r>
        <w:separator/>
      </w:r>
    </w:p>
  </w:endnote>
  <w:endnote w:type="continuationSeparator" w:id="0">
    <w:p w14:paraId="4BF2BF54" w14:textId="77777777" w:rsidR="00000000" w:rsidRDefault="00330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89F997" w14:textId="77777777" w:rsidR="00BD09AE" w:rsidRDefault="002B1A7B" w:rsidP="00F67737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4638E175" w14:textId="77777777" w:rsidR="00BD09AE" w:rsidRDefault="00330E83" w:rsidP="00E137F5">
    <w:pPr>
      <w:pStyle w:val="Sidfot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0A9267" w14:textId="77777777" w:rsidR="00BD09AE" w:rsidRDefault="002B1A7B" w:rsidP="00F67737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330E83">
      <w:rPr>
        <w:rStyle w:val="Sidnummer"/>
      </w:rPr>
      <w:t>1</w:t>
    </w:r>
    <w:r>
      <w:rPr>
        <w:rStyle w:val="Sidnummer"/>
      </w:rPr>
      <w:fldChar w:fldCharType="end"/>
    </w:r>
  </w:p>
  <w:p w14:paraId="259F738E" w14:textId="77777777" w:rsidR="00BD09AE" w:rsidRDefault="00330E83" w:rsidP="00E137F5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121812" w14:textId="77777777" w:rsidR="00000000" w:rsidRDefault="00330E83">
      <w:r>
        <w:separator/>
      </w:r>
    </w:p>
  </w:footnote>
  <w:footnote w:type="continuationSeparator" w:id="0">
    <w:p w14:paraId="3B3CE884" w14:textId="77777777" w:rsidR="00000000" w:rsidRDefault="00330E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A7B"/>
    <w:rsid w:val="002B1A7B"/>
    <w:rsid w:val="00330E83"/>
    <w:rsid w:val="0064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FCD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A7B"/>
    <w:rPr>
      <w:noProof/>
      <w:lang w:val="en-US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unhideWhenUsed/>
    <w:rsid w:val="002B1A7B"/>
    <w:pPr>
      <w:tabs>
        <w:tab w:val="center" w:pos="4703"/>
        <w:tab w:val="right" w:pos="9406"/>
      </w:tabs>
    </w:pPr>
  </w:style>
  <w:style w:type="character" w:customStyle="1" w:styleId="SidfotChar">
    <w:name w:val="Sidfot Char"/>
    <w:basedOn w:val="Standardstycketypsnitt"/>
    <w:link w:val="Sidfot"/>
    <w:uiPriority w:val="99"/>
    <w:rsid w:val="002B1A7B"/>
    <w:rPr>
      <w:noProof/>
      <w:lang w:val="en-US"/>
    </w:rPr>
  </w:style>
  <w:style w:type="character" w:styleId="Sidnummer">
    <w:name w:val="page number"/>
    <w:basedOn w:val="Standardstycketypsnitt"/>
    <w:uiPriority w:val="99"/>
    <w:semiHidden/>
    <w:unhideWhenUsed/>
    <w:rsid w:val="002B1A7B"/>
  </w:style>
  <w:style w:type="table" w:styleId="Tabellrutnt">
    <w:name w:val="Table Grid"/>
    <w:basedOn w:val="Normaltabell"/>
    <w:uiPriority w:val="59"/>
    <w:rsid w:val="002B1A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A7B"/>
    <w:rPr>
      <w:noProof/>
      <w:lang w:val="en-US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unhideWhenUsed/>
    <w:rsid w:val="002B1A7B"/>
    <w:pPr>
      <w:tabs>
        <w:tab w:val="center" w:pos="4703"/>
        <w:tab w:val="right" w:pos="9406"/>
      </w:tabs>
    </w:pPr>
  </w:style>
  <w:style w:type="character" w:customStyle="1" w:styleId="SidfotChar">
    <w:name w:val="Sidfot Char"/>
    <w:basedOn w:val="Standardstycketypsnitt"/>
    <w:link w:val="Sidfot"/>
    <w:uiPriority w:val="99"/>
    <w:rsid w:val="002B1A7B"/>
    <w:rPr>
      <w:noProof/>
      <w:lang w:val="en-US"/>
    </w:rPr>
  </w:style>
  <w:style w:type="character" w:styleId="Sidnummer">
    <w:name w:val="page number"/>
    <w:basedOn w:val="Standardstycketypsnitt"/>
    <w:uiPriority w:val="99"/>
    <w:semiHidden/>
    <w:unhideWhenUsed/>
    <w:rsid w:val="002B1A7B"/>
  </w:style>
  <w:style w:type="table" w:styleId="Tabellrutnt">
    <w:name w:val="Table Grid"/>
    <w:basedOn w:val="Normaltabell"/>
    <w:uiPriority w:val="59"/>
    <w:rsid w:val="002B1A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454</Words>
  <Characters>2412</Characters>
  <Application>Microsoft Macintosh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Larsson</dc:creator>
  <cp:keywords/>
  <dc:description/>
  <cp:lastModifiedBy>Susanna Larsson</cp:lastModifiedBy>
  <cp:revision>2</cp:revision>
  <dcterms:created xsi:type="dcterms:W3CDTF">2018-03-29T06:21:00Z</dcterms:created>
  <dcterms:modified xsi:type="dcterms:W3CDTF">2018-03-29T07:04:00Z</dcterms:modified>
</cp:coreProperties>
</file>