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560"/>
        <w:tblW w:w="5045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92"/>
        <w:gridCol w:w="994"/>
        <w:gridCol w:w="992"/>
        <w:gridCol w:w="1135"/>
        <w:gridCol w:w="1133"/>
        <w:gridCol w:w="1135"/>
        <w:gridCol w:w="1133"/>
        <w:gridCol w:w="851"/>
        <w:gridCol w:w="1133"/>
        <w:gridCol w:w="997"/>
      </w:tblGrid>
      <w:tr w:rsidR="006D71BE" w:rsidRPr="00AB0193" w14:paraId="4BCE71E2" w14:textId="77777777" w:rsidTr="00E05C3A">
        <w:trPr>
          <w:trHeight w:val="300"/>
          <w:tblHeader/>
        </w:trPr>
        <w:tc>
          <w:tcPr>
            <w:tcW w:w="5000" w:type="pct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56963D" w14:textId="5EA51DD5" w:rsidR="006D71BE" w:rsidRPr="00551781" w:rsidRDefault="006D71BE" w:rsidP="00063339">
            <w:pPr>
              <w:spacing w:after="0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Additional file </w:t>
            </w:r>
            <w:r w:rsidR="0032066C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  <w:bookmarkStart w:id="0" w:name="_GoBack"/>
            <w:bookmarkEnd w:id="0"/>
            <w:r w:rsidRPr="008F707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551781">
              <w:rPr>
                <w:rFonts w:ascii="Calibri" w:eastAsia="Times New Roman" w:hAnsi="Calibri" w:cs="Times New Roman"/>
                <w:bCs/>
                <w:color w:val="000000"/>
              </w:rPr>
              <w:t>Summary of secondary outcomes, for each drug</w:t>
            </w:r>
          </w:p>
        </w:tc>
      </w:tr>
      <w:tr w:rsidR="001C21FF" w:rsidRPr="001C21FF" w14:paraId="1EEF1D86" w14:textId="77777777" w:rsidTr="001C21FF">
        <w:trPr>
          <w:trHeight w:val="300"/>
          <w:tblHeader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F3CF21" w14:textId="77777777" w:rsidR="006D71BE" w:rsidRPr="001C21FF" w:rsidRDefault="006D71BE" w:rsidP="00E05C3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5E11A3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Quinine (51 studies)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D75C3B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Mefloquine (45 studies)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F9F7E3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Lumefantrine (39 studies)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778A3" w14:textId="1E8A89A2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Piperaqui</w:t>
            </w:r>
            <w:r w:rsidR="001C21FF"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n</w:t>
            </w: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e (24 studies)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CBCF64" w14:textId="615A583E" w:rsidR="006D71BE" w:rsidRPr="001C21FF" w:rsidRDefault="005D7BD1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Halofantrine</w:t>
            </w:r>
            <w:r w:rsidR="006D71BE"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 xml:space="preserve"> (22 studies)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E028CA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Chloroquine (17 studies)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8991B8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SP (14 studies)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A80C7F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Amodiaquine (10 studies)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F43701" w14:textId="77777777" w:rsidR="006D71BE" w:rsidRPr="001C21FF" w:rsidRDefault="006D71BE" w:rsidP="00E05C3A">
            <w:pPr>
              <w:rPr>
                <w:rFonts w:ascii="Calibri" w:eastAsia="Times New Roman" w:hAnsi="Calibri" w:cs="Times New Roman"/>
                <w:b/>
                <w:color w:val="000000"/>
                <w:sz w:val="16"/>
              </w:rPr>
            </w:pPr>
            <w:r w:rsidRPr="001C21FF">
              <w:rPr>
                <w:rFonts w:ascii="Calibri" w:eastAsia="Times New Roman" w:hAnsi="Calibri" w:cs="Times New Roman"/>
                <w:b/>
                <w:color w:val="000000"/>
                <w:sz w:val="16"/>
              </w:rPr>
              <w:t>Primaquine (7 studies)</w:t>
            </w:r>
          </w:p>
        </w:tc>
      </w:tr>
      <w:tr w:rsidR="001C21FF" w:rsidRPr="00AB0193" w14:paraId="10968CFB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4C505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Mean number of ECGs recorded per trial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B29EA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7C407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C29F2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60674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67971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1B338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949F6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5.6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B42FB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5.8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96B47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1C21FF" w:rsidRPr="00AB0193" w14:paraId="403CDA9B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AB38C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Median number of ECGs recorded per trial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AECC1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D964D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FEE3C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740D9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3A800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4F218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C70C3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2C8CB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1E660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1C21FF" w:rsidRPr="00AB0193" w14:paraId="2E291C33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9B51C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Number of trials using continuous ECG recording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9C946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F7440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FAD63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F8722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4096F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EC562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B2CB0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23746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3486E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C21FF" w:rsidRPr="00AB0193" w14:paraId="47070367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2B8BC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unspecified method of reading QT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9EDE9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75 (38)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CDF37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78 (35)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00EC8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51 (20)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7EAC8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54 (13)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AE1E7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32 (7)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D4CB5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(12)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89EDA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86 (12)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6FBF3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60 (6)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088C9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100 (7)</w:t>
            </w:r>
          </w:p>
        </w:tc>
      </w:tr>
      <w:tr w:rsidR="001C21FF" w:rsidRPr="00AB0193" w14:paraId="61E0A8FA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1A723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manual method of reading QT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9D769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14 (7)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DC209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9 (4)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DB9D4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26 (10)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2E2EE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33 (8)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CAE40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36 (8)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9BE27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12 (2)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4D142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0BEDB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30 (3)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AB90D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71775AC3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BF57F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automatic method of reading QT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9F3E3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 (2)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23358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 (1)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CA441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 (1)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A25C2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 (1)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B70AE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 (1)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2B2B7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 (1)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2F80B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6A02C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F9C13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60B7DED0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E1E10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of trials automatic and manual method of reading QT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81A81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 (4)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19AA0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11 (5)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9CD98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(8)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52346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 (2)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B2743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27 (6)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225A4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12 (2)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EDEA8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14 (2)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4BE2C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 (1)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472DE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3F520FAF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EBC13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unspecified method QT correction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5FDA7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67 (34)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4C89E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80 (36)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54379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33 (13)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E67F2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33 (8)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A9554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22 (5)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39A1F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47 (8)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086A4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79 (11)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E14FC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50 (5)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BE4B0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57 (4)</w:t>
            </w:r>
          </w:p>
        </w:tc>
      </w:tr>
      <w:tr w:rsidR="001C21FF" w:rsidRPr="00AB0193" w14:paraId="4299AA85" w14:textId="77777777" w:rsidTr="001C21FF">
        <w:trPr>
          <w:cantSplit/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307DD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% (number) trials using </w:t>
            </w:r>
            <w:proofErr w:type="spellStart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Bazett's</w:t>
            </w:r>
            <w:proofErr w:type="spellEnd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correction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59B0E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31 (16)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E5309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13 (6)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84F48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28 (11)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A6C92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8071E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77 (17)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9D96D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29 (5)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B152C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C0B85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 (1)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6CAF9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1C06D8FE" w14:textId="77777777" w:rsidTr="001C21FF">
        <w:trPr>
          <w:cantSplit/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2F88A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% (number) trials using </w:t>
            </w:r>
            <w:proofErr w:type="spellStart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Fridericia's</w:t>
            </w:r>
            <w:proofErr w:type="spellEnd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correction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9A74C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 (2)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7F487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 (1)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0BEA5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15 (6)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295DF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0701E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E1031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18 (3)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3F583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2873A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 (1)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E890C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43 (3)</w:t>
            </w:r>
          </w:p>
        </w:tc>
      </w:tr>
      <w:tr w:rsidR="001C21FF" w:rsidRPr="00AB0193" w14:paraId="2390B360" w14:textId="77777777" w:rsidTr="001C21FF">
        <w:trPr>
          <w:cantSplit/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BF52A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 xml:space="preserve">% (number) trials using </w:t>
            </w:r>
            <w:proofErr w:type="spellStart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Bazett's</w:t>
            </w:r>
            <w:proofErr w:type="spellEnd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and </w:t>
            </w:r>
            <w:proofErr w:type="spellStart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Fridericia's</w:t>
            </w:r>
            <w:proofErr w:type="spellEnd"/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correction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D39ED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81C92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 (2)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0F446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23 (9)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BFC55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25 (6)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033F3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9C6D2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 (1)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13708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D0568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20 (2)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93C24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74DFBCF7" w14:textId="77777777" w:rsidTr="001C21FF">
        <w:trPr>
          <w:cantSplit/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3E295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not specifying speed recording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C4C2A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(36)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6D390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82 (37)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324A4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82 (32)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57E26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88 (21)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9653A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64 (14)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130DC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(12)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0426F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93 (13)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56C65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80 (8)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04BD5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100 (7)</w:t>
            </w:r>
          </w:p>
        </w:tc>
      </w:tr>
      <w:tr w:rsidR="001C21FF" w:rsidRPr="00AB0193" w14:paraId="128A24E0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61495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recording at 50mm/s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4760F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29 (15)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5F3C0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16 (7)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8E5B5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13 (5)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52018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1250D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14 (3)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B53BE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12 (2)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C7CBF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E7607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20 (2)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6BE05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230626E7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B572D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which specify lead QT read from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03E7F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20 (10)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E7CA1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9 (4)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40FE3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 (4)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657BB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47FF5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27 (6)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1C4B3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29 (5)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7E017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14 (2)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0B7B4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10 (1)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84A04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</w:tr>
      <w:tr w:rsidR="001C21FF" w:rsidRPr="00AB0193" w14:paraId="58652EBE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0F349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which specify food intake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61B2C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12 (6)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13D33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27 (12)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9B69F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69 (27)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3CA89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46 (11)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1C280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64 (14)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3894D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47 (8)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B214E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 (3)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D9C3B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50 (5)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36ABA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86 (6)</w:t>
            </w:r>
          </w:p>
        </w:tc>
      </w:tr>
      <w:tr w:rsidR="001C21FF" w:rsidRPr="00AB0193" w14:paraId="47643C23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CBF04A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using ICH definition QTc prolongation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22DF3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 (3)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D9818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11 (5)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4A8490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41 (16)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CC597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48 (10)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90D2D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 (1)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F56D2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18 (3)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6A46D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0 (0)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2C8AB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20 (2)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D325F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29 (2)</w:t>
            </w:r>
          </w:p>
        </w:tc>
      </w:tr>
      <w:tr w:rsidR="001C21FF" w:rsidRPr="00AB0193" w14:paraId="7BD9FAB2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63E88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not specifying a definition of prolongation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DC466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(36)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85C2A6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80 (36)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91D1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41 (16)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2CE8F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50 (12)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F16899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32 (7)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46A9F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54 (10)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F2863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(10)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1331D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60 (6)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6BBA6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71 (5)</w:t>
            </w:r>
          </w:p>
        </w:tc>
      </w:tr>
      <w:tr w:rsidR="001C21FF" w:rsidRPr="00AB0193" w14:paraId="134B7253" w14:textId="77777777" w:rsidTr="001C21FF">
        <w:trPr>
          <w:trHeight w:val="28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736863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% (number) trials which include PK data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788332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37 (19)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4DD7E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42 (19)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6172DE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49 (19)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808B5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50 (12)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6E302B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46 (10)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3AB7D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59 (10)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AC75BF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36 (5)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2DFFC5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80 (8)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BA0B2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57 (4)</w:t>
            </w:r>
          </w:p>
        </w:tc>
      </w:tr>
      <w:tr w:rsidR="001C21FF" w:rsidRPr="00AB0193" w14:paraId="71B9F530" w14:textId="77777777" w:rsidTr="001C21FF">
        <w:trPr>
          <w:trHeight w:val="300"/>
        </w:trPr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6D9DB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b/>
                <w:bCs/>
                <w:color w:val="000000"/>
              </w:rPr>
              <w:t>Median number PK samples taken in trials which collected PK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492F5C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AA8BC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C12358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75967A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18.5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1A7FF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11.5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B0E2D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19.5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4BB514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6EAD37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F7CE81" w14:textId="77777777" w:rsidR="006D71BE" w:rsidRPr="00AB0193" w:rsidRDefault="006D71BE" w:rsidP="00E05C3A">
            <w:pPr>
              <w:rPr>
                <w:rFonts w:ascii="Calibri" w:eastAsia="Times New Roman" w:hAnsi="Calibri" w:cs="Times New Roman"/>
                <w:color w:val="000000"/>
              </w:rPr>
            </w:pPr>
            <w:r w:rsidRPr="00AB0193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</w:tbl>
    <w:p w14:paraId="060039D6" w14:textId="77777777" w:rsidR="006D71BE" w:rsidRPr="00AB0193" w:rsidRDefault="006D71BE" w:rsidP="006D71BE">
      <w:r w:rsidRPr="00AB0193">
        <w:rPr>
          <w:rFonts w:ascii="Calibri" w:eastAsia="Times New Roman" w:hAnsi="Calibri" w:cs="Times New Roman"/>
          <w:color w:val="000000"/>
        </w:rPr>
        <w:t xml:space="preserve">ICH, International Conference on </w:t>
      </w:r>
      <w:proofErr w:type="spellStart"/>
      <w:r w:rsidRPr="00AB0193">
        <w:rPr>
          <w:rFonts w:ascii="Calibri" w:eastAsia="Times New Roman" w:hAnsi="Calibri" w:cs="Times New Roman"/>
          <w:color w:val="000000"/>
        </w:rPr>
        <w:t>Harmonisation</w:t>
      </w:r>
      <w:proofErr w:type="spellEnd"/>
      <w:r w:rsidRPr="00AB0193">
        <w:rPr>
          <w:rFonts w:ascii="Calibri" w:eastAsia="Times New Roman" w:hAnsi="Calibri" w:cs="Times New Roman"/>
          <w:color w:val="000000"/>
        </w:rPr>
        <w:t> of Technical Requirements for Registration of Pharmaceuticals for Human Use; PK, pharmacokinetic</w:t>
      </w:r>
      <w:r>
        <w:rPr>
          <w:rFonts w:ascii="Calibri" w:eastAsia="Times New Roman" w:hAnsi="Calibri" w:cs="Times New Roman"/>
          <w:color w:val="000000"/>
        </w:rPr>
        <w:t xml:space="preserve">; SP, </w:t>
      </w:r>
      <w:proofErr w:type="spellStart"/>
      <w:r>
        <w:rPr>
          <w:rFonts w:ascii="Calibri" w:eastAsia="Times New Roman" w:hAnsi="Calibri" w:cs="Times New Roman"/>
          <w:color w:val="000000"/>
        </w:rPr>
        <w:t>sulfadoxine</w:t>
      </w:r>
      <w:proofErr w:type="spellEnd"/>
      <w:r>
        <w:rPr>
          <w:rFonts w:ascii="Calibri" w:eastAsia="Times New Roman" w:hAnsi="Calibri" w:cs="Times New Roman"/>
          <w:color w:val="000000"/>
        </w:rPr>
        <w:t>-pyrimethamine.</w:t>
      </w:r>
    </w:p>
    <w:p w14:paraId="51B782E9" w14:textId="77777777" w:rsidR="006D71BE" w:rsidRDefault="006D71BE"/>
    <w:sectPr w:rsidR="006D71BE" w:rsidSect="001C21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BE"/>
    <w:rsid w:val="00063339"/>
    <w:rsid w:val="001C21FF"/>
    <w:rsid w:val="0032066C"/>
    <w:rsid w:val="005D7BD1"/>
    <w:rsid w:val="006D71BE"/>
    <w:rsid w:val="00AA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D629"/>
  <w15:docId w15:val="{F1C4B3A4-8FE6-4A4E-A8C4-E89809BE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Haeusler, Ilsa</cp:lastModifiedBy>
  <cp:revision>5</cp:revision>
  <dcterms:created xsi:type="dcterms:W3CDTF">2018-10-10T23:29:00Z</dcterms:created>
  <dcterms:modified xsi:type="dcterms:W3CDTF">2018-10-30T15:23:00Z</dcterms:modified>
</cp:coreProperties>
</file>