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EF3F1" w14:textId="5B5919DF" w:rsidR="006F5394" w:rsidRPr="006E3776" w:rsidRDefault="00FC4E07">
      <w:pPr>
        <w:rPr>
          <w:rFonts w:ascii="Calibri" w:hAnsi="Calibri"/>
          <w:sz w:val="20"/>
          <w:szCs w:val="20"/>
        </w:rPr>
      </w:pPr>
      <w:r>
        <w:rPr>
          <w:rFonts w:ascii="Calibri" w:hAnsi="Calibri"/>
          <w:b/>
          <w:sz w:val="20"/>
          <w:szCs w:val="20"/>
        </w:rPr>
        <w:t>Table S1</w:t>
      </w:r>
      <w:r w:rsidR="00162533" w:rsidRPr="006E3776">
        <w:rPr>
          <w:rFonts w:ascii="Calibri" w:hAnsi="Calibri"/>
          <w:b/>
          <w:sz w:val="20"/>
          <w:szCs w:val="20"/>
        </w:rPr>
        <w:t>.</w:t>
      </w:r>
      <w:r w:rsidR="00162533" w:rsidRPr="006E3776">
        <w:rPr>
          <w:rFonts w:ascii="Calibri" w:hAnsi="Calibri"/>
          <w:sz w:val="20"/>
          <w:szCs w:val="20"/>
        </w:rPr>
        <w:t xml:space="preserve"> </w:t>
      </w:r>
      <w:r w:rsidR="006E3776" w:rsidRPr="006E3776">
        <w:rPr>
          <w:rFonts w:ascii="Calibri" w:eastAsia="Times New Roman" w:hAnsi="Calibri" w:cs="Calibri"/>
          <w:color w:val="000000"/>
          <w:sz w:val="20"/>
          <w:szCs w:val="20"/>
          <w:lang w:eastAsia="en-CA"/>
        </w:rPr>
        <w:t>Study characteristics of articles included in the meta-analysis and/or qualitative synthesis</w:t>
      </w:r>
    </w:p>
    <w:p w14:paraId="698FFE6D" w14:textId="77777777" w:rsidR="006E3776" w:rsidRPr="006E3776" w:rsidRDefault="006E3776">
      <w:pPr>
        <w:rPr>
          <w:rFonts w:ascii="Calibri" w:hAnsi="Calibri"/>
          <w:sz w:val="20"/>
          <w:szCs w:val="20"/>
        </w:rPr>
      </w:pPr>
    </w:p>
    <w:tbl>
      <w:tblPr>
        <w:tblW w:w="5000" w:type="pct"/>
        <w:tblLook w:val="04A0" w:firstRow="1" w:lastRow="0" w:firstColumn="1" w:lastColumn="0" w:noHBand="0" w:noVBand="1"/>
      </w:tblPr>
      <w:tblGrid>
        <w:gridCol w:w="2314"/>
        <w:gridCol w:w="3162"/>
        <w:gridCol w:w="3971"/>
        <w:gridCol w:w="3274"/>
      </w:tblGrid>
      <w:tr w:rsidR="006E3776" w:rsidRPr="006E3776" w14:paraId="186285CF" w14:textId="77777777" w:rsidTr="00467772">
        <w:trPr>
          <w:trHeight w:val="280"/>
          <w:tblHeader/>
        </w:trPr>
        <w:tc>
          <w:tcPr>
            <w:tcW w:w="909" w:type="pct"/>
            <w:tcBorders>
              <w:top w:val="nil"/>
              <w:left w:val="nil"/>
              <w:bottom w:val="single" w:sz="4" w:space="0" w:color="auto"/>
              <w:right w:val="nil"/>
            </w:tcBorders>
            <w:shd w:val="clear" w:color="auto" w:fill="auto"/>
            <w:noWrap/>
            <w:vAlign w:val="center"/>
            <w:hideMark/>
          </w:tcPr>
          <w:p w14:paraId="097A61BA" w14:textId="77777777" w:rsidR="006E3776" w:rsidRPr="006E3776" w:rsidRDefault="006E3776" w:rsidP="006E3776">
            <w:pPr>
              <w:rPr>
                <w:rFonts w:ascii="Calibri" w:eastAsia="Times New Roman" w:hAnsi="Calibri" w:cs="Times New Roman"/>
                <w:b/>
                <w:bCs/>
                <w:color w:val="000000"/>
                <w:sz w:val="20"/>
                <w:szCs w:val="20"/>
                <w:lang w:val="en-CA"/>
              </w:rPr>
            </w:pPr>
            <w:r w:rsidRPr="006E3776">
              <w:rPr>
                <w:rFonts w:ascii="Calibri" w:eastAsia="Times New Roman" w:hAnsi="Calibri" w:cs="Times New Roman"/>
                <w:b/>
                <w:bCs/>
                <w:color w:val="000000"/>
                <w:sz w:val="20"/>
                <w:szCs w:val="20"/>
                <w:lang w:val="en-CA"/>
              </w:rPr>
              <w:t>Author, Publication Year</w:t>
            </w:r>
          </w:p>
        </w:tc>
        <w:tc>
          <w:tcPr>
            <w:tcW w:w="1243" w:type="pct"/>
            <w:tcBorders>
              <w:top w:val="nil"/>
              <w:left w:val="nil"/>
              <w:bottom w:val="single" w:sz="4" w:space="0" w:color="auto"/>
              <w:right w:val="nil"/>
            </w:tcBorders>
            <w:shd w:val="clear" w:color="auto" w:fill="auto"/>
            <w:noWrap/>
            <w:hideMark/>
          </w:tcPr>
          <w:p w14:paraId="3703DF8F" w14:textId="77777777" w:rsidR="006E3776" w:rsidRPr="006E3776" w:rsidRDefault="006E3776" w:rsidP="002D75C7">
            <w:pPr>
              <w:jc w:val="center"/>
              <w:rPr>
                <w:rFonts w:ascii="Calibri" w:eastAsia="Times New Roman" w:hAnsi="Calibri" w:cs="Times New Roman"/>
                <w:b/>
                <w:bCs/>
                <w:color w:val="000000"/>
                <w:sz w:val="20"/>
                <w:szCs w:val="20"/>
                <w:lang w:val="en-CA"/>
              </w:rPr>
            </w:pPr>
            <w:r w:rsidRPr="006E3776">
              <w:rPr>
                <w:rFonts w:ascii="Calibri" w:eastAsia="Times New Roman" w:hAnsi="Calibri" w:cs="Times New Roman"/>
                <w:b/>
                <w:bCs/>
                <w:color w:val="000000"/>
                <w:sz w:val="20"/>
                <w:szCs w:val="20"/>
                <w:lang w:val="en-CA"/>
              </w:rPr>
              <w:t>Participant Recruitment</w:t>
            </w:r>
          </w:p>
        </w:tc>
        <w:tc>
          <w:tcPr>
            <w:tcW w:w="1561" w:type="pct"/>
            <w:tcBorders>
              <w:top w:val="nil"/>
              <w:left w:val="nil"/>
              <w:bottom w:val="single" w:sz="4" w:space="0" w:color="auto"/>
              <w:right w:val="nil"/>
            </w:tcBorders>
            <w:shd w:val="clear" w:color="auto" w:fill="auto"/>
            <w:noWrap/>
            <w:hideMark/>
          </w:tcPr>
          <w:p w14:paraId="2AA43343" w14:textId="77777777" w:rsidR="006E3776" w:rsidRPr="006E3776" w:rsidRDefault="006E3776" w:rsidP="002D75C7">
            <w:pPr>
              <w:jc w:val="center"/>
              <w:rPr>
                <w:rFonts w:ascii="Calibri" w:eastAsia="Times New Roman" w:hAnsi="Calibri" w:cs="Times New Roman"/>
                <w:b/>
                <w:bCs/>
                <w:color w:val="000000"/>
                <w:sz w:val="20"/>
                <w:szCs w:val="20"/>
                <w:lang w:val="en-CA"/>
              </w:rPr>
            </w:pPr>
            <w:r w:rsidRPr="006E3776">
              <w:rPr>
                <w:rFonts w:ascii="Calibri" w:eastAsia="Times New Roman" w:hAnsi="Calibri" w:cs="Times New Roman"/>
                <w:b/>
                <w:bCs/>
                <w:color w:val="000000"/>
                <w:sz w:val="20"/>
                <w:szCs w:val="20"/>
                <w:lang w:val="en-CA"/>
              </w:rPr>
              <w:t>Case definition</w:t>
            </w:r>
          </w:p>
        </w:tc>
        <w:tc>
          <w:tcPr>
            <w:tcW w:w="1287" w:type="pct"/>
            <w:tcBorders>
              <w:top w:val="nil"/>
              <w:left w:val="nil"/>
              <w:bottom w:val="single" w:sz="4" w:space="0" w:color="auto"/>
              <w:right w:val="nil"/>
            </w:tcBorders>
            <w:shd w:val="clear" w:color="auto" w:fill="auto"/>
            <w:noWrap/>
            <w:hideMark/>
          </w:tcPr>
          <w:p w14:paraId="784F61A9" w14:textId="77777777" w:rsidR="006E3776" w:rsidRPr="006E3776" w:rsidRDefault="006E3776" w:rsidP="002D75C7">
            <w:pPr>
              <w:jc w:val="center"/>
              <w:rPr>
                <w:rFonts w:ascii="Calibri" w:eastAsia="Times New Roman" w:hAnsi="Calibri" w:cs="Times New Roman"/>
                <w:b/>
                <w:bCs/>
                <w:color w:val="000000"/>
                <w:sz w:val="20"/>
                <w:szCs w:val="20"/>
                <w:lang w:val="en-CA"/>
              </w:rPr>
            </w:pPr>
            <w:r w:rsidRPr="006E3776">
              <w:rPr>
                <w:rFonts w:ascii="Calibri" w:eastAsia="Times New Roman" w:hAnsi="Calibri" w:cs="Times New Roman"/>
                <w:b/>
                <w:bCs/>
                <w:color w:val="000000"/>
                <w:sz w:val="20"/>
                <w:szCs w:val="20"/>
                <w:lang w:val="en-CA"/>
              </w:rPr>
              <w:t>Adjustment Variables</w:t>
            </w:r>
          </w:p>
        </w:tc>
      </w:tr>
      <w:tr w:rsidR="006E3776" w:rsidRPr="006E3776" w14:paraId="40E5637E" w14:textId="77777777" w:rsidTr="00467772">
        <w:trPr>
          <w:trHeight w:val="987"/>
        </w:trPr>
        <w:tc>
          <w:tcPr>
            <w:tcW w:w="909" w:type="pct"/>
            <w:tcBorders>
              <w:top w:val="nil"/>
              <w:left w:val="nil"/>
              <w:bottom w:val="nil"/>
              <w:right w:val="nil"/>
            </w:tcBorders>
            <w:shd w:val="clear" w:color="auto" w:fill="auto"/>
            <w:noWrap/>
            <w:hideMark/>
          </w:tcPr>
          <w:p w14:paraId="16B421F4"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Jimenez-Jorge et al., 2012</w:t>
            </w:r>
          </w:p>
        </w:tc>
        <w:tc>
          <w:tcPr>
            <w:tcW w:w="1243" w:type="pct"/>
            <w:tcBorders>
              <w:top w:val="nil"/>
              <w:left w:val="nil"/>
              <w:bottom w:val="nil"/>
              <w:right w:val="nil"/>
            </w:tcBorders>
            <w:shd w:val="clear" w:color="auto" w:fill="auto"/>
            <w:hideMark/>
          </w:tcPr>
          <w:p w14:paraId="1787599F"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Spanish Influenza Sentinel Surveillance System patients with ARI, first 2 patients &lt;65 swabbed, all patients ≥65</w:t>
            </w:r>
          </w:p>
        </w:tc>
        <w:tc>
          <w:tcPr>
            <w:tcW w:w="1561" w:type="pct"/>
            <w:tcBorders>
              <w:top w:val="nil"/>
              <w:left w:val="nil"/>
              <w:bottom w:val="nil"/>
              <w:right w:val="nil"/>
            </w:tcBorders>
            <w:shd w:val="clear" w:color="auto" w:fill="auto"/>
            <w:hideMark/>
          </w:tcPr>
          <w:p w14:paraId="3E85E348"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Sudden onset of symptoms and at least one of: fever or feverishness, malaise, headache, myalgia, and at least one of: cough, sore throat, or shortness of breath</w:t>
            </w:r>
          </w:p>
        </w:tc>
        <w:tc>
          <w:tcPr>
            <w:tcW w:w="1287" w:type="pct"/>
            <w:tcBorders>
              <w:top w:val="nil"/>
              <w:left w:val="nil"/>
              <w:bottom w:val="nil"/>
              <w:right w:val="nil"/>
            </w:tcBorders>
            <w:shd w:val="clear" w:color="auto" w:fill="auto"/>
            <w:hideMark/>
          </w:tcPr>
          <w:p w14:paraId="316D15AD" w14:textId="163C9BA1"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group, and week of swabbing</w:t>
            </w:r>
          </w:p>
        </w:tc>
      </w:tr>
      <w:tr w:rsidR="006E3776" w:rsidRPr="006E3776" w14:paraId="3D23902F" w14:textId="77777777" w:rsidTr="00467772">
        <w:trPr>
          <w:trHeight w:val="1138"/>
        </w:trPr>
        <w:tc>
          <w:tcPr>
            <w:tcW w:w="909" w:type="pct"/>
            <w:tcBorders>
              <w:top w:val="nil"/>
              <w:left w:val="nil"/>
              <w:bottom w:val="nil"/>
              <w:right w:val="nil"/>
            </w:tcBorders>
            <w:shd w:val="clear" w:color="auto" w:fill="auto"/>
            <w:noWrap/>
            <w:hideMark/>
          </w:tcPr>
          <w:p w14:paraId="3B26A3DA"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Martinez-Baz et al., 2013</w:t>
            </w:r>
          </w:p>
        </w:tc>
        <w:tc>
          <w:tcPr>
            <w:tcW w:w="1243" w:type="pct"/>
            <w:tcBorders>
              <w:top w:val="nil"/>
              <w:left w:val="nil"/>
              <w:bottom w:val="nil"/>
              <w:right w:val="nil"/>
            </w:tcBorders>
            <w:shd w:val="clear" w:color="auto" w:fill="auto"/>
            <w:hideMark/>
          </w:tcPr>
          <w:p w14:paraId="5468BC2F"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Primary care physician patients with ILI</w:t>
            </w:r>
          </w:p>
        </w:tc>
        <w:tc>
          <w:tcPr>
            <w:tcW w:w="1561" w:type="pct"/>
            <w:tcBorders>
              <w:top w:val="nil"/>
              <w:left w:val="nil"/>
              <w:bottom w:val="nil"/>
              <w:right w:val="nil"/>
            </w:tcBorders>
            <w:shd w:val="clear" w:color="auto" w:fill="auto"/>
            <w:hideMark/>
          </w:tcPr>
          <w:p w14:paraId="510836AF"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Sudden onset of any general symptom (fever, feverishness, malaise, headache or myalgia) and any respiratory symptom (cough, sore throat, shortness of breath)</w:t>
            </w:r>
          </w:p>
        </w:tc>
        <w:tc>
          <w:tcPr>
            <w:tcW w:w="1287" w:type="pct"/>
            <w:tcBorders>
              <w:top w:val="nil"/>
              <w:left w:val="nil"/>
              <w:bottom w:val="nil"/>
              <w:right w:val="nil"/>
            </w:tcBorders>
            <w:shd w:val="clear" w:color="auto" w:fill="auto"/>
            <w:hideMark/>
          </w:tcPr>
          <w:p w14:paraId="4326A8B9" w14:textId="47C990D3"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Sex, age, major chronic conditions, outpatient visits in the previous year, swabbing within 4 days of symptom onset, health care setting and period</w:t>
            </w:r>
          </w:p>
        </w:tc>
      </w:tr>
      <w:tr w:rsidR="006E3776" w:rsidRPr="006E3776" w14:paraId="19BB46E9" w14:textId="77777777" w:rsidTr="00467772">
        <w:trPr>
          <w:trHeight w:val="712"/>
        </w:trPr>
        <w:tc>
          <w:tcPr>
            <w:tcW w:w="909" w:type="pct"/>
            <w:tcBorders>
              <w:top w:val="nil"/>
              <w:left w:val="nil"/>
              <w:bottom w:val="nil"/>
              <w:right w:val="nil"/>
            </w:tcBorders>
            <w:shd w:val="clear" w:color="auto" w:fill="auto"/>
            <w:noWrap/>
            <w:hideMark/>
          </w:tcPr>
          <w:p w14:paraId="78C21605"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Skowronski et al., 2012</w:t>
            </w:r>
          </w:p>
        </w:tc>
        <w:tc>
          <w:tcPr>
            <w:tcW w:w="1243" w:type="pct"/>
            <w:tcBorders>
              <w:top w:val="nil"/>
              <w:left w:val="nil"/>
              <w:bottom w:val="nil"/>
              <w:right w:val="nil"/>
            </w:tcBorders>
            <w:shd w:val="clear" w:color="auto" w:fill="auto"/>
            <w:hideMark/>
          </w:tcPr>
          <w:p w14:paraId="48D3A78A"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Sentinel outpatient clinics patients with ILI</w:t>
            </w:r>
          </w:p>
        </w:tc>
        <w:tc>
          <w:tcPr>
            <w:tcW w:w="1561" w:type="pct"/>
            <w:tcBorders>
              <w:top w:val="nil"/>
              <w:left w:val="nil"/>
              <w:bottom w:val="nil"/>
              <w:right w:val="nil"/>
            </w:tcBorders>
            <w:shd w:val="clear" w:color="auto" w:fill="auto"/>
            <w:hideMark/>
          </w:tcPr>
          <w:p w14:paraId="7ACF3E5C"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Acute onset of fever and cough and ≥1 of sore throat, arthralgia, myalgia or prostration</w:t>
            </w:r>
          </w:p>
        </w:tc>
        <w:tc>
          <w:tcPr>
            <w:tcW w:w="1287" w:type="pct"/>
            <w:tcBorders>
              <w:top w:val="nil"/>
              <w:left w:val="nil"/>
              <w:bottom w:val="nil"/>
              <w:right w:val="nil"/>
            </w:tcBorders>
            <w:shd w:val="clear" w:color="auto" w:fill="auto"/>
            <w:hideMark/>
          </w:tcPr>
          <w:p w14:paraId="7B983878" w14:textId="4BC7E703"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Not clearly reported</w:t>
            </w:r>
          </w:p>
        </w:tc>
      </w:tr>
      <w:tr w:rsidR="006E3776" w:rsidRPr="006E3776" w14:paraId="63E63C53" w14:textId="77777777" w:rsidTr="00467772">
        <w:trPr>
          <w:trHeight w:val="1558"/>
        </w:trPr>
        <w:tc>
          <w:tcPr>
            <w:tcW w:w="909" w:type="pct"/>
            <w:tcBorders>
              <w:top w:val="nil"/>
              <w:left w:val="nil"/>
              <w:bottom w:val="nil"/>
              <w:right w:val="nil"/>
            </w:tcBorders>
            <w:shd w:val="clear" w:color="auto" w:fill="auto"/>
            <w:noWrap/>
            <w:hideMark/>
          </w:tcPr>
          <w:p w14:paraId="409C211A"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Syrjanen et al., 2014</w:t>
            </w:r>
          </w:p>
        </w:tc>
        <w:tc>
          <w:tcPr>
            <w:tcW w:w="1243" w:type="pct"/>
            <w:tcBorders>
              <w:top w:val="nil"/>
              <w:left w:val="nil"/>
              <w:bottom w:val="nil"/>
              <w:right w:val="nil"/>
            </w:tcBorders>
            <w:shd w:val="clear" w:color="auto" w:fill="auto"/>
            <w:hideMark/>
          </w:tcPr>
          <w:p w14:paraId="40AEAEB9" w14:textId="4EF62951"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Voluntary enrolment</w:t>
            </w:r>
          </w:p>
        </w:tc>
        <w:tc>
          <w:tcPr>
            <w:tcW w:w="1561" w:type="pct"/>
            <w:tcBorders>
              <w:top w:val="nil"/>
              <w:left w:val="nil"/>
              <w:bottom w:val="nil"/>
              <w:right w:val="nil"/>
            </w:tcBorders>
            <w:shd w:val="clear" w:color="auto" w:fill="auto"/>
            <w:hideMark/>
          </w:tcPr>
          <w:p w14:paraId="0871C59A" w14:textId="2A05430B" w:rsidR="006E3776" w:rsidRPr="006E3776" w:rsidRDefault="006E3776" w:rsidP="00DD4BA9">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Sudden onset of the following self reported clinical signs and symptoms: measured fever (≥38°C) and at least one sign or symptom of acute respiratory infection. In addition, pneumonia diagnosed by a physician was also regarded as an</w:t>
            </w:r>
            <w:r w:rsidR="00DD4BA9">
              <w:rPr>
                <w:rFonts w:ascii="Calibri" w:eastAsia="Times New Roman" w:hAnsi="Calibri" w:cs="Times New Roman"/>
                <w:color w:val="000000"/>
                <w:sz w:val="20"/>
                <w:szCs w:val="20"/>
                <w:lang w:val="en-CA"/>
              </w:rPr>
              <w:t xml:space="preserve"> ILI</w:t>
            </w:r>
            <w:r w:rsidRPr="006E3776">
              <w:rPr>
                <w:rFonts w:ascii="Calibri" w:eastAsia="Times New Roman" w:hAnsi="Calibri" w:cs="Times New Roman"/>
                <w:color w:val="000000"/>
                <w:sz w:val="20"/>
                <w:szCs w:val="20"/>
                <w:lang w:val="en-CA"/>
              </w:rPr>
              <w:t>.</w:t>
            </w:r>
          </w:p>
        </w:tc>
        <w:tc>
          <w:tcPr>
            <w:tcW w:w="1287" w:type="pct"/>
            <w:tcBorders>
              <w:top w:val="nil"/>
              <w:left w:val="nil"/>
              <w:bottom w:val="nil"/>
              <w:right w:val="nil"/>
            </w:tcBorders>
            <w:shd w:val="clear" w:color="auto" w:fill="auto"/>
            <w:hideMark/>
          </w:tcPr>
          <w:p w14:paraId="0FB668FC" w14:textId="2775D7B4"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group, gender, underlying medical condition, pregnancy</w:t>
            </w:r>
          </w:p>
        </w:tc>
      </w:tr>
      <w:tr w:rsidR="006E3776" w:rsidRPr="006E3776" w14:paraId="1D7F4D01" w14:textId="77777777" w:rsidTr="00467772">
        <w:trPr>
          <w:trHeight w:val="844"/>
        </w:trPr>
        <w:tc>
          <w:tcPr>
            <w:tcW w:w="909" w:type="pct"/>
            <w:tcBorders>
              <w:top w:val="nil"/>
              <w:left w:val="nil"/>
              <w:bottom w:val="nil"/>
              <w:right w:val="nil"/>
            </w:tcBorders>
            <w:shd w:val="clear" w:color="auto" w:fill="auto"/>
            <w:noWrap/>
            <w:hideMark/>
          </w:tcPr>
          <w:p w14:paraId="12A51F83"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Fu et al., 2015</w:t>
            </w:r>
          </w:p>
        </w:tc>
        <w:tc>
          <w:tcPr>
            <w:tcW w:w="1243" w:type="pct"/>
            <w:tcBorders>
              <w:top w:val="nil"/>
              <w:left w:val="nil"/>
              <w:bottom w:val="nil"/>
              <w:right w:val="nil"/>
            </w:tcBorders>
            <w:shd w:val="clear" w:color="auto" w:fill="auto"/>
            <w:hideMark/>
          </w:tcPr>
          <w:p w14:paraId="63B69285" w14:textId="26E9BA5D"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Hospital-based outpatient</w:t>
            </w:r>
            <w:r w:rsidR="00BA437F">
              <w:rPr>
                <w:rFonts w:ascii="Calibri" w:eastAsia="Times New Roman" w:hAnsi="Calibri" w:cs="Times New Roman"/>
                <w:color w:val="000000"/>
                <w:sz w:val="20"/>
                <w:szCs w:val="20"/>
                <w:lang w:val="en-CA"/>
              </w:rPr>
              <w:t>s</w:t>
            </w:r>
            <w:r w:rsidRPr="006E3776">
              <w:rPr>
                <w:rFonts w:ascii="Calibri" w:eastAsia="Times New Roman" w:hAnsi="Calibri" w:cs="Times New Roman"/>
                <w:color w:val="000000"/>
                <w:sz w:val="20"/>
                <w:szCs w:val="20"/>
                <w:lang w:val="en-CA"/>
              </w:rPr>
              <w:t xml:space="preserve"> with ILI</w:t>
            </w:r>
          </w:p>
        </w:tc>
        <w:tc>
          <w:tcPr>
            <w:tcW w:w="1561" w:type="pct"/>
            <w:tcBorders>
              <w:top w:val="nil"/>
              <w:left w:val="nil"/>
              <w:bottom w:val="nil"/>
              <w:right w:val="nil"/>
            </w:tcBorders>
            <w:shd w:val="clear" w:color="auto" w:fill="auto"/>
            <w:hideMark/>
          </w:tcPr>
          <w:p w14:paraId="6E1FDF6A"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History of fever with cough or sore throat</w:t>
            </w:r>
          </w:p>
        </w:tc>
        <w:tc>
          <w:tcPr>
            <w:tcW w:w="1287" w:type="pct"/>
            <w:tcBorders>
              <w:top w:val="nil"/>
              <w:left w:val="nil"/>
              <w:bottom w:val="nil"/>
              <w:right w:val="nil"/>
            </w:tcBorders>
            <w:shd w:val="clear" w:color="auto" w:fill="auto"/>
            <w:hideMark/>
          </w:tcPr>
          <w:p w14:paraId="57CAE350"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Conditional logistic - matched to those without ILI on gender, age (months) and neighbourhood</w:t>
            </w:r>
          </w:p>
        </w:tc>
      </w:tr>
      <w:tr w:rsidR="006E3776" w:rsidRPr="006E3776" w14:paraId="5EA394FB" w14:textId="77777777" w:rsidTr="00467772">
        <w:trPr>
          <w:trHeight w:val="1011"/>
        </w:trPr>
        <w:tc>
          <w:tcPr>
            <w:tcW w:w="909" w:type="pct"/>
            <w:tcBorders>
              <w:top w:val="nil"/>
              <w:left w:val="nil"/>
              <w:bottom w:val="nil"/>
              <w:right w:val="nil"/>
            </w:tcBorders>
            <w:shd w:val="clear" w:color="auto" w:fill="auto"/>
            <w:noWrap/>
            <w:hideMark/>
          </w:tcPr>
          <w:p w14:paraId="37B9EA24" w14:textId="0A34AE41"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Gaglani et al., 2016</w:t>
            </w:r>
          </w:p>
        </w:tc>
        <w:tc>
          <w:tcPr>
            <w:tcW w:w="1243" w:type="pct"/>
            <w:tcBorders>
              <w:top w:val="nil"/>
              <w:left w:val="nil"/>
              <w:bottom w:val="nil"/>
              <w:right w:val="nil"/>
            </w:tcBorders>
            <w:shd w:val="clear" w:color="auto" w:fill="auto"/>
            <w:hideMark/>
          </w:tcPr>
          <w:p w14:paraId="72584B8E"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US Flu Network patients with ARI</w:t>
            </w:r>
          </w:p>
        </w:tc>
        <w:tc>
          <w:tcPr>
            <w:tcW w:w="1561" w:type="pct"/>
            <w:tcBorders>
              <w:top w:val="nil"/>
              <w:left w:val="nil"/>
              <w:bottom w:val="nil"/>
              <w:right w:val="nil"/>
            </w:tcBorders>
            <w:shd w:val="clear" w:color="auto" w:fill="auto"/>
            <w:hideMark/>
          </w:tcPr>
          <w:p w14:paraId="405776AE" w14:textId="24F7A6D4"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Cough and onset of illness &lt;7 days before enrolment</w:t>
            </w:r>
          </w:p>
        </w:tc>
        <w:tc>
          <w:tcPr>
            <w:tcW w:w="1287" w:type="pct"/>
            <w:tcBorders>
              <w:top w:val="nil"/>
              <w:left w:val="nil"/>
              <w:bottom w:val="nil"/>
              <w:right w:val="nil"/>
            </w:tcBorders>
            <w:shd w:val="clear" w:color="auto" w:fill="auto"/>
            <w:hideMark/>
          </w:tcPr>
          <w:p w14:paraId="7670C0DB" w14:textId="683DC0E3"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Site, age, calendar time, any high-risk condition, sex, race/ethnicity, general health status, and interval from illness onset to enrolment</w:t>
            </w:r>
          </w:p>
        </w:tc>
      </w:tr>
      <w:tr w:rsidR="006E3776" w:rsidRPr="006E3776" w14:paraId="65D0E61E" w14:textId="77777777" w:rsidTr="00467772">
        <w:trPr>
          <w:trHeight w:val="840"/>
        </w:trPr>
        <w:tc>
          <w:tcPr>
            <w:tcW w:w="909" w:type="pct"/>
            <w:tcBorders>
              <w:top w:val="nil"/>
              <w:left w:val="nil"/>
              <w:bottom w:val="nil"/>
              <w:right w:val="nil"/>
            </w:tcBorders>
            <w:shd w:val="clear" w:color="auto" w:fill="auto"/>
            <w:noWrap/>
            <w:hideMark/>
          </w:tcPr>
          <w:p w14:paraId="4497521A"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Ohmit et al., 2016</w:t>
            </w:r>
          </w:p>
        </w:tc>
        <w:tc>
          <w:tcPr>
            <w:tcW w:w="1243" w:type="pct"/>
            <w:tcBorders>
              <w:top w:val="nil"/>
              <w:left w:val="nil"/>
              <w:bottom w:val="nil"/>
              <w:right w:val="nil"/>
            </w:tcBorders>
            <w:shd w:val="clear" w:color="auto" w:fill="auto"/>
            <w:hideMark/>
          </w:tcPr>
          <w:p w14:paraId="7C357F04" w14:textId="21904B05"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Recruited households with at least 4 members (min</w:t>
            </w:r>
            <w:r w:rsidR="00BA437F">
              <w:rPr>
                <w:rFonts w:ascii="Calibri" w:eastAsia="Times New Roman" w:hAnsi="Calibri" w:cs="Times New Roman"/>
                <w:color w:val="000000"/>
                <w:sz w:val="20"/>
                <w:szCs w:val="20"/>
                <w:lang w:val="en-CA"/>
              </w:rPr>
              <w:t>imum</w:t>
            </w:r>
            <w:r w:rsidRPr="006E3776">
              <w:rPr>
                <w:rFonts w:ascii="Calibri" w:eastAsia="Times New Roman" w:hAnsi="Calibri" w:cs="Times New Roman"/>
                <w:color w:val="000000"/>
                <w:sz w:val="20"/>
                <w:szCs w:val="20"/>
                <w:lang w:val="en-CA"/>
              </w:rPr>
              <w:t xml:space="preserve"> 2 children)</w:t>
            </w:r>
          </w:p>
        </w:tc>
        <w:tc>
          <w:tcPr>
            <w:tcW w:w="1561" w:type="pct"/>
            <w:tcBorders>
              <w:top w:val="nil"/>
              <w:left w:val="nil"/>
              <w:bottom w:val="nil"/>
              <w:right w:val="nil"/>
            </w:tcBorders>
            <w:shd w:val="clear" w:color="auto" w:fill="auto"/>
            <w:hideMark/>
          </w:tcPr>
          <w:p w14:paraId="2B56B8E9" w14:textId="6F9F528E" w:rsidR="006E3776" w:rsidRPr="006E3776" w:rsidRDefault="00037809" w:rsidP="006E3776">
            <w:pPr>
              <w:jc w:val="center"/>
              <w:rPr>
                <w:rFonts w:ascii="Calibri" w:eastAsia="Times New Roman" w:hAnsi="Calibri" w:cs="Times New Roman"/>
                <w:color w:val="000000"/>
                <w:sz w:val="20"/>
                <w:szCs w:val="20"/>
                <w:lang w:val="en-CA"/>
              </w:rPr>
            </w:pPr>
            <w:r>
              <w:rPr>
                <w:rFonts w:ascii="Calibri" w:eastAsia="Times New Roman" w:hAnsi="Calibri" w:cs="Times New Roman"/>
                <w:color w:val="000000"/>
                <w:sz w:val="20"/>
                <w:szCs w:val="20"/>
                <w:lang w:val="en-CA"/>
              </w:rPr>
              <w:t xml:space="preserve">ARI </w:t>
            </w:r>
            <w:r w:rsidR="006E3776" w:rsidRPr="006E3776">
              <w:rPr>
                <w:rFonts w:ascii="Calibri" w:eastAsia="Times New Roman" w:hAnsi="Calibri" w:cs="Times New Roman"/>
                <w:color w:val="000000"/>
                <w:sz w:val="20"/>
                <w:szCs w:val="20"/>
                <w:lang w:val="en-CA"/>
              </w:rPr>
              <w:t xml:space="preserve">in which two of the following symptoms were present: cough, fever </w:t>
            </w:r>
            <w:bookmarkStart w:id="0" w:name="_GoBack"/>
            <w:bookmarkEnd w:id="0"/>
            <w:r w:rsidR="006E3776" w:rsidRPr="006E3776">
              <w:rPr>
                <w:rFonts w:ascii="Calibri" w:eastAsia="Times New Roman" w:hAnsi="Calibri" w:cs="Times New Roman"/>
                <w:color w:val="000000"/>
                <w:sz w:val="20"/>
                <w:szCs w:val="20"/>
                <w:lang w:val="en-CA"/>
              </w:rPr>
              <w:t>or feverishness, nasal congestion, chills, headache, body aches, and/or sore throat</w:t>
            </w:r>
          </w:p>
        </w:tc>
        <w:tc>
          <w:tcPr>
            <w:tcW w:w="1287" w:type="pct"/>
            <w:tcBorders>
              <w:top w:val="nil"/>
              <w:left w:val="nil"/>
              <w:bottom w:val="nil"/>
              <w:right w:val="nil"/>
            </w:tcBorders>
            <w:shd w:val="clear" w:color="auto" w:fill="auto"/>
            <w:hideMark/>
          </w:tcPr>
          <w:p w14:paraId="3900913F" w14:textId="4417D683"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in months (natural cubic spline) and medical record-documented high-risk health status</w:t>
            </w:r>
          </w:p>
        </w:tc>
      </w:tr>
      <w:tr w:rsidR="006E3776" w:rsidRPr="006E3776" w14:paraId="3A4A7930" w14:textId="77777777" w:rsidTr="00467772">
        <w:trPr>
          <w:trHeight w:val="840"/>
        </w:trPr>
        <w:tc>
          <w:tcPr>
            <w:tcW w:w="909" w:type="pct"/>
            <w:tcBorders>
              <w:top w:val="nil"/>
              <w:left w:val="nil"/>
              <w:bottom w:val="nil"/>
              <w:right w:val="nil"/>
            </w:tcBorders>
            <w:shd w:val="clear" w:color="auto" w:fill="auto"/>
            <w:noWrap/>
            <w:hideMark/>
          </w:tcPr>
          <w:p w14:paraId="1A18EAA3"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Thompson et al., 2014</w:t>
            </w:r>
          </w:p>
        </w:tc>
        <w:tc>
          <w:tcPr>
            <w:tcW w:w="1243" w:type="pct"/>
            <w:tcBorders>
              <w:top w:val="nil"/>
              <w:left w:val="nil"/>
              <w:bottom w:val="nil"/>
              <w:right w:val="nil"/>
            </w:tcBorders>
            <w:shd w:val="clear" w:color="auto" w:fill="auto"/>
            <w:hideMark/>
          </w:tcPr>
          <w:p w14:paraId="48EE2B9B"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Incentive offered to members of Kaiser Permanente with at least one prenatal visit</w:t>
            </w:r>
          </w:p>
        </w:tc>
        <w:tc>
          <w:tcPr>
            <w:tcW w:w="1561" w:type="pct"/>
            <w:tcBorders>
              <w:top w:val="nil"/>
              <w:left w:val="nil"/>
              <w:bottom w:val="nil"/>
              <w:right w:val="nil"/>
            </w:tcBorders>
            <w:shd w:val="clear" w:color="auto" w:fill="auto"/>
            <w:hideMark/>
          </w:tcPr>
          <w:p w14:paraId="740BC294" w14:textId="7DB090CD" w:rsidR="006E3776" w:rsidRPr="006E3776" w:rsidRDefault="00DD4BA9" w:rsidP="006E3776">
            <w:pPr>
              <w:jc w:val="center"/>
              <w:rPr>
                <w:rFonts w:ascii="Calibri" w:eastAsia="Times New Roman" w:hAnsi="Calibri" w:cs="Times New Roman"/>
                <w:color w:val="000000"/>
                <w:sz w:val="20"/>
                <w:szCs w:val="20"/>
                <w:lang w:val="en-CA"/>
              </w:rPr>
            </w:pPr>
            <w:r>
              <w:rPr>
                <w:rFonts w:ascii="Calibri" w:eastAsia="Times New Roman" w:hAnsi="Calibri" w:cs="Times New Roman"/>
                <w:color w:val="000000"/>
                <w:sz w:val="20"/>
                <w:szCs w:val="20"/>
                <w:lang w:val="en-CA"/>
              </w:rPr>
              <w:t xml:space="preserve">Medically-attended </w:t>
            </w:r>
            <w:r w:rsidR="006E3776" w:rsidRPr="006E3776">
              <w:rPr>
                <w:rFonts w:ascii="Calibri" w:eastAsia="Times New Roman" w:hAnsi="Calibri" w:cs="Times New Roman"/>
                <w:color w:val="000000"/>
                <w:sz w:val="20"/>
                <w:szCs w:val="20"/>
                <w:lang w:val="en-CA"/>
              </w:rPr>
              <w:t>ARI (I</w:t>
            </w:r>
            <w:r>
              <w:rPr>
                <w:rFonts w:ascii="Calibri" w:eastAsia="Times New Roman" w:hAnsi="Calibri" w:cs="Times New Roman"/>
                <w:color w:val="000000"/>
                <w:sz w:val="20"/>
                <w:szCs w:val="20"/>
                <w:lang w:val="en-CA"/>
              </w:rPr>
              <w:t>nternational Classification of Disease</w:t>
            </w:r>
            <w:r w:rsidR="006E3776" w:rsidRPr="006E3776">
              <w:rPr>
                <w:rFonts w:ascii="Calibri" w:eastAsia="Times New Roman" w:hAnsi="Calibri" w:cs="Times New Roman"/>
                <w:color w:val="000000"/>
                <w:sz w:val="20"/>
                <w:szCs w:val="20"/>
                <w:lang w:val="en-CA"/>
              </w:rPr>
              <w:t>- codes 460-466, 480-488)</w:t>
            </w:r>
          </w:p>
        </w:tc>
        <w:tc>
          <w:tcPr>
            <w:tcW w:w="1287" w:type="pct"/>
            <w:tcBorders>
              <w:top w:val="nil"/>
              <w:left w:val="nil"/>
              <w:bottom w:val="nil"/>
              <w:right w:val="nil"/>
            </w:tcBorders>
            <w:shd w:val="clear" w:color="auto" w:fill="auto"/>
            <w:hideMark/>
          </w:tcPr>
          <w:p w14:paraId="0234AFD7" w14:textId="045F25ED"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race, ethnicity (Hispanic), and high risk medical condition, site, season, trimester, illness medically attended, days between illness onset and swab</w:t>
            </w:r>
          </w:p>
        </w:tc>
      </w:tr>
      <w:tr w:rsidR="006E3776" w:rsidRPr="006E3776" w14:paraId="7F52CDCC" w14:textId="77777777" w:rsidTr="00467772">
        <w:trPr>
          <w:trHeight w:val="840"/>
        </w:trPr>
        <w:tc>
          <w:tcPr>
            <w:tcW w:w="909" w:type="pct"/>
            <w:tcBorders>
              <w:top w:val="nil"/>
              <w:left w:val="nil"/>
              <w:bottom w:val="nil"/>
              <w:right w:val="nil"/>
            </w:tcBorders>
            <w:shd w:val="clear" w:color="auto" w:fill="auto"/>
            <w:noWrap/>
            <w:hideMark/>
          </w:tcPr>
          <w:p w14:paraId="5617F51D"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lastRenderedPageBreak/>
              <w:t>Skowronski et al., 2014b</w:t>
            </w:r>
          </w:p>
        </w:tc>
        <w:tc>
          <w:tcPr>
            <w:tcW w:w="1243" w:type="pct"/>
            <w:tcBorders>
              <w:top w:val="nil"/>
              <w:left w:val="nil"/>
              <w:bottom w:val="nil"/>
              <w:right w:val="nil"/>
            </w:tcBorders>
            <w:shd w:val="clear" w:color="auto" w:fill="auto"/>
            <w:hideMark/>
          </w:tcPr>
          <w:p w14:paraId="70233FBC"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Sentinel outpatient clinics patients with ILI</w:t>
            </w:r>
          </w:p>
        </w:tc>
        <w:tc>
          <w:tcPr>
            <w:tcW w:w="1561" w:type="pct"/>
            <w:tcBorders>
              <w:top w:val="nil"/>
              <w:left w:val="nil"/>
              <w:bottom w:val="nil"/>
              <w:right w:val="nil"/>
            </w:tcBorders>
            <w:shd w:val="clear" w:color="auto" w:fill="auto"/>
            <w:hideMark/>
          </w:tcPr>
          <w:p w14:paraId="13510636"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Acute onset of fever and cough and ≥1 of sore throat, arthralgia, myalgia or prostration; for 2011-12, fever was not required in the elderly ≥65 years old</w:t>
            </w:r>
          </w:p>
        </w:tc>
        <w:tc>
          <w:tcPr>
            <w:tcW w:w="1287" w:type="pct"/>
            <w:tcBorders>
              <w:top w:val="nil"/>
              <w:left w:val="nil"/>
              <w:bottom w:val="nil"/>
              <w:right w:val="nil"/>
            </w:tcBorders>
            <w:shd w:val="clear" w:color="auto" w:fill="auto"/>
            <w:hideMark/>
          </w:tcPr>
          <w:p w14:paraId="26680349" w14:textId="6CA4D7C3"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comorbidity, province, interval, and week</w:t>
            </w:r>
          </w:p>
        </w:tc>
      </w:tr>
      <w:tr w:rsidR="006E3776" w:rsidRPr="006E3776" w14:paraId="56284F2F" w14:textId="77777777" w:rsidTr="00467772">
        <w:trPr>
          <w:trHeight w:val="721"/>
        </w:trPr>
        <w:tc>
          <w:tcPr>
            <w:tcW w:w="909" w:type="pct"/>
            <w:tcBorders>
              <w:top w:val="nil"/>
              <w:left w:val="nil"/>
              <w:bottom w:val="nil"/>
              <w:right w:val="nil"/>
            </w:tcBorders>
            <w:shd w:val="clear" w:color="auto" w:fill="auto"/>
            <w:noWrap/>
            <w:hideMark/>
          </w:tcPr>
          <w:p w14:paraId="26AE19DA"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Rondy et al., 2015</w:t>
            </w:r>
          </w:p>
        </w:tc>
        <w:tc>
          <w:tcPr>
            <w:tcW w:w="1243" w:type="pct"/>
            <w:tcBorders>
              <w:top w:val="nil"/>
              <w:left w:val="nil"/>
              <w:bottom w:val="nil"/>
              <w:right w:val="nil"/>
            </w:tcBorders>
            <w:shd w:val="clear" w:color="auto" w:fill="auto"/>
            <w:hideMark/>
          </w:tcPr>
          <w:p w14:paraId="002274B9"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Hospital patients admitted with ILI</w:t>
            </w:r>
          </w:p>
        </w:tc>
        <w:tc>
          <w:tcPr>
            <w:tcW w:w="1561" w:type="pct"/>
            <w:tcBorders>
              <w:top w:val="nil"/>
              <w:left w:val="nil"/>
              <w:bottom w:val="nil"/>
              <w:right w:val="nil"/>
            </w:tcBorders>
            <w:shd w:val="clear" w:color="auto" w:fill="auto"/>
            <w:hideMark/>
          </w:tcPr>
          <w:p w14:paraId="44E49D58" w14:textId="79AFFD0F" w:rsidR="006E3776" w:rsidRPr="006E3776" w:rsidRDefault="00DD4BA9" w:rsidP="006E3776">
            <w:pPr>
              <w:jc w:val="center"/>
              <w:rPr>
                <w:rFonts w:ascii="Calibri" w:eastAsia="Times New Roman" w:hAnsi="Calibri" w:cs="Times New Roman"/>
                <w:color w:val="000000"/>
                <w:sz w:val="20"/>
                <w:szCs w:val="20"/>
                <w:lang w:val="en-CA"/>
              </w:rPr>
            </w:pPr>
            <w:r>
              <w:rPr>
                <w:rFonts w:ascii="Calibri" w:eastAsia="Times New Roman" w:hAnsi="Calibri" w:cs="Times New Roman"/>
                <w:color w:val="000000"/>
                <w:sz w:val="20"/>
                <w:szCs w:val="20"/>
                <w:lang w:val="en-CA"/>
              </w:rPr>
              <w:t xml:space="preserve">ILI </w:t>
            </w:r>
            <w:r w:rsidR="006E3776" w:rsidRPr="006E3776">
              <w:rPr>
                <w:rFonts w:ascii="Calibri" w:eastAsia="Times New Roman" w:hAnsi="Calibri" w:cs="Times New Roman"/>
                <w:color w:val="000000"/>
                <w:sz w:val="20"/>
                <w:szCs w:val="20"/>
                <w:lang w:val="en-CA"/>
              </w:rPr>
              <w:t>symptoms (one systemic, one respiratory symptom) within the past seven days</w:t>
            </w:r>
          </w:p>
        </w:tc>
        <w:tc>
          <w:tcPr>
            <w:tcW w:w="1287" w:type="pct"/>
            <w:tcBorders>
              <w:top w:val="nil"/>
              <w:left w:val="nil"/>
              <w:bottom w:val="nil"/>
              <w:right w:val="nil"/>
            </w:tcBorders>
            <w:shd w:val="clear" w:color="auto" w:fill="auto"/>
            <w:hideMark/>
          </w:tcPr>
          <w:p w14:paraId="11752565" w14:textId="22B8ED26"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Study site, month of symptom onset, age, and comorbidities</w:t>
            </w:r>
          </w:p>
        </w:tc>
      </w:tr>
      <w:tr w:rsidR="006E3776" w:rsidRPr="006E3776" w14:paraId="41E162CD" w14:textId="77777777" w:rsidTr="00467772">
        <w:trPr>
          <w:trHeight w:val="840"/>
        </w:trPr>
        <w:tc>
          <w:tcPr>
            <w:tcW w:w="909" w:type="pct"/>
            <w:tcBorders>
              <w:top w:val="nil"/>
              <w:left w:val="nil"/>
              <w:bottom w:val="nil"/>
              <w:right w:val="nil"/>
            </w:tcBorders>
            <w:shd w:val="clear" w:color="auto" w:fill="auto"/>
            <w:noWrap/>
            <w:hideMark/>
          </w:tcPr>
          <w:p w14:paraId="6372A074"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Skowronski et al., 2014a</w:t>
            </w:r>
          </w:p>
        </w:tc>
        <w:tc>
          <w:tcPr>
            <w:tcW w:w="1243" w:type="pct"/>
            <w:tcBorders>
              <w:top w:val="nil"/>
              <w:left w:val="nil"/>
              <w:bottom w:val="nil"/>
              <w:right w:val="nil"/>
            </w:tcBorders>
            <w:shd w:val="clear" w:color="auto" w:fill="auto"/>
            <w:hideMark/>
          </w:tcPr>
          <w:p w14:paraId="3F826EF0"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Sentinel outpatient clinics patients with ILI</w:t>
            </w:r>
          </w:p>
        </w:tc>
        <w:tc>
          <w:tcPr>
            <w:tcW w:w="1561" w:type="pct"/>
            <w:tcBorders>
              <w:top w:val="nil"/>
              <w:left w:val="nil"/>
              <w:bottom w:val="nil"/>
              <w:right w:val="nil"/>
            </w:tcBorders>
            <w:shd w:val="clear" w:color="auto" w:fill="auto"/>
            <w:hideMark/>
          </w:tcPr>
          <w:p w14:paraId="09E6BD24"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Acute onset of fever and cough and ≥1 of sore throat, arthralgia, myalgia or prostration; Fever is not required for elderly patients ≥65 years old</w:t>
            </w:r>
          </w:p>
        </w:tc>
        <w:tc>
          <w:tcPr>
            <w:tcW w:w="1287" w:type="pct"/>
            <w:tcBorders>
              <w:top w:val="nil"/>
              <w:left w:val="nil"/>
              <w:bottom w:val="nil"/>
              <w:right w:val="nil"/>
            </w:tcBorders>
            <w:shd w:val="clear" w:color="auto" w:fill="auto"/>
            <w:hideMark/>
          </w:tcPr>
          <w:p w14:paraId="73F2BA48" w14:textId="4A1D3440"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comorbidity, province, interval, week</w:t>
            </w:r>
          </w:p>
        </w:tc>
      </w:tr>
      <w:tr w:rsidR="006E3776" w:rsidRPr="006E3776" w14:paraId="56555780" w14:textId="77777777" w:rsidTr="00467772">
        <w:trPr>
          <w:trHeight w:val="840"/>
        </w:trPr>
        <w:tc>
          <w:tcPr>
            <w:tcW w:w="909" w:type="pct"/>
            <w:tcBorders>
              <w:top w:val="nil"/>
              <w:left w:val="nil"/>
              <w:bottom w:val="nil"/>
              <w:right w:val="nil"/>
            </w:tcBorders>
            <w:shd w:val="clear" w:color="auto" w:fill="auto"/>
            <w:noWrap/>
            <w:hideMark/>
          </w:tcPr>
          <w:p w14:paraId="7E983C0B"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Valenciano et al., 2016</w:t>
            </w:r>
          </w:p>
        </w:tc>
        <w:tc>
          <w:tcPr>
            <w:tcW w:w="1243" w:type="pct"/>
            <w:tcBorders>
              <w:top w:val="nil"/>
              <w:left w:val="nil"/>
              <w:bottom w:val="nil"/>
              <w:right w:val="nil"/>
            </w:tcBorders>
            <w:shd w:val="clear" w:color="auto" w:fill="auto"/>
            <w:hideMark/>
          </w:tcPr>
          <w:p w14:paraId="31446F94"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Patients presenting with ILI</w:t>
            </w:r>
          </w:p>
        </w:tc>
        <w:tc>
          <w:tcPr>
            <w:tcW w:w="1561" w:type="pct"/>
            <w:tcBorders>
              <w:top w:val="nil"/>
              <w:left w:val="nil"/>
              <w:bottom w:val="nil"/>
              <w:right w:val="nil"/>
            </w:tcBorders>
            <w:shd w:val="clear" w:color="auto" w:fill="auto"/>
            <w:hideMark/>
          </w:tcPr>
          <w:p w14:paraId="297944BA"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Included patients who presented more than 14 days after the start of the national vaccination campaign and who met European Union influenza-like illness case definition</w:t>
            </w:r>
          </w:p>
        </w:tc>
        <w:tc>
          <w:tcPr>
            <w:tcW w:w="1287" w:type="pct"/>
            <w:tcBorders>
              <w:top w:val="nil"/>
              <w:left w:val="nil"/>
              <w:bottom w:val="nil"/>
              <w:right w:val="nil"/>
            </w:tcBorders>
            <w:shd w:val="clear" w:color="auto" w:fill="auto"/>
            <w:hideMark/>
          </w:tcPr>
          <w:p w14:paraId="2C4E63BF" w14:textId="51A2D84C"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(restricted cubic spline or age group), onset date (restricted cubic spline), sex, chronic condition, and study site</w:t>
            </w:r>
          </w:p>
        </w:tc>
      </w:tr>
      <w:tr w:rsidR="006E3776" w:rsidRPr="006E3776" w14:paraId="36793393" w14:textId="77777777" w:rsidTr="00467772">
        <w:trPr>
          <w:trHeight w:val="280"/>
        </w:trPr>
        <w:tc>
          <w:tcPr>
            <w:tcW w:w="909" w:type="pct"/>
            <w:tcBorders>
              <w:top w:val="nil"/>
              <w:left w:val="nil"/>
              <w:bottom w:val="nil"/>
              <w:right w:val="nil"/>
            </w:tcBorders>
            <w:shd w:val="clear" w:color="auto" w:fill="auto"/>
            <w:noWrap/>
            <w:hideMark/>
          </w:tcPr>
          <w:p w14:paraId="230A9D6C"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Pebody et al., 2013</w:t>
            </w:r>
          </w:p>
        </w:tc>
        <w:tc>
          <w:tcPr>
            <w:tcW w:w="1243" w:type="pct"/>
            <w:tcBorders>
              <w:top w:val="nil"/>
              <w:left w:val="nil"/>
              <w:bottom w:val="nil"/>
              <w:right w:val="nil"/>
            </w:tcBorders>
            <w:shd w:val="clear" w:color="auto" w:fill="auto"/>
            <w:hideMark/>
          </w:tcPr>
          <w:p w14:paraId="6945FC7E"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Primary care patients with ILI</w:t>
            </w:r>
          </w:p>
        </w:tc>
        <w:tc>
          <w:tcPr>
            <w:tcW w:w="1561" w:type="pct"/>
            <w:tcBorders>
              <w:top w:val="nil"/>
              <w:left w:val="nil"/>
              <w:bottom w:val="nil"/>
              <w:right w:val="nil"/>
            </w:tcBorders>
            <w:shd w:val="clear" w:color="auto" w:fill="auto"/>
            <w:hideMark/>
          </w:tcPr>
          <w:p w14:paraId="3CF459D2" w14:textId="6F8C1A90" w:rsidR="006E3776" w:rsidRPr="006E3776" w:rsidRDefault="00037809" w:rsidP="006E3776">
            <w:pPr>
              <w:jc w:val="center"/>
              <w:rPr>
                <w:rFonts w:ascii="Calibri" w:eastAsia="Times New Roman" w:hAnsi="Calibri" w:cs="Times New Roman"/>
                <w:color w:val="000000"/>
                <w:sz w:val="20"/>
                <w:szCs w:val="20"/>
                <w:lang w:val="en-CA"/>
              </w:rPr>
            </w:pPr>
            <w:r>
              <w:rPr>
                <w:rFonts w:ascii="Calibri" w:eastAsia="Times New Roman" w:hAnsi="Calibri" w:cs="Times New Roman"/>
                <w:color w:val="000000"/>
                <w:sz w:val="20"/>
                <w:szCs w:val="20"/>
                <w:lang w:val="en-CA"/>
              </w:rPr>
              <w:t xml:space="preserve">ARI </w:t>
            </w:r>
            <w:r w:rsidR="006E3776" w:rsidRPr="006E3776">
              <w:rPr>
                <w:rFonts w:ascii="Calibri" w:eastAsia="Times New Roman" w:hAnsi="Calibri" w:cs="Times New Roman"/>
                <w:color w:val="000000"/>
                <w:sz w:val="20"/>
                <w:szCs w:val="20"/>
                <w:lang w:val="en-CA"/>
              </w:rPr>
              <w:t>with fever or complaint of feverishness</w:t>
            </w:r>
          </w:p>
        </w:tc>
        <w:tc>
          <w:tcPr>
            <w:tcW w:w="1287" w:type="pct"/>
            <w:tcBorders>
              <w:top w:val="nil"/>
              <w:left w:val="nil"/>
              <w:bottom w:val="nil"/>
              <w:right w:val="nil"/>
            </w:tcBorders>
            <w:shd w:val="clear" w:color="auto" w:fill="auto"/>
            <w:hideMark/>
          </w:tcPr>
          <w:p w14:paraId="0526A449" w14:textId="06452ED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group, gender, time period, and surveillance scheme</w:t>
            </w:r>
          </w:p>
        </w:tc>
      </w:tr>
      <w:tr w:rsidR="006E3776" w:rsidRPr="006E3776" w14:paraId="6F77848B" w14:textId="77777777" w:rsidTr="00467772">
        <w:trPr>
          <w:trHeight w:val="840"/>
        </w:trPr>
        <w:tc>
          <w:tcPr>
            <w:tcW w:w="909" w:type="pct"/>
            <w:tcBorders>
              <w:top w:val="nil"/>
              <w:left w:val="nil"/>
              <w:bottom w:val="nil"/>
              <w:right w:val="nil"/>
            </w:tcBorders>
            <w:shd w:val="clear" w:color="auto" w:fill="auto"/>
            <w:noWrap/>
            <w:hideMark/>
          </w:tcPr>
          <w:p w14:paraId="62BC6AF0"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Skowronski et al., 2015</w:t>
            </w:r>
          </w:p>
        </w:tc>
        <w:tc>
          <w:tcPr>
            <w:tcW w:w="1243" w:type="pct"/>
            <w:tcBorders>
              <w:top w:val="nil"/>
              <w:left w:val="nil"/>
              <w:bottom w:val="nil"/>
              <w:right w:val="nil"/>
            </w:tcBorders>
            <w:shd w:val="clear" w:color="auto" w:fill="auto"/>
            <w:hideMark/>
          </w:tcPr>
          <w:p w14:paraId="715F5F89"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Outpatient patients with ILI</w:t>
            </w:r>
          </w:p>
        </w:tc>
        <w:tc>
          <w:tcPr>
            <w:tcW w:w="1561" w:type="pct"/>
            <w:tcBorders>
              <w:top w:val="nil"/>
              <w:left w:val="nil"/>
              <w:bottom w:val="nil"/>
              <w:right w:val="nil"/>
            </w:tcBorders>
            <w:shd w:val="clear" w:color="auto" w:fill="auto"/>
            <w:hideMark/>
          </w:tcPr>
          <w:p w14:paraId="72E10F9D"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Acute onset of fever and cough and ≥1 of sore throat, arthralgia, myalgia or prostration; Fever is not required for elderly patients ≥65 years old</w:t>
            </w:r>
          </w:p>
        </w:tc>
        <w:tc>
          <w:tcPr>
            <w:tcW w:w="1287" w:type="pct"/>
            <w:tcBorders>
              <w:top w:val="nil"/>
              <w:left w:val="nil"/>
              <w:bottom w:val="nil"/>
              <w:right w:val="nil"/>
            </w:tcBorders>
            <w:shd w:val="clear" w:color="auto" w:fill="auto"/>
            <w:hideMark/>
          </w:tcPr>
          <w:p w14:paraId="3F20FC30" w14:textId="78698E1B"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group, comorbidity, province, specimen collection interval, and calendar-time</w:t>
            </w:r>
          </w:p>
        </w:tc>
      </w:tr>
      <w:tr w:rsidR="006E3776" w:rsidRPr="006E3776" w14:paraId="078FCF21" w14:textId="77777777" w:rsidTr="00467772">
        <w:trPr>
          <w:trHeight w:val="1101"/>
        </w:trPr>
        <w:tc>
          <w:tcPr>
            <w:tcW w:w="909" w:type="pct"/>
            <w:tcBorders>
              <w:top w:val="nil"/>
              <w:left w:val="nil"/>
              <w:bottom w:val="nil"/>
              <w:right w:val="nil"/>
            </w:tcBorders>
            <w:shd w:val="clear" w:color="auto" w:fill="auto"/>
            <w:noWrap/>
            <w:hideMark/>
          </w:tcPr>
          <w:p w14:paraId="5724B0CC"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McLean et al., 2014</w:t>
            </w:r>
          </w:p>
        </w:tc>
        <w:tc>
          <w:tcPr>
            <w:tcW w:w="1243" w:type="pct"/>
            <w:tcBorders>
              <w:top w:val="nil"/>
              <w:left w:val="nil"/>
              <w:bottom w:val="nil"/>
              <w:right w:val="nil"/>
            </w:tcBorders>
            <w:shd w:val="clear" w:color="auto" w:fill="auto"/>
            <w:hideMark/>
          </w:tcPr>
          <w:p w14:paraId="359F55F5" w14:textId="56478B42"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Eligible individuals actively recruited during a clinical encounter for ARI</w:t>
            </w:r>
          </w:p>
        </w:tc>
        <w:tc>
          <w:tcPr>
            <w:tcW w:w="1561" w:type="pct"/>
            <w:tcBorders>
              <w:top w:val="nil"/>
              <w:left w:val="nil"/>
              <w:bottom w:val="nil"/>
              <w:right w:val="nil"/>
            </w:tcBorders>
            <w:shd w:val="clear" w:color="auto" w:fill="auto"/>
            <w:hideMark/>
          </w:tcPr>
          <w:p w14:paraId="3CB1554C"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ARI</w:t>
            </w:r>
          </w:p>
        </w:tc>
        <w:tc>
          <w:tcPr>
            <w:tcW w:w="1287" w:type="pct"/>
            <w:tcBorders>
              <w:top w:val="nil"/>
              <w:left w:val="nil"/>
              <w:bottom w:val="nil"/>
              <w:right w:val="nil"/>
            </w:tcBorders>
            <w:shd w:val="clear" w:color="auto" w:fill="auto"/>
            <w:hideMark/>
          </w:tcPr>
          <w:p w14:paraId="7A220E69" w14:textId="6197EC0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sex, high-risk conditions, season, interval (days) from onset to sample collection, and influenza diagnosis in previous seasons</w:t>
            </w:r>
          </w:p>
        </w:tc>
      </w:tr>
      <w:tr w:rsidR="006E3776" w:rsidRPr="006E3776" w14:paraId="644BD06C" w14:textId="77777777" w:rsidTr="00467772">
        <w:trPr>
          <w:trHeight w:val="705"/>
        </w:trPr>
        <w:tc>
          <w:tcPr>
            <w:tcW w:w="909" w:type="pct"/>
            <w:tcBorders>
              <w:top w:val="nil"/>
              <w:left w:val="nil"/>
              <w:bottom w:val="nil"/>
              <w:right w:val="nil"/>
            </w:tcBorders>
            <w:shd w:val="clear" w:color="auto" w:fill="auto"/>
            <w:noWrap/>
            <w:hideMark/>
          </w:tcPr>
          <w:p w14:paraId="3309D791"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McLean et al., 2015</w:t>
            </w:r>
          </w:p>
        </w:tc>
        <w:tc>
          <w:tcPr>
            <w:tcW w:w="1243" w:type="pct"/>
            <w:tcBorders>
              <w:top w:val="nil"/>
              <w:left w:val="nil"/>
              <w:bottom w:val="nil"/>
              <w:right w:val="nil"/>
            </w:tcBorders>
            <w:shd w:val="clear" w:color="auto" w:fill="auto"/>
            <w:hideMark/>
          </w:tcPr>
          <w:p w14:paraId="1B9FA075"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Outpatient patients with ARI</w:t>
            </w:r>
          </w:p>
        </w:tc>
        <w:tc>
          <w:tcPr>
            <w:tcW w:w="1561" w:type="pct"/>
            <w:tcBorders>
              <w:top w:val="nil"/>
              <w:left w:val="nil"/>
              <w:bottom w:val="nil"/>
              <w:right w:val="nil"/>
            </w:tcBorders>
            <w:shd w:val="clear" w:color="auto" w:fill="auto"/>
            <w:hideMark/>
          </w:tcPr>
          <w:p w14:paraId="55DB669E"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ARI with cough</w:t>
            </w:r>
          </w:p>
        </w:tc>
        <w:tc>
          <w:tcPr>
            <w:tcW w:w="1287" w:type="pct"/>
            <w:tcBorders>
              <w:top w:val="nil"/>
              <w:left w:val="nil"/>
              <w:bottom w:val="nil"/>
              <w:right w:val="nil"/>
            </w:tcBorders>
            <w:shd w:val="clear" w:color="auto" w:fill="auto"/>
            <w:hideMark/>
          </w:tcPr>
          <w:p w14:paraId="5CFCAB7D" w14:textId="0C933EA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Network site, subject age, presence of high-risk conditions, calendar time</w:t>
            </w:r>
          </w:p>
        </w:tc>
      </w:tr>
      <w:tr w:rsidR="006E3776" w:rsidRPr="006E3776" w14:paraId="69831913" w14:textId="77777777" w:rsidTr="00467772">
        <w:trPr>
          <w:trHeight w:val="1552"/>
        </w:trPr>
        <w:tc>
          <w:tcPr>
            <w:tcW w:w="909" w:type="pct"/>
            <w:tcBorders>
              <w:top w:val="nil"/>
              <w:left w:val="nil"/>
              <w:bottom w:val="nil"/>
              <w:right w:val="nil"/>
            </w:tcBorders>
            <w:shd w:val="clear" w:color="auto" w:fill="auto"/>
            <w:noWrap/>
            <w:hideMark/>
          </w:tcPr>
          <w:p w14:paraId="4B879C4C"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Thompson et al., 2016</w:t>
            </w:r>
          </w:p>
        </w:tc>
        <w:tc>
          <w:tcPr>
            <w:tcW w:w="1243" w:type="pct"/>
            <w:tcBorders>
              <w:top w:val="nil"/>
              <w:left w:val="nil"/>
              <w:bottom w:val="nil"/>
              <w:right w:val="nil"/>
            </w:tcBorders>
            <w:shd w:val="clear" w:color="auto" w:fill="auto"/>
            <w:hideMark/>
          </w:tcPr>
          <w:p w14:paraId="2C83DA04"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Outpatient patients with ARI</w:t>
            </w:r>
          </w:p>
        </w:tc>
        <w:tc>
          <w:tcPr>
            <w:tcW w:w="1561" w:type="pct"/>
            <w:tcBorders>
              <w:top w:val="nil"/>
              <w:left w:val="nil"/>
              <w:bottom w:val="nil"/>
              <w:right w:val="nil"/>
            </w:tcBorders>
            <w:shd w:val="clear" w:color="auto" w:fill="auto"/>
            <w:hideMark/>
          </w:tcPr>
          <w:p w14:paraId="594F8D17" w14:textId="6CE3F8BA" w:rsidR="006E3776" w:rsidRPr="006E3776" w:rsidRDefault="00037809" w:rsidP="006E3776">
            <w:pPr>
              <w:jc w:val="center"/>
              <w:rPr>
                <w:rFonts w:ascii="Calibri" w:eastAsia="Times New Roman" w:hAnsi="Calibri" w:cs="Times New Roman"/>
                <w:color w:val="000000"/>
                <w:sz w:val="20"/>
                <w:szCs w:val="20"/>
                <w:lang w:val="en-CA"/>
              </w:rPr>
            </w:pPr>
            <w:r>
              <w:rPr>
                <w:rFonts w:ascii="Calibri" w:eastAsia="Times New Roman" w:hAnsi="Calibri" w:cs="Times New Roman"/>
                <w:color w:val="000000"/>
                <w:sz w:val="20"/>
                <w:szCs w:val="20"/>
                <w:lang w:val="en-CA"/>
              </w:rPr>
              <w:t>ARI</w:t>
            </w:r>
            <w:r w:rsidR="006E3776" w:rsidRPr="006E3776">
              <w:rPr>
                <w:rFonts w:ascii="Calibri" w:eastAsia="Times New Roman" w:hAnsi="Calibri" w:cs="Times New Roman"/>
                <w:color w:val="000000"/>
                <w:sz w:val="20"/>
                <w:szCs w:val="20"/>
                <w:lang w:val="en-CA"/>
              </w:rPr>
              <w:t xml:space="preserve"> (onset ≥7 days) with cough</w:t>
            </w:r>
          </w:p>
        </w:tc>
        <w:tc>
          <w:tcPr>
            <w:tcW w:w="1287" w:type="pct"/>
            <w:tcBorders>
              <w:top w:val="nil"/>
              <w:left w:val="nil"/>
              <w:bottom w:val="nil"/>
              <w:right w:val="nil"/>
            </w:tcBorders>
            <w:shd w:val="clear" w:color="auto" w:fill="auto"/>
            <w:hideMark/>
          </w:tcPr>
          <w:p w14:paraId="5BE489B0" w14:textId="00C9DF80" w:rsidR="006E3776" w:rsidRPr="006E3776" w:rsidRDefault="006E3776" w:rsidP="00BA437F">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Study site, month of enrolment, age (in months), high-risk status, race/ethnicity and days from illness onset to enrolment. H3N2 model also included variable for season and an interaction term for season by month</w:t>
            </w:r>
          </w:p>
        </w:tc>
      </w:tr>
      <w:tr w:rsidR="006E3776" w:rsidRPr="006E3776" w14:paraId="3533B366" w14:textId="77777777" w:rsidTr="00467772">
        <w:trPr>
          <w:trHeight w:val="993"/>
        </w:trPr>
        <w:tc>
          <w:tcPr>
            <w:tcW w:w="909" w:type="pct"/>
            <w:tcBorders>
              <w:top w:val="nil"/>
              <w:left w:val="nil"/>
              <w:bottom w:val="nil"/>
              <w:right w:val="nil"/>
            </w:tcBorders>
            <w:shd w:val="clear" w:color="auto" w:fill="auto"/>
            <w:noWrap/>
            <w:hideMark/>
          </w:tcPr>
          <w:p w14:paraId="6565DC92"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Skowronski et al., 2016</w:t>
            </w:r>
          </w:p>
        </w:tc>
        <w:tc>
          <w:tcPr>
            <w:tcW w:w="1243" w:type="pct"/>
            <w:tcBorders>
              <w:top w:val="nil"/>
              <w:left w:val="nil"/>
              <w:bottom w:val="nil"/>
              <w:right w:val="nil"/>
            </w:tcBorders>
            <w:shd w:val="clear" w:color="auto" w:fill="auto"/>
            <w:hideMark/>
          </w:tcPr>
          <w:p w14:paraId="0FCBB1BF"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Sentinel outpatient clinics patients with ILI</w:t>
            </w:r>
          </w:p>
        </w:tc>
        <w:tc>
          <w:tcPr>
            <w:tcW w:w="1561" w:type="pct"/>
            <w:tcBorders>
              <w:top w:val="nil"/>
              <w:left w:val="nil"/>
              <w:bottom w:val="nil"/>
              <w:right w:val="nil"/>
            </w:tcBorders>
            <w:shd w:val="clear" w:color="auto" w:fill="auto"/>
            <w:hideMark/>
          </w:tcPr>
          <w:p w14:paraId="146EA4A9"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Acute onset of fever and cough and ≥1 of sore throat, arthralgia, myalgia or prostration; Fever is not required for elderly patients ≥65 years old</w:t>
            </w:r>
          </w:p>
        </w:tc>
        <w:tc>
          <w:tcPr>
            <w:tcW w:w="1287" w:type="pct"/>
            <w:tcBorders>
              <w:top w:val="nil"/>
              <w:left w:val="nil"/>
              <w:bottom w:val="nil"/>
              <w:right w:val="nil"/>
            </w:tcBorders>
            <w:shd w:val="clear" w:color="auto" w:fill="auto"/>
            <w:hideMark/>
          </w:tcPr>
          <w:p w14:paraId="73AFAAAD" w14:textId="5D8B32DE"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group, sex, comorbidity, province, specimen collection interval and calendar-time</w:t>
            </w:r>
          </w:p>
        </w:tc>
      </w:tr>
      <w:tr w:rsidR="006E3776" w:rsidRPr="006E3776" w14:paraId="48648FFB" w14:textId="77777777" w:rsidTr="00467772">
        <w:trPr>
          <w:trHeight w:val="709"/>
        </w:trPr>
        <w:tc>
          <w:tcPr>
            <w:tcW w:w="909" w:type="pct"/>
            <w:tcBorders>
              <w:top w:val="nil"/>
              <w:left w:val="nil"/>
              <w:bottom w:val="nil"/>
              <w:right w:val="nil"/>
            </w:tcBorders>
            <w:shd w:val="clear" w:color="auto" w:fill="auto"/>
            <w:noWrap/>
            <w:hideMark/>
          </w:tcPr>
          <w:p w14:paraId="1B760FF9" w14:textId="0F7EB00D"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lastRenderedPageBreak/>
              <w:t>Simpson et al., 2015</w:t>
            </w:r>
          </w:p>
        </w:tc>
        <w:tc>
          <w:tcPr>
            <w:tcW w:w="1243" w:type="pct"/>
            <w:tcBorders>
              <w:top w:val="nil"/>
              <w:left w:val="nil"/>
              <w:bottom w:val="nil"/>
              <w:right w:val="nil"/>
            </w:tcBorders>
            <w:shd w:val="clear" w:color="auto" w:fill="auto"/>
            <w:hideMark/>
          </w:tcPr>
          <w:p w14:paraId="1B4F749D" w14:textId="6014AD1F"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Patient-level data linked to virology dataset to identify confirmed influenza</w:t>
            </w:r>
          </w:p>
        </w:tc>
        <w:tc>
          <w:tcPr>
            <w:tcW w:w="1561" w:type="pct"/>
            <w:tcBorders>
              <w:top w:val="nil"/>
              <w:left w:val="nil"/>
              <w:bottom w:val="nil"/>
              <w:right w:val="nil"/>
            </w:tcBorders>
            <w:shd w:val="clear" w:color="auto" w:fill="auto"/>
            <w:hideMark/>
          </w:tcPr>
          <w:p w14:paraId="52396481" w14:textId="5B8FE294" w:rsidR="006E3776" w:rsidRPr="006E3776" w:rsidRDefault="00DD4BA9" w:rsidP="006E3776">
            <w:pPr>
              <w:jc w:val="center"/>
              <w:rPr>
                <w:rFonts w:ascii="Calibri" w:eastAsia="Times New Roman" w:hAnsi="Calibri" w:cs="Times New Roman"/>
                <w:color w:val="000000"/>
                <w:sz w:val="20"/>
                <w:szCs w:val="20"/>
                <w:lang w:val="en-CA"/>
              </w:rPr>
            </w:pPr>
            <w:r>
              <w:rPr>
                <w:rFonts w:ascii="Calibri" w:eastAsia="Times New Roman" w:hAnsi="Calibri" w:cs="Times New Roman"/>
                <w:color w:val="000000"/>
                <w:sz w:val="20"/>
                <w:szCs w:val="20"/>
                <w:lang w:val="en-CA"/>
              </w:rPr>
              <w:t>Not available</w:t>
            </w:r>
          </w:p>
        </w:tc>
        <w:tc>
          <w:tcPr>
            <w:tcW w:w="1287" w:type="pct"/>
            <w:tcBorders>
              <w:top w:val="nil"/>
              <w:left w:val="nil"/>
              <w:bottom w:val="nil"/>
              <w:right w:val="nil"/>
            </w:tcBorders>
            <w:shd w:val="clear" w:color="auto" w:fill="auto"/>
            <w:hideMark/>
          </w:tcPr>
          <w:p w14:paraId="7ED18EE9"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Not clearly reported</w:t>
            </w:r>
          </w:p>
        </w:tc>
      </w:tr>
      <w:tr w:rsidR="006E3776" w:rsidRPr="006E3776" w14:paraId="04D63C60" w14:textId="77777777" w:rsidTr="00467772">
        <w:trPr>
          <w:trHeight w:val="1120"/>
        </w:trPr>
        <w:tc>
          <w:tcPr>
            <w:tcW w:w="909" w:type="pct"/>
            <w:tcBorders>
              <w:top w:val="nil"/>
              <w:left w:val="nil"/>
              <w:bottom w:val="nil"/>
              <w:right w:val="nil"/>
            </w:tcBorders>
            <w:shd w:val="clear" w:color="auto" w:fill="auto"/>
            <w:noWrap/>
            <w:hideMark/>
          </w:tcPr>
          <w:p w14:paraId="54F47C74"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Castilla et al., 2011</w:t>
            </w:r>
          </w:p>
        </w:tc>
        <w:tc>
          <w:tcPr>
            <w:tcW w:w="1243" w:type="pct"/>
            <w:tcBorders>
              <w:top w:val="nil"/>
              <w:left w:val="nil"/>
              <w:bottom w:val="nil"/>
              <w:right w:val="nil"/>
            </w:tcBorders>
            <w:shd w:val="clear" w:color="auto" w:fill="auto"/>
            <w:hideMark/>
          </w:tcPr>
          <w:p w14:paraId="42575A0A"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Hospitalized and outpatient patients with ILI or ARI, limited to patients with major chronic condition</w:t>
            </w:r>
          </w:p>
        </w:tc>
        <w:tc>
          <w:tcPr>
            <w:tcW w:w="1561" w:type="pct"/>
            <w:tcBorders>
              <w:top w:val="nil"/>
              <w:left w:val="nil"/>
              <w:bottom w:val="nil"/>
              <w:right w:val="nil"/>
            </w:tcBorders>
            <w:shd w:val="clear" w:color="auto" w:fill="auto"/>
            <w:hideMark/>
          </w:tcPr>
          <w:p w14:paraId="2C25FAB0"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Medically attended ILI</w:t>
            </w:r>
          </w:p>
        </w:tc>
        <w:tc>
          <w:tcPr>
            <w:tcW w:w="1287" w:type="pct"/>
            <w:tcBorders>
              <w:top w:val="nil"/>
              <w:left w:val="nil"/>
              <w:bottom w:val="nil"/>
              <w:right w:val="nil"/>
            </w:tcBorders>
            <w:shd w:val="clear" w:color="auto" w:fill="auto"/>
            <w:hideMark/>
          </w:tcPr>
          <w:p w14:paraId="480F0F99" w14:textId="151BCA36" w:rsidR="006E3776" w:rsidRPr="006E3776" w:rsidRDefault="006E3776" w:rsidP="00BA437F">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Sex, age</w:t>
            </w:r>
            <w:r w:rsidR="00BA437F">
              <w:rPr>
                <w:rFonts w:ascii="Calibri" w:eastAsia="Times New Roman" w:hAnsi="Calibri" w:cs="Times New Roman"/>
                <w:color w:val="000000"/>
                <w:sz w:val="20"/>
                <w:szCs w:val="20"/>
                <w:lang w:val="en-CA"/>
              </w:rPr>
              <w:t xml:space="preserve"> </w:t>
            </w:r>
            <w:r w:rsidRPr="006E3776">
              <w:rPr>
                <w:rFonts w:ascii="Calibri" w:eastAsia="Times New Roman" w:hAnsi="Calibri" w:cs="Times New Roman"/>
                <w:color w:val="000000"/>
                <w:sz w:val="20"/>
                <w:szCs w:val="20"/>
                <w:lang w:val="en-CA"/>
              </w:rPr>
              <w:t>(1-14</w:t>
            </w:r>
            <w:r w:rsidR="00BA437F">
              <w:rPr>
                <w:rFonts w:ascii="Calibri" w:eastAsia="Times New Roman" w:hAnsi="Calibri" w:cs="Times New Roman"/>
                <w:color w:val="000000"/>
                <w:sz w:val="20"/>
                <w:szCs w:val="20"/>
                <w:lang w:val="en-CA"/>
              </w:rPr>
              <w:t xml:space="preserve"> years</w:t>
            </w:r>
            <w:r w:rsidRPr="006E3776">
              <w:rPr>
                <w:rFonts w:ascii="Calibri" w:eastAsia="Times New Roman" w:hAnsi="Calibri" w:cs="Times New Roman"/>
                <w:color w:val="000000"/>
                <w:sz w:val="20"/>
                <w:szCs w:val="20"/>
                <w:lang w:val="en-CA"/>
              </w:rPr>
              <w:t>; 15-59</w:t>
            </w:r>
            <w:r w:rsidR="00BA437F">
              <w:rPr>
                <w:rFonts w:ascii="Calibri" w:eastAsia="Times New Roman" w:hAnsi="Calibri" w:cs="Times New Roman"/>
                <w:color w:val="000000"/>
                <w:sz w:val="20"/>
                <w:szCs w:val="20"/>
                <w:lang w:val="en-CA"/>
              </w:rPr>
              <w:t xml:space="preserve"> years</w:t>
            </w:r>
            <w:r w:rsidRPr="006E3776">
              <w:rPr>
                <w:rFonts w:ascii="Calibri" w:eastAsia="Times New Roman" w:hAnsi="Calibri" w:cs="Times New Roman"/>
                <w:color w:val="000000"/>
                <w:sz w:val="20"/>
                <w:szCs w:val="20"/>
                <w:lang w:val="en-CA"/>
              </w:rPr>
              <w:t xml:space="preserve">; 65 </w:t>
            </w:r>
            <w:r w:rsidR="00BA437F">
              <w:rPr>
                <w:rFonts w:ascii="Calibri" w:eastAsia="Times New Roman" w:hAnsi="Calibri" w:cs="Times New Roman"/>
                <w:color w:val="000000"/>
                <w:sz w:val="20"/>
                <w:szCs w:val="20"/>
                <w:lang w:val="en-CA"/>
              </w:rPr>
              <w:t xml:space="preserve">years </w:t>
            </w:r>
            <w:r w:rsidRPr="006E3776">
              <w:rPr>
                <w:rFonts w:ascii="Calibri" w:eastAsia="Times New Roman" w:hAnsi="Calibri" w:cs="Times New Roman"/>
                <w:color w:val="000000"/>
                <w:sz w:val="20"/>
                <w:szCs w:val="20"/>
                <w:lang w:val="en-CA"/>
              </w:rPr>
              <w:t xml:space="preserve">and older), children in the household, urban/rural residence, healthcare setting (primary </w:t>
            </w:r>
            <w:r w:rsidR="00DD4BA9">
              <w:rPr>
                <w:rFonts w:ascii="Calibri" w:eastAsia="Times New Roman" w:hAnsi="Calibri" w:cs="Times New Roman"/>
                <w:color w:val="000000"/>
                <w:sz w:val="20"/>
                <w:szCs w:val="20"/>
                <w:lang w:val="en-CA"/>
              </w:rPr>
              <w:t>health care</w:t>
            </w:r>
            <w:r w:rsidRPr="006E3776">
              <w:rPr>
                <w:rFonts w:ascii="Calibri" w:eastAsia="Times New Roman" w:hAnsi="Calibri" w:cs="Times New Roman"/>
                <w:color w:val="000000"/>
                <w:sz w:val="20"/>
                <w:szCs w:val="20"/>
                <w:lang w:val="en-CA"/>
              </w:rPr>
              <w:t xml:space="preserve">, </w:t>
            </w:r>
            <w:r w:rsidR="00DD4BA9">
              <w:rPr>
                <w:rFonts w:ascii="Calibri" w:eastAsia="Times New Roman" w:hAnsi="Calibri" w:cs="Times New Roman"/>
                <w:color w:val="000000"/>
                <w:sz w:val="20"/>
                <w:szCs w:val="20"/>
                <w:lang w:val="en-CA"/>
              </w:rPr>
              <w:t>emergency room</w:t>
            </w:r>
            <w:r w:rsidRPr="006E3776">
              <w:rPr>
                <w:rFonts w:ascii="Calibri" w:eastAsia="Times New Roman" w:hAnsi="Calibri" w:cs="Times New Roman"/>
                <w:color w:val="000000"/>
                <w:sz w:val="20"/>
                <w:szCs w:val="20"/>
                <w:lang w:val="en-CA"/>
              </w:rPr>
              <w:t>, hospitalization) and date (week 43-49 2010; week 50 2010 - week 1 2011; week 2-3 2011)</w:t>
            </w:r>
          </w:p>
        </w:tc>
      </w:tr>
      <w:tr w:rsidR="006E3776" w:rsidRPr="006E3776" w14:paraId="2662268F" w14:textId="77777777" w:rsidTr="00467772">
        <w:trPr>
          <w:trHeight w:val="1415"/>
        </w:trPr>
        <w:tc>
          <w:tcPr>
            <w:tcW w:w="909" w:type="pct"/>
            <w:tcBorders>
              <w:top w:val="nil"/>
              <w:left w:val="nil"/>
              <w:bottom w:val="nil"/>
              <w:right w:val="nil"/>
            </w:tcBorders>
            <w:shd w:val="clear" w:color="auto" w:fill="auto"/>
            <w:noWrap/>
            <w:hideMark/>
          </w:tcPr>
          <w:p w14:paraId="29D6CF8C"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Ohmit et al., 2014</w:t>
            </w:r>
          </w:p>
        </w:tc>
        <w:tc>
          <w:tcPr>
            <w:tcW w:w="1243" w:type="pct"/>
            <w:tcBorders>
              <w:top w:val="nil"/>
              <w:left w:val="nil"/>
              <w:bottom w:val="nil"/>
              <w:right w:val="nil"/>
            </w:tcBorders>
            <w:shd w:val="clear" w:color="auto" w:fill="auto"/>
            <w:hideMark/>
          </w:tcPr>
          <w:p w14:paraId="30E4E8D4"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Ambulatory and urgent care patients with ARI</w:t>
            </w:r>
          </w:p>
        </w:tc>
        <w:tc>
          <w:tcPr>
            <w:tcW w:w="1561" w:type="pct"/>
            <w:tcBorders>
              <w:top w:val="nil"/>
              <w:left w:val="nil"/>
              <w:bottom w:val="nil"/>
              <w:right w:val="nil"/>
            </w:tcBorders>
            <w:shd w:val="clear" w:color="auto" w:fill="auto"/>
            <w:hideMark/>
          </w:tcPr>
          <w:p w14:paraId="58C4E4FB" w14:textId="66293243" w:rsidR="006E3776" w:rsidRPr="006E3776" w:rsidRDefault="00DD4BA9" w:rsidP="006E3776">
            <w:pPr>
              <w:jc w:val="center"/>
              <w:rPr>
                <w:rFonts w:ascii="Calibri" w:eastAsia="Times New Roman" w:hAnsi="Calibri" w:cs="Times New Roman"/>
                <w:color w:val="000000"/>
                <w:sz w:val="20"/>
                <w:szCs w:val="20"/>
                <w:lang w:val="en-CA"/>
              </w:rPr>
            </w:pPr>
            <w:r>
              <w:rPr>
                <w:rFonts w:ascii="Calibri" w:eastAsia="Times New Roman" w:hAnsi="Calibri" w:cs="Times New Roman"/>
                <w:color w:val="000000"/>
                <w:sz w:val="20"/>
                <w:szCs w:val="20"/>
                <w:lang w:val="en-CA"/>
              </w:rPr>
              <w:t xml:space="preserve">ARI </w:t>
            </w:r>
            <w:r w:rsidR="006E3776" w:rsidRPr="006E3776">
              <w:rPr>
                <w:rFonts w:ascii="Calibri" w:eastAsia="Times New Roman" w:hAnsi="Calibri" w:cs="Times New Roman"/>
                <w:color w:val="000000"/>
                <w:sz w:val="20"/>
                <w:szCs w:val="20"/>
                <w:lang w:val="en-CA"/>
              </w:rPr>
              <w:t>with cough and or fever/feverishness of &lt;7 days duration</w:t>
            </w:r>
          </w:p>
        </w:tc>
        <w:tc>
          <w:tcPr>
            <w:tcW w:w="1287" w:type="pct"/>
            <w:tcBorders>
              <w:top w:val="nil"/>
              <w:left w:val="nil"/>
              <w:bottom w:val="nil"/>
              <w:right w:val="nil"/>
            </w:tcBorders>
            <w:shd w:val="clear" w:color="auto" w:fill="auto"/>
            <w:hideMark/>
          </w:tcPr>
          <w:p w14:paraId="14915477" w14:textId="557A1A77" w:rsidR="006E3776" w:rsidRPr="006E3776" w:rsidRDefault="00BA437F" w:rsidP="006E3776">
            <w:pPr>
              <w:jc w:val="center"/>
              <w:rPr>
                <w:rFonts w:ascii="Calibri" w:eastAsia="Times New Roman" w:hAnsi="Calibri" w:cs="Times New Roman"/>
                <w:color w:val="000000"/>
                <w:sz w:val="20"/>
                <w:szCs w:val="20"/>
                <w:lang w:val="en-CA"/>
              </w:rPr>
            </w:pPr>
            <w:r>
              <w:rPr>
                <w:rFonts w:ascii="Calibri" w:eastAsia="Times New Roman" w:hAnsi="Calibri" w:cs="Times New Roman"/>
                <w:color w:val="000000"/>
                <w:sz w:val="20"/>
                <w:szCs w:val="20"/>
                <w:lang w:val="en-CA"/>
              </w:rPr>
              <w:t>N</w:t>
            </w:r>
            <w:r w:rsidR="006E3776" w:rsidRPr="006E3776">
              <w:rPr>
                <w:rFonts w:ascii="Calibri" w:eastAsia="Times New Roman" w:hAnsi="Calibri" w:cs="Times New Roman"/>
                <w:color w:val="000000"/>
                <w:sz w:val="20"/>
                <w:szCs w:val="20"/>
                <w:lang w:val="en-CA"/>
              </w:rPr>
              <w:t>etwork centre, subject age in months, sex, race/ethnicity categories, presence of high-risk health conditions, self-rated health status, time (days) between illness onset and specimen collection, and calendar time</w:t>
            </w:r>
          </w:p>
        </w:tc>
      </w:tr>
      <w:tr w:rsidR="006E3776" w:rsidRPr="006E3776" w14:paraId="114FAF2B" w14:textId="77777777" w:rsidTr="00467772">
        <w:trPr>
          <w:trHeight w:val="1440"/>
        </w:trPr>
        <w:tc>
          <w:tcPr>
            <w:tcW w:w="909" w:type="pct"/>
            <w:tcBorders>
              <w:top w:val="nil"/>
              <w:left w:val="nil"/>
              <w:bottom w:val="nil"/>
              <w:right w:val="nil"/>
            </w:tcBorders>
            <w:shd w:val="clear" w:color="auto" w:fill="auto"/>
            <w:noWrap/>
            <w:hideMark/>
          </w:tcPr>
          <w:p w14:paraId="1E6E00D0"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Ohmit et al., 2015</w:t>
            </w:r>
          </w:p>
        </w:tc>
        <w:tc>
          <w:tcPr>
            <w:tcW w:w="1243" w:type="pct"/>
            <w:tcBorders>
              <w:top w:val="nil"/>
              <w:left w:val="nil"/>
              <w:bottom w:val="nil"/>
              <w:right w:val="nil"/>
            </w:tcBorders>
            <w:shd w:val="clear" w:color="auto" w:fill="auto"/>
            <w:hideMark/>
          </w:tcPr>
          <w:p w14:paraId="7D21DC43" w14:textId="41973A08"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Recruited households with at least 4 members (min</w:t>
            </w:r>
            <w:r w:rsidR="00BA437F">
              <w:rPr>
                <w:rFonts w:ascii="Calibri" w:eastAsia="Times New Roman" w:hAnsi="Calibri" w:cs="Times New Roman"/>
                <w:color w:val="000000"/>
                <w:sz w:val="20"/>
                <w:szCs w:val="20"/>
                <w:lang w:val="en-CA"/>
              </w:rPr>
              <w:t>imum</w:t>
            </w:r>
            <w:r w:rsidRPr="006E3776">
              <w:rPr>
                <w:rFonts w:ascii="Calibri" w:eastAsia="Times New Roman" w:hAnsi="Calibri" w:cs="Times New Roman"/>
                <w:color w:val="000000"/>
                <w:sz w:val="20"/>
                <w:szCs w:val="20"/>
                <w:lang w:val="en-CA"/>
              </w:rPr>
              <w:t xml:space="preserve"> 2 children)</w:t>
            </w:r>
          </w:p>
        </w:tc>
        <w:tc>
          <w:tcPr>
            <w:tcW w:w="1561" w:type="pct"/>
            <w:tcBorders>
              <w:top w:val="nil"/>
              <w:left w:val="nil"/>
              <w:bottom w:val="nil"/>
              <w:right w:val="nil"/>
            </w:tcBorders>
            <w:shd w:val="clear" w:color="auto" w:fill="auto"/>
            <w:hideMark/>
          </w:tcPr>
          <w:p w14:paraId="170BF918" w14:textId="4856372C" w:rsidR="006E3776" w:rsidRPr="006E3776" w:rsidRDefault="00DD4BA9" w:rsidP="006E3776">
            <w:pPr>
              <w:jc w:val="center"/>
              <w:rPr>
                <w:rFonts w:ascii="Calibri" w:eastAsia="Times New Roman" w:hAnsi="Calibri" w:cs="Times New Roman"/>
                <w:color w:val="000000"/>
                <w:sz w:val="20"/>
                <w:szCs w:val="20"/>
                <w:lang w:val="en-CA"/>
              </w:rPr>
            </w:pPr>
            <w:r>
              <w:rPr>
                <w:rFonts w:ascii="Calibri" w:eastAsia="Times New Roman" w:hAnsi="Calibri" w:cs="Times New Roman"/>
                <w:color w:val="000000"/>
                <w:sz w:val="20"/>
                <w:szCs w:val="20"/>
                <w:lang w:val="en-CA"/>
              </w:rPr>
              <w:t xml:space="preserve">ARI </w:t>
            </w:r>
            <w:r w:rsidR="006E3776" w:rsidRPr="006E3776">
              <w:rPr>
                <w:rFonts w:ascii="Calibri" w:eastAsia="Times New Roman" w:hAnsi="Calibri" w:cs="Times New Roman"/>
                <w:color w:val="000000"/>
                <w:sz w:val="20"/>
                <w:szCs w:val="20"/>
                <w:lang w:val="en-CA"/>
              </w:rPr>
              <w:t>in which two of the following symptoms were present: cough, fever or feverishness, nasal congestion, chills, headache, body aches, and/or sore throat</w:t>
            </w:r>
          </w:p>
        </w:tc>
        <w:tc>
          <w:tcPr>
            <w:tcW w:w="1287" w:type="pct"/>
            <w:tcBorders>
              <w:top w:val="nil"/>
              <w:left w:val="nil"/>
              <w:bottom w:val="nil"/>
              <w:right w:val="nil"/>
            </w:tcBorders>
            <w:shd w:val="clear" w:color="auto" w:fill="auto"/>
            <w:hideMark/>
          </w:tcPr>
          <w:p w14:paraId="415FBFD9" w14:textId="3A639A0B"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in months (natural cubic spline) and documentation (present or absent) of high-risk health status in the medical record</w:t>
            </w:r>
          </w:p>
        </w:tc>
      </w:tr>
      <w:tr w:rsidR="006E3776" w:rsidRPr="006E3776" w14:paraId="6AAA0359" w14:textId="77777777" w:rsidTr="00467772">
        <w:trPr>
          <w:trHeight w:val="817"/>
        </w:trPr>
        <w:tc>
          <w:tcPr>
            <w:tcW w:w="909" w:type="pct"/>
            <w:tcBorders>
              <w:top w:val="nil"/>
              <w:left w:val="nil"/>
              <w:bottom w:val="nil"/>
              <w:right w:val="nil"/>
            </w:tcBorders>
            <w:shd w:val="clear" w:color="auto" w:fill="auto"/>
            <w:noWrap/>
            <w:hideMark/>
          </w:tcPr>
          <w:p w14:paraId="38FFB51A"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Smithgall et al., 2016</w:t>
            </w:r>
          </w:p>
        </w:tc>
        <w:tc>
          <w:tcPr>
            <w:tcW w:w="1243" w:type="pct"/>
            <w:tcBorders>
              <w:top w:val="nil"/>
              <w:left w:val="nil"/>
              <w:bottom w:val="nil"/>
              <w:right w:val="nil"/>
            </w:tcBorders>
            <w:shd w:val="clear" w:color="auto" w:fill="auto"/>
            <w:hideMark/>
          </w:tcPr>
          <w:p w14:paraId="44D36DED"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275 selected households enrolled in larger study on ARI</w:t>
            </w:r>
          </w:p>
        </w:tc>
        <w:tc>
          <w:tcPr>
            <w:tcW w:w="1561" w:type="pct"/>
            <w:tcBorders>
              <w:top w:val="nil"/>
              <w:left w:val="nil"/>
              <w:bottom w:val="nil"/>
              <w:right w:val="nil"/>
            </w:tcBorders>
            <w:shd w:val="clear" w:color="auto" w:fill="auto"/>
            <w:hideMark/>
          </w:tcPr>
          <w:p w14:paraId="7E2D01DF" w14:textId="2E8F7B10" w:rsidR="006E3776" w:rsidRPr="006E3776" w:rsidRDefault="00DD4BA9" w:rsidP="006E3776">
            <w:pPr>
              <w:jc w:val="center"/>
              <w:rPr>
                <w:rFonts w:ascii="Calibri" w:eastAsia="Times New Roman" w:hAnsi="Calibri" w:cs="Times New Roman"/>
                <w:color w:val="000000"/>
                <w:sz w:val="20"/>
                <w:szCs w:val="20"/>
                <w:lang w:val="en-CA"/>
              </w:rPr>
            </w:pPr>
            <w:r>
              <w:rPr>
                <w:rFonts w:ascii="Calibri" w:eastAsia="Times New Roman" w:hAnsi="Calibri" w:cs="Times New Roman"/>
                <w:color w:val="000000"/>
                <w:sz w:val="20"/>
                <w:szCs w:val="20"/>
                <w:lang w:val="en-CA"/>
              </w:rPr>
              <w:t xml:space="preserve">ARI </w:t>
            </w:r>
            <w:r w:rsidR="006E3776" w:rsidRPr="006E3776">
              <w:rPr>
                <w:rFonts w:ascii="Calibri" w:eastAsia="Times New Roman" w:hAnsi="Calibri" w:cs="Times New Roman"/>
                <w:color w:val="000000"/>
                <w:sz w:val="20"/>
                <w:szCs w:val="20"/>
                <w:lang w:val="en-CA"/>
              </w:rPr>
              <w:t>symptoms (rhinorrhea/congestion, pharyngitis, cough, body aches or feverishness)</w:t>
            </w:r>
          </w:p>
        </w:tc>
        <w:tc>
          <w:tcPr>
            <w:tcW w:w="1287" w:type="pct"/>
            <w:tcBorders>
              <w:top w:val="nil"/>
              <w:left w:val="nil"/>
              <w:bottom w:val="nil"/>
              <w:right w:val="nil"/>
            </w:tcBorders>
            <w:shd w:val="clear" w:color="auto" w:fill="auto"/>
            <w:hideMark/>
          </w:tcPr>
          <w:p w14:paraId="1FADD3FB" w14:textId="5E2DE508"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group, sex, chronic respiratory conditions</w:t>
            </w:r>
          </w:p>
        </w:tc>
      </w:tr>
      <w:tr w:rsidR="006E3776" w:rsidRPr="006E3776" w14:paraId="4AC51DDE" w14:textId="77777777" w:rsidTr="00467772">
        <w:trPr>
          <w:trHeight w:val="1400"/>
        </w:trPr>
        <w:tc>
          <w:tcPr>
            <w:tcW w:w="909" w:type="pct"/>
            <w:tcBorders>
              <w:top w:val="nil"/>
              <w:left w:val="nil"/>
              <w:bottom w:val="nil"/>
              <w:right w:val="nil"/>
            </w:tcBorders>
            <w:shd w:val="clear" w:color="auto" w:fill="auto"/>
            <w:noWrap/>
            <w:hideMark/>
          </w:tcPr>
          <w:p w14:paraId="174F4BE5" w14:textId="68152D7B"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Castilla et al., 2016</w:t>
            </w:r>
          </w:p>
        </w:tc>
        <w:tc>
          <w:tcPr>
            <w:tcW w:w="1243" w:type="pct"/>
            <w:tcBorders>
              <w:top w:val="nil"/>
              <w:left w:val="nil"/>
              <w:bottom w:val="nil"/>
              <w:right w:val="nil"/>
            </w:tcBorders>
            <w:shd w:val="clear" w:color="auto" w:fill="auto"/>
            <w:hideMark/>
          </w:tcPr>
          <w:p w14:paraId="581F4C82" w14:textId="14426D89"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Hospitalized and outpatient patients with ILI</w:t>
            </w:r>
          </w:p>
        </w:tc>
        <w:tc>
          <w:tcPr>
            <w:tcW w:w="1561" w:type="pct"/>
            <w:tcBorders>
              <w:top w:val="nil"/>
              <w:left w:val="nil"/>
              <w:bottom w:val="nil"/>
              <w:right w:val="nil"/>
            </w:tcBorders>
            <w:shd w:val="clear" w:color="auto" w:fill="auto"/>
            <w:hideMark/>
          </w:tcPr>
          <w:p w14:paraId="43C6F988" w14:textId="12778811"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Sudden onset of any general symptom (fever or feverishness, malaise, headache or myalgia) in addition to any respiratory symptom (cough, sore throat or shortness of breath). Nasopharyngeal and pharyngeal swabs from all patients with ILI whose symptoms began less than 5 days previously</w:t>
            </w:r>
          </w:p>
        </w:tc>
        <w:tc>
          <w:tcPr>
            <w:tcW w:w="1287" w:type="pct"/>
            <w:tcBorders>
              <w:top w:val="nil"/>
              <w:left w:val="nil"/>
              <w:bottom w:val="nil"/>
              <w:right w:val="nil"/>
            </w:tcBorders>
            <w:shd w:val="clear" w:color="auto" w:fill="auto"/>
            <w:hideMark/>
          </w:tcPr>
          <w:p w14:paraId="435FBC3C" w14:textId="16C8CFB1"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Sex, age group (&lt;5, 5–14, 15–44, 45–64, 65–84, and ≥85 years), any major chronic condition</w:t>
            </w:r>
            <w:r w:rsidR="00480D59">
              <w:rPr>
                <w:rFonts w:ascii="Calibri" w:eastAsia="Times New Roman" w:hAnsi="Calibri" w:cs="Times New Roman"/>
                <w:color w:val="000000"/>
                <w:sz w:val="20"/>
                <w:szCs w:val="20"/>
                <w:lang w:val="en-CA"/>
              </w:rPr>
              <w:t>,</w:t>
            </w:r>
            <w:r w:rsidRPr="006E3776">
              <w:rPr>
                <w:rFonts w:ascii="Calibri" w:eastAsia="Times New Roman" w:hAnsi="Calibri" w:cs="Times New Roman"/>
                <w:color w:val="000000"/>
                <w:sz w:val="20"/>
                <w:szCs w:val="20"/>
                <w:lang w:val="en-CA"/>
              </w:rPr>
              <w:t xml:space="preserve"> three-week period of sample collection, and healthcare setting (primary healthcare and hospital)</w:t>
            </w:r>
          </w:p>
        </w:tc>
      </w:tr>
      <w:tr w:rsidR="006E3776" w:rsidRPr="006E3776" w14:paraId="3111871D" w14:textId="77777777" w:rsidTr="00467772">
        <w:trPr>
          <w:trHeight w:val="807"/>
        </w:trPr>
        <w:tc>
          <w:tcPr>
            <w:tcW w:w="909" w:type="pct"/>
            <w:tcBorders>
              <w:top w:val="nil"/>
              <w:left w:val="nil"/>
              <w:bottom w:val="nil"/>
              <w:right w:val="nil"/>
            </w:tcBorders>
            <w:shd w:val="clear" w:color="auto" w:fill="auto"/>
            <w:noWrap/>
            <w:hideMark/>
          </w:tcPr>
          <w:p w14:paraId="07179FD9"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Sullivan &amp; Kelly, 2013</w:t>
            </w:r>
          </w:p>
        </w:tc>
        <w:tc>
          <w:tcPr>
            <w:tcW w:w="1243" w:type="pct"/>
            <w:tcBorders>
              <w:top w:val="nil"/>
              <w:left w:val="nil"/>
              <w:bottom w:val="nil"/>
              <w:right w:val="nil"/>
            </w:tcBorders>
            <w:shd w:val="clear" w:color="auto" w:fill="auto"/>
            <w:noWrap/>
            <w:hideMark/>
          </w:tcPr>
          <w:p w14:paraId="305C0546"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Not reported</w:t>
            </w:r>
          </w:p>
        </w:tc>
        <w:tc>
          <w:tcPr>
            <w:tcW w:w="1561" w:type="pct"/>
            <w:tcBorders>
              <w:top w:val="nil"/>
              <w:left w:val="nil"/>
              <w:bottom w:val="nil"/>
              <w:right w:val="nil"/>
            </w:tcBorders>
            <w:shd w:val="clear" w:color="auto" w:fill="auto"/>
            <w:hideMark/>
          </w:tcPr>
          <w:p w14:paraId="5543262B"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Not reported</w:t>
            </w:r>
          </w:p>
        </w:tc>
        <w:tc>
          <w:tcPr>
            <w:tcW w:w="1287" w:type="pct"/>
            <w:tcBorders>
              <w:top w:val="nil"/>
              <w:left w:val="nil"/>
              <w:bottom w:val="nil"/>
              <w:right w:val="nil"/>
            </w:tcBorders>
            <w:shd w:val="clear" w:color="auto" w:fill="auto"/>
            <w:hideMark/>
          </w:tcPr>
          <w:p w14:paraId="0C1C345D" w14:textId="4F1E7FE3"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Age group, high-risk health status, week, and time between onset and polymerase chain reaction request</w:t>
            </w:r>
          </w:p>
        </w:tc>
      </w:tr>
      <w:tr w:rsidR="006E3776" w:rsidRPr="006E3776" w14:paraId="0BA8DC39" w14:textId="77777777" w:rsidTr="00467772">
        <w:trPr>
          <w:trHeight w:val="2240"/>
        </w:trPr>
        <w:tc>
          <w:tcPr>
            <w:tcW w:w="909" w:type="pct"/>
            <w:tcBorders>
              <w:top w:val="nil"/>
              <w:left w:val="nil"/>
              <w:bottom w:val="nil"/>
              <w:right w:val="nil"/>
            </w:tcBorders>
            <w:shd w:val="clear" w:color="auto" w:fill="auto"/>
            <w:noWrap/>
            <w:hideMark/>
          </w:tcPr>
          <w:p w14:paraId="08792746" w14:textId="77777777" w:rsidR="006E3776" w:rsidRPr="006E3776" w:rsidRDefault="006E3776" w:rsidP="006E3776">
            <w:pP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lastRenderedPageBreak/>
              <w:t>Petrie et al., 2016</w:t>
            </w:r>
          </w:p>
        </w:tc>
        <w:tc>
          <w:tcPr>
            <w:tcW w:w="1243" w:type="pct"/>
            <w:tcBorders>
              <w:top w:val="nil"/>
              <w:left w:val="nil"/>
              <w:bottom w:val="nil"/>
              <w:right w:val="nil"/>
            </w:tcBorders>
            <w:shd w:val="clear" w:color="auto" w:fill="auto"/>
            <w:hideMark/>
          </w:tcPr>
          <w:p w14:paraId="2AE463B3" w14:textId="77777777" w:rsidR="006E3776" w:rsidRPr="006E3776" w:rsidRDefault="006E3776" w:rsidP="006E3776">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Hospitalized patients with ARI identified using Electronic Medical Records</w:t>
            </w:r>
          </w:p>
        </w:tc>
        <w:tc>
          <w:tcPr>
            <w:tcW w:w="1561" w:type="pct"/>
            <w:tcBorders>
              <w:top w:val="nil"/>
              <w:left w:val="nil"/>
              <w:bottom w:val="nil"/>
              <w:right w:val="nil"/>
            </w:tcBorders>
            <w:shd w:val="clear" w:color="auto" w:fill="auto"/>
            <w:hideMark/>
          </w:tcPr>
          <w:p w14:paraId="16D19782" w14:textId="548BBA3F" w:rsidR="006E3776" w:rsidRPr="006E3776" w:rsidRDefault="00DD4BA9" w:rsidP="00DD4BA9">
            <w:pPr>
              <w:jc w:val="center"/>
              <w:rPr>
                <w:rFonts w:ascii="Calibri" w:eastAsia="Times New Roman" w:hAnsi="Calibri" w:cs="Times New Roman"/>
                <w:color w:val="000000"/>
                <w:sz w:val="20"/>
                <w:szCs w:val="20"/>
                <w:lang w:val="en-CA"/>
              </w:rPr>
            </w:pPr>
            <w:r>
              <w:rPr>
                <w:rFonts w:ascii="Calibri" w:eastAsia="Times New Roman" w:hAnsi="Calibri" w:cs="Times New Roman"/>
                <w:color w:val="000000"/>
                <w:sz w:val="20"/>
                <w:szCs w:val="20"/>
                <w:lang w:val="en-CA"/>
              </w:rPr>
              <w:t>ILI</w:t>
            </w:r>
            <w:r w:rsidR="006E3776" w:rsidRPr="006E3776">
              <w:rPr>
                <w:rFonts w:ascii="Calibri" w:eastAsia="Times New Roman" w:hAnsi="Calibri" w:cs="Times New Roman"/>
                <w:color w:val="000000"/>
                <w:sz w:val="20"/>
                <w:szCs w:val="20"/>
                <w:lang w:val="en-CA"/>
              </w:rPr>
              <w:t xml:space="preserve"> (e.g. influenza, respiratory infection, cough, bronchitis), pneumonia, and exacerbations of asthma or chronic obstructive pulmonary disease; patients with other diagnoses, including respiratory distress, shortness of breath, and acute exacerbations of other chronic respiratory conditions (e.g. congestive heart failure) were also eligible if evidence of an ARI (e.g. new or worsening cough) was included in the admission note.</w:t>
            </w:r>
          </w:p>
        </w:tc>
        <w:tc>
          <w:tcPr>
            <w:tcW w:w="1287" w:type="pct"/>
            <w:tcBorders>
              <w:top w:val="nil"/>
              <w:left w:val="nil"/>
              <w:bottom w:val="nil"/>
              <w:right w:val="nil"/>
            </w:tcBorders>
            <w:shd w:val="clear" w:color="auto" w:fill="auto"/>
            <w:hideMark/>
          </w:tcPr>
          <w:p w14:paraId="01AE02AA" w14:textId="0F74E439" w:rsidR="006E3776" w:rsidRPr="006E3776" w:rsidRDefault="006E3776" w:rsidP="00DD4BA9">
            <w:pPr>
              <w:jc w:val="center"/>
              <w:rPr>
                <w:rFonts w:ascii="Calibri" w:eastAsia="Times New Roman" w:hAnsi="Calibri" w:cs="Times New Roman"/>
                <w:color w:val="000000"/>
                <w:sz w:val="20"/>
                <w:szCs w:val="20"/>
                <w:lang w:val="en-CA"/>
              </w:rPr>
            </w:pPr>
            <w:r w:rsidRPr="006E3776">
              <w:rPr>
                <w:rFonts w:ascii="Calibri" w:eastAsia="Times New Roman" w:hAnsi="Calibri" w:cs="Times New Roman"/>
                <w:color w:val="000000"/>
                <w:sz w:val="20"/>
                <w:szCs w:val="20"/>
                <w:lang w:val="en-CA"/>
              </w:rPr>
              <w:t xml:space="preserve">Age, sex, hospital, calendar time, time from illness, onset to specimen collection, frailty score, and Charlson Comorbidity Index </w:t>
            </w:r>
          </w:p>
        </w:tc>
      </w:tr>
    </w:tbl>
    <w:p w14:paraId="39551F11" w14:textId="77777777" w:rsidR="006E3776" w:rsidRDefault="006E3776"/>
    <w:p w14:paraId="7A1E14F6" w14:textId="77777777" w:rsidR="00600955" w:rsidRDefault="00600955"/>
    <w:p w14:paraId="0219F83E" w14:textId="77777777" w:rsidR="006E3776" w:rsidRDefault="006E3776">
      <w:pPr>
        <w:rPr>
          <w:rFonts w:ascii="Calibri" w:hAnsi="Calibri"/>
          <w:b/>
          <w:sz w:val="22"/>
          <w:szCs w:val="22"/>
        </w:rPr>
      </w:pPr>
    </w:p>
    <w:p w14:paraId="1BA0CBEF" w14:textId="279D7D6A" w:rsidR="00600955" w:rsidRDefault="00DD4BA9" w:rsidP="002435C7">
      <w:r>
        <w:rPr>
          <w:rFonts w:ascii="Calibri" w:hAnsi="Calibri"/>
          <w:b/>
          <w:sz w:val="22"/>
          <w:szCs w:val="22"/>
        </w:rPr>
        <w:t xml:space="preserve">Abbreviations: </w:t>
      </w:r>
      <w:r w:rsidRPr="00480D59">
        <w:rPr>
          <w:rFonts w:ascii="Calibri" w:hAnsi="Calibri"/>
          <w:sz w:val="22"/>
          <w:szCs w:val="22"/>
        </w:rPr>
        <w:t>ARI = acute respiratory ill</w:t>
      </w:r>
      <w:r w:rsidR="002435C7">
        <w:rPr>
          <w:rFonts w:ascii="Calibri" w:hAnsi="Calibri"/>
          <w:sz w:val="22"/>
          <w:szCs w:val="22"/>
        </w:rPr>
        <w:t>ness; ILI=Influenza-like illness</w:t>
      </w:r>
    </w:p>
    <w:sectPr w:rsidR="00600955" w:rsidSect="002435C7">
      <w:pgSz w:w="15840" w:h="12240" w:orient="landscape"/>
      <w:pgMar w:top="1134" w:right="170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3eacc0b0-3d1f-40f2-9a03-bdcb9d5fa3b4"/>
  </w:docVars>
  <w:rsids>
    <w:rsidRoot w:val="00600955"/>
    <w:rsid w:val="00037809"/>
    <w:rsid w:val="00162533"/>
    <w:rsid w:val="002435C7"/>
    <w:rsid w:val="00281A0C"/>
    <w:rsid w:val="002D75C7"/>
    <w:rsid w:val="00467772"/>
    <w:rsid w:val="00480D59"/>
    <w:rsid w:val="0048539B"/>
    <w:rsid w:val="004E10EF"/>
    <w:rsid w:val="00600955"/>
    <w:rsid w:val="006378EC"/>
    <w:rsid w:val="006A0C60"/>
    <w:rsid w:val="006B1BA4"/>
    <w:rsid w:val="006D3381"/>
    <w:rsid w:val="006E3776"/>
    <w:rsid w:val="006F5394"/>
    <w:rsid w:val="007841F1"/>
    <w:rsid w:val="007946C0"/>
    <w:rsid w:val="007C7BB0"/>
    <w:rsid w:val="007E359F"/>
    <w:rsid w:val="007F0E36"/>
    <w:rsid w:val="00884017"/>
    <w:rsid w:val="008C233C"/>
    <w:rsid w:val="009C6C8A"/>
    <w:rsid w:val="00BA437F"/>
    <w:rsid w:val="00C80191"/>
    <w:rsid w:val="00DD4BA9"/>
    <w:rsid w:val="00DE2E2A"/>
    <w:rsid w:val="00FA5E86"/>
    <w:rsid w:val="00FC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6E301E"/>
  <w14:defaultImageDpi w14:val="300"/>
  <w15:docId w15:val="{7F0210C5-D9C9-6545-926C-B9FD0F460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437F"/>
    <w:rPr>
      <w:rFonts w:ascii="Tahoma" w:hAnsi="Tahoma" w:cs="Tahoma"/>
      <w:sz w:val="16"/>
      <w:szCs w:val="16"/>
    </w:rPr>
  </w:style>
  <w:style w:type="character" w:customStyle="1" w:styleId="BalloonTextChar">
    <w:name w:val="Balloon Text Char"/>
    <w:basedOn w:val="DefaultParagraphFont"/>
    <w:link w:val="BalloonText"/>
    <w:uiPriority w:val="99"/>
    <w:semiHidden/>
    <w:rsid w:val="00BA437F"/>
    <w:rPr>
      <w:rFonts w:ascii="Tahoma" w:hAnsi="Tahoma" w:cs="Tahoma"/>
      <w:sz w:val="16"/>
      <w:szCs w:val="16"/>
    </w:rPr>
  </w:style>
  <w:style w:type="character" w:styleId="CommentReference">
    <w:name w:val="annotation reference"/>
    <w:basedOn w:val="DefaultParagraphFont"/>
    <w:uiPriority w:val="99"/>
    <w:semiHidden/>
    <w:unhideWhenUsed/>
    <w:rsid w:val="00037809"/>
    <w:rPr>
      <w:sz w:val="16"/>
      <w:szCs w:val="16"/>
    </w:rPr>
  </w:style>
  <w:style w:type="paragraph" w:styleId="CommentText">
    <w:name w:val="annotation text"/>
    <w:basedOn w:val="Normal"/>
    <w:link w:val="CommentTextChar"/>
    <w:uiPriority w:val="99"/>
    <w:semiHidden/>
    <w:unhideWhenUsed/>
    <w:rsid w:val="00037809"/>
    <w:rPr>
      <w:sz w:val="20"/>
      <w:szCs w:val="20"/>
    </w:rPr>
  </w:style>
  <w:style w:type="character" w:customStyle="1" w:styleId="CommentTextChar">
    <w:name w:val="Comment Text Char"/>
    <w:basedOn w:val="DefaultParagraphFont"/>
    <w:link w:val="CommentText"/>
    <w:uiPriority w:val="99"/>
    <w:semiHidden/>
    <w:rsid w:val="00037809"/>
    <w:rPr>
      <w:sz w:val="20"/>
      <w:szCs w:val="20"/>
    </w:rPr>
  </w:style>
  <w:style w:type="paragraph" w:styleId="CommentSubject">
    <w:name w:val="annotation subject"/>
    <w:basedOn w:val="CommentText"/>
    <w:next w:val="CommentText"/>
    <w:link w:val="CommentSubjectChar"/>
    <w:uiPriority w:val="99"/>
    <w:semiHidden/>
    <w:unhideWhenUsed/>
    <w:rsid w:val="00037809"/>
    <w:rPr>
      <w:b/>
      <w:bCs/>
    </w:rPr>
  </w:style>
  <w:style w:type="character" w:customStyle="1" w:styleId="CommentSubjectChar">
    <w:name w:val="Comment Subject Char"/>
    <w:basedOn w:val="CommentTextChar"/>
    <w:link w:val="CommentSubject"/>
    <w:uiPriority w:val="99"/>
    <w:semiHidden/>
    <w:rsid w:val="000378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79894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BFFC8-A9EB-2245-B96C-4D0B26C7D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Ramsay</dc:creator>
  <cp:lastModifiedBy>Lauren Ramsay</cp:lastModifiedBy>
  <cp:revision>3</cp:revision>
  <dcterms:created xsi:type="dcterms:W3CDTF">2018-05-24T13:36:00Z</dcterms:created>
  <dcterms:modified xsi:type="dcterms:W3CDTF">2018-05-24T13:36:00Z</dcterms:modified>
</cp:coreProperties>
</file>