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BA" w:rsidRPr="00381CB3" w:rsidRDefault="004A1EBA" w:rsidP="004A1EBA">
      <w:pPr>
        <w:keepNext/>
        <w:spacing w:after="120"/>
        <w:rPr>
          <w:rFonts w:eastAsiaTheme="minorEastAsia" w:cstheme="minorBidi"/>
          <w:b/>
          <w:bCs/>
          <w:sz w:val="20"/>
          <w:szCs w:val="18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 xml:space="preserve">Additional file </w:t>
      </w:r>
      <w:r w:rsidR="00F64E5D">
        <w:rPr>
          <w:rFonts w:eastAsia="Times New Roman"/>
          <w:sz w:val="22"/>
          <w:szCs w:val="22"/>
          <w:lang w:eastAsia="en-US"/>
        </w:rPr>
        <w:t>4</w:t>
      </w:r>
      <w:bookmarkStart w:id="0" w:name="_GoBack"/>
      <w:bookmarkEnd w:id="0"/>
      <w:r>
        <w:rPr>
          <w:rFonts w:eastAsia="Times New Roman"/>
          <w:sz w:val="22"/>
          <w:szCs w:val="22"/>
          <w:lang w:eastAsia="en-US"/>
        </w:rPr>
        <w:t xml:space="preserve">:  </w:t>
      </w:r>
      <w:bookmarkStart w:id="1" w:name="_Toc450905653"/>
      <w:r w:rsidRPr="00381CB3">
        <w:rPr>
          <w:rFonts w:eastAsiaTheme="minorHAnsi"/>
          <w:b/>
          <w:bCs/>
          <w:sz w:val="20"/>
          <w:szCs w:val="18"/>
          <w:lang w:eastAsia="en-US"/>
        </w:rPr>
        <w:t>Probability estimates derived from published data, used in the simulation study</w:t>
      </w:r>
      <w:bookmarkEnd w:id="1"/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4249"/>
        <w:gridCol w:w="1105"/>
        <w:gridCol w:w="3168"/>
      </w:tblGrid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b/>
                <w:sz w:val="18"/>
                <w:szCs w:val="18"/>
              </w:rPr>
            </w:pPr>
            <w:r w:rsidRPr="00381CB3">
              <w:rPr>
                <w:b/>
                <w:sz w:val="18"/>
                <w:szCs w:val="18"/>
              </w:rPr>
              <w:t>Probability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b/>
                <w:sz w:val="18"/>
                <w:szCs w:val="18"/>
              </w:rPr>
            </w:pPr>
            <w:r w:rsidRPr="00381CB3">
              <w:rPr>
                <w:b/>
                <w:sz w:val="18"/>
                <w:szCs w:val="18"/>
              </w:rPr>
              <w:t>Estimate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b/>
                <w:sz w:val="18"/>
                <w:szCs w:val="18"/>
              </w:rPr>
            </w:pPr>
            <w:r w:rsidRPr="00381CB3">
              <w:rPr>
                <w:b/>
                <w:sz w:val="18"/>
                <w:szCs w:val="18"/>
              </w:rPr>
              <w:t>Source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Rhesus positive </w:t>
            </w:r>
            <w:proofErr w:type="spellStart"/>
            <w:r w:rsidRPr="00381CB3">
              <w:rPr>
                <w:sz w:val="18"/>
                <w:szCs w:val="18"/>
              </w:rPr>
              <w:t>fetus</w:t>
            </w:r>
            <w:proofErr w:type="spellEnd"/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60.7% 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Bristol-based diagnostic studies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Rhesus positive </w:t>
            </w:r>
            <w:proofErr w:type="spellStart"/>
            <w:r w:rsidRPr="00381CB3">
              <w:rPr>
                <w:sz w:val="18"/>
                <w:szCs w:val="18"/>
              </w:rPr>
              <w:t>fetus</w:t>
            </w:r>
            <w:proofErr w:type="spellEnd"/>
            <w:r w:rsidRPr="00381CB3">
              <w:rPr>
                <w:sz w:val="18"/>
                <w:szCs w:val="18"/>
              </w:rPr>
              <w:t xml:space="preserve"> (with inconclusive NIPT)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70.7%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Bristol-based diagnostic studies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False negative NIPT test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0.21%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Diagnostic meta-analysis (Bristol studies)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Inconclusive NIPT test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6.7%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Bristol-based diagnostic studies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False-positive test (if conclusive)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1.5%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Diagnostic meta-analysis (Bristol studies) *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Compliance with antenatal anti-D (without NIPT)</w:t>
            </w:r>
          </w:p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(received at least one dose of anti-D)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99%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UK 2013 audit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Uptake of NIPT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96%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De Haas 2012 (clinical effectiveness review)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Compliance with postpartum anti-D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99%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UK 2013 audit 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Compliance with antenatal anti-D</w:t>
            </w:r>
          </w:p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(if NIPT test refused or missed)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80%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proofErr w:type="spellStart"/>
            <w:r w:rsidRPr="00381CB3">
              <w:rPr>
                <w:sz w:val="18"/>
                <w:szCs w:val="18"/>
              </w:rPr>
              <w:t>Soothill</w:t>
            </w:r>
            <w:proofErr w:type="spellEnd"/>
            <w:r w:rsidRPr="00381CB3">
              <w:rPr>
                <w:sz w:val="18"/>
                <w:szCs w:val="18"/>
              </w:rPr>
              <w:t xml:space="preserve"> (2015) (clinical effectiveness review)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Compliance with antenatal anti-D </w:t>
            </w:r>
          </w:p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(if NIPT inconclusive)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99%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proofErr w:type="spellStart"/>
            <w:r w:rsidRPr="00381CB3">
              <w:rPr>
                <w:sz w:val="18"/>
                <w:szCs w:val="18"/>
              </w:rPr>
              <w:t>Soothill</w:t>
            </w:r>
            <w:proofErr w:type="spellEnd"/>
            <w:r w:rsidRPr="00381CB3">
              <w:rPr>
                <w:sz w:val="18"/>
                <w:szCs w:val="18"/>
              </w:rPr>
              <w:t xml:space="preserve"> (2015)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Uptake of antenatal anti-D in women with negative NIPT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6%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proofErr w:type="spellStart"/>
            <w:r w:rsidRPr="00381CB3">
              <w:rPr>
                <w:sz w:val="18"/>
                <w:szCs w:val="18"/>
              </w:rPr>
              <w:t>Soothill</w:t>
            </w:r>
            <w:proofErr w:type="spellEnd"/>
            <w:r w:rsidRPr="00381CB3">
              <w:rPr>
                <w:sz w:val="18"/>
                <w:szCs w:val="18"/>
              </w:rPr>
              <w:t xml:space="preserve"> (2015)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Compliance with postpartum anti-D after NIPT process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99%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No data. Assumed same as without </w:t>
            </w:r>
            <w:r w:rsidRPr="00381CB3">
              <w:rPr>
                <w:sz w:val="18"/>
                <w:szCs w:val="18"/>
              </w:rPr>
              <w:lastRenderedPageBreak/>
              <w:t>NIPT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</w:tr>
      <w:tr w:rsidR="004A1EBA" w:rsidRPr="00745FE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Sensitisation with antenatal anti-D and post-partum anti-D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0.35%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  <w:lang w:val="fr-FR"/>
              </w:rPr>
            </w:pPr>
            <w:proofErr w:type="spellStart"/>
            <w:r w:rsidRPr="00381CB3">
              <w:rPr>
                <w:sz w:val="18"/>
                <w:szCs w:val="18"/>
                <w:lang w:val="fr-FR"/>
              </w:rPr>
              <w:t>Pilgrim</w:t>
            </w:r>
            <w:proofErr w:type="spellEnd"/>
            <w:r w:rsidRPr="00381CB3">
              <w:rPr>
                <w:sz w:val="18"/>
                <w:szCs w:val="18"/>
                <w:lang w:val="fr-FR"/>
              </w:rPr>
              <w:t xml:space="preserve"> et al 2009 HTA report</w:t>
            </w:r>
          </w:p>
        </w:tc>
      </w:tr>
      <w:tr w:rsidR="004A1EBA" w:rsidRPr="00745FE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Sensitisation with only postpartum anti-D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0.95%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  <w:lang w:val="fr-FR"/>
              </w:rPr>
            </w:pPr>
            <w:proofErr w:type="spellStart"/>
            <w:r w:rsidRPr="00381CB3">
              <w:rPr>
                <w:sz w:val="18"/>
                <w:szCs w:val="18"/>
                <w:lang w:val="fr-FR"/>
              </w:rPr>
              <w:t>Pilgrim</w:t>
            </w:r>
            <w:proofErr w:type="spellEnd"/>
            <w:r w:rsidRPr="00381CB3">
              <w:rPr>
                <w:sz w:val="18"/>
                <w:szCs w:val="18"/>
                <w:lang w:val="fr-FR"/>
              </w:rPr>
              <w:t xml:space="preserve"> et al 2009 HTA report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Sensitisation with no anti-D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10.7%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From Pilgrim, and Crowther et al. 1997 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Subsequent  pregnancy in sensitised women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62%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Used by Chitty (2014), no source given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 xml:space="preserve">Death of </w:t>
            </w:r>
            <w:proofErr w:type="spellStart"/>
            <w:r w:rsidRPr="00381CB3">
              <w:rPr>
                <w:sz w:val="18"/>
                <w:szCs w:val="18"/>
              </w:rPr>
              <w:t>RhD</w:t>
            </w:r>
            <w:proofErr w:type="spellEnd"/>
            <w:r w:rsidRPr="00381CB3">
              <w:rPr>
                <w:sz w:val="18"/>
                <w:szCs w:val="18"/>
              </w:rPr>
              <w:t xml:space="preserve"> negative </w:t>
            </w:r>
            <w:proofErr w:type="spellStart"/>
            <w:r w:rsidRPr="00381CB3">
              <w:rPr>
                <w:sz w:val="18"/>
                <w:szCs w:val="18"/>
              </w:rPr>
              <w:t>fetus</w:t>
            </w:r>
            <w:proofErr w:type="spellEnd"/>
            <w:r w:rsidRPr="00381CB3">
              <w:rPr>
                <w:sz w:val="18"/>
                <w:szCs w:val="18"/>
              </w:rPr>
              <w:t xml:space="preserve"> in sensitised women</w:t>
            </w: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5%</w:t>
            </w: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8"/>
                <w:szCs w:val="18"/>
              </w:rPr>
            </w:pPr>
            <w:r w:rsidRPr="00381CB3">
              <w:rPr>
                <w:sz w:val="18"/>
                <w:szCs w:val="18"/>
              </w:rPr>
              <w:t>Used by Chitty (2014), no source given</w:t>
            </w:r>
          </w:p>
        </w:tc>
      </w:tr>
      <w:tr w:rsidR="004A1EBA" w:rsidRPr="00381CB3" w:rsidTr="00C378B1">
        <w:tc>
          <w:tcPr>
            <w:tcW w:w="4666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6"/>
                <w:szCs w:val="16"/>
              </w:rPr>
            </w:pPr>
          </w:p>
        </w:tc>
        <w:tc>
          <w:tcPr>
            <w:tcW w:w="3442" w:type="dxa"/>
          </w:tcPr>
          <w:p w:rsidR="004A1EBA" w:rsidRPr="00381CB3" w:rsidRDefault="004A1EBA" w:rsidP="00C378B1">
            <w:pPr>
              <w:spacing w:before="120" w:after="240" w:line="360" w:lineRule="auto"/>
              <w:rPr>
                <w:sz w:val="16"/>
                <w:szCs w:val="16"/>
              </w:rPr>
            </w:pPr>
          </w:p>
        </w:tc>
      </w:tr>
    </w:tbl>
    <w:p w:rsidR="004A1EBA" w:rsidRPr="00381CB3" w:rsidRDefault="004A1EBA" w:rsidP="004A1EBA">
      <w:pPr>
        <w:spacing w:before="120" w:after="240" w:line="360" w:lineRule="auto"/>
        <w:rPr>
          <w:rFonts w:eastAsiaTheme="minorHAnsi"/>
          <w:i/>
          <w:sz w:val="16"/>
          <w:szCs w:val="16"/>
          <w:lang w:eastAsia="en-US"/>
        </w:rPr>
      </w:pPr>
      <w:r w:rsidRPr="00381CB3">
        <w:rPr>
          <w:rFonts w:eastAsiaTheme="minorHAnsi"/>
          <w:i/>
          <w:sz w:val="16"/>
          <w:szCs w:val="16"/>
          <w:lang w:eastAsia="en-US"/>
        </w:rPr>
        <w:t xml:space="preserve">* This result is based on a diagnostic meta-analysis of the Bristol-based studies, excluding women with inconclusive test results. </w:t>
      </w:r>
    </w:p>
    <w:p w:rsidR="004A1EBA" w:rsidRPr="000A7CBC" w:rsidRDefault="004A1EBA" w:rsidP="004A1EBA">
      <w:pPr>
        <w:jc w:val="both"/>
        <w:rPr>
          <w:rFonts w:eastAsia="Times New Roman"/>
          <w:sz w:val="22"/>
          <w:szCs w:val="22"/>
          <w:lang w:eastAsia="en-US"/>
        </w:rPr>
      </w:pPr>
    </w:p>
    <w:p w:rsidR="007754A4" w:rsidRDefault="007754A4"/>
    <w:sectPr w:rsidR="007754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A1EBA"/>
    <w:rsid w:val="004A1EBA"/>
    <w:rsid w:val="007754A4"/>
    <w:rsid w:val="00830007"/>
    <w:rsid w:val="00F22631"/>
    <w:rsid w:val="00F6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BA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4A1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A1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BA"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4A1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A1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1438</Characters>
  <Application>Microsoft Office Word</Application>
  <DocSecurity>0</DocSecurity>
  <Lines>89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Editor</dc:creator>
  <cp:lastModifiedBy>MATUBLE</cp:lastModifiedBy>
  <cp:revision>4</cp:revision>
  <dcterms:created xsi:type="dcterms:W3CDTF">2018-12-07T16:15:00Z</dcterms:created>
  <dcterms:modified xsi:type="dcterms:W3CDTF">2019-01-12T17:51:00Z</dcterms:modified>
</cp:coreProperties>
</file>