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27CA9" w14:textId="316CDE98" w:rsidR="00556A6E" w:rsidRPr="0017725B" w:rsidRDefault="00556A6E" w:rsidP="000A1449">
      <w:pPr>
        <w:rPr>
          <w:rFonts w:cstheme="minorHAnsi"/>
          <w:b/>
        </w:rPr>
      </w:pPr>
      <w:r w:rsidRPr="0017725B">
        <w:rPr>
          <w:rFonts w:cstheme="minorHAnsi"/>
          <w:b/>
        </w:rPr>
        <w:t xml:space="preserve">ADDITIONAL FILES </w:t>
      </w:r>
    </w:p>
    <w:p w14:paraId="0D452A1A" w14:textId="77777777" w:rsidR="00556A6E" w:rsidRPr="0017725B" w:rsidRDefault="00556A6E" w:rsidP="000A1449">
      <w:pPr>
        <w:rPr>
          <w:rFonts w:cstheme="minorHAnsi"/>
          <w:b/>
        </w:rPr>
      </w:pPr>
    </w:p>
    <w:p w14:paraId="020226E7" w14:textId="5D9FAA59" w:rsidR="00556A6E" w:rsidRPr="0017725B" w:rsidRDefault="00556A6E" w:rsidP="00556A6E">
      <w:pPr>
        <w:rPr>
          <w:rFonts w:cstheme="minorHAnsi"/>
          <w:b/>
        </w:rPr>
      </w:pPr>
      <w:r w:rsidRPr="0017725B">
        <w:rPr>
          <w:rFonts w:cstheme="minorHAnsi"/>
          <w:b/>
        </w:rPr>
        <w:t>ADDITIONAL</w:t>
      </w:r>
      <w:r w:rsidR="00B61736" w:rsidRPr="0017725B">
        <w:rPr>
          <w:rFonts w:cstheme="minorHAnsi"/>
          <w:b/>
        </w:rPr>
        <w:t xml:space="preserve"> </w:t>
      </w:r>
      <w:r w:rsidRPr="0017725B">
        <w:rPr>
          <w:rFonts w:cstheme="minorHAnsi"/>
          <w:b/>
        </w:rPr>
        <w:t>FILE 1:</w:t>
      </w:r>
      <w:r w:rsidR="00CC06B3">
        <w:rPr>
          <w:rFonts w:cstheme="minorHAnsi"/>
          <w:b/>
        </w:rPr>
        <w:t xml:space="preserve"> </w:t>
      </w:r>
      <w:r w:rsidRPr="0017725B">
        <w:rPr>
          <w:rFonts w:cstheme="minorHAnsi"/>
          <w:b/>
        </w:rPr>
        <w:t xml:space="preserve">Detailed Methods </w:t>
      </w:r>
    </w:p>
    <w:p w14:paraId="039D680D" w14:textId="77777777" w:rsidR="00556A6E" w:rsidRPr="0017725B" w:rsidRDefault="00556A6E" w:rsidP="00556A6E">
      <w:pPr>
        <w:rPr>
          <w:rFonts w:cstheme="minorHAnsi"/>
          <w:b/>
        </w:rPr>
      </w:pPr>
    </w:p>
    <w:p w14:paraId="55069657" w14:textId="279B15BB" w:rsidR="008B09E8" w:rsidRPr="0017725B" w:rsidRDefault="008B09E8" w:rsidP="00556A6E">
      <w:pPr>
        <w:rPr>
          <w:rFonts w:cstheme="minorHAnsi"/>
          <w:b/>
        </w:rPr>
      </w:pPr>
      <w:r w:rsidRPr="0017725B">
        <w:rPr>
          <w:rFonts w:cstheme="minorHAnsi"/>
          <w:b/>
        </w:rPr>
        <w:t xml:space="preserve">Additional details on classification of cases and readmissions </w:t>
      </w:r>
    </w:p>
    <w:p w14:paraId="1157D84A" w14:textId="1057BAC9" w:rsidR="00F353B3" w:rsidRPr="0017725B" w:rsidRDefault="00C533DA" w:rsidP="008B09E8">
      <w:pPr>
        <w:rPr>
          <w:rFonts w:cstheme="minorHAnsi"/>
        </w:rPr>
      </w:pPr>
      <w:r w:rsidRPr="0017725B">
        <w:rPr>
          <w:rFonts w:cstheme="minorHAnsi"/>
        </w:rPr>
        <w:t xml:space="preserve">In Leeds, </w:t>
      </w:r>
      <w:r w:rsidR="00F16F87" w:rsidRPr="0017725B">
        <w:rPr>
          <w:rFonts w:cstheme="minorHAnsi"/>
        </w:rPr>
        <w:t>clinical cases were prospectively identified by the Endocarditis service</w:t>
      </w:r>
      <w:r w:rsidR="00A95234" w:rsidRPr="0017725B">
        <w:rPr>
          <w:rFonts w:cstheme="minorHAnsi"/>
        </w:rPr>
        <w:t xml:space="preserve"> by clinical review of all patients with suspected infective endocarditis referred by physicians across all sites</w:t>
      </w:r>
      <w:r w:rsidR="00F16F87" w:rsidRPr="0017725B">
        <w:rPr>
          <w:rFonts w:cstheme="minorHAnsi"/>
        </w:rPr>
        <w:t>.</w:t>
      </w:r>
      <w:r w:rsidR="00B35205" w:rsidRPr="0017725B">
        <w:rPr>
          <w:rFonts w:cstheme="minorHAnsi"/>
        </w:rPr>
        <w:t xml:space="preserve"> </w:t>
      </w:r>
      <w:r w:rsidR="00053462" w:rsidRPr="0017725B">
        <w:rPr>
          <w:rFonts w:cstheme="minorHAnsi"/>
        </w:rPr>
        <w:t>To classify admissions as cases</w:t>
      </w:r>
      <w:r w:rsidR="007D1619" w:rsidRPr="0017725B">
        <w:rPr>
          <w:rFonts w:cstheme="minorHAnsi"/>
        </w:rPr>
        <w:t>, readmissions or p</w:t>
      </w:r>
      <w:r w:rsidR="00EC124A" w:rsidRPr="0017725B">
        <w:rPr>
          <w:rFonts w:cstheme="minorHAnsi"/>
        </w:rPr>
        <w:t>rior</w:t>
      </w:r>
      <w:r w:rsidR="007D1619" w:rsidRPr="0017725B">
        <w:rPr>
          <w:rFonts w:cstheme="minorHAnsi"/>
        </w:rPr>
        <w:t xml:space="preserve"> history</w:t>
      </w:r>
      <w:r w:rsidR="00053462" w:rsidRPr="0017725B">
        <w:rPr>
          <w:rFonts w:cstheme="minorHAnsi"/>
        </w:rPr>
        <w:t xml:space="preserve">, we first classified direct overlaps before admission and discharge and clinician-recorded dates. For all other admissions, </w:t>
      </w:r>
      <w:r w:rsidR="007D1619" w:rsidRPr="0017725B">
        <w:rPr>
          <w:rFonts w:cstheme="minorHAnsi"/>
        </w:rPr>
        <w:t>a</w:t>
      </w:r>
      <w:r w:rsidR="00B35205" w:rsidRPr="0017725B">
        <w:rPr>
          <w:rFonts w:cstheme="minorHAnsi"/>
        </w:rPr>
        <w:t xml:space="preserve"> readmission was</w:t>
      </w:r>
      <w:r w:rsidR="007D1619" w:rsidRPr="0017725B">
        <w:rPr>
          <w:rFonts w:cstheme="minorHAnsi"/>
        </w:rPr>
        <w:t xml:space="preserve"> defined</w:t>
      </w:r>
      <w:r w:rsidR="00B35205" w:rsidRPr="0017725B">
        <w:rPr>
          <w:rFonts w:cstheme="minorHAnsi"/>
        </w:rPr>
        <w:t xml:space="preserve"> as an admission</w:t>
      </w:r>
      <w:r w:rsidR="00053462" w:rsidRPr="0017725B">
        <w:rPr>
          <w:rFonts w:cstheme="minorHAnsi"/>
        </w:rPr>
        <w:t xml:space="preserve"> that did</w:t>
      </w:r>
      <w:r w:rsidR="00F404F7" w:rsidRPr="0017725B">
        <w:rPr>
          <w:rFonts w:cstheme="minorHAnsi"/>
        </w:rPr>
        <w:t xml:space="preserve"> </w:t>
      </w:r>
      <w:r w:rsidR="00053462" w:rsidRPr="0017725B">
        <w:rPr>
          <w:rFonts w:cstheme="minorHAnsi"/>
        </w:rPr>
        <w:t>not match directly</w:t>
      </w:r>
      <w:r w:rsidR="00F404F7" w:rsidRPr="0017725B">
        <w:rPr>
          <w:rFonts w:cstheme="minorHAnsi"/>
        </w:rPr>
        <w:t xml:space="preserve"> to a case</w:t>
      </w:r>
      <w:r w:rsidR="00053462" w:rsidRPr="0017725B">
        <w:rPr>
          <w:rFonts w:cstheme="minorHAnsi"/>
        </w:rPr>
        <w:t xml:space="preserve">, </w:t>
      </w:r>
      <w:r w:rsidR="00243C97">
        <w:rPr>
          <w:rFonts w:cstheme="minorHAnsi"/>
        </w:rPr>
        <w:t xml:space="preserve">and </w:t>
      </w:r>
      <w:r w:rsidR="00053462" w:rsidRPr="0017725B">
        <w:rPr>
          <w:rFonts w:cstheme="minorHAnsi"/>
        </w:rPr>
        <w:t>occurred within 30 days of the</w:t>
      </w:r>
      <w:r w:rsidR="00B35205" w:rsidRPr="0017725B">
        <w:rPr>
          <w:rFonts w:cstheme="minorHAnsi"/>
        </w:rPr>
        <w:t xml:space="preserve"> </w:t>
      </w:r>
      <w:r w:rsidR="006067CB">
        <w:rPr>
          <w:rFonts w:cstheme="minorHAnsi"/>
        </w:rPr>
        <w:t xml:space="preserve">discharge date </w:t>
      </w:r>
      <w:r w:rsidR="00B35205" w:rsidRPr="0017725B">
        <w:rPr>
          <w:rFonts w:cstheme="minorHAnsi"/>
        </w:rPr>
        <w:t xml:space="preserve">of a previous case. A prior history </w:t>
      </w:r>
      <w:r w:rsidR="007D1619" w:rsidRPr="0017725B">
        <w:rPr>
          <w:rFonts w:cstheme="minorHAnsi"/>
        </w:rPr>
        <w:t>was defined</w:t>
      </w:r>
      <w:r w:rsidR="00B35205" w:rsidRPr="0017725B">
        <w:rPr>
          <w:rFonts w:cstheme="minorHAnsi"/>
        </w:rPr>
        <w:t xml:space="preserve"> as an admission </w:t>
      </w:r>
      <w:r w:rsidR="00053462" w:rsidRPr="0017725B">
        <w:rPr>
          <w:rFonts w:cstheme="minorHAnsi"/>
        </w:rPr>
        <w:t>not matched to a case, that occurred more than 30 days</w:t>
      </w:r>
      <w:r w:rsidR="00B35205" w:rsidRPr="0017725B">
        <w:rPr>
          <w:rFonts w:cstheme="minorHAnsi"/>
        </w:rPr>
        <w:t xml:space="preserve"> after the </w:t>
      </w:r>
      <w:r w:rsidR="006067CB">
        <w:rPr>
          <w:rFonts w:cstheme="minorHAnsi"/>
        </w:rPr>
        <w:t>discharge</w:t>
      </w:r>
      <w:r w:rsidR="006067CB" w:rsidRPr="0017725B">
        <w:rPr>
          <w:rFonts w:cstheme="minorHAnsi"/>
        </w:rPr>
        <w:t xml:space="preserve"> </w:t>
      </w:r>
      <w:r w:rsidR="00B35205" w:rsidRPr="0017725B">
        <w:rPr>
          <w:rFonts w:cstheme="minorHAnsi"/>
        </w:rPr>
        <w:t xml:space="preserve">date of a previous case. </w:t>
      </w:r>
    </w:p>
    <w:p w14:paraId="2C516C68" w14:textId="41AEAE4E" w:rsidR="00B35205" w:rsidRPr="0017725B" w:rsidRDefault="00F353B3" w:rsidP="008B09E8">
      <w:pPr>
        <w:rPr>
          <w:rFonts w:cstheme="minorHAnsi"/>
        </w:rPr>
      </w:pPr>
      <w:r w:rsidRPr="0017725B">
        <w:rPr>
          <w:rFonts w:cstheme="minorHAnsi"/>
          <w:b/>
        </w:rPr>
        <w:br/>
      </w:r>
      <w:r w:rsidR="008B09E8" w:rsidRPr="0017725B">
        <w:rPr>
          <w:rFonts w:cstheme="minorHAnsi"/>
        </w:rPr>
        <w:t>In Oxford</w:t>
      </w:r>
      <w:r w:rsidR="00F16F87" w:rsidRPr="0017725B">
        <w:rPr>
          <w:rFonts w:cstheme="minorHAnsi"/>
        </w:rPr>
        <w:t>shire</w:t>
      </w:r>
      <w:r w:rsidR="008B09E8" w:rsidRPr="0017725B">
        <w:rPr>
          <w:rFonts w:cstheme="minorHAnsi"/>
        </w:rPr>
        <w:t xml:space="preserve">, a </w:t>
      </w:r>
      <w:r w:rsidR="00C533DA" w:rsidRPr="0017725B">
        <w:rPr>
          <w:rFonts w:cstheme="minorHAnsi"/>
        </w:rPr>
        <w:t xml:space="preserve">clinical </w:t>
      </w:r>
      <w:r w:rsidR="008B09E8" w:rsidRPr="0017725B">
        <w:rPr>
          <w:rFonts w:cstheme="minorHAnsi"/>
        </w:rPr>
        <w:t xml:space="preserve">case was defined </w:t>
      </w:r>
      <w:r w:rsidR="00F16F87" w:rsidRPr="0017725B">
        <w:rPr>
          <w:rFonts w:cstheme="minorHAnsi"/>
        </w:rPr>
        <w:t xml:space="preserve">at audit </w:t>
      </w:r>
      <w:r w:rsidR="008B09E8" w:rsidRPr="0017725B">
        <w:rPr>
          <w:rFonts w:cstheme="minorHAnsi"/>
        </w:rPr>
        <w:t xml:space="preserve">as an admission where a new diagnosis of </w:t>
      </w:r>
      <w:r w:rsidR="00C533DA" w:rsidRPr="0017725B">
        <w:rPr>
          <w:rFonts w:cstheme="minorHAnsi"/>
        </w:rPr>
        <w:t xml:space="preserve">Duke </w:t>
      </w:r>
      <w:r w:rsidR="00347BF2" w:rsidRPr="0017725B">
        <w:rPr>
          <w:rFonts w:cstheme="minorHAnsi"/>
        </w:rPr>
        <w:t>definite/possible</w:t>
      </w:r>
      <w:r w:rsidR="00C533DA" w:rsidRPr="0017725B">
        <w:rPr>
          <w:rFonts w:cstheme="minorHAnsi"/>
        </w:rPr>
        <w:t xml:space="preserve"> </w:t>
      </w:r>
      <w:r w:rsidR="008B09E8" w:rsidRPr="0017725B">
        <w:rPr>
          <w:rFonts w:cstheme="minorHAnsi"/>
        </w:rPr>
        <w:t xml:space="preserve">endocarditis was made (or a new </w:t>
      </w:r>
      <w:r w:rsidR="00C533DA" w:rsidRPr="0017725B">
        <w:rPr>
          <w:rFonts w:cstheme="minorHAnsi"/>
        </w:rPr>
        <w:t>genuine</w:t>
      </w:r>
      <w:r w:rsidR="008B09E8" w:rsidRPr="0017725B">
        <w:rPr>
          <w:rFonts w:cstheme="minorHAnsi"/>
        </w:rPr>
        <w:t xml:space="preserve"> recurrence, including recurrence in a new prosthetic valve after surgery for </w:t>
      </w:r>
      <w:r w:rsidR="00C533DA" w:rsidRPr="0017725B">
        <w:rPr>
          <w:rFonts w:cstheme="minorHAnsi"/>
        </w:rPr>
        <w:t>infective endocarditis</w:t>
      </w:r>
      <w:r w:rsidR="008B09E8" w:rsidRPr="0017725B">
        <w:rPr>
          <w:rFonts w:cstheme="minorHAnsi"/>
        </w:rPr>
        <w:t xml:space="preserve">). A readmission was classified if the admission was for management of complications of a known </w:t>
      </w:r>
      <w:r w:rsidR="00C533DA" w:rsidRPr="0017725B">
        <w:rPr>
          <w:rFonts w:cstheme="minorHAnsi"/>
        </w:rPr>
        <w:t xml:space="preserve">prior </w:t>
      </w:r>
      <w:r w:rsidR="008B09E8" w:rsidRPr="0017725B">
        <w:rPr>
          <w:rFonts w:cstheme="minorHAnsi"/>
        </w:rPr>
        <w:t>episode of endocarditis</w:t>
      </w:r>
      <w:r w:rsidR="00C533DA" w:rsidRPr="0017725B">
        <w:rPr>
          <w:rFonts w:cstheme="minorHAnsi"/>
        </w:rPr>
        <w:t xml:space="preserve">, and the readmission date was within 30 days of a previous </w:t>
      </w:r>
      <w:r w:rsidR="006067CB">
        <w:rPr>
          <w:rFonts w:cstheme="minorHAnsi"/>
        </w:rPr>
        <w:t>discharge</w:t>
      </w:r>
      <w:r w:rsidR="00C533DA" w:rsidRPr="0017725B">
        <w:rPr>
          <w:rFonts w:cstheme="minorHAnsi"/>
        </w:rPr>
        <w:t xml:space="preserve"> date for endocarditis</w:t>
      </w:r>
      <w:r w:rsidR="008B09E8" w:rsidRPr="0017725B">
        <w:rPr>
          <w:rFonts w:cstheme="minorHAnsi"/>
        </w:rPr>
        <w:t>.</w:t>
      </w:r>
      <w:r w:rsidR="005A31E2" w:rsidRPr="0017725B">
        <w:rPr>
          <w:rFonts w:cstheme="minorHAnsi"/>
        </w:rPr>
        <w:t xml:space="preserve"> A patient was defined as having a new, true second case of endocarditis (as opposed to failure of treatment/complication) if treatment for the prior episode had finished, and the managing clinician documented they felt it was a new case in the same patient. I</w:t>
      </w:r>
      <w:r w:rsidR="008B09E8" w:rsidRPr="0017725B">
        <w:rPr>
          <w:rFonts w:cstheme="minorHAnsi"/>
        </w:rPr>
        <w:t xml:space="preserve">n the few cases where the patient was seen briefly as possible endocarditis and </w:t>
      </w:r>
      <w:r w:rsidR="00C533DA" w:rsidRPr="0017725B">
        <w:rPr>
          <w:rFonts w:cstheme="minorHAnsi"/>
        </w:rPr>
        <w:t xml:space="preserve">then </w:t>
      </w:r>
      <w:r w:rsidR="008B09E8" w:rsidRPr="0017725B">
        <w:rPr>
          <w:rFonts w:cstheme="minorHAnsi"/>
        </w:rPr>
        <w:t xml:space="preserve">sent home to await blood cultures, then readmitted later when cultures were flagged positive, </w:t>
      </w:r>
      <w:r w:rsidR="00C533DA" w:rsidRPr="0017725B">
        <w:rPr>
          <w:rFonts w:cstheme="minorHAnsi"/>
        </w:rPr>
        <w:t>the review</w:t>
      </w:r>
      <w:r w:rsidR="008B09E8" w:rsidRPr="0017725B">
        <w:rPr>
          <w:rFonts w:cstheme="minorHAnsi"/>
        </w:rPr>
        <w:t xml:space="preserve"> counted the second admission as a </w:t>
      </w:r>
      <w:r w:rsidR="00C533DA" w:rsidRPr="0017725B">
        <w:rPr>
          <w:rFonts w:cstheme="minorHAnsi"/>
        </w:rPr>
        <w:t>clinical</w:t>
      </w:r>
      <w:r w:rsidR="008B09E8" w:rsidRPr="0017725B">
        <w:rPr>
          <w:rFonts w:cstheme="minorHAnsi"/>
        </w:rPr>
        <w:t xml:space="preserve"> case, and the first, short admission as a readmission (technically a preadmission).</w:t>
      </w:r>
    </w:p>
    <w:p w14:paraId="3408DA32" w14:textId="568648C3" w:rsidR="00482595" w:rsidRPr="0017725B" w:rsidRDefault="00482595" w:rsidP="008B09E8">
      <w:pPr>
        <w:rPr>
          <w:rFonts w:cstheme="minorHAnsi"/>
        </w:rPr>
      </w:pPr>
    </w:p>
    <w:p w14:paraId="356515CA" w14:textId="77777777" w:rsidR="00482595" w:rsidRPr="0017725B" w:rsidRDefault="00482595" w:rsidP="007B368E">
      <w:pPr>
        <w:pStyle w:val="ListParagraph"/>
        <w:numPr>
          <w:ilvl w:val="0"/>
          <w:numId w:val="39"/>
        </w:numPr>
        <w:rPr>
          <w:rFonts w:cstheme="minorHAnsi"/>
          <w:b/>
        </w:rPr>
      </w:pPr>
      <w:r w:rsidRPr="0017725B">
        <w:rPr>
          <w:rFonts w:cstheme="minorHAnsi"/>
          <w:b/>
        </w:rPr>
        <w:t xml:space="preserve">Oxford audit and review of endocarditis coding description </w:t>
      </w:r>
    </w:p>
    <w:p w14:paraId="0201B3A3" w14:textId="6561B635" w:rsidR="00482595" w:rsidRPr="0017725B" w:rsidRDefault="00482595" w:rsidP="00482595">
      <w:pPr>
        <w:rPr>
          <w:rFonts w:cstheme="minorHAnsi"/>
        </w:rPr>
      </w:pPr>
      <w:r w:rsidRPr="0017725B">
        <w:rPr>
          <w:rFonts w:cstheme="minorHAnsi"/>
        </w:rPr>
        <w:t xml:space="preserve">In Oxford, electronic and paper notes from endocarditis-coded admissions 2010-2016 were retrospectively reviewed in an audit of endocarditis coding accuracy. Admissions were assessed as to whether the features a case of endocarditis </w:t>
      </w:r>
      <w:r w:rsidR="00AA35D6" w:rsidRPr="0017725B">
        <w:rPr>
          <w:rFonts w:cstheme="minorHAnsi"/>
        </w:rPr>
        <w:t xml:space="preserve">were present </w:t>
      </w:r>
      <w:r w:rsidRPr="0017725B">
        <w:rPr>
          <w:rFonts w:cstheme="minorHAnsi"/>
        </w:rPr>
        <w:t>according to modified Duke Criteria</w:t>
      </w:r>
      <w:r w:rsidRPr="0017725B">
        <w:rPr>
          <w:rFonts w:cstheme="minorHAnsi"/>
        </w:rPr>
        <w:fldChar w:fldCharType="begin"/>
      </w:r>
      <w:r w:rsidRPr="0017725B">
        <w:rPr>
          <w:rFonts w:cstheme="minorHAnsi"/>
        </w:rPr>
        <w:instrText xml:space="preserve"> ADDIN EN.CITE &lt;EndNote&gt;&lt;Cite&gt;&lt;Author&gt;Li&lt;/Author&gt;&lt;Year&gt;2000&lt;/Year&gt;&lt;RecNum&gt;0&lt;/RecNum&gt;&lt;IDText&gt;Proposed modifications to the Duke criteria for the diagnosis of infective endocarditis&lt;/IDText&gt;&lt;DisplayText&gt;&lt;style face="superscript"&gt;1&lt;/style&gt;&lt;/DisplayText&gt;&lt;record&gt;&lt;dates&gt;&lt;pub-dates&gt;&lt;date&gt;Apr&lt;/date&gt;&lt;/pub-dates&gt;&lt;year&gt;2000&lt;/year&gt;&lt;/dates&gt;&lt;keywords&gt;&lt;keyword&gt;Databases, Factual&lt;/keyword&gt;&lt;keyword&gt;Echocardiography, Transesophageal&lt;/keyword&gt;&lt;keyword&gt;Endocarditis, Bacterial&lt;/keyword&gt;&lt;keyword&gt;Humans&lt;/keyword&gt;&lt;/keywords&gt;&lt;urls&gt;&lt;related-urls&gt;&lt;url&gt;https://www.ncbi.nlm.nih.gov/pubmed/10770721&lt;/url&gt;&lt;/related-urls&gt;&lt;/urls&gt;&lt;isbn&gt;1058-4838&lt;/isbn&gt;&lt;titles&gt;&lt;title&gt;Proposed modifications to the Duke criteria for the diagnosis of infective endocarditis&lt;/title&gt;&lt;secondary-title&gt;Clin Infect Dis&lt;/secondary-title&gt;&lt;/titles&gt;&lt;pages&gt;633-8&lt;/pages&gt;&lt;number&gt;4&lt;/number&gt;&lt;contributors&gt;&lt;authors&gt;&lt;author&gt;Li, J. S.&lt;/author&gt;&lt;author&gt;Sexton, D. J.&lt;/author&gt;&lt;author&gt;Mick, N.&lt;/author&gt;&lt;author&gt;Nettles, R.&lt;/author&gt;&lt;author&gt;Fowler, V. G.&lt;/author&gt;&lt;author&gt;Ryan, T.&lt;/author&gt;&lt;author&gt;Bashore, T.&lt;/author&gt;&lt;author&gt;Corey, G. R.&lt;/author&gt;&lt;/authors&gt;&lt;/contributors&gt;&lt;edition&gt;2000/04/03&lt;/edition&gt;&lt;language&gt;eng&lt;/language&gt;&lt;added-date format="utc"&gt;1505916127&lt;/added-date&gt;&lt;ref-type name="Journal Article"&gt;17&lt;/ref-type&gt;&lt;rec-number&gt;590&lt;/rec-number&gt;&lt;last-updated-date format="utc"&gt;1505916127&lt;/last-updated-date&gt;&lt;accession-num&gt;10770721&lt;/accession-num&gt;&lt;electronic-resource-num&gt;10.1086/313753&lt;/electronic-resource-num&gt;&lt;volume&gt;30&lt;/volume&gt;&lt;/record&gt;&lt;/Cite&gt;&lt;/EndNote&gt;</w:instrText>
      </w:r>
      <w:r w:rsidRPr="0017725B">
        <w:rPr>
          <w:rFonts w:cstheme="minorHAnsi"/>
        </w:rPr>
        <w:fldChar w:fldCharType="separate"/>
      </w:r>
      <w:r w:rsidRPr="0017725B">
        <w:rPr>
          <w:rFonts w:cstheme="minorHAnsi"/>
          <w:noProof/>
          <w:vertAlign w:val="superscript"/>
        </w:rPr>
        <w:t>1</w:t>
      </w:r>
      <w:r w:rsidRPr="0017725B">
        <w:rPr>
          <w:rFonts w:cstheme="minorHAnsi"/>
        </w:rPr>
        <w:fldChar w:fldCharType="end"/>
      </w:r>
      <w:r w:rsidRPr="0017725B">
        <w:rPr>
          <w:rFonts w:cstheme="minorHAnsi"/>
        </w:rPr>
        <w:t xml:space="preserve"> by a clinician (BY, LP, NJF) (</w:t>
      </w:r>
      <w:r w:rsidR="00556A6E" w:rsidRPr="0017725B">
        <w:rPr>
          <w:rFonts w:cstheme="minorHAnsi"/>
        </w:rPr>
        <w:t>Additional</w:t>
      </w:r>
      <w:r w:rsidRPr="0017725B">
        <w:rPr>
          <w:rFonts w:cstheme="minorHAnsi"/>
        </w:rPr>
        <w:t xml:space="preserve"> </w:t>
      </w:r>
      <w:r w:rsidR="00243C97">
        <w:rPr>
          <w:rFonts w:cstheme="minorHAnsi"/>
        </w:rPr>
        <w:t>File 6: Figure S2</w:t>
      </w:r>
      <w:r w:rsidRPr="0017725B">
        <w:rPr>
          <w:rFonts w:cstheme="minorHAnsi"/>
        </w:rPr>
        <w:t xml:space="preserve">). It was also recorded whether this was a </w:t>
      </w:r>
      <w:r w:rsidRPr="0017725B">
        <w:rPr>
          <w:rFonts w:eastAsia="Times New Roman" w:cstheme="minorHAnsi"/>
          <w:lang w:eastAsia="en-GB"/>
        </w:rPr>
        <w:t xml:space="preserve">readmission, complication, or featured a past history of infective endocarditis, if infective endocarditis was investigated and excluded, or no infective endocarditis was evident in medical records. </w:t>
      </w:r>
      <w:r w:rsidRPr="0017725B">
        <w:rPr>
          <w:rFonts w:cstheme="minorHAnsi"/>
        </w:rPr>
        <w:t xml:space="preserve">Ambiguous cases were reviewed by a second and if necessary third clinician, to achieve consensus by majority. A random set of 41 admissions were reviewed by two clinicians. There were </w:t>
      </w:r>
      <w:r w:rsidRPr="0017725B">
        <w:rPr>
          <w:rFonts w:cstheme="minorHAnsi"/>
        </w:rPr>
        <w:lastRenderedPageBreak/>
        <w:t>two discrepancies where one reviewer had misrecorded a staphylococcal wound culture as being a blood culture, and another where one reviewer had not seen a third blood culture. Findings were reviewed with the clinical coding team. Five admissions with an endocarditis code and no history of endocarditis were reviewed in detail, with the full coding process followed including use of both international and England-based</w:t>
      </w:r>
      <w:r w:rsidRPr="0017725B">
        <w:rPr>
          <w:rFonts w:cstheme="minorHAnsi"/>
        </w:rPr>
        <w:fldChar w:fldCharType="begin"/>
      </w:r>
      <w:r w:rsidRPr="0017725B">
        <w:rPr>
          <w:rFonts w:cstheme="minorHAnsi"/>
        </w:rPr>
        <w:instrText xml:space="preserve"> ADDIN EN.CITE &lt;EndNote&gt;&lt;Cite&gt;&lt;Year&gt;2013&lt;/Year&gt;&lt;RecNum&gt;0&lt;/RecNum&gt;&lt;IDText&gt;National Clinical Coding Standards ICD-10 4th Edition&lt;/IDText&gt;&lt;DisplayText&gt;&lt;style face="superscript"&gt;2,3&lt;/style&gt;&lt;/DisplayText&gt;&lt;record&gt;&lt;titles&gt;&lt;title&gt;National Clinical Coding Standards ICD-10 4th Edition&lt;/title&gt;&lt;/titles&gt;&lt;added-date format="utc"&gt;1535459983&lt;/added-date&gt;&lt;ref-type name="Book"&gt;6&lt;/ref-type&gt;&lt;dates&gt;&lt;year&gt;2013&lt;/year&gt;&lt;/dates&gt;&lt;rec-number&gt;739&lt;/rec-number&gt;&lt;publisher&gt;NHS Classifications Service, Health and Social Care Information Centre, UK&lt;/publisher&gt;&lt;last-updated-date format="utc"&gt;1535460030&lt;/last-updated-date&gt;&lt;/record&gt;&lt;/Cite&gt;&lt;Cite&gt;&lt;Year&gt;2017&lt;/Year&gt;&lt;RecNum&gt;0&lt;/RecNum&gt;&lt;IDText&gt;ICD-10-CM Official Guidelines for Coding and Reporting&lt;/IDText&gt;&lt;record&gt;&lt;titles&gt;&lt;title&gt;ICD-10-CM Official Guidelines for Coding and Reporting&lt;/title&gt;&lt;/titles&gt;&lt;added-date format="utc"&gt;1528118448&lt;/added-date&gt;&lt;ref-type name="Government Document"&gt;46&lt;/ref-type&gt;&lt;dates&gt;&lt;year&gt;2017&lt;/year&gt;&lt;/dates&gt;&lt;rec-number&gt;725&lt;/rec-number&gt;&lt;publisher&gt;U.S. Department of Health and Human Services&lt;/publisher&gt;&lt;last-updated-date format="utc"&gt;1528118570&lt;/last-updated-date&gt;&lt;/record&gt;&lt;/Cite&gt;&lt;/EndNote&gt;</w:instrText>
      </w:r>
      <w:r w:rsidRPr="0017725B">
        <w:rPr>
          <w:rFonts w:cstheme="minorHAnsi"/>
        </w:rPr>
        <w:fldChar w:fldCharType="separate"/>
      </w:r>
      <w:r w:rsidRPr="0017725B">
        <w:rPr>
          <w:rFonts w:cstheme="minorHAnsi"/>
          <w:noProof/>
          <w:vertAlign w:val="superscript"/>
        </w:rPr>
        <w:t>2,3</w:t>
      </w:r>
      <w:r w:rsidRPr="0017725B">
        <w:rPr>
          <w:rFonts w:cstheme="minorHAnsi"/>
        </w:rPr>
        <w:fldChar w:fldCharType="end"/>
      </w:r>
      <w:r w:rsidRPr="0017725B">
        <w:rPr>
          <w:rFonts w:cstheme="minorHAnsi"/>
        </w:rPr>
        <w:t xml:space="preserve"> coding guidance and alphabetical indices</w:t>
      </w:r>
      <w:r w:rsidRPr="0017725B">
        <w:rPr>
          <w:rFonts w:cstheme="minorHAnsi"/>
        </w:rPr>
        <w:fldChar w:fldCharType="begin"/>
      </w:r>
      <w:r w:rsidRPr="0017725B">
        <w:rPr>
          <w:rFonts w:cstheme="minorHAnsi"/>
        </w:rPr>
        <w:instrText xml:space="preserve"> ADDIN EN.CITE &lt;EndNote&gt;&lt;Cite&gt;&lt;Year&gt;2013&lt;/Year&gt;&lt;RecNum&gt;0&lt;/RecNum&gt;&lt;IDText&gt;ICD-10 Alphabetical Index Fourth edition&lt;/IDText&gt;&lt;DisplayText&gt;&lt;style face="superscript"&gt;4&lt;/style&gt;&lt;/DisplayText&gt;&lt;record&gt;&lt;titles&gt;&lt;title&gt;ICD-10 Alphabetical Index Fourth edition&lt;/title&gt;&lt;/titles&gt;&lt;added-date format="utc"&gt;1536846038&lt;/added-date&gt;&lt;ref-type name="Generic"&gt;13&lt;/ref-type&gt;&lt;dates&gt;&lt;year&gt;2013&lt;/year&gt;&lt;/dates&gt;&lt;rec-number&gt;740&lt;/rec-number&gt;&lt;publisher&gt;World Health Organisation&lt;/publisher&gt;&lt;last-updated-date format="utc"&gt;1536846166&lt;/last-updated-date&gt;&lt;/record&gt;&lt;/Cite&gt;&lt;/EndNote&gt;</w:instrText>
      </w:r>
      <w:r w:rsidRPr="0017725B">
        <w:rPr>
          <w:rFonts w:cstheme="minorHAnsi"/>
        </w:rPr>
        <w:fldChar w:fldCharType="separate"/>
      </w:r>
      <w:r w:rsidRPr="0017725B">
        <w:rPr>
          <w:rFonts w:cstheme="minorHAnsi"/>
          <w:noProof/>
          <w:vertAlign w:val="superscript"/>
        </w:rPr>
        <w:t>4</w:t>
      </w:r>
      <w:r w:rsidRPr="0017725B">
        <w:rPr>
          <w:rFonts w:cstheme="minorHAnsi"/>
        </w:rPr>
        <w:fldChar w:fldCharType="end"/>
      </w:r>
      <w:r w:rsidRPr="0017725B">
        <w:rPr>
          <w:rFonts w:cstheme="minorHAnsi"/>
        </w:rPr>
        <w:t xml:space="preserve">. </w:t>
      </w:r>
    </w:p>
    <w:p w14:paraId="78A24B76" w14:textId="77777777" w:rsidR="00482595" w:rsidRPr="0017725B" w:rsidRDefault="00482595" w:rsidP="008B09E8">
      <w:pPr>
        <w:rPr>
          <w:rFonts w:cstheme="minorHAnsi"/>
        </w:rPr>
      </w:pPr>
    </w:p>
    <w:p w14:paraId="01A3F5C9" w14:textId="266D9B7D" w:rsidR="00B3029E" w:rsidRPr="0017725B" w:rsidRDefault="00B3029E" w:rsidP="008B09E8">
      <w:pPr>
        <w:rPr>
          <w:rFonts w:cstheme="minorHAnsi"/>
        </w:rPr>
      </w:pPr>
    </w:p>
    <w:p w14:paraId="198B6D2D" w14:textId="2018E5BE" w:rsidR="00B3029E" w:rsidRPr="0017725B" w:rsidRDefault="00B3029E" w:rsidP="007B368E">
      <w:pPr>
        <w:pStyle w:val="ListParagraph"/>
        <w:numPr>
          <w:ilvl w:val="0"/>
          <w:numId w:val="39"/>
        </w:numPr>
        <w:rPr>
          <w:rFonts w:cstheme="minorHAnsi"/>
          <w:b/>
        </w:rPr>
      </w:pPr>
      <w:r w:rsidRPr="0017725B">
        <w:rPr>
          <w:rFonts w:cstheme="minorHAnsi"/>
          <w:b/>
        </w:rPr>
        <w:t xml:space="preserve">Normalisation to Population data </w:t>
      </w:r>
    </w:p>
    <w:p w14:paraId="73EEF311" w14:textId="2C86B67A" w:rsidR="00FC7D33" w:rsidRPr="0017725B" w:rsidRDefault="006F2945" w:rsidP="00744754">
      <w:pPr>
        <w:rPr>
          <w:rFonts w:cstheme="minorHAnsi"/>
        </w:rPr>
      </w:pPr>
      <w:r w:rsidRPr="0017725B">
        <w:rPr>
          <w:rFonts w:cstheme="minorHAnsi"/>
        </w:rPr>
        <w:t>Population data was obtained from the Office of National Stati</w:t>
      </w:r>
      <w:r w:rsidR="000853EE" w:rsidRPr="0017725B">
        <w:rPr>
          <w:rFonts w:cstheme="minorHAnsi"/>
        </w:rPr>
        <w:t xml:space="preserve">stics, available for 2001-2016. </w:t>
      </w:r>
      <w:r w:rsidRPr="0017725B">
        <w:rPr>
          <w:rFonts w:cstheme="minorHAnsi"/>
        </w:rPr>
        <w:t>Population data for the Leeds Local Authority District was used to represent catchment area for Leeds Teaching Hospital NHS trust, with 2016 data on population served (781,087) matching closely to quoted figures from official Trust reports of 780,000 in 2016</w:t>
      </w:r>
      <w:r w:rsidR="00E46C8B" w:rsidRPr="0017725B">
        <w:rPr>
          <w:rFonts w:cstheme="minorHAnsi"/>
        </w:rPr>
        <w:fldChar w:fldCharType="begin"/>
      </w:r>
      <w:r w:rsidR="00E46C8B" w:rsidRPr="0017725B">
        <w:rPr>
          <w:rFonts w:cstheme="minorHAnsi"/>
        </w:rPr>
        <w:instrText xml:space="preserve"> ADDIN EN.CITE &lt;EndNote&gt;&lt;Cite&gt;&lt;Author&gt;Oxford&lt;/Author&gt;&lt;IDText&gt;Annual Report and Accounts for 1 Oct 2015 - 31 March 2016&lt;/IDText&gt;&lt;DisplayText&gt;&lt;style face="superscript"&gt;5&lt;/style&gt;&lt;/DisplayText&gt;&lt;record&gt;&lt;titles&gt;&lt;title&gt;Annual Report and Accounts for 1 Oct 2015 - 31 March 2016&lt;/title&gt;&lt;/titles&gt;&lt;contributors&gt;&lt;authors&gt;&lt;author&gt;Oxford University Hospitals NHS Foundation Trust&lt;/author&gt;&lt;/authors&gt;&lt;/contributors&gt;&lt;added-date format="utc"&gt;1528914746&lt;/added-date&gt;&lt;ref-type name="Report"&gt;27&lt;/ref-type&gt;&lt;rec-number&gt;727&lt;/rec-number&gt;&lt;last-updated-date format="utc"&gt;1528914802&lt;/last-updated-date&gt;&lt;/record&gt;&lt;/Cite&gt;&lt;/EndNote&gt;</w:instrText>
      </w:r>
      <w:r w:rsidR="00E46C8B" w:rsidRPr="0017725B">
        <w:rPr>
          <w:rFonts w:cstheme="minorHAnsi"/>
        </w:rPr>
        <w:fldChar w:fldCharType="separate"/>
      </w:r>
      <w:r w:rsidR="00E46C8B" w:rsidRPr="0017725B">
        <w:rPr>
          <w:rFonts w:cstheme="minorHAnsi"/>
          <w:noProof/>
          <w:vertAlign w:val="superscript"/>
        </w:rPr>
        <w:t>5</w:t>
      </w:r>
      <w:r w:rsidR="00E46C8B" w:rsidRPr="0017725B">
        <w:rPr>
          <w:rFonts w:cstheme="minorHAnsi"/>
        </w:rPr>
        <w:fldChar w:fldCharType="end"/>
      </w:r>
      <w:r w:rsidRPr="0017725B">
        <w:rPr>
          <w:rFonts w:cstheme="minorHAnsi"/>
        </w:rPr>
        <w:t>.</w:t>
      </w:r>
      <w:r w:rsidR="00FC7D33" w:rsidRPr="0017725B">
        <w:rPr>
          <w:rFonts w:cstheme="minorHAnsi"/>
        </w:rPr>
        <w:t xml:space="preserve"> The trust takes a small number of referrals from other hospitals in the region, but this information was not recorded in the Leeds Endocarditis Service Database. Using Leeds population data only may thus slightly over-estimate incidence per population head, but given population growth was similar in Leeds and surrounding areas</w:t>
      </w:r>
      <w:r w:rsidR="00FC7D33" w:rsidRPr="0017725B">
        <w:rPr>
          <w:rFonts w:cstheme="minorHAnsi"/>
        </w:rPr>
        <w:fldChar w:fldCharType="begin"/>
      </w:r>
      <w:r w:rsidR="00FC7D33" w:rsidRPr="0017725B">
        <w:rPr>
          <w:rFonts w:cstheme="minorHAnsi"/>
        </w:rPr>
        <w:instrText xml:space="preserve"> ADDIN EN.CITE &lt;EndNote&gt;&lt;Cite&gt;&lt;Year&gt;2001-2016&lt;/Year&gt;&lt;IDText&gt;Population Estimates for UK, England and Wales, Scotland and Northern Ireland&lt;/IDText&gt;&lt;DisplayText&gt;&lt;style face="superscript"&gt;6&lt;/style&gt;&lt;/DisplayText&gt;&lt;record&gt;&lt;titles&gt;&lt;title&gt;Population Estimates for UK, England and Wales, Scotland and Northern Ireland&lt;/title&gt;&lt;/titles&gt;&lt;added-date format="utc"&gt;1528910903&lt;/added-date&gt;&lt;ref-type name="Dataset"&gt;59&lt;/ref-type&gt;&lt;dates&gt;&lt;year&gt;2001-2016&lt;/year&gt;&lt;/dates&gt;&lt;rec-number&gt;726&lt;/rec-number&gt;&lt;last-updated-date format="utc"&gt;1528910919&lt;/last-updated-date&gt;&lt;contributors&gt;&lt;secondary-authors&gt;&lt;author&gt;The Office for National Statistics, UK&lt;/author&gt;&lt;/secondary-authors&gt;&lt;/contributors&gt;&lt;/record&gt;&lt;/Cite&gt;&lt;/EndNote&gt;</w:instrText>
      </w:r>
      <w:r w:rsidR="00FC7D33" w:rsidRPr="0017725B">
        <w:rPr>
          <w:rFonts w:cstheme="minorHAnsi"/>
        </w:rPr>
        <w:fldChar w:fldCharType="separate"/>
      </w:r>
      <w:r w:rsidR="00FC7D33" w:rsidRPr="0017725B">
        <w:rPr>
          <w:rFonts w:cstheme="minorHAnsi"/>
          <w:noProof/>
          <w:vertAlign w:val="superscript"/>
        </w:rPr>
        <w:t>6</w:t>
      </w:r>
      <w:r w:rsidR="00FC7D33" w:rsidRPr="0017725B">
        <w:rPr>
          <w:rFonts w:cstheme="minorHAnsi"/>
        </w:rPr>
        <w:fldChar w:fldCharType="end"/>
      </w:r>
      <w:r w:rsidR="00FC7D33" w:rsidRPr="0017725B">
        <w:rPr>
          <w:rFonts w:cstheme="minorHAnsi"/>
        </w:rPr>
        <w:t xml:space="preserve">, should not affect incidence trends.  </w:t>
      </w:r>
    </w:p>
    <w:p w14:paraId="7998D87C" w14:textId="77777777" w:rsidR="00FC7D33" w:rsidRPr="0017725B" w:rsidRDefault="00FC7D33" w:rsidP="00744754">
      <w:pPr>
        <w:rPr>
          <w:rFonts w:cstheme="minorHAnsi"/>
        </w:rPr>
      </w:pPr>
    </w:p>
    <w:p w14:paraId="283E4C6F" w14:textId="763151C7" w:rsidR="00B3029E" w:rsidRDefault="006F2945" w:rsidP="00744754">
      <w:pPr>
        <w:rPr>
          <w:rFonts w:cstheme="minorHAnsi"/>
        </w:rPr>
      </w:pPr>
      <w:r w:rsidRPr="0017725B">
        <w:rPr>
          <w:rFonts w:cstheme="minorHAnsi"/>
        </w:rPr>
        <w:t xml:space="preserve"> For Oxfordshire data, population was evaluated as population in Oxford, South Oxfordshire, West Oxfordshire, Vale of White Horse and Cherwell Local Authority Districts (collectively part of Oxfordshire county), all of which have hospitals where Oxford University Hospitals is the tertiary referral service, and combined population data (678, 484) of closely matches trust reports for 2016/17 (655,000)</w:t>
      </w:r>
      <w:r w:rsidRPr="0017725B">
        <w:rPr>
          <w:rFonts w:cstheme="minorHAnsi"/>
        </w:rPr>
        <w:fldChar w:fldCharType="begin"/>
      </w:r>
      <w:r w:rsidR="00FC7D33" w:rsidRPr="0017725B">
        <w:rPr>
          <w:rFonts w:cstheme="minorHAnsi"/>
        </w:rPr>
        <w:instrText xml:space="preserve"> ADDIN EN.CITE &lt;EndNote&gt;&lt;Cite&gt;&lt;Year&gt;2014&lt;/Year&gt;&lt;IDText&gt;Oxford University Hospitals NHS Trust Quality Report&lt;/IDText&gt;&lt;DisplayText&gt;&lt;style face="superscript"&gt;7&lt;/style&gt;&lt;/DisplayText&gt;&lt;record&gt;&lt;titles&gt;&lt;title&gt;Oxford University Hospitals NHS Trust Quality Report&lt;/title&gt;&lt;/titles&gt;&lt;added-date format="utc"&gt;1511197742&lt;/added-date&gt;&lt;ref-type name="Government Document"&gt;46&lt;/ref-type&gt;&lt;dates&gt;&lt;year&gt;2014&lt;/year&gt;&lt;/dates&gt;&lt;rec-number&gt;632&lt;/rec-number&gt;&lt;publisher&gt;Care Quality Commission&lt;/publisher&gt;&lt;last-updated-date format="utc"&gt;1511197854&lt;/last-updated-date&gt;&lt;/record&gt;&lt;/Cite&gt;&lt;/EndNote&gt;</w:instrText>
      </w:r>
      <w:r w:rsidRPr="0017725B">
        <w:rPr>
          <w:rFonts w:cstheme="minorHAnsi"/>
        </w:rPr>
        <w:fldChar w:fldCharType="separate"/>
      </w:r>
      <w:r w:rsidR="00FC7D33" w:rsidRPr="0017725B">
        <w:rPr>
          <w:rFonts w:cstheme="minorHAnsi"/>
          <w:noProof/>
          <w:vertAlign w:val="superscript"/>
        </w:rPr>
        <w:t>7</w:t>
      </w:r>
      <w:r w:rsidRPr="0017725B">
        <w:rPr>
          <w:rFonts w:cstheme="minorHAnsi"/>
        </w:rPr>
        <w:fldChar w:fldCharType="end"/>
      </w:r>
      <w:r w:rsidRPr="0017725B">
        <w:rPr>
          <w:rFonts w:cstheme="minorHAnsi"/>
        </w:rPr>
        <w:t xml:space="preserve">. </w:t>
      </w:r>
      <w:r w:rsidR="00B3029E" w:rsidRPr="0017725B">
        <w:rPr>
          <w:rFonts w:cstheme="minorHAnsi"/>
        </w:rPr>
        <w:t xml:space="preserve"> </w:t>
      </w:r>
    </w:p>
    <w:p w14:paraId="003D0B16" w14:textId="77777777" w:rsidR="00243C97" w:rsidRPr="0017725B" w:rsidRDefault="00243C97" w:rsidP="00744754">
      <w:pPr>
        <w:rPr>
          <w:rFonts w:cstheme="minorHAnsi"/>
        </w:rPr>
      </w:pPr>
    </w:p>
    <w:p w14:paraId="2E9ADDE1" w14:textId="2D9A9A4F" w:rsidR="006F2945" w:rsidRPr="0017725B" w:rsidRDefault="00B3029E" w:rsidP="00B3029E">
      <w:pPr>
        <w:rPr>
          <w:rFonts w:cstheme="minorHAnsi"/>
        </w:rPr>
      </w:pPr>
      <w:r w:rsidRPr="0017725B">
        <w:rPr>
          <w:rFonts w:cstheme="minorHAnsi"/>
        </w:rPr>
        <w:t>Where incidence of endocarditis-coded admissions with blood culture data analysis was performed, results of blood cultures taken at time of admission were only available for patients admitted directly to the John Radcliffe Hospital or Horton Hospital. In this case, number of admissions was normalised</w:t>
      </w:r>
      <w:r w:rsidR="006F2945" w:rsidRPr="0017725B">
        <w:rPr>
          <w:rFonts w:cstheme="minorHAnsi"/>
        </w:rPr>
        <w:t xml:space="preserve"> to population of Oxford alone.</w:t>
      </w:r>
    </w:p>
    <w:p w14:paraId="74E69DB2" w14:textId="77777777" w:rsidR="00926855" w:rsidRPr="0017725B" w:rsidRDefault="00926855" w:rsidP="00B3029E">
      <w:pPr>
        <w:rPr>
          <w:rFonts w:cstheme="minorHAnsi"/>
          <w:b/>
        </w:rPr>
      </w:pPr>
    </w:p>
    <w:p w14:paraId="6017B5B5" w14:textId="7C26CFBD" w:rsidR="00B3029E" w:rsidRPr="0017725B" w:rsidRDefault="00B3029E" w:rsidP="007B368E">
      <w:pPr>
        <w:pStyle w:val="ListParagraph"/>
        <w:numPr>
          <w:ilvl w:val="0"/>
          <w:numId w:val="39"/>
        </w:numPr>
        <w:rPr>
          <w:rFonts w:cstheme="minorHAnsi"/>
          <w:b/>
        </w:rPr>
      </w:pPr>
      <w:r w:rsidRPr="0017725B">
        <w:rPr>
          <w:rFonts w:eastAsia="Times New Roman" w:cstheme="minorHAnsi"/>
          <w:b/>
          <w:lang w:eastAsia="en-GB"/>
        </w:rPr>
        <w:t>Method for assigning I38 code</w:t>
      </w:r>
    </w:p>
    <w:p w14:paraId="2FE7FAEE" w14:textId="5F3FC7A8" w:rsidR="00B3029E" w:rsidRPr="0017725B" w:rsidRDefault="00B3029E" w:rsidP="00B3029E">
      <w:pPr>
        <w:rPr>
          <w:rFonts w:eastAsia="Times New Roman" w:cstheme="minorHAnsi"/>
          <w:lang w:eastAsia="en-GB"/>
        </w:rPr>
      </w:pPr>
      <w:r w:rsidRPr="0017725B">
        <w:rPr>
          <w:rFonts w:eastAsia="Times New Roman" w:cstheme="minorHAnsi"/>
          <w:lang w:eastAsia="en-GB"/>
        </w:rPr>
        <w:t xml:space="preserve">The findings regarding the use of I38 for cases without any mention of endocarditis in clinical notes was discussed with the Clinical Classifications Service, UK, </w:t>
      </w:r>
      <w:r w:rsidRPr="0017725B">
        <w:rPr>
          <w:rFonts w:cstheme="minorHAnsi"/>
        </w:rPr>
        <w:t>the definitive source of clinical coding guidance who set the national standards for ICD-10 used by the NHS,</w:t>
      </w:r>
      <w:r w:rsidRPr="0017725B">
        <w:rPr>
          <w:rFonts w:eastAsia="Times New Roman" w:cstheme="minorHAnsi"/>
          <w:lang w:eastAsia="en-GB"/>
        </w:rPr>
        <w:t xml:space="preserve"> who </w:t>
      </w:r>
      <w:r w:rsidR="00156AEB" w:rsidRPr="0017725B">
        <w:rPr>
          <w:rFonts w:eastAsia="Times New Roman" w:cstheme="minorHAnsi"/>
          <w:lang w:eastAsia="en-GB"/>
        </w:rPr>
        <w:t>responded</w:t>
      </w:r>
      <w:r w:rsidRPr="0017725B">
        <w:rPr>
          <w:rFonts w:eastAsia="Times New Roman" w:cstheme="minorHAnsi"/>
          <w:lang w:eastAsia="en-GB"/>
        </w:rPr>
        <w:t xml:space="preserve">: </w:t>
      </w:r>
    </w:p>
    <w:p w14:paraId="71924CDB" w14:textId="77777777" w:rsidR="00B3029E" w:rsidRPr="0017725B" w:rsidRDefault="00B3029E" w:rsidP="00B3029E">
      <w:pPr>
        <w:rPr>
          <w:rFonts w:cstheme="minorHAnsi"/>
          <w:i/>
          <w:shd w:val="clear" w:color="auto" w:fill="FFFFFF"/>
        </w:rPr>
      </w:pPr>
      <w:r w:rsidRPr="0017725B">
        <w:rPr>
          <w:rStyle w:val="apple-converted-space"/>
          <w:rFonts w:cstheme="minorHAnsi"/>
          <w:i/>
          <w:shd w:val="clear" w:color="auto" w:fill="FFFFFF"/>
        </w:rPr>
        <w:t>“</w:t>
      </w:r>
      <w:r w:rsidRPr="0017725B">
        <w:rPr>
          <w:rFonts w:cstheme="minorHAnsi"/>
          <w:i/>
          <w:shd w:val="clear" w:color="auto" w:fill="FFFFFF"/>
        </w:rPr>
        <w:t xml:space="preserve">The ICD-10 4th Edition is a classification, by the very nature of a classification the ICD-10 4th Edition code I38.X Endocarditis, valve unspecified, can be assigned when there is no mention of endocarditis </w:t>
      </w:r>
      <w:r w:rsidRPr="0017725B">
        <w:rPr>
          <w:rFonts w:cstheme="minorHAnsi"/>
          <w:i/>
          <w:shd w:val="clear" w:color="auto" w:fill="FFFFFF"/>
        </w:rPr>
        <w:lastRenderedPageBreak/>
        <w:t>in the medical record, but the ICD-10 alphabetical index directs you to assign a code from this category. Therefore, a coder would be correct to assign code I38 when indexing a documented diagnosis which leads the coder to assign code I38, even when the term endocarditis is not documented within the medical record.​"</w:t>
      </w:r>
    </w:p>
    <w:p w14:paraId="149B69F1" w14:textId="77777777" w:rsidR="00B3029E" w:rsidRPr="0017725B" w:rsidRDefault="00B3029E" w:rsidP="00B3029E">
      <w:pPr>
        <w:rPr>
          <w:rFonts w:cstheme="minorHAnsi"/>
          <w:i/>
          <w:shd w:val="clear" w:color="auto" w:fill="FFFFFF"/>
        </w:rPr>
      </w:pPr>
      <w:r w:rsidRPr="0017725B">
        <w:rPr>
          <w:rFonts w:cstheme="minorHAnsi"/>
          <w:i/>
          <w:shd w:val="clear" w:color="auto" w:fill="FFFFFF"/>
        </w:rPr>
        <w:t>-Clinical Classifications Service, Health and Social Care Information Centre, UK</w:t>
      </w:r>
    </w:p>
    <w:p w14:paraId="3E47A5BC" w14:textId="77777777" w:rsidR="00B3029E" w:rsidRPr="0017725B" w:rsidRDefault="00B3029E" w:rsidP="004B6EBA">
      <w:pPr>
        <w:rPr>
          <w:rFonts w:cstheme="minorHAnsi"/>
          <w:b/>
        </w:rPr>
      </w:pPr>
    </w:p>
    <w:p w14:paraId="4AD5AF2C" w14:textId="1F515C58" w:rsidR="004B6EBA" w:rsidRPr="0017725B" w:rsidRDefault="004B6EBA" w:rsidP="006067CB">
      <w:pPr>
        <w:pStyle w:val="ListParagraph"/>
        <w:numPr>
          <w:ilvl w:val="0"/>
          <w:numId w:val="39"/>
        </w:numPr>
        <w:rPr>
          <w:rFonts w:cstheme="minorHAnsi"/>
        </w:rPr>
      </w:pPr>
      <w:r w:rsidRPr="0017725B">
        <w:rPr>
          <w:rFonts w:cstheme="minorHAnsi"/>
          <w:b/>
        </w:rPr>
        <w:t xml:space="preserve">Improving agreement between admissions with an endocarditis diagnostic code and Duke </w:t>
      </w:r>
      <w:r w:rsidR="00482595" w:rsidRPr="0017725B">
        <w:rPr>
          <w:rFonts w:cstheme="minorHAnsi"/>
          <w:b/>
        </w:rPr>
        <w:t>d</w:t>
      </w:r>
      <w:r w:rsidR="00347BF2" w:rsidRPr="0017725B">
        <w:rPr>
          <w:rFonts w:cstheme="minorHAnsi"/>
          <w:b/>
        </w:rPr>
        <w:t>efinite/</w:t>
      </w:r>
      <w:r w:rsidR="00482595" w:rsidRPr="0017725B">
        <w:rPr>
          <w:rFonts w:cstheme="minorHAnsi"/>
          <w:b/>
        </w:rPr>
        <w:t>p</w:t>
      </w:r>
      <w:r w:rsidR="00347BF2" w:rsidRPr="0017725B">
        <w:rPr>
          <w:rFonts w:cstheme="minorHAnsi"/>
          <w:b/>
        </w:rPr>
        <w:t>ossible</w:t>
      </w:r>
      <w:r w:rsidRPr="0017725B">
        <w:rPr>
          <w:rFonts w:cstheme="minorHAnsi"/>
          <w:b/>
        </w:rPr>
        <w:t xml:space="preserve"> endocarditis cases</w:t>
      </w:r>
    </w:p>
    <w:p w14:paraId="28C313F6" w14:textId="1B8CA100" w:rsidR="004B6EBA" w:rsidRDefault="004B6EBA" w:rsidP="004B6EBA">
      <w:pPr>
        <w:rPr>
          <w:rFonts w:cstheme="minorHAnsi"/>
        </w:rPr>
      </w:pPr>
      <w:r w:rsidRPr="0017725B">
        <w:rPr>
          <w:rFonts w:cstheme="minorHAnsi"/>
        </w:rPr>
        <w:t xml:space="preserve">Improved agreement between endocarditis-coded admissions and Duke </w:t>
      </w:r>
      <w:r w:rsidR="00347BF2" w:rsidRPr="0017725B">
        <w:rPr>
          <w:rFonts w:cstheme="minorHAnsi"/>
        </w:rPr>
        <w:t>definite/possible</w:t>
      </w:r>
      <w:r w:rsidRPr="0017725B">
        <w:rPr>
          <w:rFonts w:cstheme="minorHAnsi"/>
        </w:rPr>
        <w:t xml:space="preserve"> cases could be achieved by iteratively addressing the legitimate types of discrepancies identified in the main analysis.</w:t>
      </w:r>
    </w:p>
    <w:p w14:paraId="776AF154" w14:textId="77777777" w:rsidR="00243C97" w:rsidRPr="0017725B" w:rsidRDefault="00243C97" w:rsidP="004B6EBA">
      <w:pPr>
        <w:rPr>
          <w:rFonts w:cstheme="minorHAnsi"/>
        </w:rPr>
      </w:pPr>
    </w:p>
    <w:p w14:paraId="23B05009" w14:textId="4BAA95C3" w:rsidR="004A0B24" w:rsidRPr="0017725B" w:rsidRDefault="004B6EBA" w:rsidP="00E47D3F">
      <w:pPr>
        <w:rPr>
          <w:rFonts w:cstheme="minorHAnsi"/>
        </w:rPr>
      </w:pPr>
      <w:r w:rsidRPr="0017725B">
        <w:rPr>
          <w:rFonts w:cstheme="minorHAnsi"/>
        </w:rPr>
        <w:t>First, given the low positive predictive value, we excluded I38 where this occurred as a secondary code only</w:t>
      </w:r>
      <w:r w:rsidR="00E47D3F" w:rsidRPr="0017725B">
        <w:rPr>
          <w:rFonts w:cstheme="minorHAnsi"/>
        </w:rPr>
        <w:t xml:space="preserve">. </w:t>
      </w:r>
      <w:r w:rsidRPr="0017725B">
        <w:rPr>
          <w:rFonts w:cstheme="minorHAnsi"/>
        </w:rPr>
        <w:t xml:space="preserve">Second, </w:t>
      </w:r>
      <w:r w:rsidR="00EB2120" w:rsidRPr="0017725B">
        <w:rPr>
          <w:rFonts w:cstheme="minorHAnsi"/>
        </w:rPr>
        <w:t>we excluded any patients with a length of stay of 2 days or fewer (</w:t>
      </w:r>
      <w:r w:rsidR="00A97232" w:rsidRPr="0017725B">
        <w:rPr>
          <w:rFonts w:cstheme="minorHAnsi"/>
        </w:rPr>
        <w:t>discharge date</w:t>
      </w:r>
      <w:r w:rsidR="002F3FDF" w:rsidRPr="0017725B">
        <w:rPr>
          <w:rFonts w:cstheme="minorHAnsi"/>
        </w:rPr>
        <w:t xml:space="preserve"> minus </w:t>
      </w:r>
      <w:r w:rsidR="00A97232" w:rsidRPr="0017725B">
        <w:rPr>
          <w:rFonts w:cstheme="minorHAnsi"/>
        </w:rPr>
        <w:t>admission date</w:t>
      </w:r>
      <w:r w:rsidR="00EB2120" w:rsidRPr="0017725B">
        <w:rPr>
          <w:rFonts w:cstheme="minorHAnsi"/>
        </w:rPr>
        <w:t>), that were discharged alive</w:t>
      </w:r>
      <w:r w:rsidR="00482595" w:rsidRPr="0017725B">
        <w:rPr>
          <w:rFonts w:cstheme="minorHAnsi"/>
        </w:rPr>
        <w:t xml:space="preserve"> (see </w:t>
      </w:r>
      <w:r w:rsidR="00243C97">
        <w:rPr>
          <w:rFonts w:cstheme="minorHAnsi"/>
        </w:rPr>
        <w:t>main Methods</w:t>
      </w:r>
      <w:r w:rsidR="00482595" w:rsidRPr="0017725B">
        <w:rPr>
          <w:rFonts w:cstheme="minorHAnsi"/>
        </w:rPr>
        <w:t>)</w:t>
      </w:r>
      <w:r w:rsidR="00EB2120" w:rsidRPr="0017725B">
        <w:rPr>
          <w:rFonts w:cstheme="minorHAnsi"/>
        </w:rPr>
        <w:t>.</w:t>
      </w:r>
      <w:r w:rsidR="00E47D3F" w:rsidRPr="0017725B">
        <w:rPr>
          <w:rFonts w:cstheme="minorHAnsi"/>
        </w:rPr>
        <w:t xml:space="preserve"> </w:t>
      </w:r>
      <w:r w:rsidR="00DE2AED" w:rsidRPr="0017725B">
        <w:rPr>
          <w:rFonts w:cstheme="minorHAnsi"/>
        </w:rPr>
        <w:t>Third</w:t>
      </w:r>
      <w:r w:rsidRPr="0017725B">
        <w:rPr>
          <w:rFonts w:cstheme="minorHAnsi"/>
        </w:rPr>
        <w:t xml:space="preserve">, </w:t>
      </w:r>
      <w:r w:rsidR="00DE2AED" w:rsidRPr="0017725B">
        <w:rPr>
          <w:rFonts w:cstheme="minorHAnsi"/>
        </w:rPr>
        <w:t xml:space="preserve">we removed </w:t>
      </w:r>
      <w:r w:rsidR="00A97232" w:rsidRPr="0017725B">
        <w:rPr>
          <w:rFonts w:cstheme="minorHAnsi"/>
        </w:rPr>
        <w:t xml:space="preserve">coded </w:t>
      </w:r>
      <w:r w:rsidRPr="0017725B">
        <w:rPr>
          <w:rFonts w:cstheme="minorHAnsi"/>
        </w:rPr>
        <w:t xml:space="preserve">admissions where the patient had </w:t>
      </w:r>
      <w:r w:rsidR="00DE2AED" w:rsidRPr="0017725B">
        <w:rPr>
          <w:rFonts w:cstheme="minorHAnsi"/>
        </w:rPr>
        <w:t>a</w:t>
      </w:r>
      <w:r w:rsidRPr="0017725B">
        <w:rPr>
          <w:rFonts w:cstheme="minorHAnsi"/>
        </w:rPr>
        <w:t xml:space="preserve"> </w:t>
      </w:r>
      <w:r w:rsidR="00DE2AED" w:rsidRPr="0017725B">
        <w:rPr>
          <w:rFonts w:cstheme="minorHAnsi"/>
        </w:rPr>
        <w:t>previous admission</w:t>
      </w:r>
      <w:r w:rsidRPr="0017725B">
        <w:rPr>
          <w:rFonts w:cstheme="minorHAnsi"/>
        </w:rPr>
        <w:t xml:space="preserve"> with an endocarditis code</w:t>
      </w:r>
      <w:r w:rsidR="00DE2AED" w:rsidRPr="0017725B">
        <w:rPr>
          <w:rFonts w:cstheme="minorHAnsi"/>
        </w:rPr>
        <w:t xml:space="preserve"> with admission date within 30 day</w:t>
      </w:r>
      <w:r w:rsidR="00EB2120" w:rsidRPr="0017725B">
        <w:rPr>
          <w:rFonts w:cstheme="minorHAnsi"/>
        </w:rPr>
        <w:t xml:space="preserve">s of the previous </w:t>
      </w:r>
      <w:r w:rsidR="006067CB">
        <w:rPr>
          <w:rFonts w:cstheme="minorHAnsi"/>
        </w:rPr>
        <w:t xml:space="preserve">discharge </w:t>
      </w:r>
      <w:r w:rsidR="00EB2120" w:rsidRPr="0017725B">
        <w:rPr>
          <w:rFonts w:cstheme="minorHAnsi"/>
        </w:rPr>
        <w:t>date. By performing the removal of admissions in this order meant that patients who were admitted twice, with one short and one long stay, would still be included if the short stay preceded the long stay.</w:t>
      </w:r>
      <w:r w:rsidR="00E47D3F" w:rsidRPr="0017725B">
        <w:rPr>
          <w:rFonts w:cstheme="minorHAnsi"/>
        </w:rPr>
        <w:t xml:space="preserve"> </w:t>
      </w:r>
      <w:r w:rsidR="00DE2AED" w:rsidRPr="0017725B">
        <w:rPr>
          <w:rFonts w:cstheme="minorHAnsi"/>
        </w:rPr>
        <w:t>Fourth</w:t>
      </w:r>
      <w:r w:rsidRPr="0017725B">
        <w:rPr>
          <w:rFonts w:cstheme="minorHAnsi"/>
        </w:rPr>
        <w:t>,</w:t>
      </w:r>
      <w:r w:rsidR="00DE2AED" w:rsidRPr="0017725B">
        <w:rPr>
          <w:rFonts w:cstheme="minorHAnsi"/>
        </w:rPr>
        <w:t xml:space="preserve"> we also </w:t>
      </w:r>
      <w:r w:rsidR="00482595" w:rsidRPr="0017725B">
        <w:rPr>
          <w:rFonts w:cstheme="minorHAnsi"/>
        </w:rPr>
        <w:t xml:space="preserve">considered </w:t>
      </w:r>
      <w:r w:rsidR="00EB2120" w:rsidRPr="0017725B">
        <w:rPr>
          <w:rFonts w:cstheme="minorHAnsi"/>
        </w:rPr>
        <w:t>remov</w:t>
      </w:r>
      <w:r w:rsidR="00482595" w:rsidRPr="0017725B">
        <w:rPr>
          <w:rFonts w:cstheme="minorHAnsi"/>
        </w:rPr>
        <w:t>ing</w:t>
      </w:r>
      <w:r w:rsidRPr="0017725B">
        <w:rPr>
          <w:rFonts w:cstheme="minorHAnsi"/>
        </w:rPr>
        <w:t xml:space="preserve"> elective admissions </w:t>
      </w:r>
      <w:r w:rsidR="00DE2AED" w:rsidRPr="0017725B">
        <w:rPr>
          <w:rFonts w:cstheme="minorHAnsi"/>
        </w:rPr>
        <w:t>(admission method starting with “1”)</w:t>
      </w:r>
      <w:r w:rsidR="00E1740B" w:rsidRPr="0017725B">
        <w:rPr>
          <w:rFonts w:cstheme="minorHAnsi"/>
        </w:rPr>
        <w:t xml:space="preserve">. We noted that </w:t>
      </w:r>
      <w:r w:rsidR="00243C97">
        <w:rPr>
          <w:rFonts w:cstheme="minorHAnsi"/>
        </w:rPr>
        <w:t>a number of</w:t>
      </w:r>
      <w:r w:rsidR="00243C97" w:rsidRPr="0017725B">
        <w:rPr>
          <w:rFonts w:cstheme="minorHAnsi"/>
        </w:rPr>
        <w:t xml:space="preserve"> </w:t>
      </w:r>
      <w:r w:rsidR="00A96497" w:rsidRPr="0017725B">
        <w:rPr>
          <w:rFonts w:cstheme="minorHAnsi"/>
        </w:rPr>
        <w:t xml:space="preserve">Duke </w:t>
      </w:r>
      <w:r w:rsidR="001908FA" w:rsidRPr="0017725B">
        <w:rPr>
          <w:rFonts w:cstheme="minorHAnsi"/>
        </w:rPr>
        <w:t>Criteria</w:t>
      </w:r>
      <w:r w:rsidR="00A96497" w:rsidRPr="0017725B">
        <w:rPr>
          <w:rFonts w:cstheme="minorHAnsi"/>
        </w:rPr>
        <w:t xml:space="preserve"> </w:t>
      </w:r>
      <w:r w:rsidR="00482595" w:rsidRPr="0017725B">
        <w:rPr>
          <w:rFonts w:cstheme="minorHAnsi"/>
        </w:rPr>
        <w:t>d</w:t>
      </w:r>
      <w:r w:rsidR="00A96497" w:rsidRPr="0017725B">
        <w:rPr>
          <w:rFonts w:cstheme="minorHAnsi"/>
        </w:rPr>
        <w:t xml:space="preserve">efinite or </w:t>
      </w:r>
      <w:r w:rsidR="00482595" w:rsidRPr="0017725B">
        <w:rPr>
          <w:rFonts w:cstheme="minorHAnsi"/>
        </w:rPr>
        <w:t>p</w:t>
      </w:r>
      <w:r w:rsidR="00A96497" w:rsidRPr="0017725B">
        <w:rPr>
          <w:rFonts w:cstheme="minorHAnsi"/>
        </w:rPr>
        <w:t>ossible cases had elective status. On review, these were predominantly patients admitted for elective procedures who then developed endocarditis as an inpatient.</w:t>
      </w:r>
      <w:bookmarkStart w:id="0" w:name="_Ref516560668"/>
      <w:bookmarkStart w:id="1" w:name="_Ref516558186"/>
      <w:r w:rsidR="00EB2120" w:rsidRPr="0017725B">
        <w:rPr>
          <w:rFonts w:cstheme="minorHAnsi"/>
        </w:rPr>
        <w:t xml:space="preserve"> </w:t>
      </w:r>
      <w:r w:rsidR="00482595" w:rsidRPr="0017725B">
        <w:rPr>
          <w:rFonts w:cstheme="minorHAnsi"/>
        </w:rPr>
        <w:t>Primary analyses therefore did not exclude these patients.</w:t>
      </w:r>
    </w:p>
    <w:p w14:paraId="08A809F3" w14:textId="77777777" w:rsidR="00F81B34" w:rsidRPr="0017725B" w:rsidRDefault="00F81B34" w:rsidP="00E47D3F">
      <w:pPr>
        <w:rPr>
          <w:rFonts w:cstheme="minorHAnsi"/>
        </w:rPr>
      </w:pPr>
    </w:p>
    <w:p w14:paraId="520FA1C6" w14:textId="0DA808C6" w:rsidR="00F81B34" w:rsidRPr="006067CB" w:rsidRDefault="00F81B34" w:rsidP="006067CB">
      <w:pPr>
        <w:pStyle w:val="ListParagraph"/>
        <w:numPr>
          <w:ilvl w:val="0"/>
          <w:numId w:val="39"/>
        </w:numPr>
        <w:rPr>
          <w:rFonts w:eastAsia="Times New Roman" w:cstheme="minorHAnsi"/>
          <w:b/>
          <w:lang w:eastAsia="en-GB"/>
        </w:rPr>
      </w:pPr>
      <w:r w:rsidRPr="006067CB">
        <w:rPr>
          <w:rFonts w:eastAsia="Times New Roman" w:cstheme="minorHAnsi"/>
          <w:b/>
          <w:lang w:eastAsia="en-GB"/>
        </w:rPr>
        <w:t xml:space="preserve">Designing the </w:t>
      </w:r>
      <w:r w:rsidR="00243C97" w:rsidRPr="006067CB">
        <w:rPr>
          <w:rFonts w:eastAsia="Times New Roman" w:cstheme="minorHAnsi"/>
          <w:b/>
          <w:lang w:eastAsia="en-GB"/>
        </w:rPr>
        <w:t>f</w:t>
      </w:r>
      <w:r w:rsidRPr="006067CB">
        <w:rPr>
          <w:rFonts w:eastAsia="Times New Roman" w:cstheme="minorHAnsi"/>
          <w:b/>
          <w:lang w:eastAsia="en-GB"/>
        </w:rPr>
        <w:t xml:space="preserve">uzzy text search for endocarditis </w:t>
      </w:r>
    </w:p>
    <w:p w14:paraId="0859DC79" w14:textId="62F94E0E" w:rsidR="00F81B34" w:rsidRDefault="00F81B34" w:rsidP="00F81B34">
      <w:pPr>
        <w:rPr>
          <w:rFonts w:eastAsia="Times New Roman" w:cstheme="minorHAnsi"/>
          <w:lang w:eastAsia="en-GB"/>
        </w:rPr>
      </w:pPr>
      <w:r w:rsidRPr="0017725B">
        <w:rPr>
          <w:rFonts w:eastAsia="Times New Roman" w:cstheme="minorHAnsi"/>
          <w:lang w:eastAsia="en-GB"/>
        </w:rPr>
        <w:t>For all electronic antibiotic prescriptions, Oxford implemented a mandatory ‘Indication’ field to record reason for administration in accordance with UK Department of Health Guidance</w:t>
      </w:r>
      <w:r w:rsidR="006067CB">
        <w:rPr>
          <w:rFonts w:eastAsia="Times New Roman" w:cstheme="minorHAnsi"/>
          <w:lang w:eastAsia="en-GB"/>
        </w:rPr>
        <w:fldChar w:fldCharType="begin"/>
      </w:r>
      <w:r w:rsidR="006067CB">
        <w:rPr>
          <w:rFonts w:eastAsia="Times New Roman" w:cstheme="minorHAnsi"/>
          <w:lang w:eastAsia="en-GB"/>
        </w:rPr>
        <w:instrText xml:space="preserve"> ADDIN EN.CITE &lt;EndNote&gt;&lt;Cite&gt;&lt;Year&gt;2017&lt;/Year&gt;&lt;IDText&gt;Commissioning for Quality and Innovation (CQUIN) Guidance for 2017-2019&lt;/IDText&gt;&lt;DisplayText&gt;&lt;style face="superscript"&gt;8&lt;/style&gt;&lt;/DisplayText&gt;&lt;record&gt;&lt;titles&gt;&lt;title&gt;Commissioning for Quality and Innovation (CQUIN) Guidance for 2017-2019&lt;/title&gt;&lt;/titles&gt;&lt;added-date format="utc"&gt;1550679198&lt;/added-date&gt;&lt;ref-type name="Generic"&gt;13&lt;/ref-type&gt;&lt;dates&gt;&lt;year&gt;2017&lt;/year&gt;&lt;/dates&gt;&lt;rec-number&gt;825&lt;/rec-number&gt;&lt;publisher&gt;NHS England&lt;/publisher&gt;&lt;last-updated-date format="utc"&gt;1550679226&lt;/last-updated-date&gt;&lt;/record&gt;&lt;/Cite&gt;&lt;/EndNote&gt;</w:instrText>
      </w:r>
      <w:r w:rsidR="006067CB">
        <w:rPr>
          <w:rFonts w:eastAsia="Times New Roman" w:cstheme="minorHAnsi"/>
          <w:lang w:eastAsia="en-GB"/>
        </w:rPr>
        <w:fldChar w:fldCharType="separate"/>
      </w:r>
      <w:r w:rsidR="006067CB" w:rsidRPr="006067CB">
        <w:rPr>
          <w:rFonts w:eastAsia="Times New Roman" w:cstheme="minorHAnsi"/>
          <w:noProof/>
          <w:vertAlign w:val="superscript"/>
          <w:lang w:eastAsia="en-GB"/>
        </w:rPr>
        <w:t>8</w:t>
      </w:r>
      <w:r w:rsidR="006067CB">
        <w:rPr>
          <w:rFonts w:eastAsia="Times New Roman" w:cstheme="minorHAnsi"/>
          <w:lang w:eastAsia="en-GB"/>
        </w:rPr>
        <w:fldChar w:fldCharType="end"/>
      </w:r>
      <w:r w:rsidR="006067CB">
        <w:rPr>
          <w:rFonts w:eastAsia="Times New Roman" w:cstheme="minorHAnsi"/>
          <w:lang w:eastAsia="en-GB"/>
        </w:rPr>
        <w:t xml:space="preserve">   </w:t>
      </w:r>
    </w:p>
    <w:p w14:paraId="5383DB83" w14:textId="77777777" w:rsidR="00243C97" w:rsidRPr="0017725B" w:rsidRDefault="00243C97" w:rsidP="00F81B34">
      <w:pPr>
        <w:rPr>
          <w:rFonts w:eastAsia="Times New Roman" w:cstheme="minorHAnsi"/>
          <w:lang w:eastAsia="en-GB"/>
        </w:rPr>
      </w:pPr>
    </w:p>
    <w:p w14:paraId="50408F80" w14:textId="481D2FE6" w:rsidR="00E50049" w:rsidRPr="0017725B" w:rsidRDefault="00884DE0" w:rsidP="00F81B34">
      <w:pPr>
        <w:rPr>
          <w:rFonts w:eastAsia="Times New Roman" w:cstheme="minorHAnsi"/>
          <w:lang w:eastAsia="en-GB"/>
        </w:rPr>
      </w:pPr>
      <w:r w:rsidRPr="0017725B">
        <w:rPr>
          <w:rFonts w:eastAsia="Times New Roman" w:cstheme="minorHAnsi"/>
          <w:lang w:eastAsia="en-GB"/>
        </w:rPr>
        <w:t>We searched all prescribing records January-December 2016 for the term “endocarditis” and compared it to</w:t>
      </w:r>
      <w:r w:rsidR="00E50049" w:rsidRPr="0017725B">
        <w:rPr>
          <w:rFonts w:eastAsia="Times New Roman" w:cstheme="minorHAnsi"/>
          <w:lang w:eastAsia="en-GB"/>
        </w:rPr>
        <w:t xml:space="preserve"> confirmed clinical</w:t>
      </w:r>
      <w:r w:rsidRPr="0017725B">
        <w:rPr>
          <w:rFonts w:eastAsia="Times New Roman" w:cstheme="minorHAnsi"/>
          <w:lang w:eastAsia="en-GB"/>
        </w:rPr>
        <w:t xml:space="preserve"> cases identified by the audit of admissions with an endocarditis code. We converted all strings into lowercase.</w:t>
      </w:r>
      <w:r w:rsidR="00E50049" w:rsidRPr="0017725B">
        <w:rPr>
          <w:rFonts w:eastAsia="Times New Roman" w:cstheme="minorHAnsi"/>
          <w:lang w:eastAsia="en-GB"/>
        </w:rPr>
        <w:t xml:space="preserve"> </w:t>
      </w:r>
      <w:r w:rsidRPr="0017725B">
        <w:rPr>
          <w:rFonts w:eastAsia="Times New Roman" w:cstheme="minorHAnsi"/>
          <w:lang w:eastAsia="en-GB"/>
        </w:rPr>
        <w:t>We identified common misspellings like “r</w:t>
      </w:r>
      <w:r w:rsidR="00F81B34" w:rsidRPr="0017725B">
        <w:rPr>
          <w:rFonts w:eastAsia="Times New Roman" w:cstheme="minorHAnsi"/>
          <w:lang w:eastAsia="en-GB"/>
        </w:rPr>
        <w:t>n</w:t>
      </w:r>
      <w:r w:rsidRPr="0017725B">
        <w:rPr>
          <w:rFonts w:eastAsia="Times New Roman" w:cstheme="minorHAnsi"/>
          <w:lang w:eastAsia="en-GB"/>
        </w:rPr>
        <w:t>docarditis” or “endocaritidis” that our initial</w:t>
      </w:r>
      <w:r w:rsidR="00E50049" w:rsidRPr="0017725B">
        <w:rPr>
          <w:rFonts w:eastAsia="Times New Roman" w:cstheme="minorHAnsi"/>
          <w:lang w:eastAsia="en-GB"/>
        </w:rPr>
        <w:t xml:space="preserve"> text search would have missed.</w:t>
      </w:r>
      <w:r w:rsidRPr="0017725B">
        <w:rPr>
          <w:rFonts w:eastAsia="Times New Roman" w:cstheme="minorHAnsi"/>
          <w:lang w:eastAsia="en-GB"/>
        </w:rPr>
        <w:t xml:space="preserve"> Our best match wa</w:t>
      </w:r>
      <w:r w:rsidR="00E50049" w:rsidRPr="0017725B">
        <w:rPr>
          <w:rFonts w:eastAsia="Times New Roman" w:cstheme="minorHAnsi"/>
          <w:lang w:eastAsia="en-GB"/>
        </w:rPr>
        <w:t xml:space="preserve">s using </w:t>
      </w:r>
      <w:r w:rsidRPr="0017725B">
        <w:rPr>
          <w:rFonts w:eastAsia="Times New Roman" w:cstheme="minorHAnsi"/>
          <w:lang w:eastAsia="en-GB"/>
        </w:rPr>
        <w:t>a search of the string “ndoca” which</w:t>
      </w:r>
      <w:r w:rsidR="00E50049" w:rsidRPr="0017725B">
        <w:rPr>
          <w:rFonts w:eastAsia="Times New Roman" w:cstheme="minorHAnsi"/>
          <w:lang w:eastAsia="en-GB"/>
        </w:rPr>
        <w:t xml:space="preserve"> incidentally</w:t>
      </w:r>
      <w:r w:rsidRPr="0017725B">
        <w:rPr>
          <w:rFonts w:eastAsia="Times New Roman" w:cstheme="minorHAnsi"/>
          <w:lang w:eastAsia="en-GB"/>
        </w:rPr>
        <w:t xml:space="preserve"> resulted in no ‘false’ identifications.  </w:t>
      </w:r>
    </w:p>
    <w:p w14:paraId="13109737" w14:textId="77777777" w:rsidR="00E50049" w:rsidRPr="0017725B" w:rsidRDefault="00E50049" w:rsidP="00F81B34">
      <w:pPr>
        <w:rPr>
          <w:rFonts w:eastAsia="Times New Roman" w:cstheme="minorHAnsi"/>
          <w:lang w:eastAsia="en-GB"/>
        </w:rPr>
      </w:pPr>
    </w:p>
    <w:p w14:paraId="4739B9D5" w14:textId="3BD5950A" w:rsidR="00F81B34" w:rsidRPr="0017725B" w:rsidRDefault="00E50049" w:rsidP="00F81B34">
      <w:pPr>
        <w:rPr>
          <w:rFonts w:eastAsia="Times New Roman" w:cstheme="minorHAnsi"/>
          <w:lang w:eastAsia="en-GB"/>
        </w:rPr>
      </w:pPr>
      <w:r w:rsidRPr="0017725B">
        <w:rPr>
          <w:rFonts w:eastAsia="Times New Roman" w:cstheme="minorHAnsi"/>
          <w:lang w:eastAsia="en-GB"/>
        </w:rPr>
        <w:lastRenderedPageBreak/>
        <w:t>We subsequently reviewed all patient records with an indication containing the text string “ndoca” “ie”, “prosthetic valve”, “aortic root” and “vegetation”. “ie” identified a number of infective exacer</w:t>
      </w:r>
      <w:r w:rsidR="00E45FAD" w:rsidRPr="0017725B">
        <w:rPr>
          <w:rFonts w:eastAsia="Times New Roman" w:cstheme="minorHAnsi"/>
          <w:lang w:eastAsia="en-GB"/>
        </w:rPr>
        <w:t xml:space="preserve">bations e.g. ie asthma, iecopd, so we subsequently restricted the text string to “ie” without “copd” “ild” “asthma” or “cf”. </w:t>
      </w:r>
    </w:p>
    <w:p w14:paraId="572A60D3" w14:textId="77777777" w:rsidR="00E50049" w:rsidRPr="0017725B" w:rsidRDefault="00E50049" w:rsidP="00F81B34">
      <w:pPr>
        <w:rPr>
          <w:rFonts w:eastAsia="Times New Roman" w:cstheme="minorHAnsi"/>
          <w:lang w:eastAsia="en-GB"/>
        </w:rPr>
      </w:pPr>
    </w:p>
    <w:p w14:paraId="32DC8CBB" w14:textId="347A75AE" w:rsidR="00F81B34" w:rsidRPr="0017725B" w:rsidRDefault="00E50049" w:rsidP="00F81B34">
      <w:pPr>
        <w:rPr>
          <w:rFonts w:eastAsia="Times New Roman" w:cstheme="minorHAnsi"/>
          <w:lang w:eastAsia="en-GB"/>
        </w:rPr>
      </w:pPr>
      <w:r w:rsidRPr="0017725B">
        <w:rPr>
          <w:rFonts w:eastAsia="Times New Roman" w:cstheme="minorHAnsi"/>
          <w:lang w:eastAsia="en-GB"/>
        </w:rPr>
        <w:t>There were</w:t>
      </w:r>
      <w:r w:rsidR="00884DE0" w:rsidRPr="0017725B">
        <w:rPr>
          <w:rFonts w:eastAsia="Times New Roman" w:cstheme="minorHAnsi"/>
          <w:lang w:eastAsia="en-GB"/>
        </w:rPr>
        <w:t xml:space="preserve"> 9 </w:t>
      </w:r>
      <w:r w:rsidR="00F81B34" w:rsidRPr="0017725B">
        <w:rPr>
          <w:rFonts w:eastAsia="Times New Roman" w:cstheme="minorHAnsi"/>
          <w:lang w:eastAsia="en-GB"/>
        </w:rPr>
        <w:t>‘true IE’ cases</w:t>
      </w:r>
      <w:r w:rsidR="00884DE0" w:rsidRPr="0017725B">
        <w:rPr>
          <w:rFonts w:eastAsia="Times New Roman" w:cstheme="minorHAnsi"/>
          <w:lang w:eastAsia="en-GB"/>
        </w:rPr>
        <w:t xml:space="preserve"> that </w:t>
      </w:r>
      <w:r w:rsidR="00F81B34" w:rsidRPr="0017725B">
        <w:rPr>
          <w:rFonts w:eastAsia="Times New Roman" w:cstheme="minorHAnsi"/>
          <w:lang w:eastAsia="en-GB"/>
        </w:rPr>
        <w:t xml:space="preserve">were missed through our text </w:t>
      </w:r>
      <w:r w:rsidRPr="0017725B">
        <w:rPr>
          <w:rFonts w:eastAsia="Times New Roman" w:cstheme="minorHAnsi"/>
          <w:lang w:eastAsia="en-GB"/>
        </w:rPr>
        <w:t>search,</w:t>
      </w:r>
      <w:r w:rsidR="00F81B34" w:rsidRPr="0017725B">
        <w:rPr>
          <w:rFonts w:eastAsia="Times New Roman" w:cstheme="minorHAnsi"/>
          <w:lang w:eastAsia="en-GB"/>
        </w:rPr>
        <w:t xml:space="preserve"> </w:t>
      </w:r>
      <w:r w:rsidR="00884DE0" w:rsidRPr="0017725B">
        <w:rPr>
          <w:rFonts w:eastAsia="Times New Roman" w:cstheme="minorHAnsi"/>
          <w:lang w:eastAsia="en-GB"/>
        </w:rPr>
        <w:t>but it was not possible to design a text search for thes</w:t>
      </w:r>
      <w:r w:rsidRPr="0017725B">
        <w:rPr>
          <w:rFonts w:eastAsia="Times New Roman" w:cstheme="minorHAnsi"/>
          <w:lang w:eastAsia="en-GB"/>
        </w:rPr>
        <w:t>e</w:t>
      </w:r>
      <w:r w:rsidR="00884DE0" w:rsidRPr="0017725B">
        <w:rPr>
          <w:rFonts w:eastAsia="Times New Roman" w:cstheme="minorHAnsi"/>
          <w:lang w:eastAsia="en-GB"/>
        </w:rPr>
        <w:t>, as they had indications “mssa</w:t>
      </w:r>
      <w:r w:rsidR="00F81B34" w:rsidRPr="0017725B">
        <w:rPr>
          <w:rFonts w:eastAsia="Times New Roman" w:cstheme="minorHAnsi"/>
          <w:lang w:eastAsia="en-GB"/>
        </w:rPr>
        <w:t xml:space="preserve"> bacteraemia</w:t>
      </w:r>
      <w:r w:rsidR="00884DE0" w:rsidRPr="0017725B">
        <w:rPr>
          <w:rFonts w:eastAsia="Times New Roman" w:cstheme="minorHAnsi"/>
          <w:lang w:eastAsia="en-GB"/>
        </w:rPr>
        <w:t>”</w:t>
      </w:r>
      <w:r w:rsidR="00F81B34" w:rsidRPr="0017725B">
        <w:rPr>
          <w:rFonts w:eastAsia="Times New Roman" w:cstheme="minorHAnsi"/>
          <w:lang w:eastAsia="en-GB"/>
        </w:rPr>
        <w:t>,</w:t>
      </w:r>
      <w:r w:rsidR="00884DE0" w:rsidRPr="0017725B">
        <w:rPr>
          <w:rFonts w:eastAsia="Times New Roman" w:cstheme="minorHAnsi"/>
          <w:lang w:eastAsia="en-GB"/>
        </w:rPr>
        <w:t>”</w:t>
      </w:r>
      <w:r w:rsidR="00F81B34" w:rsidRPr="0017725B">
        <w:rPr>
          <w:rFonts w:eastAsia="Times New Roman" w:cstheme="minorHAnsi"/>
          <w:lang w:eastAsia="en-GB"/>
        </w:rPr>
        <w:t xml:space="preserve"> liver abscess</w:t>
      </w:r>
      <w:r w:rsidR="00884DE0" w:rsidRPr="0017725B">
        <w:rPr>
          <w:rFonts w:eastAsia="Times New Roman" w:cstheme="minorHAnsi"/>
          <w:lang w:eastAsia="en-GB"/>
        </w:rPr>
        <w:t>”</w:t>
      </w:r>
      <w:r w:rsidR="00F81B34" w:rsidRPr="0017725B">
        <w:rPr>
          <w:rFonts w:eastAsia="Times New Roman" w:cstheme="minorHAnsi"/>
          <w:lang w:eastAsia="en-GB"/>
        </w:rPr>
        <w:t xml:space="preserve">, </w:t>
      </w:r>
      <w:r w:rsidR="00884DE0" w:rsidRPr="0017725B">
        <w:rPr>
          <w:rFonts w:eastAsia="Times New Roman" w:cstheme="minorHAnsi"/>
          <w:lang w:eastAsia="en-GB"/>
        </w:rPr>
        <w:t>“</w:t>
      </w:r>
      <w:r w:rsidR="00F81B34" w:rsidRPr="0017725B">
        <w:rPr>
          <w:rFonts w:eastAsia="Times New Roman" w:cstheme="minorHAnsi"/>
          <w:lang w:eastAsia="en-GB"/>
        </w:rPr>
        <w:t>lung abscess</w:t>
      </w:r>
      <w:r w:rsidR="00884DE0" w:rsidRPr="0017725B">
        <w:rPr>
          <w:rFonts w:eastAsia="Times New Roman" w:cstheme="minorHAnsi"/>
          <w:lang w:eastAsia="en-GB"/>
        </w:rPr>
        <w:t>”</w:t>
      </w:r>
      <w:r w:rsidR="00F81B34" w:rsidRPr="0017725B">
        <w:rPr>
          <w:rFonts w:eastAsia="Times New Roman" w:cstheme="minorHAnsi"/>
          <w:lang w:eastAsia="en-GB"/>
        </w:rPr>
        <w:t xml:space="preserve">, </w:t>
      </w:r>
      <w:r w:rsidR="00884DE0" w:rsidRPr="0017725B">
        <w:rPr>
          <w:rFonts w:eastAsia="Times New Roman" w:cstheme="minorHAnsi"/>
          <w:lang w:eastAsia="en-GB"/>
        </w:rPr>
        <w:t>“</w:t>
      </w:r>
      <w:r w:rsidR="00F81B34" w:rsidRPr="0017725B">
        <w:rPr>
          <w:rFonts w:eastAsia="Times New Roman" w:cstheme="minorHAnsi"/>
          <w:lang w:eastAsia="en-GB"/>
        </w:rPr>
        <w:t>cerebral abscess</w:t>
      </w:r>
      <w:r w:rsidR="00884DE0" w:rsidRPr="0017725B">
        <w:rPr>
          <w:rFonts w:eastAsia="Times New Roman" w:cstheme="minorHAnsi"/>
          <w:lang w:eastAsia="en-GB"/>
        </w:rPr>
        <w:t>”</w:t>
      </w:r>
      <w:r w:rsidRPr="0017725B">
        <w:rPr>
          <w:rFonts w:eastAsia="Times New Roman" w:cstheme="minorHAnsi"/>
          <w:lang w:eastAsia="en-GB"/>
        </w:rPr>
        <w:t xml:space="preserve">, and “infective endo. 18/8 dose” </w:t>
      </w:r>
    </w:p>
    <w:p w14:paraId="3BCAB696" w14:textId="77777777" w:rsidR="003F6D84" w:rsidRDefault="003F6D84" w:rsidP="00E47D3F">
      <w:pPr>
        <w:rPr>
          <w:rFonts w:cstheme="minorHAnsi"/>
        </w:rPr>
      </w:pPr>
    </w:p>
    <w:p w14:paraId="6EB47E5F" w14:textId="1D61051D" w:rsidR="003F6D84" w:rsidRDefault="003F6D84" w:rsidP="00E47D3F">
      <w:pPr>
        <w:rPr>
          <w:rFonts w:cstheme="minorHAnsi"/>
        </w:rPr>
      </w:pPr>
      <w:r>
        <w:rPr>
          <w:rFonts w:cstheme="minorHAnsi"/>
        </w:rPr>
        <w:t xml:space="preserve">References: </w:t>
      </w:r>
    </w:p>
    <w:p w14:paraId="168CBF7B" w14:textId="77777777" w:rsidR="003F6D84" w:rsidRDefault="003F6D84" w:rsidP="00E47D3F">
      <w:pPr>
        <w:rPr>
          <w:rFonts w:cstheme="minorHAnsi"/>
        </w:rPr>
      </w:pPr>
    </w:p>
    <w:p w14:paraId="798DC7F1" w14:textId="77777777" w:rsidR="003F6D84" w:rsidRPr="003F6D84" w:rsidRDefault="003F6D84" w:rsidP="003F6D84">
      <w:pPr>
        <w:pStyle w:val="EndNoteBibliography"/>
        <w:ind w:left="720" w:hanging="720"/>
      </w:pPr>
      <w:r>
        <w:rPr>
          <w:rFonts w:cstheme="minorHAnsi"/>
        </w:rPr>
        <w:fldChar w:fldCharType="begin"/>
      </w:r>
      <w:r>
        <w:rPr>
          <w:rFonts w:cstheme="minorHAnsi"/>
        </w:rPr>
        <w:instrText xml:space="preserve"> ADDIN EN.REFLIST </w:instrText>
      </w:r>
      <w:r>
        <w:rPr>
          <w:rFonts w:cstheme="minorHAnsi"/>
        </w:rPr>
        <w:fldChar w:fldCharType="separate"/>
      </w:r>
      <w:r w:rsidRPr="003F6D84">
        <w:t>1.</w:t>
      </w:r>
      <w:r w:rsidRPr="003F6D84">
        <w:tab/>
        <w:t xml:space="preserve">Li JS, Sexton DJ, Mick N, et al. Proposed modifications to the Duke criteria for the diagnosis of infective endocarditis. </w:t>
      </w:r>
      <w:r w:rsidRPr="003F6D84">
        <w:rPr>
          <w:i/>
        </w:rPr>
        <w:t xml:space="preserve">Clin Infect Dis. </w:t>
      </w:r>
      <w:r w:rsidRPr="003F6D84">
        <w:t>2000;30(4):633-638.</w:t>
      </w:r>
    </w:p>
    <w:p w14:paraId="7B8A3E4C" w14:textId="77777777" w:rsidR="003F6D84" w:rsidRPr="003F6D84" w:rsidRDefault="003F6D84" w:rsidP="003F6D84">
      <w:pPr>
        <w:pStyle w:val="EndNoteBibliography"/>
        <w:ind w:left="720" w:hanging="720"/>
      </w:pPr>
      <w:r w:rsidRPr="003F6D84">
        <w:t>2.</w:t>
      </w:r>
      <w:r w:rsidRPr="003F6D84">
        <w:tab/>
      </w:r>
      <w:r w:rsidRPr="003F6D84">
        <w:rPr>
          <w:i/>
        </w:rPr>
        <w:t>National Clinical Coding Standards ICD-10 4th Edition.</w:t>
      </w:r>
      <w:r w:rsidRPr="003F6D84">
        <w:t xml:space="preserve"> NHS Classifications Service, Health and Social Care Information Centre, UK; 2013.</w:t>
      </w:r>
    </w:p>
    <w:p w14:paraId="60F9BA1B" w14:textId="77777777" w:rsidR="003F6D84" w:rsidRPr="003F6D84" w:rsidRDefault="003F6D84" w:rsidP="003F6D84">
      <w:pPr>
        <w:pStyle w:val="EndNoteBibliography"/>
        <w:ind w:left="720" w:hanging="720"/>
      </w:pPr>
      <w:r w:rsidRPr="003F6D84">
        <w:t>3.</w:t>
      </w:r>
      <w:r w:rsidRPr="003F6D84">
        <w:tab/>
        <w:t>ICD-10-CM Official Guidelines for Coding and Reporting. In: U.S. Department of Health and Human Services; 2017.</w:t>
      </w:r>
    </w:p>
    <w:p w14:paraId="3A4D1CB5" w14:textId="77777777" w:rsidR="003F6D84" w:rsidRPr="003F6D84" w:rsidRDefault="003F6D84" w:rsidP="003F6D84">
      <w:pPr>
        <w:pStyle w:val="EndNoteBibliography"/>
        <w:ind w:left="720" w:hanging="720"/>
      </w:pPr>
      <w:r w:rsidRPr="003F6D84">
        <w:t>4.</w:t>
      </w:r>
      <w:r w:rsidRPr="003F6D84">
        <w:tab/>
        <w:t>ICD-10 Alphabetical Index Fourth edition. In: World Health Organisation; 2013.</w:t>
      </w:r>
    </w:p>
    <w:p w14:paraId="52EEF311" w14:textId="77777777" w:rsidR="003F6D84" w:rsidRPr="003F6D84" w:rsidRDefault="003F6D84" w:rsidP="003F6D84">
      <w:pPr>
        <w:pStyle w:val="EndNoteBibliography"/>
        <w:ind w:left="720" w:hanging="720"/>
        <w:rPr>
          <w:i/>
        </w:rPr>
      </w:pPr>
      <w:r w:rsidRPr="003F6D84">
        <w:t>5.</w:t>
      </w:r>
      <w:r w:rsidRPr="003F6D84">
        <w:tab/>
        <w:t xml:space="preserve">Trust OUHNF. </w:t>
      </w:r>
      <w:r w:rsidRPr="003F6D84">
        <w:rPr>
          <w:i/>
        </w:rPr>
        <w:t>Annual Report and Accounts for 1 Oct 2015 - 31 March 2016.</w:t>
      </w:r>
    </w:p>
    <w:p w14:paraId="0EA1E60D" w14:textId="77777777" w:rsidR="003F6D84" w:rsidRPr="003F6D84" w:rsidRDefault="003F6D84" w:rsidP="003F6D84">
      <w:pPr>
        <w:pStyle w:val="EndNoteBibliography"/>
        <w:ind w:left="720" w:hanging="720"/>
      </w:pPr>
      <w:r w:rsidRPr="003F6D84">
        <w:t>6.</w:t>
      </w:r>
      <w:r w:rsidRPr="003F6D84">
        <w:tab/>
        <w:t>Population Estimates for UK, England and Wales, Scotland and Northern Ireland. In: The Office for National Statistics U, ed2001-2016.</w:t>
      </w:r>
    </w:p>
    <w:p w14:paraId="250A7A83" w14:textId="77777777" w:rsidR="003F6D84" w:rsidRPr="003F6D84" w:rsidRDefault="003F6D84" w:rsidP="003F6D84">
      <w:pPr>
        <w:pStyle w:val="EndNoteBibliography"/>
        <w:ind w:left="720" w:hanging="720"/>
      </w:pPr>
      <w:r w:rsidRPr="003F6D84">
        <w:t>7.</w:t>
      </w:r>
      <w:r w:rsidRPr="003F6D84">
        <w:tab/>
        <w:t>Oxford University Hospitals NHS Trust Quality Report. In: Care Quality Commission; 2014.</w:t>
      </w:r>
    </w:p>
    <w:p w14:paraId="1B4796E0" w14:textId="77777777" w:rsidR="003F6D84" w:rsidRPr="003F6D84" w:rsidRDefault="003F6D84" w:rsidP="003F6D84">
      <w:pPr>
        <w:pStyle w:val="EndNoteBibliography"/>
        <w:ind w:left="720" w:hanging="720"/>
      </w:pPr>
      <w:r w:rsidRPr="003F6D84">
        <w:t>8.</w:t>
      </w:r>
      <w:r w:rsidRPr="003F6D84">
        <w:tab/>
        <w:t>Commissioning for Quality and Innovation (CQUIN) Guidance for 2017-2019. In: NHS England; 2017.</w:t>
      </w:r>
    </w:p>
    <w:p w14:paraId="70195D45" w14:textId="7BD85204" w:rsidR="00CC06B3" w:rsidRDefault="003F6D84" w:rsidP="00E47D3F">
      <w:pPr>
        <w:rPr>
          <w:rFonts w:cstheme="minorHAnsi"/>
        </w:rPr>
      </w:pPr>
      <w:r>
        <w:rPr>
          <w:rFonts w:cstheme="minorHAnsi"/>
        </w:rPr>
        <w:fldChar w:fldCharType="end"/>
      </w:r>
      <w:bookmarkEnd w:id="0"/>
      <w:bookmarkEnd w:id="1"/>
    </w:p>
    <w:p w14:paraId="7FB6B10D" w14:textId="77777777" w:rsidR="00CC06B3" w:rsidRDefault="00CC06B3" w:rsidP="00E47D3F">
      <w:pPr>
        <w:rPr>
          <w:rFonts w:cstheme="minorHAnsi"/>
        </w:rPr>
        <w:sectPr w:rsidR="00CC06B3" w:rsidSect="007B368E">
          <w:pgSz w:w="11906" w:h="16838"/>
          <w:pgMar w:top="1440" w:right="1440" w:bottom="1440" w:left="1440" w:header="708" w:footer="708" w:gutter="0"/>
          <w:cols w:space="708"/>
          <w:docGrid w:linePitch="360"/>
        </w:sectPr>
      </w:pPr>
      <w:r>
        <w:rPr>
          <w:rFonts w:cstheme="minorHAnsi"/>
        </w:rPr>
        <w:br w:type="column"/>
      </w:r>
    </w:p>
    <w:p w14:paraId="12024330" w14:textId="1FF47199" w:rsidR="00F81B34" w:rsidRDefault="00CC06B3" w:rsidP="00E47D3F">
      <w:r>
        <w:rPr>
          <w:b/>
          <w:bCs/>
        </w:rPr>
        <w:lastRenderedPageBreak/>
        <w:t xml:space="preserve">Table S1 </w:t>
      </w:r>
      <w:r>
        <w:t>Summary of studies of endocarditis incidence or features using electronic health record data or microbiological data, source of information, codes used, methods of deduplication and comparisons of codes and cases</w:t>
      </w:r>
    </w:p>
    <w:tbl>
      <w:tblPr>
        <w:tblW w:w="5000" w:type="pct"/>
        <w:tblLook w:val="04A0" w:firstRow="1" w:lastRow="0" w:firstColumn="1" w:lastColumn="0" w:noHBand="0" w:noVBand="1"/>
      </w:tblPr>
      <w:tblGrid>
        <w:gridCol w:w="1492"/>
        <w:gridCol w:w="2745"/>
        <w:gridCol w:w="2187"/>
        <w:gridCol w:w="3331"/>
        <w:gridCol w:w="2092"/>
        <w:gridCol w:w="2327"/>
      </w:tblGrid>
      <w:tr w:rsidR="00CC06B3" w:rsidRPr="00CC06B3" w14:paraId="0BC34E5F" w14:textId="77777777" w:rsidTr="00CC06B3">
        <w:trPr>
          <w:trHeight w:val="615"/>
        </w:trPr>
        <w:tc>
          <w:tcPr>
            <w:tcW w:w="47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A5CC44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Author and Year</w:t>
            </w:r>
          </w:p>
        </w:tc>
        <w:tc>
          <w:tcPr>
            <w:tcW w:w="1035" w:type="pct"/>
            <w:tcBorders>
              <w:top w:val="single" w:sz="8" w:space="0" w:color="auto"/>
              <w:left w:val="nil"/>
              <w:bottom w:val="single" w:sz="8" w:space="0" w:color="auto"/>
              <w:right w:val="single" w:sz="8" w:space="0" w:color="auto"/>
            </w:tcBorders>
            <w:shd w:val="clear" w:color="auto" w:fill="auto"/>
            <w:vAlign w:val="center"/>
            <w:hideMark/>
          </w:tcPr>
          <w:p w14:paraId="53E2B8D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Study population</w:t>
            </w:r>
          </w:p>
        </w:tc>
        <w:tc>
          <w:tcPr>
            <w:tcW w:w="798" w:type="pct"/>
            <w:tcBorders>
              <w:top w:val="single" w:sz="8" w:space="0" w:color="auto"/>
              <w:left w:val="nil"/>
              <w:bottom w:val="single" w:sz="8" w:space="0" w:color="auto"/>
              <w:right w:val="single" w:sz="8" w:space="0" w:color="auto"/>
            </w:tcBorders>
            <w:shd w:val="clear" w:color="auto" w:fill="auto"/>
            <w:vAlign w:val="center"/>
            <w:hideMark/>
          </w:tcPr>
          <w:p w14:paraId="3BD9592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Finding</w:t>
            </w:r>
          </w:p>
        </w:tc>
        <w:tc>
          <w:tcPr>
            <w:tcW w:w="1056" w:type="pct"/>
            <w:tcBorders>
              <w:top w:val="single" w:sz="8" w:space="0" w:color="auto"/>
              <w:left w:val="nil"/>
              <w:bottom w:val="single" w:sz="8" w:space="0" w:color="auto"/>
              <w:right w:val="single" w:sz="8" w:space="0" w:color="auto"/>
            </w:tcBorders>
            <w:shd w:val="clear" w:color="auto" w:fill="auto"/>
            <w:vAlign w:val="center"/>
            <w:hideMark/>
          </w:tcPr>
          <w:p w14:paraId="1C3F347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Identification of cases</w:t>
            </w:r>
          </w:p>
        </w:tc>
        <w:tc>
          <w:tcPr>
            <w:tcW w:w="845" w:type="pct"/>
            <w:tcBorders>
              <w:top w:val="single" w:sz="8" w:space="0" w:color="auto"/>
              <w:left w:val="nil"/>
              <w:bottom w:val="single" w:sz="8" w:space="0" w:color="auto"/>
              <w:right w:val="single" w:sz="8" w:space="0" w:color="auto"/>
            </w:tcBorders>
            <w:shd w:val="clear" w:color="auto" w:fill="auto"/>
            <w:vAlign w:val="center"/>
            <w:hideMark/>
          </w:tcPr>
          <w:p w14:paraId="3FCBC11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Deduplication /other</w:t>
            </w:r>
          </w:p>
        </w:tc>
        <w:tc>
          <w:tcPr>
            <w:tcW w:w="793" w:type="pct"/>
            <w:tcBorders>
              <w:top w:val="single" w:sz="8" w:space="0" w:color="auto"/>
              <w:left w:val="nil"/>
              <w:bottom w:val="single" w:sz="8" w:space="0" w:color="auto"/>
              <w:right w:val="single" w:sz="8" w:space="0" w:color="auto"/>
            </w:tcBorders>
            <w:shd w:val="clear" w:color="auto" w:fill="auto"/>
            <w:vAlign w:val="center"/>
            <w:hideMark/>
          </w:tcPr>
          <w:p w14:paraId="06BC959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Comparison of codes to true incidence</w:t>
            </w:r>
          </w:p>
        </w:tc>
      </w:tr>
      <w:tr w:rsidR="00CC06B3" w:rsidRPr="00CC06B3" w14:paraId="144F5678" w14:textId="77777777" w:rsidTr="00CC06B3">
        <w:trPr>
          <w:trHeight w:val="1163"/>
        </w:trPr>
        <w:tc>
          <w:tcPr>
            <w:tcW w:w="5000" w:type="pct"/>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5EA252C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Assessment of change associated with guidelines</w:t>
            </w:r>
          </w:p>
        </w:tc>
      </w:tr>
      <w:tr w:rsidR="00CC06B3" w:rsidRPr="00CC06B3" w14:paraId="1B28C00B"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42B504D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Tubiana </w:t>
            </w:r>
            <w:r w:rsidRPr="00CC06B3">
              <w:rPr>
                <w:rFonts w:ascii="Calibri" w:eastAsia="Times New Roman" w:hAnsi="Calibri" w:cs="Times New Roman"/>
                <w:color w:val="000000"/>
                <w:vertAlign w:val="superscript"/>
                <w:lang w:val="en-US"/>
              </w:rPr>
              <w:t>9</w:t>
            </w:r>
            <w:r w:rsidRPr="00CC06B3">
              <w:rPr>
                <w:rFonts w:ascii="Calibri" w:eastAsia="Times New Roman" w:hAnsi="Calibri" w:cs="Times New Roman"/>
                <w:color w:val="000000"/>
                <w:lang w:val="en-US"/>
              </w:rPr>
              <w:t>2017</w:t>
            </w:r>
          </w:p>
        </w:tc>
        <w:tc>
          <w:tcPr>
            <w:tcW w:w="1035" w:type="pct"/>
            <w:tcBorders>
              <w:top w:val="nil"/>
              <w:left w:val="nil"/>
              <w:bottom w:val="nil"/>
              <w:right w:val="single" w:sz="8" w:space="0" w:color="auto"/>
            </w:tcBorders>
            <w:shd w:val="clear" w:color="auto" w:fill="auto"/>
            <w:vAlign w:val="center"/>
            <w:hideMark/>
          </w:tcPr>
          <w:p w14:paraId="3586D43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Adults in France with codes indicating prosthetic valve 2008-2014</w:t>
            </w:r>
          </w:p>
        </w:tc>
        <w:tc>
          <w:tcPr>
            <w:tcW w:w="798" w:type="pct"/>
            <w:tcBorders>
              <w:top w:val="nil"/>
              <w:left w:val="nil"/>
              <w:bottom w:val="nil"/>
              <w:right w:val="single" w:sz="8" w:space="0" w:color="auto"/>
            </w:tcBorders>
            <w:shd w:val="clear" w:color="auto" w:fill="auto"/>
            <w:vAlign w:val="center"/>
            <w:hideMark/>
          </w:tcPr>
          <w:p w14:paraId="1088195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 increased rate of oral streptococcal endocarditis in individuals exposed to invasive dental procedure with or without prophylaxis compared to non-exposed.</w:t>
            </w:r>
          </w:p>
        </w:tc>
        <w:tc>
          <w:tcPr>
            <w:tcW w:w="1056" w:type="pct"/>
            <w:tcBorders>
              <w:top w:val="nil"/>
              <w:left w:val="nil"/>
              <w:bottom w:val="nil"/>
              <w:right w:val="single" w:sz="8" w:space="0" w:color="auto"/>
            </w:tcBorders>
            <w:shd w:val="clear" w:color="auto" w:fill="auto"/>
            <w:vAlign w:val="center"/>
            <w:hideMark/>
          </w:tcPr>
          <w:p w14:paraId="50413D3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w:t>
            </w:r>
          </w:p>
        </w:tc>
        <w:tc>
          <w:tcPr>
            <w:tcW w:w="845" w:type="pct"/>
            <w:tcBorders>
              <w:top w:val="nil"/>
              <w:left w:val="nil"/>
              <w:bottom w:val="nil"/>
              <w:right w:val="single" w:sz="8" w:space="0" w:color="auto"/>
            </w:tcBorders>
            <w:shd w:val="clear" w:color="auto" w:fill="auto"/>
            <w:vAlign w:val="center"/>
            <w:hideMark/>
          </w:tcPr>
          <w:p w14:paraId="71D6C85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 hospitalization with infective endocarditis as defined only</w:t>
            </w:r>
          </w:p>
        </w:tc>
        <w:tc>
          <w:tcPr>
            <w:tcW w:w="793" w:type="pct"/>
            <w:tcBorders>
              <w:top w:val="nil"/>
              <w:left w:val="nil"/>
              <w:bottom w:val="nil"/>
              <w:right w:val="single" w:sz="8" w:space="0" w:color="auto"/>
            </w:tcBorders>
            <w:shd w:val="clear" w:color="auto" w:fill="auto"/>
            <w:vAlign w:val="center"/>
            <w:hideMark/>
          </w:tcPr>
          <w:p w14:paraId="57D1800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Refers to Toyoda et al for choice of codes used</w:t>
            </w:r>
          </w:p>
        </w:tc>
      </w:tr>
      <w:tr w:rsidR="00CC06B3" w:rsidRPr="00CC06B3" w14:paraId="51FE4028"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055C2E6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3C6C048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Source: French health insurance and hospital discharge database</w:t>
            </w:r>
          </w:p>
        </w:tc>
        <w:tc>
          <w:tcPr>
            <w:tcW w:w="798" w:type="pct"/>
            <w:tcBorders>
              <w:top w:val="nil"/>
              <w:left w:val="nil"/>
              <w:bottom w:val="nil"/>
              <w:right w:val="single" w:sz="8" w:space="0" w:color="auto"/>
            </w:tcBorders>
            <w:shd w:val="clear" w:color="auto" w:fill="auto"/>
            <w:vAlign w:val="center"/>
            <w:hideMark/>
          </w:tcPr>
          <w:p w14:paraId="16F7496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Exposure to invasive procedure more frequent in case vs control periods 5.1% vs 3.2%.</w:t>
            </w:r>
          </w:p>
        </w:tc>
        <w:tc>
          <w:tcPr>
            <w:tcW w:w="1056" w:type="pct"/>
            <w:tcBorders>
              <w:top w:val="nil"/>
              <w:left w:val="nil"/>
              <w:bottom w:val="nil"/>
              <w:right w:val="single" w:sz="8" w:space="0" w:color="auto"/>
            </w:tcBorders>
            <w:shd w:val="clear" w:color="auto" w:fill="auto"/>
            <w:vAlign w:val="center"/>
            <w:hideMark/>
          </w:tcPr>
          <w:p w14:paraId="27C6AB8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I330 I339</w:t>
            </w:r>
          </w:p>
        </w:tc>
        <w:tc>
          <w:tcPr>
            <w:tcW w:w="845" w:type="pct"/>
            <w:tcBorders>
              <w:top w:val="nil"/>
              <w:left w:val="nil"/>
              <w:bottom w:val="nil"/>
              <w:right w:val="single" w:sz="8" w:space="0" w:color="auto"/>
            </w:tcBorders>
            <w:shd w:val="clear" w:color="auto" w:fill="auto"/>
            <w:vAlign w:val="center"/>
            <w:hideMark/>
          </w:tcPr>
          <w:p w14:paraId="0BAF817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70550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9528A3A"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21F010E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11C4531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138 876 individuals, 52281 had invasive dental procedure. 267 infective endocarditis with oral streptococci.</w:t>
            </w:r>
          </w:p>
        </w:tc>
        <w:tc>
          <w:tcPr>
            <w:tcW w:w="798" w:type="pct"/>
            <w:tcBorders>
              <w:top w:val="nil"/>
              <w:left w:val="nil"/>
              <w:bottom w:val="nil"/>
              <w:right w:val="single" w:sz="8" w:space="0" w:color="auto"/>
            </w:tcBorders>
            <w:shd w:val="clear" w:color="auto" w:fill="auto"/>
            <w:hideMark/>
          </w:tcPr>
          <w:p w14:paraId="33B5756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365992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Streptococcus:</w:t>
            </w:r>
          </w:p>
        </w:tc>
        <w:tc>
          <w:tcPr>
            <w:tcW w:w="845" w:type="pct"/>
            <w:tcBorders>
              <w:top w:val="nil"/>
              <w:left w:val="nil"/>
              <w:bottom w:val="nil"/>
              <w:right w:val="single" w:sz="8" w:space="0" w:color="auto"/>
            </w:tcBorders>
            <w:shd w:val="clear" w:color="auto" w:fill="auto"/>
            <w:vAlign w:val="center"/>
            <w:hideMark/>
          </w:tcPr>
          <w:p w14:paraId="7BB24C5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0228265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1F0C103"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4E8DB1A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2CE4672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5156DC3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0C4B5D5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A40.8, A40.9, A49.1, B95.4, B95.5</w:t>
            </w:r>
          </w:p>
        </w:tc>
        <w:tc>
          <w:tcPr>
            <w:tcW w:w="845" w:type="pct"/>
            <w:tcBorders>
              <w:top w:val="nil"/>
              <w:left w:val="nil"/>
              <w:bottom w:val="nil"/>
              <w:right w:val="single" w:sz="8" w:space="0" w:color="auto"/>
            </w:tcBorders>
            <w:shd w:val="clear" w:color="auto" w:fill="auto"/>
            <w:vAlign w:val="center"/>
            <w:hideMark/>
          </w:tcPr>
          <w:p w14:paraId="4249666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4EAE21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B6E6C1F"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5C29411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35B307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303800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6F717EB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Presence of valve prosthesis </w:t>
            </w:r>
          </w:p>
        </w:tc>
        <w:tc>
          <w:tcPr>
            <w:tcW w:w="845" w:type="pct"/>
            <w:tcBorders>
              <w:top w:val="nil"/>
              <w:left w:val="nil"/>
              <w:bottom w:val="nil"/>
              <w:right w:val="single" w:sz="8" w:space="0" w:color="auto"/>
            </w:tcBorders>
            <w:shd w:val="clear" w:color="auto" w:fill="auto"/>
            <w:vAlign w:val="center"/>
            <w:hideMark/>
          </w:tcPr>
          <w:p w14:paraId="70180BE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58D5E7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437F8F2"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5636E0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hideMark/>
          </w:tcPr>
          <w:p w14:paraId="124F05B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7C9BCD7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00265C1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Z95.2, T82.6 T82.0</w:t>
            </w:r>
          </w:p>
        </w:tc>
        <w:tc>
          <w:tcPr>
            <w:tcW w:w="845" w:type="pct"/>
            <w:tcBorders>
              <w:top w:val="nil"/>
              <w:left w:val="nil"/>
              <w:bottom w:val="nil"/>
              <w:right w:val="single" w:sz="8" w:space="0" w:color="auto"/>
            </w:tcBorders>
            <w:shd w:val="clear" w:color="auto" w:fill="auto"/>
            <w:vAlign w:val="center"/>
            <w:hideMark/>
          </w:tcPr>
          <w:p w14:paraId="5AA6F28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1B33D0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1D95803"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525654D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5501E91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4558E70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7EA4148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w:t>
            </w:r>
          </w:p>
        </w:tc>
        <w:tc>
          <w:tcPr>
            <w:tcW w:w="845" w:type="pct"/>
            <w:tcBorders>
              <w:top w:val="nil"/>
              <w:left w:val="nil"/>
              <w:bottom w:val="single" w:sz="8" w:space="0" w:color="auto"/>
              <w:right w:val="single" w:sz="8" w:space="0" w:color="auto"/>
            </w:tcBorders>
            <w:shd w:val="clear" w:color="auto" w:fill="auto"/>
            <w:vAlign w:val="center"/>
            <w:hideMark/>
          </w:tcPr>
          <w:p w14:paraId="77B3FA6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4E99EB0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168CD49"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0A122BF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Bates</w:t>
            </w:r>
            <w:r w:rsidRPr="00CC06B3">
              <w:rPr>
                <w:rFonts w:ascii="Calibri" w:eastAsia="Times New Roman" w:hAnsi="Calibri" w:cs="Times New Roman"/>
                <w:color w:val="000000"/>
                <w:vertAlign w:val="superscript"/>
                <w:lang w:val="en-US"/>
              </w:rPr>
              <w:t>10</w:t>
            </w:r>
            <w:r w:rsidRPr="00CC06B3">
              <w:rPr>
                <w:rFonts w:ascii="Calibri" w:eastAsia="Times New Roman" w:hAnsi="Calibri" w:cs="Times New Roman"/>
                <w:color w:val="000000"/>
                <w:lang w:val="en-US"/>
              </w:rPr>
              <w:t xml:space="preserve"> 2017</w:t>
            </w:r>
          </w:p>
        </w:tc>
        <w:tc>
          <w:tcPr>
            <w:tcW w:w="1035" w:type="pct"/>
            <w:tcBorders>
              <w:top w:val="nil"/>
              <w:left w:val="nil"/>
              <w:bottom w:val="nil"/>
              <w:right w:val="single" w:sz="8" w:space="0" w:color="auto"/>
            </w:tcBorders>
            <w:shd w:val="clear" w:color="auto" w:fill="auto"/>
            <w:vAlign w:val="center"/>
            <w:hideMark/>
          </w:tcPr>
          <w:p w14:paraId="762DFB3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Children &lt;18 years hospitalized with infective endocarditis at 29 centres in US 2003-2014</w:t>
            </w:r>
          </w:p>
        </w:tc>
        <w:tc>
          <w:tcPr>
            <w:tcW w:w="798" w:type="pct"/>
            <w:tcBorders>
              <w:top w:val="nil"/>
              <w:left w:val="nil"/>
              <w:bottom w:val="nil"/>
              <w:right w:val="single" w:sz="8" w:space="0" w:color="auto"/>
            </w:tcBorders>
            <w:shd w:val="clear" w:color="auto" w:fill="auto"/>
            <w:vAlign w:val="center"/>
            <w:hideMark/>
          </w:tcPr>
          <w:p w14:paraId="5D0ABB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Interrupted Time Series analysis: increasing trend pre-guideline change, no difference in rate of change post guidelines.</w:t>
            </w:r>
          </w:p>
        </w:tc>
        <w:tc>
          <w:tcPr>
            <w:tcW w:w="1056" w:type="pct"/>
            <w:tcBorders>
              <w:top w:val="nil"/>
              <w:left w:val="nil"/>
              <w:bottom w:val="nil"/>
              <w:right w:val="single" w:sz="8" w:space="0" w:color="auto"/>
            </w:tcBorders>
            <w:shd w:val="clear" w:color="auto" w:fill="auto"/>
            <w:vAlign w:val="center"/>
            <w:hideMark/>
          </w:tcPr>
          <w:p w14:paraId="7FBA4D1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or Secondary</w:t>
            </w:r>
          </w:p>
        </w:tc>
        <w:tc>
          <w:tcPr>
            <w:tcW w:w="845" w:type="pct"/>
            <w:tcBorders>
              <w:top w:val="nil"/>
              <w:left w:val="nil"/>
              <w:bottom w:val="nil"/>
              <w:right w:val="single" w:sz="8" w:space="0" w:color="auto"/>
            </w:tcBorders>
            <w:shd w:val="clear" w:color="auto" w:fill="auto"/>
            <w:vAlign w:val="center"/>
            <w:hideMark/>
          </w:tcPr>
          <w:p w14:paraId="292C2C3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First(index) hospitalization with infective endocarditis as defined only</w:t>
            </w:r>
          </w:p>
        </w:tc>
        <w:tc>
          <w:tcPr>
            <w:tcW w:w="793" w:type="pct"/>
            <w:tcBorders>
              <w:top w:val="nil"/>
              <w:left w:val="nil"/>
              <w:bottom w:val="nil"/>
              <w:right w:val="single" w:sz="8" w:space="0" w:color="auto"/>
            </w:tcBorders>
            <w:shd w:val="clear" w:color="auto" w:fill="auto"/>
            <w:vAlign w:val="center"/>
            <w:hideMark/>
          </w:tcPr>
          <w:p w14:paraId="1EAA2C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5962CA8F"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2C9825D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63F0650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841 cases identified from paediatric health information system database.</w:t>
            </w:r>
          </w:p>
        </w:tc>
        <w:tc>
          <w:tcPr>
            <w:tcW w:w="798" w:type="pct"/>
            <w:tcBorders>
              <w:top w:val="nil"/>
              <w:left w:val="nil"/>
              <w:bottom w:val="nil"/>
              <w:right w:val="single" w:sz="8" w:space="0" w:color="auto"/>
            </w:tcBorders>
            <w:shd w:val="clear" w:color="auto" w:fill="auto"/>
            <w:vAlign w:val="center"/>
            <w:hideMark/>
          </w:tcPr>
          <w:p w14:paraId="18616EB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Similar analysis in children with congenital heart disease found similar results.</w:t>
            </w:r>
          </w:p>
        </w:tc>
        <w:tc>
          <w:tcPr>
            <w:tcW w:w="1056" w:type="pct"/>
            <w:tcBorders>
              <w:top w:val="nil"/>
              <w:left w:val="nil"/>
              <w:bottom w:val="nil"/>
              <w:right w:val="single" w:sz="8" w:space="0" w:color="auto"/>
            </w:tcBorders>
            <w:shd w:val="clear" w:color="auto" w:fill="auto"/>
            <w:vAlign w:val="center"/>
            <w:hideMark/>
          </w:tcPr>
          <w:p w14:paraId="6CE038B1" w14:textId="77777777" w:rsidR="00CC06B3" w:rsidRPr="00CC06B3" w:rsidRDefault="00CC06B3" w:rsidP="00CC06B3">
            <w:pPr>
              <w:spacing w:line="240" w:lineRule="auto"/>
              <w:jc w:val="right"/>
              <w:rPr>
                <w:rFonts w:ascii="Calibri" w:eastAsia="Times New Roman" w:hAnsi="Calibri" w:cs="Times New Roman"/>
                <w:color w:val="000000"/>
                <w:lang w:val="en-US"/>
              </w:rPr>
            </w:pPr>
            <w:r w:rsidRPr="00CC06B3">
              <w:rPr>
                <w:rFonts w:ascii="Calibri" w:eastAsia="Times New Roman" w:hAnsi="Calibri" w:cs="Times New Roman"/>
                <w:color w:val="000000"/>
                <w:lang w:val="en-US"/>
              </w:rPr>
              <w:t>4210</w:t>
            </w:r>
          </w:p>
        </w:tc>
        <w:tc>
          <w:tcPr>
            <w:tcW w:w="845" w:type="pct"/>
            <w:tcBorders>
              <w:top w:val="nil"/>
              <w:left w:val="nil"/>
              <w:bottom w:val="nil"/>
              <w:right w:val="single" w:sz="8" w:space="0" w:color="auto"/>
            </w:tcBorders>
            <w:shd w:val="clear" w:color="auto" w:fill="auto"/>
            <w:vAlign w:val="center"/>
            <w:hideMark/>
          </w:tcPr>
          <w:p w14:paraId="70EBC7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2054343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D63BAEA"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3E01C7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655C283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1B7EDCA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6CE2FDD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Plus</w:t>
            </w:r>
          </w:p>
        </w:tc>
        <w:tc>
          <w:tcPr>
            <w:tcW w:w="845" w:type="pct"/>
            <w:tcBorders>
              <w:top w:val="nil"/>
              <w:left w:val="nil"/>
              <w:bottom w:val="nil"/>
              <w:right w:val="single" w:sz="8" w:space="0" w:color="auto"/>
            </w:tcBorders>
            <w:shd w:val="clear" w:color="auto" w:fill="auto"/>
            <w:vAlign w:val="center"/>
            <w:hideMark/>
          </w:tcPr>
          <w:p w14:paraId="5B318D9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7114A7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C82BB3D" w14:textId="77777777" w:rsidTr="00CC06B3">
        <w:trPr>
          <w:trHeight w:val="2700"/>
        </w:trPr>
        <w:tc>
          <w:tcPr>
            <w:tcW w:w="473" w:type="pct"/>
            <w:tcBorders>
              <w:top w:val="nil"/>
              <w:left w:val="single" w:sz="8" w:space="0" w:color="auto"/>
              <w:bottom w:val="nil"/>
              <w:right w:val="single" w:sz="8" w:space="0" w:color="auto"/>
            </w:tcBorders>
            <w:shd w:val="clear" w:color="auto" w:fill="auto"/>
            <w:vAlign w:val="center"/>
            <w:hideMark/>
          </w:tcPr>
          <w:p w14:paraId="46064F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7B16F1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3A3776F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7CDB183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antistreptococcal antibiotics &gt;7 days (vancomycin/penicillin/ceftriaxone monotherapy or vanc/gent combi or cef/pen and gent- American Heart Association guidelines)</w:t>
            </w:r>
          </w:p>
        </w:tc>
        <w:tc>
          <w:tcPr>
            <w:tcW w:w="845" w:type="pct"/>
            <w:tcBorders>
              <w:top w:val="nil"/>
              <w:left w:val="nil"/>
              <w:bottom w:val="nil"/>
              <w:right w:val="single" w:sz="8" w:space="0" w:color="auto"/>
            </w:tcBorders>
            <w:shd w:val="clear" w:color="auto" w:fill="auto"/>
            <w:vAlign w:val="center"/>
            <w:hideMark/>
          </w:tcPr>
          <w:p w14:paraId="7C3D3BA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425E30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D0C1698" w14:textId="77777777" w:rsidTr="00CC06B3">
        <w:trPr>
          <w:trHeight w:val="1560"/>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4E55E22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4FD11D6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2462A7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77C96F3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Also considered congenital heart disease, codes listed in reference Jenkins et al</w:t>
            </w:r>
            <w:r w:rsidRPr="00CC06B3">
              <w:rPr>
                <w:rFonts w:ascii="Calibri" w:eastAsia="Times New Roman" w:hAnsi="Calibri" w:cs="Times New Roman"/>
                <w:color w:val="000000"/>
                <w:vertAlign w:val="superscript"/>
                <w:lang w:val="en-US"/>
              </w:rPr>
              <w:t>11</w:t>
            </w:r>
          </w:p>
        </w:tc>
        <w:tc>
          <w:tcPr>
            <w:tcW w:w="845" w:type="pct"/>
            <w:tcBorders>
              <w:top w:val="nil"/>
              <w:left w:val="nil"/>
              <w:bottom w:val="single" w:sz="8" w:space="0" w:color="auto"/>
              <w:right w:val="single" w:sz="8" w:space="0" w:color="auto"/>
            </w:tcBorders>
            <w:shd w:val="clear" w:color="auto" w:fill="auto"/>
            <w:vAlign w:val="center"/>
            <w:hideMark/>
          </w:tcPr>
          <w:p w14:paraId="05BBCF3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110878B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3810163" w14:textId="77777777" w:rsidTr="00CC06B3">
        <w:trPr>
          <w:trHeight w:val="2100"/>
        </w:trPr>
        <w:tc>
          <w:tcPr>
            <w:tcW w:w="473" w:type="pct"/>
            <w:tcBorders>
              <w:top w:val="nil"/>
              <w:left w:val="single" w:sz="8" w:space="0" w:color="auto"/>
              <w:bottom w:val="nil"/>
              <w:right w:val="single" w:sz="8" w:space="0" w:color="auto"/>
            </w:tcBorders>
            <w:shd w:val="clear" w:color="auto" w:fill="auto"/>
            <w:vAlign w:val="center"/>
            <w:hideMark/>
          </w:tcPr>
          <w:p w14:paraId="23CB805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Bikdeli</w:t>
            </w:r>
            <w:r w:rsidRPr="00CC06B3">
              <w:rPr>
                <w:rFonts w:ascii="Calibri" w:eastAsia="Times New Roman" w:hAnsi="Calibri" w:cs="Times New Roman"/>
                <w:color w:val="000000"/>
                <w:vertAlign w:val="superscript"/>
                <w:lang w:val="en-US"/>
              </w:rPr>
              <w:t>12</w:t>
            </w:r>
            <w:r w:rsidRPr="00CC06B3">
              <w:rPr>
                <w:rFonts w:ascii="Calibri" w:eastAsia="Times New Roman" w:hAnsi="Calibri" w:cs="Times New Roman"/>
                <w:color w:val="000000"/>
                <w:lang w:val="en-US"/>
              </w:rPr>
              <w:t xml:space="preserve">  2013</w:t>
            </w:r>
          </w:p>
        </w:tc>
        <w:tc>
          <w:tcPr>
            <w:tcW w:w="1035" w:type="pct"/>
            <w:tcBorders>
              <w:top w:val="nil"/>
              <w:left w:val="nil"/>
              <w:bottom w:val="nil"/>
              <w:right w:val="single" w:sz="8" w:space="0" w:color="auto"/>
            </w:tcBorders>
            <w:shd w:val="clear" w:color="auto" w:fill="auto"/>
            <w:vAlign w:val="center"/>
            <w:hideMark/>
          </w:tcPr>
          <w:p w14:paraId="5107492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Older adults: &gt;=65 yrs with principal/secondary diagnosis of endocarditis in National NIS database 1999-2009. 262,658 individuals hospitalized with endocarditis.</w:t>
            </w:r>
          </w:p>
        </w:tc>
        <w:tc>
          <w:tcPr>
            <w:tcW w:w="798" w:type="pct"/>
            <w:tcBorders>
              <w:top w:val="nil"/>
              <w:left w:val="nil"/>
              <w:bottom w:val="nil"/>
              <w:right w:val="single" w:sz="8" w:space="0" w:color="auto"/>
            </w:tcBorders>
            <w:shd w:val="clear" w:color="auto" w:fill="auto"/>
            <w:vAlign w:val="center"/>
            <w:hideMark/>
          </w:tcPr>
          <w:p w14:paraId="1F8DEB7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Adjusted hospitalisation rate increased 1999-2005, then decreased, with the decline continuing after 2007. No change in adjusted mortality, and trends consistent across subgroups. </w:t>
            </w:r>
          </w:p>
        </w:tc>
        <w:tc>
          <w:tcPr>
            <w:tcW w:w="1056" w:type="pct"/>
            <w:tcBorders>
              <w:top w:val="nil"/>
              <w:left w:val="nil"/>
              <w:bottom w:val="nil"/>
              <w:right w:val="single" w:sz="8" w:space="0" w:color="auto"/>
            </w:tcBorders>
            <w:shd w:val="clear" w:color="auto" w:fill="auto"/>
            <w:vAlign w:val="center"/>
            <w:hideMark/>
          </w:tcPr>
          <w:p w14:paraId="228F9BC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or secondary</w:t>
            </w:r>
          </w:p>
        </w:tc>
        <w:tc>
          <w:tcPr>
            <w:tcW w:w="845" w:type="pct"/>
            <w:tcBorders>
              <w:top w:val="nil"/>
              <w:left w:val="nil"/>
              <w:bottom w:val="nil"/>
              <w:right w:val="single" w:sz="8" w:space="0" w:color="auto"/>
            </w:tcBorders>
            <w:shd w:val="clear" w:color="auto" w:fill="auto"/>
            <w:vAlign w:val="center"/>
            <w:hideMark/>
          </w:tcPr>
          <w:p w14:paraId="7A5745A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If multiple hospitalisations in given year (18%) random hospitalization used (patient unit of analysis)</w:t>
            </w:r>
          </w:p>
        </w:tc>
        <w:tc>
          <w:tcPr>
            <w:tcW w:w="793" w:type="pct"/>
            <w:tcBorders>
              <w:top w:val="nil"/>
              <w:left w:val="nil"/>
              <w:bottom w:val="nil"/>
              <w:right w:val="single" w:sz="8" w:space="0" w:color="auto"/>
            </w:tcBorders>
            <w:shd w:val="clear" w:color="auto" w:fill="auto"/>
            <w:vAlign w:val="center"/>
            <w:hideMark/>
          </w:tcPr>
          <w:p w14:paraId="0118124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094726A9"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571EE82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7BD774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1A94A84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408269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4210 4211 4219 </w:t>
            </w:r>
            <w:r w:rsidRPr="00CC06B3">
              <w:rPr>
                <w:rFonts w:ascii="Calibri" w:eastAsia="Times New Roman" w:hAnsi="Calibri" w:cs="Times New Roman"/>
                <w:b/>
                <w:bCs/>
                <w:color w:val="000000"/>
                <w:lang w:val="en-US"/>
              </w:rPr>
              <w:t>4249</w:t>
            </w:r>
          </w:p>
        </w:tc>
        <w:tc>
          <w:tcPr>
            <w:tcW w:w="845" w:type="pct"/>
            <w:tcBorders>
              <w:top w:val="nil"/>
              <w:left w:val="nil"/>
              <w:bottom w:val="nil"/>
              <w:right w:val="single" w:sz="8" w:space="0" w:color="auto"/>
            </w:tcBorders>
            <w:shd w:val="clear" w:color="auto" w:fill="auto"/>
            <w:vAlign w:val="center"/>
            <w:hideMark/>
          </w:tcPr>
          <w:p w14:paraId="57BE8D8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44795B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 discussion-reference</w:t>
            </w:r>
          </w:p>
        </w:tc>
      </w:tr>
      <w:tr w:rsidR="00CC06B3" w:rsidRPr="00CC06B3" w14:paraId="66D6047E" w14:textId="77777777" w:rsidTr="00CC06B3">
        <w:trPr>
          <w:trHeight w:val="1035"/>
        </w:trPr>
        <w:tc>
          <w:tcPr>
            <w:tcW w:w="473" w:type="pct"/>
            <w:tcBorders>
              <w:top w:val="nil"/>
              <w:left w:val="single" w:sz="8" w:space="0" w:color="auto"/>
              <w:bottom w:val="nil"/>
              <w:right w:val="single" w:sz="8" w:space="0" w:color="auto"/>
            </w:tcBorders>
            <w:shd w:val="clear" w:color="auto" w:fill="auto"/>
            <w:vAlign w:val="center"/>
            <w:hideMark/>
          </w:tcPr>
          <w:p w14:paraId="09A2D61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46FB3E9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w:t>
            </w:r>
          </w:p>
        </w:tc>
        <w:tc>
          <w:tcPr>
            <w:tcW w:w="798" w:type="pct"/>
            <w:tcBorders>
              <w:top w:val="nil"/>
              <w:left w:val="nil"/>
              <w:bottom w:val="nil"/>
              <w:right w:val="single" w:sz="8" w:space="0" w:color="auto"/>
            </w:tcBorders>
            <w:shd w:val="clear" w:color="auto" w:fill="auto"/>
            <w:vAlign w:val="center"/>
            <w:hideMark/>
          </w:tcPr>
          <w:p w14:paraId="2F9DF13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93B9F3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Excluded if 996.91code used in any position (intracardiac device)   .</w:t>
            </w:r>
          </w:p>
        </w:tc>
        <w:tc>
          <w:tcPr>
            <w:tcW w:w="845" w:type="pct"/>
            <w:tcBorders>
              <w:top w:val="nil"/>
              <w:left w:val="nil"/>
              <w:bottom w:val="nil"/>
              <w:right w:val="single" w:sz="8" w:space="0" w:color="auto"/>
            </w:tcBorders>
            <w:shd w:val="clear" w:color="auto" w:fill="auto"/>
            <w:vAlign w:val="center"/>
            <w:hideMark/>
          </w:tcPr>
          <w:p w14:paraId="5F5747A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264F9F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Fedeli</w:t>
            </w:r>
            <w:r w:rsidRPr="00CC06B3">
              <w:rPr>
                <w:rFonts w:ascii="Calibri" w:eastAsia="Times New Roman" w:hAnsi="Calibri" w:cs="Times New Roman"/>
                <w:color w:val="000000"/>
                <w:vertAlign w:val="superscript"/>
                <w:lang w:val="en-US"/>
              </w:rPr>
              <w:t>13</w:t>
            </w:r>
            <w:r w:rsidRPr="00CC06B3">
              <w:rPr>
                <w:rFonts w:ascii="Calibri" w:eastAsia="Times New Roman" w:hAnsi="Calibri" w:cs="Times New Roman"/>
                <w:color w:val="000000"/>
                <w:lang w:val="en-US"/>
              </w:rPr>
              <w:t>, Cabell</w:t>
            </w:r>
            <w:r w:rsidRPr="00CC06B3">
              <w:rPr>
                <w:rFonts w:ascii="Calibri" w:eastAsia="Times New Roman" w:hAnsi="Calibri" w:cs="Times New Roman"/>
                <w:color w:val="000000"/>
                <w:vertAlign w:val="superscript"/>
                <w:lang w:val="en-US"/>
              </w:rPr>
              <w:t>14</w:t>
            </w:r>
            <w:r w:rsidRPr="00CC06B3">
              <w:rPr>
                <w:rFonts w:ascii="Calibri" w:eastAsia="Times New Roman" w:hAnsi="Calibri" w:cs="Times New Roman"/>
                <w:color w:val="000000"/>
                <w:lang w:val="en-US"/>
              </w:rPr>
              <w:t>, Mendiratta</w:t>
            </w:r>
            <w:r w:rsidRPr="00CC06B3">
              <w:rPr>
                <w:rFonts w:ascii="Calibri" w:eastAsia="Times New Roman" w:hAnsi="Calibri" w:cs="Times New Roman"/>
                <w:color w:val="000000"/>
                <w:vertAlign w:val="superscript"/>
                <w:lang w:val="en-US"/>
              </w:rPr>
              <w:t>15</w:t>
            </w:r>
            <w:r w:rsidRPr="00CC06B3">
              <w:rPr>
                <w:rFonts w:ascii="Calibri" w:eastAsia="Times New Roman" w:hAnsi="Calibri" w:cs="Times New Roman"/>
                <w:color w:val="000000"/>
                <w:lang w:val="en-US"/>
              </w:rPr>
              <w:t>, Rogers</w:t>
            </w:r>
            <w:r w:rsidRPr="00CC06B3">
              <w:rPr>
                <w:rFonts w:ascii="Calibri" w:eastAsia="Times New Roman" w:hAnsi="Calibri" w:cs="Times New Roman"/>
                <w:color w:val="000000"/>
                <w:vertAlign w:val="superscript"/>
                <w:lang w:val="en-US"/>
              </w:rPr>
              <w:t>16</w:t>
            </w:r>
            <w:r w:rsidRPr="00CC06B3">
              <w:rPr>
                <w:rFonts w:ascii="Calibri" w:eastAsia="Times New Roman" w:hAnsi="Calibri" w:cs="Times New Roman"/>
                <w:color w:val="000000"/>
                <w:lang w:val="en-US"/>
              </w:rPr>
              <w:t xml:space="preserve"> Day</w:t>
            </w:r>
            <w:r w:rsidRPr="00CC06B3">
              <w:rPr>
                <w:rFonts w:ascii="Calibri" w:eastAsia="Times New Roman" w:hAnsi="Calibri" w:cs="Times New Roman"/>
                <w:color w:val="000000"/>
                <w:vertAlign w:val="superscript"/>
                <w:lang w:val="en-US"/>
              </w:rPr>
              <w:t>17</w:t>
            </w:r>
          </w:p>
        </w:tc>
      </w:tr>
      <w:tr w:rsidR="00CC06B3" w:rsidRPr="00CC06B3" w14:paraId="12322796"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3B77437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6964296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4296752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2119D76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776949A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1D3B979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3BA58CC"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292568C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DeSimone</w:t>
            </w:r>
            <w:r w:rsidRPr="00CC06B3">
              <w:rPr>
                <w:rFonts w:ascii="Calibri" w:eastAsia="Times New Roman" w:hAnsi="Calibri" w:cs="Times New Roman"/>
                <w:color w:val="000000"/>
                <w:vertAlign w:val="superscript"/>
                <w:lang w:val="en-US"/>
              </w:rPr>
              <w:t>18</w:t>
            </w:r>
            <w:r w:rsidRPr="00CC06B3">
              <w:rPr>
                <w:rFonts w:ascii="Calibri" w:eastAsia="Times New Roman" w:hAnsi="Calibri" w:cs="Times New Roman"/>
                <w:color w:val="000000"/>
                <w:lang w:val="en-US"/>
              </w:rPr>
              <w:t xml:space="preserve"> 2012</w:t>
            </w:r>
          </w:p>
        </w:tc>
        <w:tc>
          <w:tcPr>
            <w:tcW w:w="1035" w:type="pct"/>
            <w:tcBorders>
              <w:top w:val="nil"/>
              <w:left w:val="nil"/>
              <w:bottom w:val="nil"/>
              <w:right w:val="single" w:sz="8" w:space="0" w:color="auto"/>
            </w:tcBorders>
            <w:shd w:val="clear" w:color="auto" w:fill="auto"/>
            <w:vAlign w:val="center"/>
            <w:hideMark/>
          </w:tcPr>
          <w:p w14:paraId="1B31787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All hospital discharges with streptococcal infective endocarditis in National NIS database 1999-2009. Approx... 135,000 hospitalisations</w:t>
            </w:r>
          </w:p>
        </w:tc>
        <w:tc>
          <w:tcPr>
            <w:tcW w:w="798" w:type="pct"/>
            <w:tcBorders>
              <w:top w:val="nil"/>
              <w:left w:val="nil"/>
              <w:bottom w:val="nil"/>
              <w:right w:val="single" w:sz="8" w:space="0" w:color="auto"/>
            </w:tcBorders>
            <w:shd w:val="clear" w:color="auto" w:fill="auto"/>
            <w:vAlign w:val="center"/>
            <w:hideMark/>
          </w:tcPr>
          <w:p w14:paraId="53E7C68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Incidence calculated in 3x 3 year time intervals</w:t>
            </w:r>
          </w:p>
        </w:tc>
        <w:tc>
          <w:tcPr>
            <w:tcW w:w="1056" w:type="pct"/>
            <w:tcBorders>
              <w:top w:val="nil"/>
              <w:left w:val="nil"/>
              <w:bottom w:val="nil"/>
              <w:right w:val="single" w:sz="8" w:space="0" w:color="auto"/>
            </w:tcBorders>
            <w:shd w:val="clear" w:color="auto" w:fill="auto"/>
            <w:vAlign w:val="center"/>
            <w:hideMark/>
          </w:tcPr>
          <w:p w14:paraId="7DB7D339" w14:textId="77777777" w:rsidR="00CC06B3" w:rsidRPr="00CC06B3" w:rsidRDefault="00CC06B3" w:rsidP="00CC06B3">
            <w:pPr>
              <w:spacing w:line="240" w:lineRule="auto"/>
              <w:jc w:val="right"/>
              <w:rPr>
                <w:rFonts w:ascii="Calibri" w:eastAsia="Times New Roman" w:hAnsi="Calibri" w:cs="Times New Roman"/>
                <w:color w:val="000000"/>
                <w:lang w:val="en-US"/>
              </w:rPr>
            </w:pPr>
            <w:r w:rsidRPr="00CC06B3">
              <w:rPr>
                <w:rFonts w:ascii="Calibri" w:eastAsia="Times New Roman" w:hAnsi="Calibri" w:cs="Times New Roman"/>
                <w:color w:val="000000"/>
                <w:lang w:val="en-US"/>
              </w:rPr>
              <w:t>421</w:t>
            </w:r>
          </w:p>
        </w:tc>
        <w:tc>
          <w:tcPr>
            <w:tcW w:w="845" w:type="pct"/>
            <w:tcBorders>
              <w:top w:val="nil"/>
              <w:left w:val="nil"/>
              <w:bottom w:val="nil"/>
              <w:right w:val="single" w:sz="8" w:space="0" w:color="auto"/>
            </w:tcBorders>
            <w:shd w:val="clear" w:color="auto" w:fill="auto"/>
            <w:vAlign w:val="center"/>
            <w:hideMark/>
          </w:tcPr>
          <w:p w14:paraId="102F3C0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All hospital discharges</w:t>
            </w:r>
          </w:p>
        </w:tc>
        <w:tc>
          <w:tcPr>
            <w:tcW w:w="793" w:type="pct"/>
            <w:tcBorders>
              <w:top w:val="nil"/>
              <w:left w:val="nil"/>
              <w:bottom w:val="nil"/>
              <w:right w:val="single" w:sz="8" w:space="0" w:color="auto"/>
            </w:tcBorders>
            <w:shd w:val="clear" w:color="auto" w:fill="auto"/>
            <w:vAlign w:val="center"/>
            <w:hideMark/>
          </w:tcPr>
          <w:p w14:paraId="7F1E980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1F5B2B88"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2EED5C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6300BFE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ECE10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325FB31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1C658C3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 deduplication</w:t>
            </w:r>
          </w:p>
        </w:tc>
        <w:tc>
          <w:tcPr>
            <w:tcW w:w="793" w:type="pct"/>
            <w:tcBorders>
              <w:top w:val="nil"/>
              <w:left w:val="nil"/>
              <w:bottom w:val="nil"/>
              <w:right w:val="single" w:sz="8" w:space="0" w:color="auto"/>
            </w:tcBorders>
            <w:shd w:val="clear" w:color="auto" w:fill="auto"/>
            <w:vAlign w:val="center"/>
            <w:hideMark/>
          </w:tcPr>
          <w:p w14:paraId="7EBFCE5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ACBF58E"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07A1D11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65DFC4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47BF4A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No change in viridans group strep incidence in 3 year period post guideline nationally or in smaller subgroup. </w:t>
            </w:r>
          </w:p>
        </w:tc>
        <w:tc>
          <w:tcPr>
            <w:tcW w:w="1056" w:type="pct"/>
            <w:tcBorders>
              <w:top w:val="nil"/>
              <w:left w:val="nil"/>
              <w:bottom w:val="nil"/>
              <w:right w:val="single" w:sz="8" w:space="0" w:color="auto"/>
            </w:tcBorders>
            <w:shd w:val="clear" w:color="auto" w:fill="auto"/>
            <w:vAlign w:val="center"/>
            <w:hideMark/>
          </w:tcPr>
          <w:p w14:paraId="32667E1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Streptococcus codes: </w:t>
            </w:r>
          </w:p>
        </w:tc>
        <w:tc>
          <w:tcPr>
            <w:tcW w:w="845" w:type="pct"/>
            <w:tcBorders>
              <w:top w:val="nil"/>
              <w:left w:val="nil"/>
              <w:bottom w:val="nil"/>
              <w:right w:val="single" w:sz="8" w:space="0" w:color="auto"/>
            </w:tcBorders>
            <w:shd w:val="clear" w:color="auto" w:fill="auto"/>
            <w:hideMark/>
          </w:tcPr>
          <w:p w14:paraId="210032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F8F62B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4CFA1EA"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5D981CF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2F9BAAB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+Prospective study using Mayo Clinic Endocarditis registry, Viridans-group modified Duke criteria Endocarditis 1999-2010, total 150 cases, of which 22 cases were viridans group strep</w:t>
            </w:r>
          </w:p>
        </w:tc>
        <w:tc>
          <w:tcPr>
            <w:tcW w:w="798" w:type="pct"/>
            <w:tcBorders>
              <w:top w:val="nil"/>
              <w:left w:val="nil"/>
              <w:bottom w:val="nil"/>
              <w:right w:val="single" w:sz="8" w:space="0" w:color="auto"/>
            </w:tcBorders>
            <w:shd w:val="clear" w:color="auto" w:fill="auto"/>
            <w:vAlign w:val="center"/>
            <w:hideMark/>
          </w:tcPr>
          <w:p w14:paraId="01F0DB7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Overall decline in incidence noted- authors speculate due to declining rheumatic heart disease </w:t>
            </w:r>
          </w:p>
        </w:tc>
        <w:tc>
          <w:tcPr>
            <w:tcW w:w="1056" w:type="pct"/>
            <w:tcBorders>
              <w:top w:val="nil"/>
              <w:left w:val="nil"/>
              <w:bottom w:val="nil"/>
              <w:right w:val="single" w:sz="8" w:space="0" w:color="auto"/>
            </w:tcBorders>
            <w:shd w:val="clear" w:color="auto" w:fill="auto"/>
            <w:vAlign w:val="center"/>
            <w:hideMark/>
          </w:tcPr>
          <w:p w14:paraId="101F30E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streptococci unspecified: 041.00; and other streptococci: 041.09. </w:t>
            </w:r>
          </w:p>
        </w:tc>
        <w:tc>
          <w:tcPr>
            <w:tcW w:w="845" w:type="pct"/>
            <w:tcBorders>
              <w:top w:val="nil"/>
              <w:left w:val="nil"/>
              <w:bottom w:val="nil"/>
              <w:right w:val="single" w:sz="8" w:space="0" w:color="auto"/>
            </w:tcBorders>
            <w:shd w:val="clear" w:color="auto" w:fill="auto"/>
            <w:hideMark/>
          </w:tcPr>
          <w:p w14:paraId="17A4DAC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2A68E2C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4C09F93"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C8350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54B009F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007BD38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296F9B3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Excluded:</w:t>
            </w:r>
          </w:p>
        </w:tc>
        <w:tc>
          <w:tcPr>
            <w:tcW w:w="845" w:type="pct"/>
            <w:tcBorders>
              <w:top w:val="nil"/>
              <w:left w:val="nil"/>
              <w:bottom w:val="nil"/>
              <w:right w:val="single" w:sz="8" w:space="0" w:color="auto"/>
            </w:tcBorders>
            <w:shd w:val="clear" w:color="auto" w:fill="auto"/>
            <w:hideMark/>
          </w:tcPr>
          <w:p w14:paraId="39A37D4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00902E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FEF0916"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6CB68D7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325DD78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52188F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Rate of incidence National 1999-2002: 3.19/100,000</w:t>
            </w:r>
          </w:p>
        </w:tc>
        <w:tc>
          <w:tcPr>
            <w:tcW w:w="1056" w:type="pct"/>
            <w:tcBorders>
              <w:top w:val="nil"/>
              <w:left w:val="nil"/>
              <w:bottom w:val="nil"/>
              <w:right w:val="single" w:sz="8" w:space="0" w:color="auto"/>
            </w:tcBorders>
            <w:shd w:val="clear" w:color="auto" w:fill="auto"/>
            <w:vAlign w:val="center"/>
            <w:hideMark/>
          </w:tcPr>
          <w:p w14:paraId="028F62E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strepgroup A: 041.01; </w:t>
            </w:r>
          </w:p>
        </w:tc>
        <w:tc>
          <w:tcPr>
            <w:tcW w:w="845" w:type="pct"/>
            <w:tcBorders>
              <w:top w:val="nil"/>
              <w:left w:val="nil"/>
              <w:bottom w:val="nil"/>
              <w:right w:val="single" w:sz="8" w:space="0" w:color="auto"/>
            </w:tcBorders>
            <w:shd w:val="clear" w:color="auto" w:fill="auto"/>
            <w:hideMark/>
          </w:tcPr>
          <w:p w14:paraId="51D26AE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05CB74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6970D88" w14:textId="77777777" w:rsidTr="00CC06B3">
        <w:trPr>
          <w:trHeight w:val="15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203C6DF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4953F9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359C0E8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Local 1.7-3.5 cases/100.000.</w:t>
            </w:r>
          </w:p>
        </w:tc>
        <w:tc>
          <w:tcPr>
            <w:tcW w:w="1056" w:type="pct"/>
            <w:tcBorders>
              <w:top w:val="nil"/>
              <w:left w:val="nil"/>
              <w:bottom w:val="single" w:sz="8" w:space="0" w:color="auto"/>
              <w:right w:val="single" w:sz="8" w:space="0" w:color="auto"/>
            </w:tcBorders>
            <w:shd w:val="clear" w:color="auto" w:fill="auto"/>
            <w:vAlign w:val="center"/>
            <w:hideMark/>
          </w:tcPr>
          <w:p w14:paraId="3EE5E24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strep group B: 041.02; strep group C: 041.03; enterococcus group D: 041.04; streptococcus group G: 041.05.</w:t>
            </w:r>
          </w:p>
        </w:tc>
        <w:tc>
          <w:tcPr>
            <w:tcW w:w="845" w:type="pct"/>
            <w:tcBorders>
              <w:top w:val="nil"/>
              <w:left w:val="nil"/>
              <w:bottom w:val="single" w:sz="8" w:space="0" w:color="auto"/>
              <w:right w:val="single" w:sz="8" w:space="0" w:color="auto"/>
            </w:tcBorders>
            <w:shd w:val="clear" w:color="auto" w:fill="auto"/>
            <w:hideMark/>
          </w:tcPr>
          <w:p w14:paraId="14268F1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264C424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D3457F3" w14:textId="77777777" w:rsidTr="00CC06B3">
        <w:trPr>
          <w:trHeight w:val="24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7BEF0AA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Duval</w:t>
            </w:r>
            <w:r w:rsidRPr="00CC06B3">
              <w:rPr>
                <w:rFonts w:ascii="Calibri" w:eastAsia="Times New Roman" w:hAnsi="Calibri" w:cs="Times New Roman"/>
                <w:color w:val="000000"/>
                <w:vertAlign w:val="superscript"/>
                <w:lang w:val="en-US"/>
              </w:rPr>
              <w:t>19</w:t>
            </w:r>
            <w:r w:rsidRPr="00CC06B3">
              <w:rPr>
                <w:rFonts w:ascii="Calibri" w:eastAsia="Times New Roman" w:hAnsi="Calibri" w:cs="Times New Roman"/>
                <w:color w:val="000000"/>
                <w:lang w:val="en-US"/>
              </w:rPr>
              <w:t xml:space="preserve"> 2012</w:t>
            </w:r>
          </w:p>
        </w:tc>
        <w:tc>
          <w:tcPr>
            <w:tcW w:w="1035" w:type="pct"/>
            <w:tcBorders>
              <w:top w:val="nil"/>
              <w:left w:val="nil"/>
              <w:bottom w:val="single" w:sz="8" w:space="0" w:color="auto"/>
              <w:right w:val="single" w:sz="8" w:space="0" w:color="auto"/>
            </w:tcBorders>
            <w:shd w:val="clear" w:color="auto" w:fill="auto"/>
            <w:vAlign w:val="center"/>
            <w:hideMark/>
          </w:tcPr>
          <w:p w14:paraId="1C785FE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3 population-based surveys 1991, 1998 2008, 993 cases. Verified by expert team and microbiology lab results</w:t>
            </w:r>
          </w:p>
        </w:tc>
        <w:tc>
          <w:tcPr>
            <w:tcW w:w="798" w:type="pct"/>
            <w:tcBorders>
              <w:top w:val="nil"/>
              <w:left w:val="nil"/>
              <w:bottom w:val="single" w:sz="8" w:space="0" w:color="auto"/>
              <w:right w:val="single" w:sz="8" w:space="0" w:color="auto"/>
            </w:tcBorders>
            <w:shd w:val="clear" w:color="auto" w:fill="auto"/>
            <w:vAlign w:val="center"/>
            <w:hideMark/>
          </w:tcPr>
          <w:p w14:paraId="510382B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 increase in overall infective endocarditis incidence or in oral Streptococcal infective endocarditis. Increase in Staphylococcal infective endocarditis in patients with native valve disease</w:t>
            </w:r>
          </w:p>
        </w:tc>
        <w:tc>
          <w:tcPr>
            <w:tcW w:w="1056" w:type="pct"/>
            <w:tcBorders>
              <w:top w:val="nil"/>
              <w:left w:val="nil"/>
              <w:bottom w:val="single" w:sz="8" w:space="0" w:color="auto"/>
              <w:right w:val="single" w:sz="8" w:space="0" w:color="auto"/>
            </w:tcBorders>
            <w:shd w:val="clear" w:color="auto" w:fill="auto"/>
            <w:vAlign w:val="center"/>
            <w:hideMark/>
          </w:tcPr>
          <w:p w14:paraId="0EBAC5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N/A</w:t>
            </w:r>
          </w:p>
        </w:tc>
        <w:tc>
          <w:tcPr>
            <w:tcW w:w="845" w:type="pct"/>
            <w:tcBorders>
              <w:top w:val="nil"/>
              <w:left w:val="nil"/>
              <w:bottom w:val="single" w:sz="8" w:space="0" w:color="auto"/>
              <w:right w:val="single" w:sz="8" w:space="0" w:color="auto"/>
            </w:tcBorders>
            <w:shd w:val="clear" w:color="auto" w:fill="auto"/>
            <w:vAlign w:val="center"/>
            <w:hideMark/>
          </w:tcPr>
          <w:p w14:paraId="2E31045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All cases as recorded by healthcare professionals</w:t>
            </w:r>
          </w:p>
        </w:tc>
        <w:tc>
          <w:tcPr>
            <w:tcW w:w="793" w:type="pct"/>
            <w:tcBorders>
              <w:top w:val="nil"/>
              <w:left w:val="nil"/>
              <w:bottom w:val="single" w:sz="8" w:space="0" w:color="auto"/>
              <w:right w:val="single" w:sz="8" w:space="0" w:color="auto"/>
            </w:tcBorders>
            <w:shd w:val="clear" w:color="auto" w:fill="auto"/>
            <w:vAlign w:val="center"/>
            <w:hideMark/>
          </w:tcPr>
          <w:p w14:paraId="2980CC8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3D916A76"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6C1EE27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Van den Brink</w:t>
            </w:r>
            <w:r w:rsidRPr="00CC06B3">
              <w:rPr>
                <w:rFonts w:ascii="Calibri" w:eastAsia="Times New Roman" w:hAnsi="Calibri" w:cs="Times New Roman"/>
                <w:color w:val="000000"/>
                <w:vertAlign w:val="superscript"/>
                <w:lang w:val="en-US"/>
              </w:rPr>
              <w:t>20</w:t>
            </w:r>
            <w:r w:rsidRPr="00CC06B3">
              <w:rPr>
                <w:rFonts w:ascii="Calibri" w:eastAsia="Times New Roman" w:hAnsi="Calibri" w:cs="Times New Roman"/>
                <w:color w:val="000000"/>
                <w:lang w:val="en-US"/>
              </w:rPr>
              <w:t xml:space="preserve"> 2017</w:t>
            </w:r>
          </w:p>
        </w:tc>
        <w:tc>
          <w:tcPr>
            <w:tcW w:w="1035" w:type="pct"/>
            <w:tcBorders>
              <w:top w:val="nil"/>
              <w:left w:val="nil"/>
              <w:bottom w:val="nil"/>
              <w:right w:val="single" w:sz="8" w:space="0" w:color="auto"/>
            </w:tcBorders>
            <w:shd w:val="clear" w:color="auto" w:fill="auto"/>
            <w:vAlign w:val="center"/>
            <w:hideMark/>
          </w:tcPr>
          <w:p w14:paraId="77E3ADB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Netherlands national insurance healthcare database 2005-2011 5213 patients hospitalized with endocarditis</w:t>
            </w:r>
          </w:p>
        </w:tc>
        <w:tc>
          <w:tcPr>
            <w:tcW w:w="798" w:type="pct"/>
            <w:tcBorders>
              <w:top w:val="nil"/>
              <w:left w:val="nil"/>
              <w:bottom w:val="nil"/>
              <w:right w:val="single" w:sz="8" w:space="0" w:color="auto"/>
            </w:tcBorders>
            <w:shd w:val="clear" w:color="auto" w:fill="auto"/>
            <w:vAlign w:val="center"/>
            <w:hideMark/>
          </w:tcPr>
          <w:p w14:paraId="748D7E9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Increase in cases from 30/100,000 to 63/100,000. Before/after European Society of Cardiology Guideline change streptococci 31-53%</w:t>
            </w:r>
          </w:p>
        </w:tc>
        <w:tc>
          <w:tcPr>
            <w:tcW w:w="1056" w:type="pct"/>
            <w:tcBorders>
              <w:top w:val="nil"/>
              <w:left w:val="nil"/>
              <w:bottom w:val="nil"/>
              <w:right w:val="single" w:sz="8" w:space="0" w:color="auto"/>
            </w:tcBorders>
            <w:shd w:val="clear" w:color="auto" w:fill="auto"/>
            <w:vAlign w:val="center"/>
            <w:hideMark/>
          </w:tcPr>
          <w:p w14:paraId="733E004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Netherlands-specific endocarditis code for insurance</w:t>
            </w:r>
          </w:p>
        </w:tc>
        <w:tc>
          <w:tcPr>
            <w:tcW w:w="845" w:type="pct"/>
            <w:tcBorders>
              <w:top w:val="nil"/>
              <w:left w:val="nil"/>
              <w:bottom w:val="nil"/>
              <w:right w:val="single" w:sz="8" w:space="0" w:color="auto"/>
            </w:tcBorders>
            <w:shd w:val="clear" w:color="auto" w:fill="auto"/>
            <w:vAlign w:val="center"/>
            <w:hideMark/>
          </w:tcPr>
          <w:p w14:paraId="2C9CADA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 specified –appears first national hospitalization per patient counted. (reference to avoiding counting twice for transfers)</w:t>
            </w:r>
          </w:p>
        </w:tc>
        <w:tc>
          <w:tcPr>
            <w:tcW w:w="793" w:type="pct"/>
            <w:tcBorders>
              <w:top w:val="nil"/>
              <w:left w:val="nil"/>
              <w:bottom w:val="nil"/>
              <w:right w:val="single" w:sz="8" w:space="0" w:color="auto"/>
            </w:tcBorders>
            <w:shd w:val="clear" w:color="auto" w:fill="auto"/>
            <w:vAlign w:val="center"/>
            <w:hideMark/>
          </w:tcPr>
          <w:p w14:paraId="11BDE89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6C015AB4"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0EADF6C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42E0F5D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B438F1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79D4833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68BA175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61D458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24A80A4"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0B01A5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93AC24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E3D47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FF9AF3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38C4907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7E75F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443D3A0"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6F35DF2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00BFCC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59065DA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w:t>
            </w:r>
          </w:p>
        </w:tc>
        <w:tc>
          <w:tcPr>
            <w:tcW w:w="1056" w:type="pct"/>
            <w:tcBorders>
              <w:top w:val="nil"/>
              <w:left w:val="nil"/>
              <w:bottom w:val="single" w:sz="8" w:space="0" w:color="auto"/>
              <w:right w:val="single" w:sz="8" w:space="0" w:color="auto"/>
            </w:tcBorders>
            <w:shd w:val="clear" w:color="auto" w:fill="auto"/>
            <w:vAlign w:val="center"/>
            <w:hideMark/>
          </w:tcPr>
          <w:p w14:paraId="6443F02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1D61636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3C2F79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DFC48B0" w14:textId="77777777" w:rsidTr="00CC06B3">
        <w:trPr>
          <w:trHeight w:val="6038"/>
        </w:trPr>
        <w:tc>
          <w:tcPr>
            <w:tcW w:w="473" w:type="pct"/>
            <w:tcBorders>
              <w:top w:val="nil"/>
              <w:left w:val="single" w:sz="8" w:space="0" w:color="auto"/>
              <w:bottom w:val="nil"/>
              <w:right w:val="single" w:sz="8" w:space="0" w:color="auto"/>
            </w:tcBorders>
            <w:shd w:val="clear" w:color="auto" w:fill="auto"/>
            <w:vAlign w:val="center"/>
            <w:hideMark/>
          </w:tcPr>
          <w:p w14:paraId="391A43D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Dayer</w:t>
            </w:r>
            <w:r w:rsidRPr="00CC06B3">
              <w:rPr>
                <w:rFonts w:ascii="Calibri" w:eastAsia="Times New Roman" w:hAnsi="Calibri" w:cs="Times New Roman"/>
                <w:color w:val="000000"/>
                <w:vertAlign w:val="superscript"/>
                <w:lang w:val="en-US"/>
              </w:rPr>
              <w:t>21</w:t>
            </w:r>
            <w:r w:rsidRPr="00CC06B3">
              <w:rPr>
                <w:rFonts w:ascii="Calibri" w:eastAsia="Times New Roman" w:hAnsi="Calibri" w:cs="Times New Roman"/>
                <w:color w:val="000000"/>
                <w:lang w:val="en-US"/>
              </w:rPr>
              <w:t xml:space="preserve"> 2015</w:t>
            </w:r>
          </w:p>
        </w:tc>
        <w:tc>
          <w:tcPr>
            <w:tcW w:w="1035" w:type="pct"/>
            <w:tcBorders>
              <w:top w:val="nil"/>
              <w:left w:val="nil"/>
              <w:bottom w:val="nil"/>
              <w:right w:val="single" w:sz="8" w:space="0" w:color="auto"/>
            </w:tcBorders>
            <w:shd w:val="clear" w:color="auto" w:fill="auto"/>
            <w:vAlign w:val="center"/>
            <w:hideMark/>
          </w:tcPr>
          <w:p w14:paraId="3FA8869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2000-2013 UK National hospital episode statistics (HES) database all UK patients.</w:t>
            </w:r>
          </w:p>
        </w:tc>
        <w:tc>
          <w:tcPr>
            <w:tcW w:w="798" w:type="pct"/>
            <w:tcBorders>
              <w:top w:val="nil"/>
              <w:left w:val="nil"/>
              <w:bottom w:val="nil"/>
              <w:right w:val="single" w:sz="8" w:space="0" w:color="auto"/>
            </w:tcBorders>
            <w:shd w:val="clear" w:color="auto" w:fill="auto"/>
            <w:vAlign w:val="center"/>
            <w:hideMark/>
          </w:tcPr>
          <w:p w14:paraId="3F4004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Increase in infective endocarditis cases/month from 2008 above projected historical trend in both higher and lower risk individuals.</w:t>
            </w:r>
          </w:p>
        </w:tc>
        <w:tc>
          <w:tcPr>
            <w:tcW w:w="1056" w:type="pct"/>
            <w:tcBorders>
              <w:top w:val="nil"/>
              <w:left w:val="nil"/>
              <w:bottom w:val="nil"/>
              <w:right w:val="single" w:sz="8" w:space="0" w:color="auto"/>
            </w:tcBorders>
            <w:shd w:val="clear" w:color="auto" w:fill="auto"/>
            <w:vAlign w:val="center"/>
            <w:hideMark/>
          </w:tcPr>
          <w:p w14:paraId="15F1053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I33 Primary</w:t>
            </w:r>
          </w:p>
        </w:tc>
        <w:tc>
          <w:tcPr>
            <w:tcW w:w="845" w:type="pct"/>
            <w:tcBorders>
              <w:top w:val="nil"/>
              <w:left w:val="nil"/>
              <w:bottom w:val="nil"/>
              <w:right w:val="single" w:sz="8" w:space="0" w:color="auto"/>
            </w:tcBorders>
            <w:shd w:val="clear" w:color="auto" w:fill="auto"/>
            <w:vAlign w:val="center"/>
            <w:hideMark/>
          </w:tcPr>
          <w:p w14:paraId="5A60E3C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Use of superspells (deduplicated for transfers)</w:t>
            </w:r>
          </w:p>
        </w:tc>
        <w:tc>
          <w:tcPr>
            <w:tcW w:w="793" w:type="pct"/>
            <w:tcBorders>
              <w:top w:val="nil"/>
              <w:left w:val="nil"/>
              <w:bottom w:val="nil"/>
              <w:right w:val="single" w:sz="8" w:space="0" w:color="auto"/>
            </w:tcBorders>
            <w:shd w:val="clear" w:color="auto" w:fill="auto"/>
            <w:vAlign w:val="center"/>
            <w:hideMark/>
          </w:tcPr>
          <w:p w14:paraId="520ED48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“Although these data are subject to error, they have been shown, for example, to provide more reliable and complete data capture for vascular surgery than a UK national research database specifically designed for that purpose”</w:t>
            </w:r>
          </w:p>
        </w:tc>
      </w:tr>
      <w:tr w:rsidR="00CC06B3" w:rsidRPr="00CC06B3" w14:paraId="55FDC241"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27D554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4D3CD69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20029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B432A7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6AC21E6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416491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C7F68D0" w14:textId="77777777" w:rsidTr="00CC06B3">
        <w:trPr>
          <w:trHeight w:val="9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0312107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670F027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45DF846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2AE6373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5CE1C2E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Exclusion of waiting list cases (based on preliminary analysis)</w:t>
            </w:r>
          </w:p>
        </w:tc>
        <w:tc>
          <w:tcPr>
            <w:tcW w:w="793" w:type="pct"/>
            <w:tcBorders>
              <w:top w:val="nil"/>
              <w:left w:val="nil"/>
              <w:bottom w:val="single" w:sz="8" w:space="0" w:color="auto"/>
              <w:right w:val="single" w:sz="8" w:space="0" w:color="auto"/>
            </w:tcBorders>
            <w:shd w:val="clear" w:color="auto" w:fill="auto"/>
            <w:vAlign w:val="center"/>
            <w:hideMark/>
          </w:tcPr>
          <w:p w14:paraId="5BFEE40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5663A70"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1EE4E63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Keller</w:t>
            </w:r>
            <w:r w:rsidRPr="00CC06B3">
              <w:rPr>
                <w:rFonts w:ascii="Calibri" w:eastAsia="Times New Roman" w:hAnsi="Calibri" w:cs="Times New Roman"/>
                <w:color w:val="000000"/>
                <w:vertAlign w:val="superscript"/>
                <w:lang w:val="en-US"/>
              </w:rPr>
              <w:t>22</w:t>
            </w:r>
            <w:r w:rsidRPr="00CC06B3">
              <w:rPr>
                <w:rFonts w:ascii="Calibri" w:eastAsia="Times New Roman" w:hAnsi="Calibri" w:cs="Times New Roman"/>
                <w:color w:val="000000"/>
                <w:lang w:val="en-US"/>
              </w:rPr>
              <w:t xml:space="preserve"> 2017</w:t>
            </w:r>
          </w:p>
        </w:tc>
        <w:tc>
          <w:tcPr>
            <w:tcW w:w="1035" w:type="pct"/>
            <w:tcBorders>
              <w:top w:val="nil"/>
              <w:left w:val="nil"/>
              <w:bottom w:val="nil"/>
              <w:right w:val="single" w:sz="8" w:space="0" w:color="auto"/>
            </w:tcBorders>
            <w:shd w:val="clear" w:color="auto" w:fill="auto"/>
            <w:vAlign w:val="center"/>
            <w:hideMark/>
          </w:tcPr>
          <w:p w14:paraId="4E602F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Federal Statistical office of Germany</w:t>
            </w:r>
          </w:p>
        </w:tc>
        <w:tc>
          <w:tcPr>
            <w:tcW w:w="798" w:type="pct"/>
            <w:tcBorders>
              <w:top w:val="nil"/>
              <w:left w:val="nil"/>
              <w:bottom w:val="nil"/>
              <w:right w:val="single" w:sz="8" w:space="0" w:color="auto"/>
            </w:tcBorders>
            <w:shd w:val="clear" w:color="auto" w:fill="auto"/>
            <w:vAlign w:val="center"/>
            <w:hideMark/>
          </w:tcPr>
          <w:p w14:paraId="5B02C78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Increase in prevalence per 100,000: 2006-2010 9.5-10.6, then larger increase 2011-2014 11.1-14.4.</w:t>
            </w:r>
          </w:p>
        </w:tc>
        <w:tc>
          <w:tcPr>
            <w:tcW w:w="1056" w:type="pct"/>
            <w:tcBorders>
              <w:top w:val="nil"/>
              <w:left w:val="nil"/>
              <w:bottom w:val="nil"/>
              <w:right w:val="single" w:sz="8" w:space="0" w:color="auto"/>
            </w:tcBorders>
            <w:shd w:val="clear" w:color="auto" w:fill="auto"/>
            <w:vAlign w:val="center"/>
            <w:hideMark/>
          </w:tcPr>
          <w:p w14:paraId="14AE69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ICD-10: I33</w:t>
            </w:r>
          </w:p>
        </w:tc>
        <w:tc>
          <w:tcPr>
            <w:tcW w:w="845" w:type="pct"/>
            <w:tcBorders>
              <w:top w:val="nil"/>
              <w:left w:val="nil"/>
              <w:bottom w:val="nil"/>
              <w:right w:val="single" w:sz="8" w:space="0" w:color="auto"/>
            </w:tcBorders>
            <w:shd w:val="clear" w:color="auto" w:fill="auto"/>
            <w:vAlign w:val="center"/>
            <w:hideMark/>
          </w:tcPr>
          <w:p w14:paraId="021AE7E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No mention of deduplication. </w:t>
            </w:r>
          </w:p>
        </w:tc>
        <w:tc>
          <w:tcPr>
            <w:tcW w:w="793" w:type="pct"/>
            <w:tcBorders>
              <w:top w:val="nil"/>
              <w:left w:val="nil"/>
              <w:bottom w:val="nil"/>
              <w:right w:val="single" w:sz="8" w:space="0" w:color="auto"/>
            </w:tcBorders>
            <w:shd w:val="clear" w:color="auto" w:fill="auto"/>
            <w:vAlign w:val="center"/>
            <w:hideMark/>
          </w:tcPr>
          <w:p w14:paraId="5D4043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4B80E57B"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3DDC7C6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4E9D719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94,364 patients</w:t>
            </w:r>
          </w:p>
        </w:tc>
        <w:tc>
          <w:tcPr>
            <w:tcW w:w="798" w:type="pct"/>
            <w:tcBorders>
              <w:top w:val="nil"/>
              <w:left w:val="nil"/>
              <w:bottom w:val="nil"/>
              <w:right w:val="single" w:sz="8" w:space="0" w:color="auto"/>
            </w:tcBorders>
            <w:shd w:val="clear" w:color="auto" w:fill="auto"/>
            <w:vAlign w:val="center"/>
            <w:hideMark/>
          </w:tcPr>
          <w:p w14:paraId="091B25C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Increasing prevalence of streptococcus and staphylococcus endocarditis, percentage streptococcus 20.8% staphylococcus 21.9%</w:t>
            </w:r>
          </w:p>
        </w:tc>
        <w:tc>
          <w:tcPr>
            <w:tcW w:w="1056" w:type="pct"/>
            <w:tcBorders>
              <w:top w:val="nil"/>
              <w:left w:val="nil"/>
              <w:bottom w:val="nil"/>
              <w:right w:val="single" w:sz="8" w:space="0" w:color="auto"/>
            </w:tcBorders>
            <w:shd w:val="clear" w:color="auto" w:fill="auto"/>
            <w:vAlign w:val="center"/>
            <w:hideMark/>
          </w:tcPr>
          <w:p w14:paraId="7184925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Streptococcus: I33 + B95.0-B95.5</w:t>
            </w:r>
          </w:p>
        </w:tc>
        <w:tc>
          <w:tcPr>
            <w:tcW w:w="845" w:type="pct"/>
            <w:tcBorders>
              <w:top w:val="nil"/>
              <w:left w:val="nil"/>
              <w:bottom w:val="nil"/>
              <w:right w:val="single" w:sz="8" w:space="0" w:color="auto"/>
            </w:tcBorders>
            <w:shd w:val="clear" w:color="auto" w:fill="auto"/>
            <w:vAlign w:val="center"/>
            <w:hideMark/>
          </w:tcPr>
          <w:p w14:paraId="05EFE28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ED2793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A556800"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2AF089D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68E57F2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‘Annual number of inpatients diagnosed with infective endocarditis’</w:t>
            </w:r>
          </w:p>
        </w:tc>
        <w:tc>
          <w:tcPr>
            <w:tcW w:w="798" w:type="pct"/>
            <w:tcBorders>
              <w:top w:val="nil"/>
              <w:left w:val="nil"/>
              <w:bottom w:val="nil"/>
              <w:right w:val="single" w:sz="8" w:space="0" w:color="auto"/>
            </w:tcBorders>
            <w:shd w:val="clear" w:color="auto" w:fill="auto"/>
            <w:vAlign w:val="center"/>
            <w:hideMark/>
          </w:tcPr>
          <w:p w14:paraId="474C114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Increasing number of valvular surgeries</w:t>
            </w:r>
          </w:p>
        </w:tc>
        <w:tc>
          <w:tcPr>
            <w:tcW w:w="1056" w:type="pct"/>
            <w:tcBorders>
              <w:top w:val="nil"/>
              <w:left w:val="nil"/>
              <w:bottom w:val="nil"/>
              <w:right w:val="single" w:sz="8" w:space="0" w:color="auto"/>
            </w:tcBorders>
            <w:shd w:val="clear" w:color="auto" w:fill="auto"/>
            <w:vAlign w:val="center"/>
            <w:hideMark/>
          </w:tcPr>
          <w:p w14:paraId="4C3E976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Staphylococcus I33+B95.6-B95.8</w:t>
            </w:r>
          </w:p>
        </w:tc>
        <w:tc>
          <w:tcPr>
            <w:tcW w:w="845" w:type="pct"/>
            <w:tcBorders>
              <w:top w:val="nil"/>
              <w:left w:val="nil"/>
              <w:bottom w:val="nil"/>
              <w:right w:val="single" w:sz="8" w:space="0" w:color="auto"/>
            </w:tcBorders>
            <w:shd w:val="clear" w:color="auto" w:fill="auto"/>
            <w:vAlign w:val="center"/>
            <w:hideMark/>
          </w:tcPr>
          <w:p w14:paraId="1843D58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7D63D7A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3AB144A"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3983C0B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0E84D1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1868A48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017BDA3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076FDC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696931D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0B4681A" w14:textId="77777777" w:rsidTr="00CC06B3">
        <w:trPr>
          <w:trHeight w:val="3300"/>
        </w:trPr>
        <w:tc>
          <w:tcPr>
            <w:tcW w:w="473" w:type="pct"/>
            <w:tcBorders>
              <w:top w:val="nil"/>
              <w:left w:val="single" w:sz="8" w:space="0" w:color="auto"/>
              <w:bottom w:val="nil"/>
              <w:right w:val="single" w:sz="8" w:space="0" w:color="auto"/>
            </w:tcBorders>
            <w:shd w:val="clear" w:color="auto" w:fill="auto"/>
            <w:vAlign w:val="center"/>
            <w:hideMark/>
          </w:tcPr>
          <w:p w14:paraId="553615A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Pant</w:t>
            </w:r>
            <w:r w:rsidRPr="00CC06B3">
              <w:rPr>
                <w:rFonts w:ascii="Calibri" w:eastAsia="Times New Roman" w:hAnsi="Calibri" w:cs="Times New Roman"/>
                <w:color w:val="000000"/>
                <w:vertAlign w:val="superscript"/>
                <w:lang w:val="en-US"/>
              </w:rPr>
              <w:t>23</w:t>
            </w:r>
            <w:r w:rsidRPr="00CC06B3">
              <w:rPr>
                <w:rFonts w:ascii="Calibri" w:eastAsia="Times New Roman" w:hAnsi="Calibri" w:cs="Times New Roman"/>
                <w:color w:val="000000"/>
                <w:lang w:val="en-US"/>
              </w:rPr>
              <w:t xml:space="preserve"> 2015</w:t>
            </w:r>
          </w:p>
        </w:tc>
        <w:tc>
          <w:tcPr>
            <w:tcW w:w="1035" w:type="pct"/>
            <w:tcBorders>
              <w:top w:val="nil"/>
              <w:left w:val="nil"/>
              <w:bottom w:val="nil"/>
              <w:right w:val="single" w:sz="8" w:space="0" w:color="auto"/>
            </w:tcBorders>
            <w:shd w:val="clear" w:color="auto" w:fill="auto"/>
            <w:vAlign w:val="center"/>
            <w:hideMark/>
          </w:tcPr>
          <w:p w14:paraId="16E8848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Healthcare cost and utilization project Nationwide Inpatient Sample(NIS) Database USA 2000-2011.</w:t>
            </w:r>
          </w:p>
        </w:tc>
        <w:tc>
          <w:tcPr>
            <w:tcW w:w="798" w:type="pct"/>
            <w:tcBorders>
              <w:top w:val="nil"/>
              <w:left w:val="nil"/>
              <w:bottom w:val="nil"/>
              <w:right w:val="single" w:sz="8" w:space="0" w:color="auto"/>
            </w:tcBorders>
            <w:shd w:val="clear" w:color="auto" w:fill="auto"/>
            <w:vAlign w:val="center"/>
            <w:hideMark/>
          </w:tcPr>
          <w:p w14:paraId="7131DE8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Increase in incidence of hospitalisations 2005-11, from 11/100,000 to 15/100,000. Increase in all causes (Staphyococcal, Streptococcal, Gram Negative, fungal, absolute and percentage – likely due to decreasing number of no-secondary-organism code cases).</w:t>
            </w:r>
          </w:p>
        </w:tc>
        <w:tc>
          <w:tcPr>
            <w:tcW w:w="1056" w:type="pct"/>
            <w:tcBorders>
              <w:top w:val="nil"/>
              <w:left w:val="nil"/>
              <w:bottom w:val="nil"/>
              <w:right w:val="single" w:sz="8" w:space="0" w:color="auto"/>
            </w:tcBorders>
            <w:shd w:val="clear" w:color="auto" w:fill="auto"/>
            <w:vAlign w:val="center"/>
            <w:hideMark/>
          </w:tcPr>
          <w:p w14:paraId="2131C71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(acute and subacute bacterial endocarditis), 4211 (acute and subacute infective endocarditis in diseases classified elsewhere – e.g. Q fever), 4219 (acute endocarditis, unspecified)</w:t>
            </w:r>
          </w:p>
        </w:tc>
        <w:tc>
          <w:tcPr>
            <w:tcW w:w="845" w:type="pct"/>
            <w:tcBorders>
              <w:top w:val="nil"/>
              <w:left w:val="nil"/>
              <w:bottom w:val="nil"/>
              <w:right w:val="single" w:sz="8" w:space="0" w:color="auto"/>
            </w:tcBorders>
            <w:shd w:val="clear" w:color="auto" w:fill="auto"/>
            <w:vAlign w:val="center"/>
            <w:hideMark/>
          </w:tcPr>
          <w:p w14:paraId="0DAEA6A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All hospitalisations</w:t>
            </w:r>
          </w:p>
        </w:tc>
        <w:tc>
          <w:tcPr>
            <w:tcW w:w="793" w:type="pct"/>
            <w:tcBorders>
              <w:top w:val="nil"/>
              <w:left w:val="nil"/>
              <w:bottom w:val="nil"/>
              <w:right w:val="single" w:sz="8" w:space="0" w:color="auto"/>
            </w:tcBorders>
            <w:shd w:val="clear" w:color="auto" w:fill="auto"/>
            <w:vAlign w:val="center"/>
            <w:hideMark/>
          </w:tcPr>
          <w:p w14:paraId="003D09F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limitations of multiple admissions per patient (NIS data did not allow deduplication by patient)</w:t>
            </w:r>
          </w:p>
        </w:tc>
      </w:tr>
      <w:tr w:rsidR="00CC06B3" w:rsidRPr="00CC06B3" w14:paraId="4FECD7CD" w14:textId="77777777" w:rsidTr="00CC06B3">
        <w:trPr>
          <w:trHeight w:val="2100"/>
        </w:trPr>
        <w:tc>
          <w:tcPr>
            <w:tcW w:w="473" w:type="pct"/>
            <w:tcBorders>
              <w:top w:val="nil"/>
              <w:left w:val="single" w:sz="8" w:space="0" w:color="auto"/>
              <w:bottom w:val="nil"/>
              <w:right w:val="single" w:sz="8" w:space="0" w:color="auto"/>
            </w:tcBorders>
            <w:shd w:val="clear" w:color="auto" w:fill="auto"/>
            <w:vAlign w:val="center"/>
            <w:hideMark/>
          </w:tcPr>
          <w:p w14:paraId="640A94B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04F7646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457,052 hospitalisations</w:t>
            </w:r>
          </w:p>
        </w:tc>
        <w:tc>
          <w:tcPr>
            <w:tcW w:w="798" w:type="pct"/>
            <w:tcBorders>
              <w:top w:val="nil"/>
              <w:left w:val="nil"/>
              <w:bottom w:val="nil"/>
              <w:right w:val="single" w:sz="8" w:space="0" w:color="auto"/>
            </w:tcBorders>
            <w:shd w:val="clear" w:color="auto" w:fill="auto"/>
            <w:vAlign w:val="center"/>
            <w:hideMark/>
          </w:tcPr>
          <w:p w14:paraId="21D49BC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Both staphylococcal and streptococcal cases increasing, but rate of increase of streptococcal  more post-guidelines (disputed in correspondence)</w:t>
            </w:r>
          </w:p>
        </w:tc>
        <w:tc>
          <w:tcPr>
            <w:tcW w:w="1056" w:type="pct"/>
            <w:tcBorders>
              <w:top w:val="nil"/>
              <w:left w:val="nil"/>
              <w:bottom w:val="nil"/>
              <w:right w:val="single" w:sz="8" w:space="0" w:color="auto"/>
            </w:tcBorders>
            <w:shd w:val="clear" w:color="auto" w:fill="auto"/>
            <w:vAlign w:val="center"/>
            <w:hideMark/>
          </w:tcPr>
          <w:p w14:paraId="7469675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Staphylococcus aureus endocarditis: 03811, 03812, 04111, 04112, 0381, 03810, 03819, 0411, 04110, 04119</w:t>
            </w:r>
          </w:p>
        </w:tc>
        <w:tc>
          <w:tcPr>
            <w:tcW w:w="845" w:type="pct"/>
            <w:tcBorders>
              <w:top w:val="nil"/>
              <w:left w:val="nil"/>
              <w:bottom w:val="nil"/>
              <w:right w:val="single" w:sz="8" w:space="0" w:color="auto"/>
            </w:tcBorders>
            <w:shd w:val="clear" w:color="auto" w:fill="auto"/>
            <w:vAlign w:val="center"/>
            <w:hideMark/>
          </w:tcPr>
          <w:p w14:paraId="0AADDE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B351E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Acknowledge validation study limitation. Quote Fedeli et al pilot study with PPV 81%</w:t>
            </w:r>
          </w:p>
        </w:tc>
      </w:tr>
      <w:tr w:rsidR="00CC06B3" w:rsidRPr="00CC06B3" w14:paraId="7DEBBA72"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4C1FA81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757F70C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516BC5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444300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Streptococcal endocarditis: 0380, 0382, 0410, 04100, 04101, 04102, 04103, 04104, 04105, 04109 </w:t>
            </w:r>
          </w:p>
        </w:tc>
        <w:tc>
          <w:tcPr>
            <w:tcW w:w="845" w:type="pct"/>
            <w:tcBorders>
              <w:top w:val="nil"/>
              <w:left w:val="nil"/>
              <w:bottom w:val="nil"/>
              <w:right w:val="single" w:sz="8" w:space="0" w:color="auto"/>
            </w:tcBorders>
            <w:shd w:val="clear" w:color="auto" w:fill="auto"/>
            <w:vAlign w:val="center"/>
            <w:hideMark/>
          </w:tcPr>
          <w:p w14:paraId="06F3F9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58A6468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15501A0"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575CA3B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1801B0D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13EB2B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Piecewise/segmented regression analysis performed.</w:t>
            </w:r>
          </w:p>
        </w:tc>
        <w:tc>
          <w:tcPr>
            <w:tcW w:w="1056" w:type="pct"/>
            <w:tcBorders>
              <w:top w:val="nil"/>
              <w:left w:val="nil"/>
              <w:bottom w:val="nil"/>
              <w:right w:val="single" w:sz="8" w:space="0" w:color="auto"/>
            </w:tcBorders>
            <w:shd w:val="clear" w:color="auto" w:fill="auto"/>
            <w:vAlign w:val="center"/>
            <w:hideMark/>
          </w:tcPr>
          <w:p w14:paraId="3FF0110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Gram negative endocarditis: 04185, 0384, 03840, 03841, 03842, 03843, 03844, 03849, 0413, 0414, 0415, 0416, 0417</w:t>
            </w:r>
          </w:p>
        </w:tc>
        <w:tc>
          <w:tcPr>
            <w:tcW w:w="845" w:type="pct"/>
            <w:tcBorders>
              <w:top w:val="nil"/>
              <w:left w:val="nil"/>
              <w:bottom w:val="nil"/>
              <w:right w:val="single" w:sz="8" w:space="0" w:color="auto"/>
            </w:tcBorders>
            <w:shd w:val="clear" w:color="auto" w:fill="auto"/>
            <w:vAlign w:val="center"/>
            <w:hideMark/>
          </w:tcPr>
          <w:p w14:paraId="77CA49B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267A6A8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72C947E" w14:textId="77777777" w:rsidTr="00CC06B3">
        <w:trPr>
          <w:trHeight w:val="6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752C2F6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3B22E8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452FAA2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50A0740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Fungal endocarditis: 1160, 1154, 11281</w:t>
            </w:r>
          </w:p>
        </w:tc>
        <w:tc>
          <w:tcPr>
            <w:tcW w:w="845" w:type="pct"/>
            <w:tcBorders>
              <w:top w:val="nil"/>
              <w:left w:val="nil"/>
              <w:bottom w:val="single" w:sz="8" w:space="0" w:color="auto"/>
              <w:right w:val="single" w:sz="8" w:space="0" w:color="auto"/>
            </w:tcBorders>
            <w:shd w:val="clear" w:color="auto" w:fill="auto"/>
            <w:vAlign w:val="center"/>
            <w:hideMark/>
          </w:tcPr>
          <w:p w14:paraId="3690687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5D0580D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4B6CBB8"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44497E3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Bor</w:t>
            </w:r>
            <w:r w:rsidRPr="00CC06B3">
              <w:rPr>
                <w:rFonts w:ascii="Calibri" w:eastAsia="Times New Roman" w:hAnsi="Calibri" w:cs="Times New Roman"/>
                <w:color w:val="000000"/>
                <w:vertAlign w:val="superscript"/>
                <w:lang w:val="en-US"/>
              </w:rPr>
              <w:t>24</w:t>
            </w:r>
            <w:r w:rsidRPr="00CC06B3">
              <w:rPr>
                <w:rFonts w:ascii="Calibri" w:eastAsia="Times New Roman" w:hAnsi="Calibri" w:cs="Times New Roman"/>
                <w:color w:val="000000"/>
                <w:lang w:val="en-US"/>
              </w:rPr>
              <w:t xml:space="preserve"> 2013</w:t>
            </w:r>
          </w:p>
        </w:tc>
        <w:tc>
          <w:tcPr>
            <w:tcW w:w="1035" w:type="pct"/>
            <w:tcBorders>
              <w:top w:val="nil"/>
              <w:left w:val="nil"/>
              <w:bottom w:val="nil"/>
              <w:right w:val="single" w:sz="8" w:space="0" w:color="auto"/>
            </w:tcBorders>
            <w:shd w:val="clear" w:color="auto" w:fill="auto"/>
            <w:vAlign w:val="center"/>
            <w:hideMark/>
          </w:tcPr>
          <w:p w14:paraId="527ADE2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Agency for healthcare research and quality NIS 1998-2009.</w:t>
            </w:r>
          </w:p>
        </w:tc>
        <w:tc>
          <w:tcPr>
            <w:tcW w:w="798" w:type="pct"/>
            <w:tcBorders>
              <w:top w:val="nil"/>
              <w:left w:val="nil"/>
              <w:bottom w:val="nil"/>
              <w:right w:val="single" w:sz="8" w:space="0" w:color="auto"/>
            </w:tcBorders>
            <w:shd w:val="clear" w:color="auto" w:fill="auto"/>
            <w:vAlign w:val="center"/>
            <w:hideMark/>
          </w:tcPr>
          <w:p w14:paraId="4EA9CC3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Organisms coded for 62.3% of infective endocarditis discharges in 1998, 69.4% in 2009. Note likelihood of undercoding. Polymicrobial 4.2%</w:t>
            </w:r>
          </w:p>
        </w:tc>
        <w:tc>
          <w:tcPr>
            <w:tcW w:w="1056" w:type="pct"/>
            <w:tcBorders>
              <w:top w:val="nil"/>
              <w:left w:val="nil"/>
              <w:bottom w:val="nil"/>
              <w:right w:val="single" w:sz="8" w:space="0" w:color="auto"/>
            </w:tcBorders>
            <w:shd w:val="clear" w:color="auto" w:fill="auto"/>
            <w:vAlign w:val="center"/>
            <w:hideMark/>
          </w:tcPr>
          <w:p w14:paraId="630C6DD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4210 4211 4219 03642 09884 11281 1154.</w:t>
            </w:r>
          </w:p>
        </w:tc>
        <w:tc>
          <w:tcPr>
            <w:tcW w:w="845" w:type="pct"/>
            <w:tcBorders>
              <w:top w:val="nil"/>
              <w:left w:val="nil"/>
              <w:bottom w:val="nil"/>
              <w:right w:val="single" w:sz="8" w:space="0" w:color="auto"/>
            </w:tcBorders>
            <w:shd w:val="clear" w:color="auto" w:fill="auto"/>
            <w:vAlign w:val="center"/>
            <w:hideMark/>
          </w:tcPr>
          <w:p w14:paraId="6EDDACD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Number of hospital stays.</w:t>
            </w:r>
          </w:p>
        </w:tc>
        <w:tc>
          <w:tcPr>
            <w:tcW w:w="793" w:type="pct"/>
            <w:tcBorders>
              <w:top w:val="nil"/>
              <w:left w:val="nil"/>
              <w:bottom w:val="nil"/>
              <w:right w:val="single" w:sz="8" w:space="0" w:color="auto"/>
            </w:tcBorders>
            <w:shd w:val="clear" w:color="auto" w:fill="auto"/>
            <w:vAlign w:val="center"/>
            <w:hideMark/>
          </w:tcPr>
          <w:p w14:paraId="493D6E2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44D3A9A5"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03B2229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63E6D9E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A41FF8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0F3E57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“Did not include 0.2% of cases where endocarditis was not in the first 15 diagnoses”</w:t>
            </w:r>
          </w:p>
        </w:tc>
        <w:tc>
          <w:tcPr>
            <w:tcW w:w="845" w:type="pct"/>
            <w:tcBorders>
              <w:top w:val="nil"/>
              <w:left w:val="nil"/>
              <w:bottom w:val="nil"/>
              <w:right w:val="single" w:sz="8" w:space="0" w:color="auto"/>
            </w:tcBorders>
            <w:shd w:val="clear" w:color="auto" w:fill="auto"/>
            <w:vAlign w:val="center"/>
            <w:hideMark/>
          </w:tcPr>
          <w:p w14:paraId="67B795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Deduplication for transfers:</w:t>
            </w:r>
          </w:p>
        </w:tc>
        <w:tc>
          <w:tcPr>
            <w:tcW w:w="793" w:type="pct"/>
            <w:tcBorders>
              <w:top w:val="nil"/>
              <w:left w:val="nil"/>
              <w:bottom w:val="nil"/>
              <w:right w:val="single" w:sz="8" w:space="0" w:color="auto"/>
            </w:tcBorders>
            <w:shd w:val="clear" w:color="auto" w:fill="auto"/>
            <w:vAlign w:val="center"/>
            <w:hideMark/>
          </w:tcPr>
          <w:p w14:paraId="08FF4A5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E18C461"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0720081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72E247F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w:t>
            </w:r>
          </w:p>
        </w:tc>
        <w:tc>
          <w:tcPr>
            <w:tcW w:w="798" w:type="pct"/>
            <w:tcBorders>
              <w:top w:val="nil"/>
              <w:left w:val="nil"/>
              <w:bottom w:val="nil"/>
              <w:right w:val="single" w:sz="8" w:space="0" w:color="auto"/>
            </w:tcBorders>
            <w:shd w:val="clear" w:color="auto" w:fill="auto"/>
            <w:vAlign w:val="center"/>
            <w:hideMark/>
          </w:tcPr>
          <w:p w14:paraId="6DEEEB9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Most common organism S. aureus, increase in proportion from 24.0-32% of infective endocarditis cases. No clear increase trend in Streptococci.</w:t>
            </w:r>
          </w:p>
        </w:tc>
        <w:tc>
          <w:tcPr>
            <w:tcW w:w="1056" w:type="pct"/>
            <w:tcBorders>
              <w:top w:val="nil"/>
              <w:left w:val="nil"/>
              <w:bottom w:val="nil"/>
              <w:right w:val="single" w:sz="8" w:space="0" w:color="auto"/>
            </w:tcBorders>
            <w:shd w:val="clear" w:color="auto" w:fill="auto"/>
            <w:vAlign w:val="center"/>
            <w:hideMark/>
          </w:tcPr>
          <w:p w14:paraId="01D140F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For organisms, see appendix*</w:t>
            </w:r>
          </w:p>
        </w:tc>
        <w:tc>
          <w:tcPr>
            <w:tcW w:w="845" w:type="pct"/>
            <w:tcBorders>
              <w:top w:val="nil"/>
              <w:left w:val="nil"/>
              <w:bottom w:val="nil"/>
              <w:right w:val="single" w:sz="8" w:space="0" w:color="auto"/>
            </w:tcBorders>
            <w:shd w:val="clear" w:color="auto" w:fill="auto"/>
            <w:vAlign w:val="center"/>
            <w:hideMark/>
          </w:tcPr>
          <w:p w14:paraId="53B5613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Numbers of transferred patients calculated and subtracted from numbers.</w:t>
            </w:r>
          </w:p>
        </w:tc>
        <w:tc>
          <w:tcPr>
            <w:tcW w:w="793" w:type="pct"/>
            <w:tcBorders>
              <w:top w:val="nil"/>
              <w:left w:val="nil"/>
              <w:bottom w:val="nil"/>
              <w:right w:val="single" w:sz="8" w:space="0" w:color="auto"/>
            </w:tcBorders>
            <w:shd w:val="clear" w:color="auto" w:fill="auto"/>
            <w:vAlign w:val="center"/>
            <w:hideMark/>
          </w:tcPr>
          <w:p w14:paraId="705EC0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23D9464" w14:textId="77777777" w:rsidTr="00CC06B3">
        <w:trPr>
          <w:trHeight w:val="6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1732BA2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101BEF7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1ABF64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hideMark/>
          </w:tcPr>
          <w:p w14:paraId="3B76D7C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5940BA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Acknowledge they will include readmissions.</w:t>
            </w:r>
          </w:p>
        </w:tc>
        <w:tc>
          <w:tcPr>
            <w:tcW w:w="793" w:type="pct"/>
            <w:tcBorders>
              <w:top w:val="nil"/>
              <w:left w:val="nil"/>
              <w:bottom w:val="single" w:sz="8" w:space="0" w:color="auto"/>
              <w:right w:val="single" w:sz="8" w:space="0" w:color="auto"/>
            </w:tcBorders>
            <w:shd w:val="clear" w:color="auto" w:fill="auto"/>
            <w:vAlign w:val="center"/>
            <w:hideMark/>
          </w:tcPr>
          <w:p w14:paraId="234FAA1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F9148E1" w14:textId="77777777" w:rsidTr="00CC06B3">
        <w:trPr>
          <w:trHeight w:val="2700"/>
        </w:trPr>
        <w:tc>
          <w:tcPr>
            <w:tcW w:w="473" w:type="pct"/>
            <w:tcBorders>
              <w:top w:val="nil"/>
              <w:left w:val="single" w:sz="8" w:space="0" w:color="auto"/>
              <w:bottom w:val="nil"/>
              <w:right w:val="single" w:sz="8" w:space="0" w:color="auto"/>
            </w:tcBorders>
            <w:shd w:val="clear" w:color="auto" w:fill="auto"/>
            <w:vAlign w:val="center"/>
            <w:hideMark/>
          </w:tcPr>
          <w:p w14:paraId="4F729E3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Mackie</w:t>
            </w:r>
            <w:r w:rsidRPr="00CC06B3">
              <w:rPr>
                <w:rFonts w:ascii="Calibri" w:eastAsia="Times New Roman" w:hAnsi="Calibri" w:cs="Times New Roman"/>
                <w:color w:val="000000"/>
                <w:vertAlign w:val="superscript"/>
                <w:lang w:val="en-US"/>
              </w:rPr>
              <w:t>25</w:t>
            </w:r>
            <w:r w:rsidRPr="00CC06B3">
              <w:rPr>
                <w:rFonts w:ascii="Calibri" w:eastAsia="Times New Roman" w:hAnsi="Calibri" w:cs="Times New Roman"/>
                <w:color w:val="000000"/>
                <w:lang w:val="en-US"/>
              </w:rPr>
              <w:t xml:space="preserve"> 2016</w:t>
            </w:r>
          </w:p>
        </w:tc>
        <w:tc>
          <w:tcPr>
            <w:tcW w:w="1035" w:type="pct"/>
            <w:tcBorders>
              <w:top w:val="nil"/>
              <w:left w:val="nil"/>
              <w:bottom w:val="nil"/>
              <w:right w:val="single" w:sz="8" w:space="0" w:color="auto"/>
            </w:tcBorders>
            <w:shd w:val="clear" w:color="auto" w:fill="auto"/>
            <w:vAlign w:val="center"/>
            <w:hideMark/>
          </w:tcPr>
          <w:p w14:paraId="7B2C6E4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Canadian Institute for Health Information 2002-2013,</w:t>
            </w:r>
          </w:p>
        </w:tc>
        <w:tc>
          <w:tcPr>
            <w:tcW w:w="798" w:type="pct"/>
            <w:tcBorders>
              <w:top w:val="nil"/>
              <w:left w:val="nil"/>
              <w:bottom w:val="nil"/>
              <w:right w:val="single" w:sz="8" w:space="0" w:color="auto"/>
            </w:tcBorders>
            <w:shd w:val="clear" w:color="auto" w:fill="auto"/>
            <w:vAlign w:val="center"/>
            <w:hideMark/>
          </w:tcPr>
          <w:p w14:paraId="7290AD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Piecewise linear regression model with 2 regression lines, 2 trends before and after guidelines with change point analysis No change in slope at 2007. Increase in trend seen 2011 with decrease in trend of streptococci</w:t>
            </w:r>
          </w:p>
        </w:tc>
        <w:tc>
          <w:tcPr>
            <w:tcW w:w="1056" w:type="pct"/>
            <w:tcBorders>
              <w:top w:val="nil"/>
              <w:left w:val="nil"/>
              <w:bottom w:val="nil"/>
              <w:right w:val="single" w:sz="8" w:space="0" w:color="auto"/>
            </w:tcBorders>
            <w:shd w:val="clear" w:color="auto" w:fill="auto"/>
            <w:vAlign w:val="center"/>
            <w:hideMark/>
          </w:tcPr>
          <w:p w14:paraId="3365C17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ICD-9 421.0-421.9 or ICD-10 I33.0-I33.9)</w:t>
            </w:r>
          </w:p>
        </w:tc>
        <w:tc>
          <w:tcPr>
            <w:tcW w:w="845" w:type="pct"/>
            <w:tcBorders>
              <w:top w:val="nil"/>
              <w:left w:val="nil"/>
              <w:bottom w:val="nil"/>
              <w:right w:val="single" w:sz="8" w:space="0" w:color="auto"/>
            </w:tcBorders>
            <w:shd w:val="clear" w:color="auto" w:fill="auto"/>
            <w:vAlign w:val="center"/>
            <w:hideMark/>
          </w:tcPr>
          <w:p w14:paraId="61BBC6A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All hospitalisations.</w:t>
            </w:r>
          </w:p>
        </w:tc>
        <w:tc>
          <w:tcPr>
            <w:tcW w:w="793" w:type="pct"/>
            <w:tcBorders>
              <w:top w:val="nil"/>
              <w:left w:val="nil"/>
              <w:bottom w:val="nil"/>
              <w:right w:val="single" w:sz="8" w:space="0" w:color="auto"/>
            </w:tcBorders>
            <w:shd w:val="clear" w:color="auto" w:fill="auto"/>
            <w:vAlign w:val="center"/>
            <w:hideMark/>
          </w:tcPr>
          <w:p w14:paraId="7BC1A98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 but discussion references Fedeli and Schneeweiss</w:t>
            </w:r>
          </w:p>
        </w:tc>
      </w:tr>
      <w:tr w:rsidR="00CC06B3" w:rsidRPr="00CC06B3" w14:paraId="2184E764"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13A5B96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7C774B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8055 hospitalisations with a code of infective endocarditis.</w:t>
            </w:r>
          </w:p>
        </w:tc>
        <w:tc>
          <w:tcPr>
            <w:tcW w:w="798" w:type="pct"/>
            <w:tcBorders>
              <w:top w:val="nil"/>
              <w:left w:val="nil"/>
              <w:bottom w:val="nil"/>
              <w:right w:val="single" w:sz="8" w:space="0" w:color="auto"/>
            </w:tcBorders>
            <w:shd w:val="clear" w:color="auto" w:fill="auto"/>
            <w:vAlign w:val="center"/>
            <w:hideMark/>
          </w:tcPr>
          <w:p w14:paraId="19D4B24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Suggest aging population and more devices (more pacemakers and defibrillators)</w:t>
            </w:r>
          </w:p>
        </w:tc>
        <w:tc>
          <w:tcPr>
            <w:tcW w:w="1056" w:type="pct"/>
            <w:tcBorders>
              <w:top w:val="nil"/>
              <w:left w:val="nil"/>
              <w:bottom w:val="nil"/>
              <w:right w:val="single" w:sz="8" w:space="0" w:color="auto"/>
            </w:tcBorders>
            <w:shd w:val="clear" w:color="auto" w:fill="auto"/>
            <w:vAlign w:val="center"/>
            <w:hideMark/>
          </w:tcPr>
          <w:p w14:paraId="0FC8DB1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Organism:</w:t>
            </w:r>
          </w:p>
        </w:tc>
        <w:tc>
          <w:tcPr>
            <w:tcW w:w="845" w:type="pct"/>
            <w:tcBorders>
              <w:top w:val="nil"/>
              <w:left w:val="nil"/>
              <w:bottom w:val="nil"/>
              <w:right w:val="single" w:sz="8" w:space="0" w:color="auto"/>
            </w:tcBorders>
            <w:shd w:val="clear" w:color="auto" w:fill="auto"/>
            <w:vAlign w:val="center"/>
            <w:hideMark/>
          </w:tcPr>
          <w:p w14:paraId="2789ADC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7DCED3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and good quality of Canadian data</w:t>
            </w:r>
          </w:p>
        </w:tc>
      </w:tr>
      <w:tr w:rsidR="00CC06B3" w:rsidRPr="00CC06B3" w14:paraId="5D27FE74"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02ADB8B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hideMark/>
          </w:tcPr>
          <w:p w14:paraId="5D938EE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00DE38F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Noted 73.8% had coexisting diagnosis.</w:t>
            </w:r>
          </w:p>
        </w:tc>
        <w:tc>
          <w:tcPr>
            <w:tcW w:w="1056" w:type="pct"/>
            <w:tcBorders>
              <w:top w:val="nil"/>
              <w:left w:val="nil"/>
              <w:bottom w:val="nil"/>
              <w:right w:val="single" w:sz="8" w:space="0" w:color="auto"/>
            </w:tcBorders>
            <w:shd w:val="clear" w:color="auto" w:fill="auto"/>
            <w:vAlign w:val="center"/>
            <w:hideMark/>
          </w:tcPr>
          <w:p w14:paraId="683D498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ICD-9CM 041.x, ICD-10 B95.x) and sepsis codes (eg, ICD-9CM 038.x, ICD-10 A41.x)</w:t>
            </w:r>
          </w:p>
        </w:tc>
        <w:tc>
          <w:tcPr>
            <w:tcW w:w="845" w:type="pct"/>
            <w:tcBorders>
              <w:top w:val="nil"/>
              <w:left w:val="nil"/>
              <w:bottom w:val="nil"/>
              <w:right w:val="single" w:sz="8" w:space="0" w:color="auto"/>
            </w:tcBorders>
            <w:shd w:val="clear" w:color="auto" w:fill="auto"/>
            <w:vAlign w:val="center"/>
            <w:hideMark/>
          </w:tcPr>
          <w:p w14:paraId="123AB76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Hospitalisations within 24hrs of patient being discharged from another acute care hospital- transfer and analysed as single hospitalisation</w:t>
            </w:r>
          </w:p>
        </w:tc>
        <w:tc>
          <w:tcPr>
            <w:tcW w:w="793" w:type="pct"/>
            <w:tcBorders>
              <w:top w:val="nil"/>
              <w:left w:val="nil"/>
              <w:bottom w:val="nil"/>
              <w:right w:val="single" w:sz="8" w:space="0" w:color="auto"/>
            </w:tcBorders>
            <w:shd w:val="clear" w:color="auto" w:fill="auto"/>
            <w:hideMark/>
          </w:tcPr>
          <w:p w14:paraId="719ADD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81DB267" w14:textId="77777777" w:rsidTr="00CC06B3">
        <w:trPr>
          <w:trHeight w:val="6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6259862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1F7D44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23BE13D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Rates 0.05 hospitalisations per month per 10 million</w:t>
            </w:r>
          </w:p>
        </w:tc>
        <w:tc>
          <w:tcPr>
            <w:tcW w:w="1056" w:type="pct"/>
            <w:tcBorders>
              <w:top w:val="nil"/>
              <w:left w:val="nil"/>
              <w:bottom w:val="single" w:sz="8" w:space="0" w:color="auto"/>
              <w:right w:val="single" w:sz="8" w:space="0" w:color="auto"/>
            </w:tcBorders>
            <w:shd w:val="clear" w:color="auto" w:fill="auto"/>
            <w:hideMark/>
          </w:tcPr>
          <w:p w14:paraId="4E0B68D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hideMark/>
          </w:tcPr>
          <w:p w14:paraId="26C286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0FA641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3D4855D" w14:textId="77777777" w:rsidTr="00CC06B3">
        <w:trPr>
          <w:trHeight w:val="4200"/>
        </w:trPr>
        <w:tc>
          <w:tcPr>
            <w:tcW w:w="473" w:type="pct"/>
            <w:tcBorders>
              <w:top w:val="nil"/>
              <w:left w:val="single" w:sz="8" w:space="0" w:color="auto"/>
              <w:bottom w:val="nil"/>
              <w:right w:val="single" w:sz="8" w:space="0" w:color="auto"/>
            </w:tcBorders>
            <w:shd w:val="clear" w:color="auto" w:fill="auto"/>
            <w:vAlign w:val="center"/>
            <w:hideMark/>
          </w:tcPr>
          <w:p w14:paraId="26521FB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Toyoda </w:t>
            </w:r>
            <w:r w:rsidRPr="00CC06B3">
              <w:rPr>
                <w:rFonts w:ascii="Calibri" w:eastAsia="Times New Roman" w:hAnsi="Calibri" w:cs="Times New Roman"/>
                <w:color w:val="000000"/>
                <w:vertAlign w:val="superscript"/>
                <w:lang w:val="en-US"/>
              </w:rPr>
              <w:t>26</w:t>
            </w:r>
            <w:r w:rsidRPr="00CC06B3">
              <w:rPr>
                <w:rFonts w:ascii="Calibri" w:eastAsia="Times New Roman" w:hAnsi="Calibri" w:cs="Times New Roman"/>
                <w:color w:val="000000"/>
                <w:lang w:val="en-US"/>
              </w:rPr>
              <w:t>: assessment of incidence  2017</w:t>
            </w:r>
          </w:p>
        </w:tc>
        <w:tc>
          <w:tcPr>
            <w:tcW w:w="1035" w:type="pct"/>
            <w:tcBorders>
              <w:top w:val="nil"/>
              <w:left w:val="nil"/>
              <w:bottom w:val="nil"/>
              <w:right w:val="single" w:sz="8" w:space="0" w:color="auto"/>
            </w:tcBorders>
            <w:shd w:val="clear" w:color="auto" w:fill="auto"/>
            <w:vAlign w:val="center"/>
            <w:hideMark/>
          </w:tcPr>
          <w:p w14:paraId="37968FF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75,829 patients with first episode of endocarditis in US state databases 1998-2013 (California and new York state). “patients with de novo endocarditis”</w:t>
            </w:r>
          </w:p>
        </w:tc>
        <w:tc>
          <w:tcPr>
            <w:tcW w:w="798" w:type="pct"/>
            <w:tcBorders>
              <w:top w:val="nil"/>
              <w:left w:val="nil"/>
              <w:bottom w:val="nil"/>
              <w:right w:val="single" w:sz="8" w:space="0" w:color="auto"/>
            </w:tcBorders>
            <w:shd w:val="clear" w:color="auto" w:fill="auto"/>
            <w:vAlign w:val="center"/>
            <w:hideMark/>
          </w:tcPr>
          <w:p w14:paraId="261D8ED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Standardized annual incidence stable: 7.8 /100,000. Native vale disease decreased, prosthetic valve disease increased, device related disease increased. Healthcare associated nosocomial decreased proportionally. No increase in oral streptococcal endocarditis. Crude mortality stable, adjusted mortality increased.</w:t>
            </w:r>
          </w:p>
        </w:tc>
        <w:tc>
          <w:tcPr>
            <w:tcW w:w="1056" w:type="pct"/>
            <w:tcBorders>
              <w:top w:val="nil"/>
              <w:left w:val="nil"/>
              <w:bottom w:val="nil"/>
              <w:right w:val="single" w:sz="8" w:space="0" w:color="auto"/>
            </w:tcBorders>
            <w:shd w:val="clear" w:color="auto" w:fill="auto"/>
            <w:vAlign w:val="center"/>
            <w:hideMark/>
          </w:tcPr>
          <w:p w14:paraId="56FE542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or secondary</w:t>
            </w:r>
          </w:p>
        </w:tc>
        <w:tc>
          <w:tcPr>
            <w:tcW w:w="845" w:type="pct"/>
            <w:tcBorders>
              <w:top w:val="nil"/>
              <w:left w:val="nil"/>
              <w:bottom w:val="nil"/>
              <w:right w:val="single" w:sz="8" w:space="0" w:color="auto"/>
            </w:tcBorders>
            <w:shd w:val="clear" w:color="auto" w:fill="auto"/>
            <w:vAlign w:val="center"/>
            <w:hideMark/>
          </w:tcPr>
          <w:p w14:paraId="75EE57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 admission only used. Repeat admissions and readmissions excluded.</w:t>
            </w:r>
          </w:p>
        </w:tc>
        <w:tc>
          <w:tcPr>
            <w:tcW w:w="793" w:type="pct"/>
            <w:tcBorders>
              <w:top w:val="nil"/>
              <w:left w:val="nil"/>
              <w:bottom w:val="nil"/>
              <w:right w:val="single" w:sz="8" w:space="0" w:color="auto"/>
            </w:tcBorders>
            <w:shd w:val="clear" w:color="auto" w:fill="auto"/>
            <w:vAlign w:val="center"/>
            <w:hideMark/>
          </w:tcPr>
          <w:p w14:paraId="539B9CA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Extensive validation in additional</w:t>
            </w:r>
          </w:p>
        </w:tc>
      </w:tr>
      <w:tr w:rsidR="00CC06B3" w:rsidRPr="00CC06B3" w14:paraId="34C48822"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5B0CEF1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1A3D28F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758420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FE9BA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4210 4211 4219 11281 03642 09889 11504 11514 11594,</w:t>
            </w:r>
          </w:p>
        </w:tc>
        <w:tc>
          <w:tcPr>
            <w:tcW w:w="845" w:type="pct"/>
            <w:tcBorders>
              <w:top w:val="nil"/>
              <w:left w:val="nil"/>
              <w:bottom w:val="nil"/>
              <w:right w:val="single" w:sz="8" w:space="0" w:color="auto"/>
            </w:tcBorders>
            <w:shd w:val="clear" w:color="auto" w:fill="auto"/>
            <w:vAlign w:val="center"/>
            <w:hideMark/>
          </w:tcPr>
          <w:p w14:paraId="54B4A1E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0B542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other studies with different findings may be affected by recurrences, relapses and transferred cases, and less specific ICD9 codes.</w:t>
            </w:r>
          </w:p>
        </w:tc>
      </w:tr>
      <w:tr w:rsidR="00CC06B3" w:rsidRPr="00CC06B3" w14:paraId="68B530B2"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2A7483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1689FA8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65C44B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CC5D5A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Oral streptococcus</w:t>
            </w:r>
          </w:p>
        </w:tc>
        <w:tc>
          <w:tcPr>
            <w:tcW w:w="845" w:type="pct"/>
            <w:tcBorders>
              <w:top w:val="nil"/>
              <w:left w:val="nil"/>
              <w:bottom w:val="nil"/>
              <w:right w:val="single" w:sz="8" w:space="0" w:color="auto"/>
            </w:tcBorders>
            <w:shd w:val="clear" w:color="auto" w:fill="auto"/>
            <w:vAlign w:val="center"/>
            <w:hideMark/>
          </w:tcPr>
          <w:p w14:paraId="2CA192E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4D8E573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416DF7D"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0A1A1AB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267EE61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6D4D1E5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429226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04100 04109</w:t>
            </w:r>
          </w:p>
        </w:tc>
        <w:tc>
          <w:tcPr>
            <w:tcW w:w="845" w:type="pct"/>
            <w:tcBorders>
              <w:top w:val="nil"/>
              <w:left w:val="nil"/>
              <w:bottom w:val="nil"/>
              <w:right w:val="single" w:sz="8" w:space="0" w:color="auto"/>
            </w:tcBorders>
            <w:shd w:val="clear" w:color="auto" w:fill="auto"/>
            <w:vAlign w:val="center"/>
            <w:hideMark/>
          </w:tcPr>
          <w:p w14:paraId="7BCACC5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2E0D021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43B0282"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3C8886C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CA7DF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F24F6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3815359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Streptococcus</w:t>
            </w:r>
          </w:p>
        </w:tc>
        <w:tc>
          <w:tcPr>
            <w:tcW w:w="845" w:type="pct"/>
            <w:tcBorders>
              <w:top w:val="nil"/>
              <w:left w:val="nil"/>
              <w:bottom w:val="nil"/>
              <w:right w:val="single" w:sz="8" w:space="0" w:color="auto"/>
            </w:tcBorders>
            <w:shd w:val="clear" w:color="auto" w:fill="auto"/>
            <w:vAlign w:val="center"/>
            <w:hideMark/>
          </w:tcPr>
          <w:p w14:paraId="20B655F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0E0D030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F484175"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06DC079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421B5DC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EE9912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1727AA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0380 0382 0410 04100 04101 04102 04103 04104 04105 04109 0412</w:t>
            </w:r>
          </w:p>
        </w:tc>
        <w:tc>
          <w:tcPr>
            <w:tcW w:w="845" w:type="pct"/>
            <w:tcBorders>
              <w:top w:val="nil"/>
              <w:left w:val="nil"/>
              <w:bottom w:val="nil"/>
              <w:right w:val="single" w:sz="8" w:space="0" w:color="auto"/>
            </w:tcBorders>
            <w:shd w:val="clear" w:color="auto" w:fill="auto"/>
            <w:vAlign w:val="center"/>
            <w:hideMark/>
          </w:tcPr>
          <w:p w14:paraId="2FD851A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18C2411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CEE73ED"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42041C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32C5D2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6A22E86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83BD73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Staphyloccoccus aureus</w:t>
            </w:r>
          </w:p>
        </w:tc>
        <w:tc>
          <w:tcPr>
            <w:tcW w:w="845" w:type="pct"/>
            <w:tcBorders>
              <w:top w:val="nil"/>
              <w:left w:val="nil"/>
              <w:bottom w:val="nil"/>
              <w:right w:val="single" w:sz="8" w:space="0" w:color="auto"/>
            </w:tcBorders>
            <w:shd w:val="clear" w:color="auto" w:fill="auto"/>
            <w:vAlign w:val="center"/>
            <w:hideMark/>
          </w:tcPr>
          <w:p w14:paraId="0ABB701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53C7A41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C3CEDA0"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52E20AB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44C1CA2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973F79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0EDCD5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03811 03812 04111 04112</w:t>
            </w:r>
          </w:p>
        </w:tc>
        <w:tc>
          <w:tcPr>
            <w:tcW w:w="845" w:type="pct"/>
            <w:tcBorders>
              <w:top w:val="nil"/>
              <w:left w:val="nil"/>
              <w:bottom w:val="nil"/>
              <w:right w:val="single" w:sz="8" w:space="0" w:color="auto"/>
            </w:tcBorders>
            <w:shd w:val="clear" w:color="auto" w:fill="auto"/>
            <w:vAlign w:val="center"/>
            <w:hideMark/>
          </w:tcPr>
          <w:p w14:paraId="4DEA937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3B28EDF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C97F55C"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3874DA0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75DC52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0474F7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6AC0911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Staphylococcus</w:t>
            </w:r>
          </w:p>
        </w:tc>
        <w:tc>
          <w:tcPr>
            <w:tcW w:w="845" w:type="pct"/>
            <w:tcBorders>
              <w:top w:val="nil"/>
              <w:left w:val="nil"/>
              <w:bottom w:val="nil"/>
              <w:right w:val="single" w:sz="8" w:space="0" w:color="auto"/>
            </w:tcBorders>
            <w:shd w:val="clear" w:color="auto" w:fill="auto"/>
            <w:vAlign w:val="center"/>
            <w:hideMark/>
          </w:tcPr>
          <w:p w14:paraId="788C4CF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39729A5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6F9765E"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6CACD0F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3CDA82C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5D8ED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0E13B1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0381 03810 03811 03812 03819 0411 04111 04112 04110 04119</w:t>
            </w:r>
          </w:p>
        </w:tc>
        <w:tc>
          <w:tcPr>
            <w:tcW w:w="845" w:type="pct"/>
            <w:tcBorders>
              <w:top w:val="nil"/>
              <w:left w:val="nil"/>
              <w:bottom w:val="nil"/>
              <w:right w:val="single" w:sz="8" w:space="0" w:color="auto"/>
            </w:tcBorders>
            <w:shd w:val="clear" w:color="auto" w:fill="auto"/>
            <w:vAlign w:val="center"/>
            <w:hideMark/>
          </w:tcPr>
          <w:p w14:paraId="249A079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4421926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EA70E84"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3B3ED9E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753A400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6B6D62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3F41B9C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MRSA</w:t>
            </w:r>
          </w:p>
        </w:tc>
        <w:tc>
          <w:tcPr>
            <w:tcW w:w="845" w:type="pct"/>
            <w:tcBorders>
              <w:top w:val="nil"/>
              <w:left w:val="nil"/>
              <w:bottom w:val="nil"/>
              <w:right w:val="single" w:sz="8" w:space="0" w:color="auto"/>
            </w:tcBorders>
            <w:shd w:val="clear" w:color="auto" w:fill="auto"/>
            <w:vAlign w:val="center"/>
            <w:hideMark/>
          </w:tcPr>
          <w:p w14:paraId="578108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0C40025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69792B8" w14:textId="77777777" w:rsidTr="00CC06B3">
        <w:trPr>
          <w:trHeight w:val="9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39E48CE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0FFF826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583A20C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4909369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03812 04112 (after 2008) 03811 04111+v090 or V091 (pre 2008)</w:t>
            </w:r>
          </w:p>
        </w:tc>
        <w:tc>
          <w:tcPr>
            <w:tcW w:w="845" w:type="pct"/>
            <w:tcBorders>
              <w:top w:val="nil"/>
              <w:left w:val="nil"/>
              <w:bottom w:val="single" w:sz="8" w:space="0" w:color="auto"/>
              <w:right w:val="single" w:sz="8" w:space="0" w:color="auto"/>
            </w:tcBorders>
            <w:shd w:val="clear" w:color="auto" w:fill="auto"/>
            <w:vAlign w:val="center"/>
            <w:hideMark/>
          </w:tcPr>
          <w:p w14:paraId="017FD15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1F8FB1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ED7C567" w14:textId="77777777" w:rsidTr="00CC06B3">
        <w:trPr>
          <w:trHeight w:val="2100"/>
        </w:trPr>
        <w:tc>
          <w:tcPr>
            <w:tcW w:w="473" w:type="pct"/>
            <w:tcBorders>
              <w:top w:val="nil"/>
              <w:left w:val="single" w:sz="8" w:space="0" w:color="auto"/>
              <w:bottom w:val="nil"/>
              <w:right w:val="single" w:sz="8" w:space="0" w:color="auto"/>
            </w:tcBorders>
            <w:shd w:val="clear" w:color="auto" w:fill="auto"/>
            <w:vAlign w:val="center"/>
            <w:hideMark/>
          </w:tcPr>
          <w:p w14:paraId="5FE4918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Toyoda</w:t>
            </w:r>
            <w:r w:rsidRPr="00CC06B3">
              <w:rPr>
                <w:rFonts w:ascii="Calibri" w:eastAsia="Times New Roman" w:hAnsi="Calibri" w:cs="Times New Roman"/>
                <w:color w:val="000000"/>
                <w:vertAlign w:val="superscript"/>
                <w:lang w:val="en-US"/>
              </w:rPr>
              <w:t>26</w:t>
            </w:r>
            <w:r w:rsidRPr="00CC06B3">
              <w:rPr>
                <w:rFonts w:ascii="Calibri" w:eastAsia="Times New Roman" w:hAnsi="Calibri" w:cs="Times New Roman"/>
                <w:color w:val="000000"/>
                <w:lang w:val="en-US"/>
              </w:rPr>
              <w:t xml:space="preserve"> additional: coding accuracy   2017</w:t>
            </w:r>
          </w:p>
        </w:tc>
        <w:tc>
          <w:tcPr>
            <w:tcW w:w="1035" w:type="pct"/>
            <w:tcBorders>
              <w:top w:val="nil"/>
              <w:left w:val="nil"/>
              <w:bottom w:val="nil"/>
              <w:right w:val="single" w:sz="8" w:space="0" w:color="auto"/>
            </w:tcBorders>
            <w:shd w:val="clear" w:color="auto" w:fill="auto"/>
            <w:vAlign w:val="center"/>
            <w:hideMark/>
          </w:tcPr>
          <w:p w14:paraId="5EB06AD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Mount Sinai data warehouse discharge data, text search ‘endocarditis’ or ‘vegetation’, or ICD9 codes listed 2013-2014. 1673 hospitalisations, 515 hospitalisations, 283 patients with infective endocarditis.</w:t>
            </w:r>
          </w:p>
        </w:tc>
        <w:tc>
          <w:tcPr>
            <w:tcW w:w="798" w:type="pct"/>
            <w:tcBorders>
              <w:top w:val="nil"/>
              <w:left w:val="nil"/>
              <w:bottom w:val="nil"/>
              <w:right w:val="single" w:sz="8" w:space="0" w:color="auto"/>
            </w:tcBorders>
            <w:shd w:val="clear" w:color="auto" w:fill="auto"/>
            <w:vAlign w:val="center"/>
            <w:hideMark/>
          </w:tcPr>
          <w:p w14:paraId="30FFC92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Mount Sinai:</w:t>
            </w:r>
          </w:p>
        </w:tc>
        <w:tc>
          <w:tcPr>
            <w:tcW w:w="1056" w:type="pct"/>
            <w:tcBorders>
              <w:top w:val="nil"/>
              <w:left w:val="nil"/>
              <w:bottom w:val="nil"/>
              <w:right w:val="single" w:sz="8" w:space="0" w:color="auto"/>
            </w:tcBorders>
            <w:shd w:val="clear" w:color="auto" w:fill="auto"/>
            <w:vAlign w:val="center"/>
            <w:hideMark/>
          </w:tcPr>
          <w:p w14:paraId="5FD460C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or secondary</w:t>
            </w:r>
          </w:p>
        </w:tc>
        <w:tc>
          <w:tcPr>
            <w:tcW w:w="845" w:type="pct"/>
            <w:tcBorders>
              <w:top w:val="nil"/>
              <w:left w:val="nil"/>
              <w:bottom w:val="nil"/>
              <w:right w:val="single" w:sz="8" w:space="0" w:color="auto"/>
            </w:tcBorders>
            <w:shd w:val="clear" w:color="auto" w:fill="auto"/>
            <w:vAlign w:val="center"/>
            <w:hideMark/>
          </w:tcPr>
          <w:p w14:paraId="71910E4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4DC9F4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2D7F240"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36BCF35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09D0DC7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CA6F5C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Sens/Spec/PPV</w:t>
            </w:r>
          </w:p>
        </w:tc>
        <w:tc>
          <w:tcPr>
            <w:tcW w:w="1056" w:type="pct"/>
            <w:tcBorders>
              <w:top w:val="nil"/>
              <w:left w:val="nil"/>
              <w:bottom w:val="nil"/>
              <w:right w:val="single" w:sz="8" w:space="0" w:color="auto"/>
            </w:tcBorders>
            <w:shd w:val="clear" w:color="auto" w:fill="auto"/>
            <w:vAlign w:val="center"/>
            <w:hideMark/>
          </w:tcPr>
          <w:p w14:paraId="1C30D6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4210 4211 4219 11281 03642 09889 11504 11514 11594,</w:t>
            </w:r>
          </w:p>
        </w:tc>
        <w:tc>
          <w:tcPr>
            <w:tcW w:w="845" w:type="pct"/>
            <w:tcBorders>
              <w:top w:val="nil"/>
              <w:left w:val="nil"/>
              <w:bottom w:val="nil"/>
              <w:right w:val="single" w:sz="8" w:space="0" w:color="auto"/>
            </w:tcBorders>
            <w:shd w:val="clear" w:color="auto" w:fill="auto"/>
            <w:vAlign w:val="center"/>
            <w:hideMark/>
          </w:tcPr>
          <w:p w14:paraId="18A581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2069B88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36B0A1C"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01753C5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0999C8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Further code validation at 5 other facilities</w:t>
            </w:r>
          </w:p>
        </w:tc>
        <w:tc>
          <w:tcPr>
            <w:tcW w:w="798" w:type="pct"/>
            <w:tcBorders>
              <w:top w:val="nil"/>
              <w:left w:val="nil"/>
              <w:bottom w:val="nil"/>
              <w:right w:val="single" w:sz="8" w:space="0" w:color="auto"/>
            </w:tcBorders>
            <w:shd w:val="clear" w:color="auto" w:fill="auto"/>
            <w:vAlign w:val="center"/>
            <w:hideMark/>
          </w:tcPr>
          <w:p w14:paraId="6B9C75C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w:t>
            </w:r>
          </w:p>
        </w:tc>
        <w:tc>
          <w:tcPr>
            <w:tcW w:w="1056" w:type="pct"/>
            <w:tcBorders>
              <w:top w:val="nil"/>
              <w:left w:val="nil"/>
              <w:bottom w:val="nil"/>
              <w:right w:val="single" w:sz="8" w:space="0" w:color="auto"/>
            </w:tcBorders>
            <w:shd w:val="clear" w:color="auto" w:fill="auto"/>
            <w:vAlign w:val="center"/>
            <w:hideMark/>
          </w:tcPr>
          <w:p w14:paraId="6C5E936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Included, low specificity noted</w:t>
            </w:r>
          </w:p>
        </w:tc>
        <w:tc>
          <w:tcPr>
            <w:tcW w:w="845" w:type="pct"/>
            <w:tcBorders>
              <w:top w:val="nil"/>
              <w:left w:val="nil"/>
              <w:bottom w:val="nil"/>
              <w:right w:val="single" w:sz="8" w:space="0" w:color="auto"/>
            </w:tcBorders>
            <w:shd w:val="clear" w:color="auto" w:fill="auto"/>
            <w:vAlign w:val="center"/>
            <w:hideMark/>
          </w:tcPr>
          <w:p w14:paraId="034A3C6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1FAF3E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1E58B23"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5C6F98F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404BBF1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4EF28F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21.1/99.9/96.6</w:t>
            </w:r>
          </w:p>
        </w:tc>
        <w:tc>
          <w:tcPr>
            <w:tcW w:w="1056" w:type="pct"/>
            <w:tcBorders>
              <w:top w:val="nil"/>
              <w:left w:val="nil"/>
              <w:bottom w:val="nil"/>
              <w:right w:val="single" w:sz="8" w:space="0" w:color="auto"/>
            </w:tcBorders>
            <w:shd w:val="clear" w:color="auto" w:fill="auto"/>
            <w:vAlign w:val="center"/>
            <w:hideMark/>
          </w:tcPr>
          <w:p w14:paraId="5602F0A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42490 42491 42499</w:t>
            </w:r>
          </w:p>
        </w:tc>
        <w:tc>
          <w:tcPr>
            <w:tcW w:w="845" w:type="pct"/>
            <w:tcBorders>
              <w:top w:val="nil"/>
              <w:left w:val="nil"/>
              <w:bottom w:val="nil"/>
              <w:right w:val="single" w:sz="8" w:space="0" w:color="auto"/>
            </w:tcBorders>
            <w:shd w:val="clear" w:color="auto" w:fill="auto"/>
            <w:vAlign w:val="center"/>
            <w:hideMark/>
          </w:tcPr>
          <w:p w14:paraId="49D82D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0554D11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309AAA9"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E17914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692C7F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6B15A2B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and Sec</w:t>
            </w:r>
          </w:p>
        </w:tc>
        <w:tc>
          <w:tcPr>
            <w:tcW w:w="1056" w:type="pct"/>
            <w:tcBorders>
              <w:top w:val="nil"/>
              <w:left w:val="nil"/>
              <w:bottom w:val="nil"/>
              <w:right w:val="single" w:sz="8" w:space="0" w:color="auto"/>
            </w:tcBorders>
            <w:shd w:val="clear" w:color="auto" w:fill="auto"/>
            <w:vAlign w:val="center"/>
            <w:hideMark/>
          </w:tcPr>
          <w:p w14:paraId="380F901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4817549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213F77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E675DBF"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4E4D6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0A0EACC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70066CCF" w14:textId="77777777" w:rsidR="00CC06B3" w:rsidRPr="00CC06B3" w:rsidRDefault="00CC06B3" w:rsidP="00CC06B3">
            <w:pPr>
              <w:spacing w:line="240" w:lineRule="auto"/>
              <w:rPr>
                <w:rFonts w:ascii="Calibri" w:eastAsia="Times New Roman" w:hAnsi="Calibri" w:cs="Times New Roman"/>
                <w:b/>
                <w:bCs/>
                <w:color w:val="000000"/>
                <w:lang w:val="en-US"/>
              </w:rPr>
            </w:pPr>
            <w:r w:rsidRPr="00CC06B3">
              <w:rPr>
                <w:rFonts w:ascii="Calibri" w:eastAsia="Times New Roman" w:hAnsi="Calibri" w:cs="Times New Roman"/>
                <w:b/>
                <w:bCs/>
                <w:color w:val="000000"/>
                <w:lang w:val="en-US"/>
              </w:rPr>
              <w:t>93.6/99.9/93.9</w:t>
            </w:r>
          </w:p>
        </w:tc>
        <w:tc>
          <w:tcPr>
            <w:tcW w:w="1056" w:type="pct"/>
            <w:tcBorders>
              <w:top w:val="nil"/>
              <w:left w:val="nil"/>
              <w:bottom w:val="nil"/>
              <w:right w:val="single" w:sz="8" w:space="0" w:color="auto"/>
            </w:tcBorders>
            <w:shd w:val="clear" w:color="auto" w:fill="auto"/>
            <w:hideMark/>
          </w:tcPr>
          <w:p w14:paraId="4189355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47D0131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478191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24312287"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3E8452C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7568C02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EA0C84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 minus 4249x</w:t>
            </w:r>
          </w:p>
        </w:tc>
        <w:tc>
          <w:tcPr>
            <w:tcW w:w="1056" w:type="pct"/>
            <w:tcBorders>
              <w:top w:val="nil"/>
              <w:left w:val="nil"/>
              <w:bottom w:val="nil"/>
              <w:right w:val="single" w:sz="8" w:space="0" w:color="auto"/>
            </w:tcBorders>
            <w:shd w:val="clear" w:color="auto" w:fill="auto"/>
            <w:hideMark/>
          </w:tcPr>
          <w:p w14:paraId="092F13B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6E1362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78B072C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C20CEE7"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0C0658D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6A8B8BC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067EDA7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95.5/99.9/80.1</w:t>
            </w:r>
          </w:p>
        </w:tc>
        <w:tc>
          <w:tcPr>
            <w:tcW w:w="1056" w:type="pct"/>
            <w:tcBorders>
              <w:top w:val="nil"/>
              <w:left w:val="nil"/>
              <w:bottom w:val="nil"/>
              <w:right w:val="single" w:sz="8" w:space="0" w:color="auto"/>
            </w:tcBorders>
            <w:shd w:val="clear" w:color="auto" w:fill="auto"/>
            <w:hideMark/>
          </w:tcPr>
          <w:p w14:paraId="4B8FDA6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68BA6CB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2E9BDB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C33AF60"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41AE6C8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5B87482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6FE794F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 minus 4249x 2003-2005 PPV 89 (131 pts )</w:t>
            </w:r>
          </w:p>
        </w:tc>
        <w:tc>
          <w:tcPr>
            <w:tcW w:w="1056" w:type="pct"/>
            <w:tcBorders>
              <w:top w:val="nil"/>
              <w:left w:val="nil"/>
              <w:bottom w:val="nil"/>
              <w:right w:val="single" w:sz="8" w:space="0" w:color="auto"/>
            </w:tcBorders>
            <w:shd w:val="clear" w:color="auto" w:fill="auto"/>
            <w:hideMark/>
          </w:tcPr>
          <w:p w14:paraId="224BE78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54FD3D3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22262C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64C3247"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75DBDC3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0E9C7B8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243CD26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hideMark/>
          </w:tcPr>
          <w:p w14:paraId="4C5F73E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04EE6C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9C99B0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B00FC5B"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4431C17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43D876E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6256795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Also reviewed types of disease and organisms in 155 pts 2013/14.</w:t>
            </w:r>
          </w:p>
        </w:tc>
        <w:tc>
          <w:tcPr>
            <w:tcW w:w="1056" w:type="pct"/>
            <w:tcBorders>
              <w:top w:val="nil"/>
              <w:left w:val="nil"/>
              <w:bottom w:val="nil"/>
              <w:right w:val="single" w:sz="8" w:space="0" w:color="auto"/>
            </w:tcBorders>
            <w:shd w:val="clear" w:color="auto" w:fill="auto"/>
            <w:hideMark/>
          </w:tcPr>
          <w:p w14:paraId="2A7A27B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2B52964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A5B48B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843704B"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2FDDF62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7139918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891EEC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hideMark/>
          </w:tcPr>
          <w:p w14:paraId="2182C57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30DEAA1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9302D3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D41C514" w14:textId="77777777" w:rsidTr="00CC06B3">
        <w:trPr>
          <w:trHeight w:val="6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4E37DAD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4FD4469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1DA52E2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5 separate hospitals, PPV 90, 93, 90, 90, 95, 97. (total 166)</w:t>
            </w:r>
          </w:p>
        </w:tc>
        <w:tc>
          <w:tcPr>
            <w:tcW w:w="1056" w:type="pct"/>
            <w:tcBorders>
              <w:top w:val="nil"/>
              <w:left w:val="nil"/>
              <w:bottom w:val="single" w:sz="8" w:space="0" w:color="auto"/>
              <w:right w:val="single" w:sz="8" w:space="0" w:color="auto"/>
            </w:tcBorders>
            <w:shd w:val="clear" w:color="auto" w:fill="auto"/>
            <w:hideMark/>
          </w:tcPr>
          <w:p w14:paraId="64E86E7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43E21B4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543D430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86C1063" w14:textId="77777777" w:rsidTr="00CC06B3">
        <w:trPr>
          <w:trHeight w:val="3300"/>
        </w:trPr>
        <w:tc>
          <w:tcPr>
            <w:tcW w:w="473" w:type="pct"/>
            <w:tcBorders>
              <w:top w:val="nil"/>
              <w:left w:val="single" w:sz="8" w:space="0" w:color="auto"/>
              <w:bottom w:val="nil"/>
              <w:right w:val="single" w:sz="8" w:space="0" w:color="auto"/>
            </w:tcBorders>
            <w:shd w:val="clear" w:color="auto" w:fill="auto"/>
            <w:vAlign w:val="center"/>
            <w:hideMark/>
          </w:tcPr>
          <w:p w14:paraId="6F32601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Sakai-Bizmark</w:t>
            </w:r>
            <w:r w:rsidRPr="00CC06B3">
              <w:rPr>
                <w:rFonts w:ascii="Calibri" w:eastAsia="Times New Roman" w:hAnsi="Calibri" w:cs="Times New Roman"/>
                <w:color w:val="000000"/>
                <w:vertAlign w:val="superscript"/>
                <w:lang w:val="en-US"/>
              </w:rPr>
              <w:t>27</w:t>
            </w:r>
          </w:p>
        </w:tc>
        <w:tc>
          <w:tcPr>
            <w:tcW w:w="1035" w:type="pct"/>
            <w:tcBorders>
              <w:top w:val="nil"/>
              <w:left w:val="nil"/>
              <w:bottom w:val="nil"/>
              <w:right w:val="single" w:sz="8" w:space="0" w:color="auto"/>
            </w:tcBorders>
            <w:shd w:val="clear" w:color="auto" w:fill="auto"/>
            <w:vAlign w:val="center"/>
            <w:hideMark/>
          </w:tcPr>
          <w:p w14:paraId="7A9C30C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HCUP Heathcare Cost and Utilization Project NIS AHRQ. Patients&lt;18 yrs,</w:t>
            </w:r>
          </w:p>
        </w:tc>
        <w:tc>
          <w:tcPr>
            <w:tcW w:w="798" w:type="pct"/>
            <w:tcBorders>
              <w:top w:val="nil"/>
              <w:left w:val="nil"/>
              <w:bottom w:val="nil"/>
              <w:right w:val="single" w:sz="8" w:space="0" w:color="auto"/>
            </w:tcBorders>
            <w:shd w:val="clear" w:color="auto" w:fill="auto"/>
            <w:vAlign w:val="center"/>
            <w:hideMark/>
          </w:tcPr>
          <w:p w14:paraId="55095DB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Incidence 4.2 per 100,000.</w:t>
            </w:r>
          </w:p>
        </w:tc>
        <w:tc>
          <w:tcPr>
            <w:tcW w:w="1056" w:type="pct"/>
            <w:tcBorders>
              <w:top w:val="nil"/>
              <w:left w:val="nil"/>
              <w:bottom w:val="nil"/>
              <w:right w:val="single" w:sz="8" w:space="0" w:color="auto"/>
            </w:tcBorders>
            <w:shd w:val="clear" w:color="auto" w:fill="auto"/>
            <w:vAlign w:val="center"/>
            <w:hideMark/>
          </w:tcPr>
          <w:p w14:paraId="635D6B0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4210 4211 4219</w:t>
            </w:r>
          </w:p>
        </w:tc>
        <w:tc>
          <w:tcPr>
            <w:tcW w:w="845" w:type="pct"/>
            <w:tcBorders>
              <w:top w:val="nil"/>
              <w:left w:val="nil"/>
              <w:bottom w:val="nil"/>
              <w:right w:val="single" w:sz="8" w:space="0" w:color="auto"/>
            </w:tcBorders>
            <w:shd w:val="clear" w:color="auto" w:fill="auto"/>
            <w:vAlign w:val="center"/>
            <w:hideMark/>
          </w:tcPr>
          <w:p w14:paraId="11DFF02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 deduplication due to use of NIS data, noted in discussion.</w:t>
            </w:r>
          </w:p>
        </w:tc>
        <w:tc>
          <w:tcPr>
            <w:tcW w:w="793" w:type="pct"/>
            <w:tcBorders>
              <w:top w:val="nil"/>
              <w:left w:val="nil"/>
              <w:bottom w:val="nil"/>
              <w:right w:val="single" w:sz="8" w:space="0" w:color="auto"/>
            </w:tcBorders>
            <w:shd w:val="clear" w:color="auto" w:fill="auto"/>
            <w:vAlign w:val="center"/>
            <w:hideMark/>
          </w:tcPr>
          <w:p w14:paraId="570D686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“Our initial review of data revealed that using only the principal diagnosis code for infective endocarditis may significantly decrease selection of true cases, at times finding pathogen as the principle diagnosis, and infective endocarditis as the secondary. “</w:t>
            </w:r>
          </w:p>
        </w:tc>
      </w:tr>
      <w:tr w:rsidR="00CC06B3" w:rsidRPr="00CC06B3" w14:paraId="178AF8FD" w14:textId="77777777" w:rsidTr="00CC06B3">
        <w:trPr>
          <w:trHeight w:val="2100"/>
        </w:trPr>
        <w:tc>
          <w:tcPr>
            <w:tcW w:w="473" w:type="pct"/>
            <w:tcBorders>
              <w:top w:val="nil"/>
              <w:left w:val="single" w:sz="8" w:space="0" w:color="auto"/>
              <w:bottom w:val="nil"/>
              <w:right w:val="single" w:sz="8" w:space="0" w:color="auto"/>
            </w:tcBorders>
            <w:shd w:val="clear" w:color="auto" w:fill="auto"/>
            <w:vAlign w:val="center"/>
            <w:hideMark/>
          </w:tcPr>
          <w:p w14:paraId="24BD8A4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166F416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52CE44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Post guideline change increased likelihood of streptococcal (23.8% vs 32.0%,) and Virdans group streptococcal (VGS) cases (17.6% vs 24.2%) 70% cases had pathogen code,</w:t>
            </w:r>
          </w:p>
        </w:tc>
        <w:tc>
          <w:tcPr>
            <w:tcW w:w="1056" w:type="pct"/>
            <w:tcBorders>
              <w:top w:val="nil"/>
              <w:left w:val="nil"/>
              <w:bottom w:val="nil"/>
              <w:right w:val="single" w:sz="8" w:space="0" w:color="auto"/>
            </w:tcBorders>
            <w:shd w:val="clear" w:color="auto" w:fill="auto"/>
            <w:vAlign w:val="center"/>
            <w:hideMark/>
          </w:tcPr>
          <w:p w14:paraId="663F870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position, or</w:t>
            </w:r>
          </w:p>
        </w:tc>
        <w:tc>
          <w:tcPr>
            <w:tcW w:w="845" w:type="pct"/>
            <w:tcBorders>
              <w:top w:val="nil"/>
              <w:left w:val="nil"/>
              <w:bottom w:val="nil"/>
              <w:right w:val="single" w:sz="8" w:space="0" w:color="auto"/>
            </w:tcBorders>
            <w:shd w:val="clear" w:color="auto" w:fill="auto"/>
            <w:vAlign w:val="center"/>
            <w:hideMark/>
          </w:tcPr>
          <w:p w14:paraId="2E2B4F8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E9725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B548887"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497ECC8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2017 update</w:t>
            </w:r>
          </w:p>
        </w:tc>
        <w:tc>
          <w:tcPr>
            <w:tcW w:w="1035" w:type="pct"/>
            <w:tcBorders>
              <w:top w:val="nil"/>
              <w:left w:val="nil"/>
              <w:bottom w:val="nil"/>
              <w:right w:val="single" w:sz="8" w:space="0" w:color="auto"/>
            </w:tcBorders>
            <w:shd w:val="clear" w:color="auto" w:fill="auto"/>
            <w:vAlign w:val="center"/>
            <w:hideMark/>
          </w:tcPr>
          <w:p w14:paraId="2079A0A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3748 discharges</w:t>
            </w:r>
          </w:p>
        </w:tc>
        <w:tc>
          <w:tcPr>
            <w:tcW w:w="798" w:type="pct"/>
            <w:tcBorders>
              <w:top w:val="nil"/>
              <w:left w:val="nil"/>
              <w:bottom w:val="nil"/>
              <w:right w:val="single" w:sz="8" w:space="0" w:color="auto"/>
            </w:tcBorders>
            <w:shd w:val="clear" w:color="auto" w:fill="auto"/>
            <w:vAlign w:val="center"/>
            <w:hideMark/>
          </w:tcPr>
          <w:p w14:paraId="7515DED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65% preguideline, 75% post guideline.</w:t>
            </w:r>
          </w:p>
        </w:tc>
        <w:tc>
          <w:tcPr>
            <w:tcW w:w="1056" w:type="pct"/>
            <w:tcBorders>
              <w:top w:val="nil"/>
              <w:left w:val="nil"/>
              <w:bottom w:val="nil"/>
              <w:right w:val="single" w:sz="8" w:space="0" w:color="auto"/>
            </w:tcBorders>
            <w:shd w:val="clear" w:color="auto" w:fill="auto"/>
            <w:vAlign w:val="center"/>
            <w:hideMark/>
          </w:tcPr>
          <w:p w14:paraId="6311ED3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secondary or tertiary position if primary/secondary code a relevant infective code</w:t>
            </w:r>
          </w:p>
        </w:tc>
        <w:tc>
          <w:tcPr>
            <w:tcW w:w="845" w:type="pct"/>
            <w:tcBorders>
              <w:top w:val="nil"/>
              <w:left w:val="nil"/>
              <w:bottom w:val="nil"/>
              <w:right w:val="single" w:sz="8" w:space="0" w:color="auto"/>
            </w:tcBorders>
            <w:shd w:val="clear" w:color="auto" w:fill="auto"/>
            <w:vAlign w:val="center"/>
            <w:hideMark/>
          </w:tcPr>
          <w:p w14:paraId="41C52E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449A37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Also covered in discussion</w:t>
            </w:r>
          </w:p>
        </w:tc>
      </w:tr>
      <w:tr w:rsidR="00CC06B3" w:rsidRPr="00CC06B3" w14:paraId="5180F2C3"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2506A4F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0AF396B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82% primary, 15% secondary 3 % tertiary. </w:t>
            </w:r>
          </w:p>
        </w:tc>
        <w:tc>
          <w:tcPr>
            <w:tcW w:w="798" w:type="pct"/>
            <w:tcBorders>
              <w:top w:val="nil"/>
              <w:left w:val="nil"/>
              <w:bottom w:val="nil"/>
              <w:right w:val="single" w:sz="8" w:space="0" w:color="auto"/>
            </w:tcBorders>
            <w:shd w:val="clear" w:color="auto" w:fill="auto"/>
            <w:vAlign w:val="center"/>
            <w:hideMark/>
          </w:tcPr>
          <w:p w14:paraId="3DEA7F9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 aureus most common (34%), streptococcus (27%) Overall increase in incidence, no change in trend pre and post guidelines.</w:t>
            </w:r>
          </w:p>
        </w:tc>
        <w:tc>
          <w:tcPr>
            <w:tcW w:w="1056" w:type="pct"/>
            <w:tcBorders>
              <w:top w:val="nil"/>
              <w:left w:val="nil"/>
              <w:bottom w:val="nil"/>
              <w:right w:val="single" w:sz="8" w:space="0" w:color="auto"/>
            </w:tcBorders>
            <w:shd w:val="clear" w:color="auto" w:fill="auto"/>
            <w:vAlign w:val="center"/>
            <w:hideMark/>
          </w:tcPr>
          <w:p w14:paraId="682CAC4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14D9E80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06A70BE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6C30542" w14:textId="77777777" w:rsidTr="00CC06B3">
        <w:trPr>
          <w:trHeight w:val="2400"/>
        </w:trPr>
        <w:tc>
          <w:tcPr>
            <w:tcW w:w="473" w:type="pct"/>
            <w:tcBorders>
              <w:top w:val="nil"/>
              <w:left w:val="single" w:sz="8" w:space="0" w:color="auto"/>
              <w:bottom w:val="nil"/>
              <w:right w:val="single" w:sz="8" w:space="0" w:color="auto"/>
            </w:tcBorders>
            <w:shd w:val="clear" w:color="auto" w:fill="auto"/>
            <w:hideMark/>
          </w:tcPr>
          <w:p w14:paraId="5AEE0C1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7953963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16B79CF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Increasing trend in VGS in older patients subgroup</w:t>
            </w:r>
          </w:p>
        </w:tc>
        <w:tc>
          <w:tcPr>
            <w:tcW w:w="1056" w:type="pct"/>
            <w:tcBorders>
              <w:top w:val="nil"/>
              <w:left w:val="nil"/>
              <w:bottom w:val="nil"/>
              <w:right w:val="single" w:sz="8" w:space="0" w:color="auto"/>
            </w:tcBorders>
            <w:shd w:val="clear" w:color="auto" w:fill="auto"/>
            <w:vAlign w:val="center"/>
            <w:hideMark/>
          </w:tcPr>
          <w:p w14:paraId="1D0DA4D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following: (1) Pathogen: described below; (2) Sepsis: 995.9; (3) Bacteremia: 790.7; (4) Septic Shock: 785.52; (5) Device Complication: 996–999; and (6) Pneumonia:</w:t>
            </w:r>
          </w:p>
        </w:tc>
        <w:tc>
          <w:tcPr>
            <w:tcW w:w="845" w:type="pct"/>
            <w:tcBorders>
              <w:top w:val="nil"/>
              <w:left w:val="nil"/>
              <w:bottom w:val="nil"/>
              <w:right w:val="single" w:sz="8" w:space="0" w:color="auto"/>
            </w:tcBorders>
            <w:shd w:val="clear" w:color="auto" w:fill="auto"/>
            <w:vAlign w:val="center"/>
            <w:hideMark/>
          </w:tcPr>
          <w:p w14:paraId="2F79C8A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6E12EAB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A78DBF4" w14:textId="77777777" w:rsidTr="00CC06B3">
        <w:trPr>
          <w:trHeight w:val="300"/>
        </w:trPr>
        <w:tc>
          <w:tcPr>
            <w:tcW w:w="473" w:type="pct"/>
            <w:tcBorders>
              <w:top w:val="nil"/>
              <w:left w:val="single" w:sz="8" w:space="0" w:color="auto"/>
              <w:bottom w:val="nil"/>
              <w:right w:val="single" w:sz="8" w:space="0" w:color="auto"/>
            </w:tcBorders>
            <w:shd w:val="clear" w:color="auto" w:fill="auto"/>
            <w:hideMark/>
          </w:tcPr>
          <w:p w14:paraId="62AD973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388EAB1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4474FB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hideMark/>
          </w:tcPr>
          <w:p w14:paraId="4ECA64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457A37A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7CB5EE0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88AD945" w14:textId="77777777" w:rsidTr="00CC06B3">
        <w:trPr>
          <w:trHeight w:val="300"/>
        </w:trPr>
        <w:tc>
          <w:tcPr>
            <w:tcW w:w="473" w:type="pct"/>
            <w:tcBorders>
              <w:top w:val="nil"/>
              <w:left w:val="single" w:sz="8" w:space="0" w:color="auto"/>
              <w:bottom w:val="nil"/>
              <w:right w:val="single" w:sz="8" w:space="0" w:color="auto"/>
            </w:tcBorders>
            <w:shd w:val="clear" w:color="auto" w:fill="auto"/>
            <w:hideMark/>
          </w:tcPr>
          <w:p w14:paraId="399B0B0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0C02571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50D407D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Pasquali et al</w:t>
            </w:r>
          </w:p>
        </w:tc>
        <w:tc>
          <w:tcPr>
            <w:tcW w:w="1056" w:type="pct"/>
            <w:tcBorders>
              <w:top w:val="nil"/>
              <w:left w:val="nil"/>
              <w:bottom w:val="nil"/>
              <w:right w:val="single" w:sz="8" w:space="0" w:color="auto"/>
            </w:tcBorders>
            <w:shd w:val="clear" w:color="auto" w:fill="auto"/>
            <w:hideMark/>
          </w:tcPr>
          <w:p w14:paraId="713E827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061F557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hideMark/>
          </w:tcPr>
          <w:p w14:paraId="7B1E680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84D37DB" w14:textId="77777777" w:rsidTr="00CC06B3">
        <w:trPr>
          <w:trHeight w:val="915"/>
        </w:trPr>
        <w:tc>
          <w:tcPr>
            <w:tcW w:w="473" w:type="pct"/>
            <w:tcBorders>
              <w:top w:val="nil"/>
              <w:left w:val="single" w:sz="8" w:space="0" w:color="auto"/>
              <w:bottom w:val="single" w:sz="8" w:space="0" w:color="auto"/>
              <w:right w:val="single" w:sz="8" w:space="0" w:color="auto"/>
            </w:tcBorders>
            <w:shd w:val="clear" w:color="auto" w:fill="auto"/>
            <w:hideMark/>
          </w:tcPr>
          <w:p w14:paraId="61BE136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53FACFA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57FDEC5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Indexed to hospital admissions, not population numbers</w:t>
            </w:r>
          </w:p>
        </w:tc>
        <w:tc>
          <w:tcPr>
            <w:tcW w:w="1056" w:type="pct"/>
            <w:tcBorders>
              <w:top w:val="nil"/>
              <w:left w:val="nil"/>
              <w:bottom w:val="single" w:sz="8" w:space="0" w:color="auto"/>
              <w:right w:val="single" w:sz="8" w:space="0" w:color="auto"/>
            </w:tcBorders>
            <w:shd w:val="clear" w:color="auto" w:fill="auto"/>
            <w:hideMark/>
          </w:tcPr>
          <w:p w14:paraId="4360FDA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7AEEE78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3A34D7F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18D4928"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656497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Cresti</w:t>
            </w:r>
            <w:r w:rsidRPr="00CC06B3">
              <w:rPr>
                <w:rFonts w:ascii="Calibri" w:eastAsia="Times New Roman" w:hAnsi="Calibri" w:cs="Times New Roman"/>
                <w:color w:val="000000"/>
                <w:vertAlign w:val="superscript"/>
                <w:lang w:val="en-US"/>
              </w:rPr>
              <w:t>28</w:t>
            </w:r>
            <w:r w:rsidRPr="00CC06B3">
              <w:rPr>
                <w:rFonts w:ascii="Calibri" w:eastAsia="Times New Roman" w:hAnsi="Calibri" w:cs="Times New Roman"/>
                <w:color w:val="000000"/>
                <w:lang w:val="en-US"/>
              </w:rPr>
              <w:t xml:space="preserve"> 2017 update</w:t>
            </w:r>
          </w:p>
        </w:tc>
        <w:tc>
          <w:tcPr>
            <w:tcW w:w="1035" w:type="pct"/>
            <w:tcBorders>
              <w:top w:val="nil"/>
              <w:left w:val="nil"/>
              <w:bottom w:val="nil"/>
              <w:right w:val="single" w:sz="8" w:space="0" w:color="auto"/>
            </w:tcBorders>
            <w:shd w:val="clear" w:color="auto" w:fill="auto"/>
            <w:vAlign w:val="center"/>
            <w:hideMark/>
          </w:tcPr>
          <w:p w14:paraId="5F0EA2B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1807 Referrals to tertiary hospital, Italy 1998-2014 for suspected infective endocarditis entered prospectively into database.</w:t>
            </w:r>
          </w:p>
        </w:tc>
        <w:tc>
          <w:tcPr>
            <w:tcW w:w="798" w:type="pct"/>
            <w:tcBorders>
              <w:top w:val="nil"/>
              <w:left w:val="nil"/>
              <w:bottom w:val="nil"/>
              <w:right w:val="single" w:sz="8" w:space="0" w:color="auto"/>
            </w:tcBorders>
            <w:shd w:val="clear" w:color="auto" w:fill="auto"/>
            <w:vAlign w:val="center"/>
            <w:hideMark/>
          </w:tcPr>
          <w:p w14:paraId="4F855CF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Incidence 4.6/100,000 population head, increasing linearly.</w:t>
            </w:r>
          </w:p>
        </w:tc>
        <w:tc>
          <w:tcPr>
            <w:tcW w:w="1056" w:type="pct"/>
            <w:tcBorders>
              <w:top w:val="nil"/>
              <w:left w:val="nil"/>
              <w:bottom w:val="nil"/>
              <w:right w:val="single" w:sz="8" w:space="0" w:color="auto"/>
            </w:tcBorders>
            <w:shd w:val="clear" w:color="auto" w:fill="auto"/>
            <w:vAlign w:val="center"/>
            <w:hideMark/>
          </w:tcPr>
          <w:p w14:paraId="4A4B32D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 specified ‘endocarditis code’ ICD-9</w:t>
            </w:r>
          </w:p>
        </w:tc>
        <w:tc>
          <w:tcPr>
            <w:tcW w:w="845" w:type="pct"/>
            <w:tcBorders>
              <w:top w:val="nil"/>
              <w:left w:val="nil"/>
              <w:bottom w:val="nil"/>
              <w:right w:val="single" w:sz="8" w:space="0" w:color="auto"/>
            </w:tcBorders>
            <w:shd w:val="clear" w:color="auto" w:fill="auto"/>
            <w:vAlign w:val="center"/>
            <w:hideMark/>
          </w:tcPr>
          <w:p w14:paraId="41EA18C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Covered in discussion.</w:t>
            </w:r>
          </w:p>
        </w:tc>
        <w:tc>
          <w:tcPr>
            <w:tcW w:w="793" w:type="pct"/>
            <w:tcBorders>
              <w:top w:val="nil"/>
              <w:left w:val="nil"/>
              <w:bottom w:val="nil"/>
              <w:right w:val="single" w:sz="8" w:space="0" w:color="auto"/>
            </w:tcBorders>
            <w:shd w:val="clear" w:color="auto" w:fill="auto"/>
            <w:vAlign w:val="center"/>
            <w:hideMark/>
          </w:tcPr>
          <w:p w14:paraId="4CC6613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Data provided: Total 173 patients (ie database identified 6 extra, sensitivity 97%, coding identified 143/173 84%)</w:t>
            </w:r>
          </w:p>
        </w:tc>
      </w:tr>
      <w:tr w:rsidR="00CC06B3" w:rsidRPr="00CC06B3" w14:paraId="60FA5BAB"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543C883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31430D4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167 definite infective endocarditis (Duke criteria).</w:t>
            </w:r>
          </w:p>
        </w:tc>
        <w:tc>
          <w:tcPr>
            <w:tcW w:w="798" w:type="pct"/>
            <w:tcBorders>
              <w:top w:val="nil"/>
              <w:left w:val="nil"/>
              <w:bottom w:val="nil"/>
              <w:right w:val="single" w:sz="8" w:space="0" w:color="auto"/>
            </w:tcBorders>
            <w:shd w:val="clear" w:color="auto" w:fill="auto"/>
            <w:vAlign w:val="center"/>
            <w:hideMark/>
          </w:tcPr>
          <w:p w14:paraId="746178C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Staphylococcus aureus 25%, Coagulase negative Staphylococci (CNS) 22%.</w:t>
            </w:r>
          </w:p>
        </w:tc>
        <w:tc>
          <w:tcPr>
            <w:tcW w:w="1056" w:type="pct"/>
            <w:tcBorders>
              <w:top w:val="nil"/>
              <w:left w:val="nil"/>
              <w:bottom w:val="nil"/>
              <w:right w:val="single" w:sz="8" w:space="0" w:color="auto"/>
            </w:tcBorders>
            <w:shd w:val="clear" w:color="auto" w:fill="auto"/>
            <w:vAlign w:val="center"/>
            <w:hideMark/>
          </w:tcPr>
          <w:p w14:paraId="5A63E45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453B49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0E835FA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194 admissions, of which 25(13% had no criteria for definite infective endocarditis, 28 (14%) were </w:t>
            </w:r>
            <w:r w:rsidRPr="00CC06B3">
              <w:rPr>
                <w:rFonts w:ascii="Calibri" w:eastAsia="Times New Roman" w:hAnsi="Calibri" w:cs="Times New Roman"/>
                <w:color w:val="000000"/>
                <w:lang w:val="en-US"/>
              </w:rPr>
              <w:lastRenderedPageBreak/>
              <w:t>readmissions.</w:t>
            </w:r>
          </w:p>
        </w:tc>
      </w:tr>
      <w:tr w:rsidR="00CC06B3" w:rsidRPr="00CC06B3" w14:paraId="78887DC1" w14:textId="77777777" w:rsidTr="00CC06B3">
        <w:trPr>
          <w:trHeight w:val="1500"/>
        </w:trPr>
        <w:tc>
          <w:tcPr>
            <w:tcW w:w="473" w:type="pct"/>
            <w:tcBorders>
              <w:top w:val="nil"/>
              <w:left w:val="single" w:sz="8" w:space="0" w:color="auto"/>
              <w:bottom w:val="nil"/>
              <w:right w:val="single" w:sz="8" w:space="0" w:color="auto"/>
            </w:tcBorders>
            <w:shd w:val="clear" w:color="auto" w:fill="auto"/>
            <w:vAlign w:val="center"/>
            <w:hideMark/>
          </w:tcPr>
          <w:p w14:paraId="7F9B979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0F129DD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Additionally, healthcare system database interrogated for discharge records with ICD9 codes – 194 patients, definite infective endocarditis in 143.</w:t>
            </w:r>
          </w:p>
        </w:tc>
        <w:tc>
          <w:tcPr>
            <w:tcW w:w="798" w:type="pct"/>
            <w:tcBorders>
              <w:top w:val="nil"/>
              <w:left w:val="nil"/>
              <w:bottom w:val="nil"/>
              <w:right w:val="single" w:sz="8" w:space="0" w:color="auto"/>
            </w:tcBorders>
            <w:shd w:val="clear" w:color="auto" w:fill="auto"/>
            <w:vAlign w:val="center"/>
            <w:hideMark/>
          </w:tcPr>
          <w:p w14:paraId="583D5CC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Staphylococcal disease associated with intravenous drug use (IVDU) and septic shock. Culture negative 11%.</w:t>
            </w:r>
          </w:p>
        </w:tc>
        <w:tc>
          <w:tcPr>
            <w:tcW w:w="1056" w:type="pct"/>
            <w:tcBorders>
              <w:top w:val="nil"/>
              <w:left w:val="nil"/>
              <w:bottom w:val="nil"/>
              <w:right w:val="single" w:sz="8" w:space="0" w:color="auto"/>
            </w:tcBorders>
            <w:shd w:val="clear" w:color="auto" w:fill="auto"/>
            <w:vAlign w:val="center"/>
            <w:hideMark/>
          </w:tcPr>
          <w:p w14:paraId="451D0FD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06F4906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F53AFB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Discuss limitations of discharge-coding only studies</w:t>
            </w:r>
          </w:p>
        </w:tc>
      </w:tr>
      <w:tr w:rsidR="00CC06B3" w:rsidRPr="00CC06B3" w14:paraId="39E1E23D"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274D4E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5BCC21C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Total 173 patients</w:t>
            </w:r>
          </w:p>
        </w:tc>
        <w:tc>
          <w:tcPr>
            <w:tcW w:w="798" w:type="pct"/>
            <w:tcBorders>
              <w:top w:val="nil"/>
              <w:left w:val="nil"/>
              <w:bottom w:val="single" w:sz="8" w:space="0" w:color="auto"/>
              <w:right w:val="single" w:sz="8" w:space="0" w:color="auto"/>
            </w:tcBorders>
            <w:shd w:val="clear" w:color="auto" w:fill="auto"/>
            <w:hideMark/>
          </w:tcPr>
          <w:p w14:paraId="4139FC2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688C65D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6D2B25D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hideMark/>
          </w:tcPr>
          <w:p w14:paraId="2B56BEC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6E025AB7"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29B100F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Gupta</w:t>
            </w:r>
            <w:r w:rsidRPr="00CC06B3">
              <w:rPr>
                <w:rFonts w:ascii="Calibri" w:eastAsia="Times New Roman" w:hAnsi="Calibri" w:cs="Times New Roman"/>
                <w:color w:val="000000"/>
                <w:vertAlign w:val="superscript"/>
                <w:lang w:val="en-US"/>
              </w:rPr>
              <w:t>29</w:t>
            </w:r>
          </w:p>
        </w:tc>
        <w:tc>
          <w:tcPr>
            <w:tcW w:w="1035" w:type="pct"/>
            <w:tcBorders>
              <w:top w:val="nil"/>
              <w:left w:val="nil"/>
              <w:bottom w:val="nil"/>
              <w:right w:val="single" w:sz="8" w:space="0" w:color="auto"/>
            </w:tcBorders>
            <w:shd w:val="clear" w:color="auto" w:fill="auto"/>
            <w:vAlign w:val="center"/>
            <w:hideMark/>
          </w:tcPr>
          <w:p w14:paraId="0680116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NIS database</w:t>
            </w:r>
          </w:p>
        </w:tc>
        <w:tc>
          <w:tcPr>
            <w:tcW w:w="798" w:type="pct"/>
            <w:tcBorders>
              <w:top w:val="nil"/>
              <w:left w:val="nil"/>
              <w:bottom w:val="nil"/>
              <w:right w:val="single" w:sz="8" w:space="0" w:color="auto"/>
            </w:tcBorders>
            <w:shd w:val="clear" w:color="auto" w:fill="auto"/>
            <w:vAlign w:val="center"/>
            <w:hideMark/>
          </w:tcPr>
          <w:p w14:paraId="7A27687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Incidence 0.43/100,000.</w:t>
            </w:r>
          </w:p>
        </w:tc>
        <w:tc>
          <w:tcPr>
            <w:tcW w:w="1056" w:type="pct"/>
            <w:tcBorders>
              <w:top w:val="nil"/>
              <w:left w:val="nil"/>
              <w:bottom w:val="nil"/>
              <w:right w:val="single" w:sz="8" w:space="0" w:color="auto"/>
            </w:tcBorders>
            <w:shd w:val="clear" w:color="auto" w:fill="auto"/>
            <w:vAlign w:val="center"/>
            <w:hideMark/>
          </w:tcPr>
          <w:p w14:paraId="54DE855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Primary and secondary diagnoses, ICD-9</w:t>
            </w:r>
          </w:p>
        </w:tc>
        <w:tc>
          <w:tcPr>
            <w:tcW w:w="845" w:type="pct"/>
            <w:tcBorders>
              <w:top w:val="nil"/>
              <w:left w:val="nil"/>
              <w:bottom w:val="nil"/>
              <w:right w:val="single" w:sz="8" w:space="0" w:color="auto"/>
            </w:tcBorders>
            <w:shd w:val="clear" w:color="auto" w:fill="auto"/>
            <w:vAlign w:val="center"/>
            <w:hideMark/>
          </w:tcPr>
          <w:p w14:paraId="77AEA0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None.</w:t>
            </w:r>
          </w:p>
        </w:tc>
        <w:tc>
          <w:tcPr>
            <w:tcW w:w="793" w:type="pct"/>
            <w:tcBorders>
              <w:top w:val="nil"/>
              <w:left w:val="nil"/>
              <w:bottom w:val="nil"/>
              <w:right w:val="single" w:sz="8" w:space="0" w:color="auto"/>
            </w:tcBorders>
            <w:shd w:val="clear" w:color="auto" w:fill="auto"/>
            <w:vAlign w:val="center"/>
            <w:hideMark/>
          </w:tcPr>
          <w:p w14:paraId="014FD09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limitations of ICD-9 coding use, no duke criteria, and readmissions/transfers.</w:t>
            </w:r>
          </w:p>
        </w:tc>
      </w:tr>
      <w:tr w:rsidR="00CC06B3" w:rsidRPr="00CC06B3" w14:paraId="17ABB8FE"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6B5F163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2017 update</w:t>
            </w:r>
          </w:p>
        </w:tc>
        <w:tc>
          <w:tcPr>
            <w:tcW w:w="1035" w:type="pct"/>
            <w:tcBorders>
              <w:top w:val="nil"/>
              <w:left w:val="nil"/>
              <w:bottom w:val="nil"/>
              <w:right w:val="single" w:sz="8" w:space="0" w:color="auto"/>
            </w:tcBorders>
            <w:shd w:val="clear" w:color="auto" w:fill="auto"/>
            <w:vAlign w:val="center"/>
            <w:hideMark/>
          </w:tcPr>
          <w:p w14:paraId="39E42B6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3840 hospitalisations of children &lt;20yrs.</w:t>
            </w:r>
          </w:p>
        </w:tc>
        <w:tc>
          <w:tcPr>
            <w:tcW w:w="798" w:type="pct"/>
            <w:tcBorders>
              <w:top w:val="nil"/>
              <w:left w:val="nil"/>
              <w:bottom w:val="nil"/>
              <w:right w:val="single" w:sz="8" w:space="0" w:color="auto"/>
            </w:tcBorders>
            <w:shd w:val="clear" w:color="auto" w:fill="auto"/>
            <w:vAlign w:val="center"/>
            <w:hideMark/>
          </w:tcPr>
          <w:p w14:paraId="0161C5C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30% of cases culture negative.</w:t>
            </w:r>
          </w:p>
        </w:tc>
        <w:tc>
          <w:tcPr>
            <w:tcW w:w="1056" w:type="pct"/>
            <w:tcBorders>
              <w:top w:val="nil"/>
              <w:left w:val="nil"/>
              <w:bottom w:val="nil"/>
              <w:right w:val="single" w:sz="8" w:space="0" w:color="auto"/>
            </w:tcBorders>
            <w:shd w:val="clear" w:color="auto" w:fill="auto"/>
            <w:vAlign w:val="center"/>
            <w:hideMark/>
          </w:tcPr>
          <w:p w14:paraId="1EEDB9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421.X</w:t>
            </w:r>
          </w:p>
        </w:tc>
        <w:tc>
          <w:tcPr>
            <w:tcW w:w="845" w:type="pct"/>
            <w:tcBorders>
              <w:top w:val="nil"/>
              <w:left w:val="nil"/>
              <w:bottom w:val="nil"/>
              <w:right w:val="single" w:sz="8" w:space="0" w:color="auto"/>
            </w:tcBorders>
            <w:shd w:val="clear" w:color="auto" w:fill="auto"/>
            <w:vAlign w:val="center"/>
            <w:hideMark/>
          </w:tcPr>
          <w:p w14:paraId="20E45CF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Covered in discussion</w:t>
            </w:r>
          </w:p>
        </w:tc>
        <w:tc>
          <w:tcPr>
            <w:tcW w:w="793" w:type="pct"/>
            <w:tcBorders>
              <w:top w:val="nil"/>
              <w:left w:val="nil"/>
              <w:bottom w:val="nil"/>
              <w:right w:val="single" w:sz="8" w:space="0" w:color="auto"/>
            </w:tcBorders>
            <w:shd w:val="clear" w:color="auto" w:fill="auto"/>
            <w:vAlign w:val="center"/>
            <w:hideMark/>
          </w:tcPr>
          <w:p w14:paraId="73D0431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86FF726" w14:textId="77777777" w:rsidTr="00CC06B3">
        <w:trPr>
          <w:trHeight w:val="2100"/>
        </w:trPr>
        <w:tc>
          <w:tcPr>
            <w:tcW w:w="473" w:type="pct"/>
            <w:tcBorders>
              <w:top w:val="nil"/>
              <w:left w:val="single" w:sz="8" w:space="0" w:color="auto"/>
              <w:bottom w:val="nil"/>
              <w:right w:val="single" w:sz="8" w:space="0" w:color="auto"/>
            </w:tcBorders>
            <w:shd w:val="clear" w:color="auto" w:fill="auto"/>
            <w:hideMark/>
          </w:tcPr>
          <w:p w14:paraId="31E4B77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2E5F76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1F54A22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Staphylococcal 43% Streptococcal 40%. Among culture-positive patients, increased proportion of Streptococcal cases ie, decrease in staphylococcal ie.</w:t>
            </w:r>
          </w:p>
        </w:tc>
        <w:tc>
          <w:tcPr>
            <w:tcW w:w="1056" w:type="pct"/>
            <w:tcBorders>
              <w:top w:val="nil"/>
              <w:left w:val="nil"/>
              <w:bottom w:val="nil"/>
              <w:right w:val="single" w:sz="8" w:space="0" w:color="auto"/>
            </w:tcBorders>
            <w:shd w:val="clear" w:color="auto" w:fill="auto"/>
            <w:vAlign w:val="center"/>
            <w:hideMark/>
          </w:tcPr>
          <w:p w14:paraId="0CDE316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 09884, 03642, 11281, 11504 11514 11594 ***</w:t>
            </w:r>
          </w:p>
        </w:tc>
        <w:tc>
          <w:tcPr>
            <w:tcW w:w="845" w:type="pct"/>
            <w:tcBorders>
              <w:top w:val="nil"/>
              <w:left w:val="nil"/>
              <w:bottom w:val="nil"/>
              <w:right w:val="single" w:sz="8" w:space="0" w:color="auto"/>
            </w:tcBorders>
            <w:shd w:val="clear" w:color="auto" w:fill="auto"/>
            <w:hideMark/>
          </w:tcPr>
          <w:p w14:paraId="4318FCF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0ADD9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243F235" w14:textId="77777777" w:rsidTr="00CC06B3">
        <w:trPr>
          <w:trHeight w:val="300"/>
        </w:trPr>
        <w:tc>
          <w:tcPr>
            <w:tcW w:w="473" w:type="pct"/>
            <w:tcBorders>
              <w:top w:val="nil"/>
              <w:left w:val="single" w:sz="8" w:space="0" w:color="auto"/>
              <w:bottom w:val="nil"/>
              <w:right w:val="single" w:sz="8" w:space="0" w:color="auto"/>
            </w:tcBorders>
            <w:shd w:val="clear" w:color="auto" w:fill="auto"/>
            <w:hideMark/>
          </w:tcPr>
          <w:p w14:paraId="1A6921B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hideMark/>
          </w:tcPr>
          <w:p w14:paraId="4E3ED95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hideMark/>
          </w:tcPr>
          <w:p w14:paraId="5C25E95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357510D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hideMark/>
          </w:tcPr>
          <w:p w14:paraId="67149D7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1CEAAEE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6F234D8"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hideMark/>
          </w:tcPr>
          <w:p w14:paraId="33AFE0D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7D51DFF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4908E4B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753BE58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hideMark/>
          </w:tcPr>
          <w:p w14:paraId="15E12E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7ACA88E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9672108" w14:textId="77777777" w:rsidTr="00CC06B3">
        <w:trPr>
          <w:trHeight w:val="1800"/>
        </w:trPr>
        <w:tc>
          <w:tcPr>
            <w:tcW w:w="473" w:type="pct"/>
            <w:tcBorders>
              <w:top w:val="nil"/>
              <w:left w:val="single" w:sz="8" w:space="0" w:color="auto"/>
              <w:bottom w:val="nil"/>
              <w:right w:val="single" w:sz="8" w:space="0" w:color="auto"/>
            </w:tcBorders>
            <w:shd w:val="clear" w:color="auto" w:fill="auto"/>
            <w:vAlign w:val="center"/>
            <w:hideMark/>
          </w:tcPr>
          <w:p w14:paraId="54E22E4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Pasquali</w:t>
            </w:r>
            <w:r w:rsidRPr="00CC06B3">
              <w:rPr>
                <w:rFonts w:ascii="Calibri" w:eastAsia="Times New Roman" w:hAnsi="Calibri" w:cs="Times New Roman"/>
                <w:color w:val="000000"/>
                <w:vertAlign w:val="superscript"/>
                <w:lang w:val="en-US"/>
              </w:rPr>
              <w:t>30</w:t>
            </w:r>
            <w:r w:rsidRPr="00CC06B3">
              <w:rPr>
                <w:rFonts w:ascii="Calibri" w:eastAsia="Times New Roman" w:hAnsi="Calibri" w:cs="Times New Roman"/>
                <w:color w:val="000000"/>
                <w:lang w:val="en-US"/>
              </w:rPr>
              <w:t xml:space="preserve"> 2012</w:t>
            </w:r>
          </w:p>
        </w:tc>
        <w:tc>
          <w:tcPr>
            <w:tcW w:w="1035" w:type="pct"/>
            <w:tcBorders>
              <w:top w:val="nil"/>
              <w:left w:val="nil"/>
              <w:bottom w:val="nil"/>
              <w:right w:val="single" w:sz="8" w:space="0" w:color="auto"/>
            </w:tcBorders>
            <w:shd w:val="clear" w:color="auto" w:fill="auto"/>
            <w:vAlign w:val="center"/>
            <w:hideMark/>
          </w:tcPr>
          <w:p w14:paraId="0416B5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1157 infective endocarditis cases in Children &lt;18yrs 2003-2010 at 37 centres in Paediatric Health Information Systems Database  USA</w:t>
            </w:r>
          </w:p>
        </w:tc>
        <w:tc>
          <w:tcPr>
            <w:tcW w:w="798" w:type="pct"/>
            <w:tcBorders>
              <w:top w:val="nil"/>
              <w:left w:val="nil"/>
              <w:bottom w:val="nil"/>
              <w:right w:val="single" w:sz="8" w:space="0" w:color="auto"/>
            </w:tcBorders>
            <w:shd w:val="clear" w:color="auto" w:fill="auto"/>
            <w:vAlign w:val="center"/>
            <w:hideMark/>
          </w:tcPr>
          <w:p w14:paraId="76375FA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Raw number of cases did not change over time. Indexing to number of hospital admissions showed decline in admissions. No population comparison.</w:t>
            </w:r>
          </w:p>
        </w:tc>
        <w:tc>
          <w:tcPr>
            <w:tcW w:w="1056" w:type="pct"/>
            <w:tcBorders>
              <w:top w:val="nil"/>
              <w:left w:val="nil"/>
              <w:bottom w:val="nil"/>
              <w:right w:val="single" w:sz="8" w:space="0" w:color="auto"/>
            </w:tcBorders>
            <w:shd w:val="clear" w:color="auto" w:fill="auto"/>
            <w:vAlign w:val="center"/>
            <w:hideMark/>
          </w:tcPr>
          <w:p w14:paraId="455DB1C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4210 in any position plus 7 days of antibiotics within 7 days of admission.</w:t>
            </w:r>
          </w:p>
        </w:tc>
        <w:tc>
          <w:tcPr>
            <w:tcW w:w="845" w:type="pct"/>
            <w:tcBorders>
              <w:top w:val="nil"/>
              <w:left w:val="nil"/>
              <w:bottom w:val="nil"/>
              <w:right w:val="single" w:sz="8" w:space="0" w:color="auto"/>
            </w:tcBorders>
            <w:shd w:val="clear" w:color="auto" w:fill="auto"/>
            <w:vAlign w:val="center"/>
            <w:hideMark/>
          </w:tcPr>
          <w:p w14:paraId="367B1CC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 (index) hospitalization included</w:t>
            </w:r>
          </w:p>
        </w:tc>
        <w:tc>
          <w:tcPr>
            <w:tcW w:w="793" w:type="pct"/>
            <w:tcBorders>
              <w:top w:val="nil"/>
              <w:left w:val="nil"/>
              <w:bottom w:val="nil"/>
              <w:right w:val="single" w:sz="8" w:space="0" w:color="auto"/>
            </w:tcBorders>
            <w:shd w:val="clear" w:color="auto" w:fill="auto"/>
            <w:vAlign w:val="center"/>
            <w:hideMark/>
          </w:tcPr>
          <w:p w14:paraId="2C0AE7B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w:t>
            </w:r>
          </w:p>
        </w:tc>
      </w:tr>
      <w:tr w:rsidR="00CC06B3" w:rsidRPr="00CC06B3" w14:paraId="7D2FD492"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446AFE6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7AFA99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0909C15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564B55B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oral streptococcal species (ICD-9 codes 038.0, 038.3, 041.00, 041.03, 041.05, 041.09)</w:t>
            </w:r>
          </w:p>
        </w:tc>
        <w:tc>
          <w:tcPr>
            <w:tcW w:w="845" w:type="pct"/>
            <w:tcBorders>
              <w:top w:val="nil"/>
              <w:left w:val="nil"/>
              <w:bottom w:val="nil"/>
              <w:right w:val="single" w:sz="8" w:space="0" w:color="auto"/>
            </w:tcBorders>
            <w:shd w:val="clear" w:color="auto" w:fill="auto"/>
            <w:vAlign w:val="center"/>
            <w:hideMark/>
          </w:tcPr>
          <w:p w14:paraId="232413E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A1CC7F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F2A9B7E" w14:textId="77777777" w:rsidTr="00CC06B3">
        <w:trPr>
          <w:trHeight w:val="21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2EFAEBB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6B30822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3EFDC30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282F812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Those with codes for Group A, B, or D streptococcus, pneumococcus, or staphylococcus species were excluded from this classification</w:t>
            </w:r>
          </w:p>
        </w:tc>
        <w:tc>
          <w:tcPr>
            <w:tcW w:w="845" w:type="pct"/>
            <w:tcBorders>
              <w:top w:val="nil"/>
              <w:left w:val="nil"/>
              <w:bottom w:val="single" w:sz="8" w:space="0" w:color="auto"/>
              <w:right w:val="single" w:sz="8" w:space="0" w:color="auto"/>
            </w:tcBorders>
            <w:shd w:val="clear" w:color="auto" w:fill="auto"/>
            <w:vAlign w:val="center"/>
            <w:hideMark/>
          </w:tcPr>
          <w:p w14:paraId="417A124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031B08B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E8AB15F" w14:textId="77777777" w:rsidTr="00CC06B3">
        <w:trPr>
          <w:trHeight w:val="8192"/>
        </w:trPr>
        <w:tc>
          <w:tcPr>
            <w:tcW w:w="473" w:type="pct"/>
            <w:tcBorders>
              <w:top w:val="nil"/>
              <w:left w:val="single" w:sz="8" w:space="0" w:color="auto"/>
              <w:bottom w:val="nil"/>
              <w:right w:val="single" w:sz="8" w:space="0" w:color="auto"/>
            </w:tcBorders>
            <w:shd w:val="clear" w:color="auto" w:fill="auto"/>
            <w:vAlign w:val="center"/>
            <w:hideMark/>
          </w:tcPr>
          <w:p w14:paraId="609BF50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Thornhill</w:t>
            </w:r>
            <w:r w:rsidRPr="00CC06B3">
              <w:rPr>
                <w:rFonts w:ascii="Calibri" w:eastAsia="Times New Roman" w:hAnsi="Calibri" w:cs="Times New Roman"/>
                <w:color w:val="000000"/>
                <w:vertAlign w:val="superscript"/>
                <w:lang w:val="en-US"/>
              </w:rPr>
              <w:t>31</w:t>
            </w:r>
            <w:r w:rsidRPr="00CC06B3">
              <w:rPr>
                <w:rFonts w:ascii="Calibri" w:eastAsia="Times New Roman" w:hAnsi="Calibri" w:cs="Times New Roman"/>
                <w:color w:val="000000"/>
                <w:lang w:val="en-US"/>
              </w:rPr>
              <w:t xml:space="preserve"> 2018</w:t>
            </w:r>
          </w:p>
        </w:tc>
        <w:tc>
          <w:tcPr>
            <w:tcW w:w="1035" w:type="pct"/>
            <w:tcBorders>
              <w:top w:val="nil"/>
              <w:left w:val="nil"/>
              <w:bottom w:val="nil"/>
              <w:right w:val="single" w:sz="8" w:space="0" w:color="auto"/>
            </w:tcBorders>
            <w:shd w:val="clear" w:color="auto" w:fill="auto"/>
            <w:vAlign w:val="center"/>
            <w:hideMark/>
          </w:tcPr>
          <w:p w14:paraId="5A1436F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Marketscan US healthcare insurance database (Medicare and Medicaid) 240 million individuals Jan2000-Aug2015</w:t>
            </w:r>
          </w:p>
        </w:tc>
        <w:tc>
          <w:tcPr>
            <w:tcW w:w="798" w:type="pct"/>
            <w:tcBorders>
              <w:top w:val="nil"/>
              <w:left w:val="nil"/>
              <w:bottom w:val="nil"/>
              <w:right w:val="single" w:sz="8" w:space="0" w:color="auto"/>
            </w:tcBorders>
            <w:shd w:val="clear" w:color="auto" w:fill="auto"/>
            <w:vAlign w:val="center"/>
            <w:hideMark/>
          </w:tcPr>
          <w:p w14:paraId="548D22E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20,340 episodes of IE. Poisson regression modelling before, during and after guideline change suggested decreasing rate prior to guideline change, with subsequent continuing downward trend with reduced rate of decrease. IE cases/month/100,000  expected from pre-guideline trends 11.04, actual observed 30.57 cases/month/100,000</w:t>
            </w:r>
          </w:p>
        </w:tc>
        <w:tc>
          <w:tcPr>
            <w:tcW w:w="1056" w:type="pct"/>
            <w:tcBorders>
              <w:top w:val="nil"/>
              <w:left w:val="nil"/>
              <w:bottom w:val="nil"/>
              <w:right w:val="single" w:sz="8" w:space="0" w:color="auto"/>
            </w:tcBorders>
            <w:shd w:val="clear" w:color="auto" w:fill="auto"/>
            <w:vAlign w:val="center"/>
            <w:hideMark/>
          </w:tcPr>
          <w:p w14:paraId="4581DAB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ICD-9 code 421.0, 421.1, or 421.9, primary or secondary discharge diagnoses </w:t>
            </w:r>
          </w:p>
        </w:tc>
        <w:tc>
          <w:tcPr>
            <w:tcW w:w="845" w:type="pct"/>
            <w:tcBorders>
              <w:top w:val="nil"/>
              <w:left w:val="nil"/>
              <w:bottom w:val="nil"/>
              <w:right w:val="single" w:sz="8" w:space="0" w:color="auto"/>
            </w:tcBorders>
            <w:shd w:val="clear" w:color="auto" w:fill="auto"/>
            <w:vAlign w:val="center"/>
            <w:hideMark/>
          </w:tcPr>
          <w:p w14:paraId="21B007D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Continuous episodes counted once as per Thornhill 2011</w:t>
            </w:r>
            <w:r w:rsidRPr="00CC06B3">
              <w:rPr>
                <w:rFonts w:ascii="Calibri" w:eastAsia="Times New Roman" w:hAnsi="Calibri" w:cs="Times New Roman"/>
                <w:color w:val="000000"/>
                <w:vertAlign w:val="superscript"/>
                <w:lang w:val="en-US"/>
              </w:rPr>
              <w:t>32</w:t>
            </w:r>
            <w:r w:rsidRPr="00CC06B3">
              <w:rPr>
                <w:rFonts w:ascii="Calibri" w:eastAsia="Times New Roman" w:hAnsi="Calibri" w:cs="Times New Roman"/>
                <w:color w:val="000000"/>
                <w:lang w:val="en-US"/>
              </w:rPr>
              <w:t>. New episodes distinguished from readmissions if &gt;6 months apart as new episodes.</w:t>
            </w:r>
          </w:p>
        </w:tc>
        <w:tc>
          <w:tcPr>
            <w:tcW w:w="793" w:type="pct"/>
            <w:tcBorders>
              <w:top w:val="nil"/>
              <w:left w:val="nil"/>
              <w:bottom w:val="nil"/>
              <w:right w:val="single" w:sz="8" w:space="0" w:color="auto"/>
            </w:tcBorders>
            <w:shd w:val="clear" w:color="auto" w:fill="auto"/>
            <w:vAlign w:val="center"/>
            <w:hideMark/>
          </w:tcPr>
          <w:p w14:paraId="792A159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 done</w:t>
            </w:r>
          </w:p>
        </w:tc>
      </w:tr>
      <w:tr w:rsidR="00CC06B3" w:rsidRPr="00CC06B3" w14:paraId="5401DF1F" w14:textId="77777777" w:rsidTr="00CC06B3">
        <w:trPr>
          <w:trHeight w:val="300"/>
        </w:trPr>
        <w:tc>
          <w:tcPr>
            <w:tcW w:w="473" w:type="pct"/>
            <w:tcBorders>
              <w:top w:val="nil"/>
              <w:left w:val="single" w:sz="8" w:space="0" w:color="auto"/>
              <w:bottom w:val="nil"/>
              <w:right w:val="single" w:sz="8" w:space="0" w:color="auto"/>
            </w:tcBorders>
            <w:shd w:val="clear" w:color="auto" w:fill="auto"/>
            <w:vAlign w:val="center"/>
            <w:hideMark/>
          </w:tcPr>
          <w:p w14:paraId="09C364D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2800C2C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403D465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nil"/>
              <w:right w:val="single" w:sz="8" w:space="0" w:color="auto"/>
            </w:tcBorders>
            <w:shd w:val="clear" w:color="auto" w:fill="auto"/>
            <w:vAlign w:val="center"/>
            <w:hideMark/>
          </w:tcPr>
          <w:p w14:paraId="09C0C06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vAlign w:val="center"/>
            <w:hideMark/>
          </w:tcPr>
          <w:p w14:paraId="42A2748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6D5E417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A190B38"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66D99C5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454F03D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0353AB0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3BD4BD1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6B666F1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53C00F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5724C28" w14:textId="77777777" w:rsidTr="00CC06B3">
        <w:trPr>
          <w:trHeight w:val="878"/>
        </w:trPr>
        <w:tc>
          <w:tcPr>
            <w:tcW w:w="5000" w:type="pct"/>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14:paraId="7DD026E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Assessments of coding accuracy</w:t>
            </w:r>
          </w:p>
        </w:tc>
      </w:tr>
      <w:tr w:rsidR="00CC06B3" w:rsidRPr="00CC06B3" w14:paraId="72B8857A"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7CE0705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Fedeli </w:t>
            </w:r>
            <w:r w:rsidRPr="00CC06B3">
              <w:rPr>
                <w:rFonts w:ascii="Calibri" w:eastAsia="Times New Roman" w:hAnsi="Calibri" w:cs="Times New Roman"/>
                <w:color w:val="000000"/>
                <w:vertAlign w:val="superscript"/>
                <w:lang w:val="en-US"/>
              </w:rPr>
              <w:t>13</w:t>
            </w:r>
            <w:r w:rsidRPr="00CC06B3">
              <w:rPr>
                <w:rFonts w:ascii="Calibri" w:eastAsia="Times New Roman" w:hAnsi="Calibri" w:cs="Times New Roman"/>
                <w:color w:val="000000"/>
                <w:lang w:val="en-US"/>
              </w:rPr>
              <w:t>2011</w:t>
            </w:r>
          </w:p>
        </w:tc>
        <w:tc>
          <w:tcPr>
            <w:tcW w:w="1035" w:type="pct"/>
            <w:tcBorders>
              <w:top w:val="nil"/>
              <w:left w:val="nil"/>
              <w:bottom w:val="nil"/>
              <w:right w:val="single" w:sz="8" w:space="0" w:color="auto"/>
            </w:tcBorders>
            <w:shd w:val="clear" w:color="auto" w:fill="auto"/>
            <w:vAlign w:val="center"/>
            <w:hideMark/>
          </w:tcPr>
          <w:p w14:paraId="4941F92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1863 subjects hospitalized for infective endocarditis in Italy Veneto region</w:t>
            </w:r>
          </w:p>
        </w:tc>
        <w:tc>
          <w:tcPr>
            <w:tcW w:w="798" w:type="pct"/>
            <w:tcBorders>
              <w:top w:val="nil"/>
              <w:left w:val="nil"/>
              <w:bottom w:val="nil"/>
              <w:right w:val="single" w:sz="8" w:space="0" w:color="auto"/>
            </w:tcBorders>
            <w:shd w:val="clear" w:color="auto" w:fill="auto"/>
            <w:vAlign w:val="center"/>
            <w:hideMark/>
          </w:tcPr>
          <w:p w14:paraId="0300B85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Increasing trend in infective endocarditis 2000-2008. Rate 4.4/100,000</w:t>
            </w:r>
          </w:p>
        </w:tc>
        <w:tc>
          <w:tcPr>
            <w:tcW w:w="1056" w:type="pct"/>
            <w:tcBorders>
              <w:top w:val="nil"/>
              <w:left w:val="nil"/>
              <w:bottom w:val="nil"/>
              <w:right w:val="single" w:sz="8" w:space="0" w:color="auto"/>
            </w:tcBorders>
            <w:shd w:val="clear" w:color="auto" w:fill="auto"/>
            <w:vAlign w:val="center"/>
            <w:hideMark/>
          </w:tcPr>
          <w:p w14:paraId="4DADCE8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421.x 98.84(gonococcal) 112.81 candidal</w:t>
            </w:r>
          </w:p>
        </w:tc>
        <w:tc>
          <w:tcPr>
            <w:tcW w:w="845" w:type="pct"/>
            <w:tcBorders>
              <w:top w:val="nil"/>
              <w:left w:val="nil"/>
              <w:bottom w:val="nil"/>
              <w:right w:val="single" w:sz="8" w:space="0" w:color="auto"/>
            </w:tcBorders>
            <w:shd w:val="clear" w:color="auto" w:fill="auto"/>
            <w:vAlign w:val="center"/>
            <w:hideMark/>
          </w:tcPr>
          <w:p w14:paraId="1FD81B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Day case excluded. Pre-2000 excluded.</w:t>
            </w:r>
          </w:p>
        </w:tc>
        <w:tc>
          <w:tcPr>
            <w:tcW w:w="793" w:type="pct"/>
            <w:tcBorders>
              <w:top w:val="nil"/>
              <w:left w:val="nil"/>
              <w:bottom w:val="nil"/>
              <w:right w:val="single" w:sz="8" w:space="0" w:color="auto"/>
            </w:tcBorders>
            <w:shd w:val="clear" w:color="auto" w:fill="auto"/>
            <w:vAlign w:val="center"/>
            <w:hideMark/>
          </w:tcPr>
          <w:p w14:paraId="409D6F0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lack of validation of ICD9 codes.</w:t>
            </w:r>
          </w:p>
        </w:tc>
      </w:tr>
      <w:tr w:rsidR="00CC06B3" w:rsidRPr="00CC06B3" w14:paraId="19388F0F" w14:textId="77777777" w:rsidTr="00CC06B3">
        <w:trPr>
          <w:trHeight w:val="42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2BE58CC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vAlign w:val="center"/>
            <w:hideMark/>
          </w:tcPr>
          <w:p w14:paraId="2056D16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Linked mortality, linked microbiological database. 502 had organism code, 106 had blood culture data.</w:t>
            </w:r>
          </w:p>
        </w:tc>
        <w:tc>
          <w:tcPr>
            <w:tcW w:w="798" w:type="pct"/>
            <w:tcBorders>
              <w:top w:val="nil"/>
              <w:left w:val="nil"/>
              <w:bottom w:val="single" w:sz="8" w:space="0" w:color="auto"/>
              <w:right w:val="single" w:sz="8" w:space="0" w:color="auto"/>
            </w:tcBorders>
            <w:shd w:val="clear" w:color="auto" w:fill="auto"/>
            <w:vAlign w:val="center"/>
            <w:hideMark/>
          </w:tcPr>
          <w:p w14:paraId="3DAC938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vAlign w:val="center"/>
            <w:hideMark/>
          </w:tcPr>
          <w:p w14:paraId="20A512A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Used 38.c or 41.x microbiological codes but rarely reported.</w:t>
            </w:r>
          </w:p>
        </w:tc>
        <w:tc>
          <w:tcPr>
            <w:tcW w:w="845" w:type="pct"/>
            <w:tcBorders>
              <w:top w:val="nil"/>
              <w:left w:val="nil"/>
              <w:bottom w:val="single" w:sz="8" w:space="0" w:color="auto"/>
              <w:right w:val="single" w:sz="8" w:space="0" w:color="auto"/>
            </w:tcBorders>
            <w:shd w:val="clear" w:color="auto" w:fill="auto"/>
            <w:vAlign w:val="center"/>
            <w:hideMark/>
          </w:tcPr>
          <w:p w14:paraId="77C8DA9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 hospitalization 2000-2008 counted.</w:t>
            </w:r>
          </w:p>
        </w:tc>
        <w:tc>
          <w:tcPr>
            <w:tcW w:w="793" w:type="pct"/>
            <w:tcBorders>
              <w:top w:val="nil"/>
              <w:left w:val="nil"/>
              <w:bottom w:val="single" w:sz="8" w:space="0" w:color="auto"/>
              <w:right w:val="single" w:sz="8" w:space="0" w:color="auto"/>
            </w:tcBorders>
            <w:shd w:val="clear" w:color="auto" w:fill="auto"/>
            <w:vAlign w:val="center"/>
            <w:hideMark/>
          </w:tcPr>
          <w:p w14:paraId="6F75E7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xml:space="preserve">Pilot investigation described in discussion: at a single Veneto hospital chart review of discharges and extraction of codes (including 421.x 98.84, 112,81, 93.2 391.1 and </w:t>
            </w:r>
            <w:r w:rsidRPr="00CC06B3">
              <w:rPr>
                <w:rFonts w:ascii="Calibri" w:eastAsia="Times New Roman" w:hAnsi="Calibri" w:cs="Times New Roman"/>
                <w:b/>
                <w:bCs/>
                <w:color w:val="000000"/>
                <w:lang w:val="en-US"/>
              </w:rPr>
              <w:t>424.9x</w:t>
            </w:r>
            <w:r w:rsidRPr="00CC06B3">
              <w:rPr>
                <w:rFonts w:ascii="Calibri" w:eastAsia="Times New Roman" w:hAnsi="Calibri" w:cs="Times New Roman"/>
                <w:color w:val="000000"/>
                <w:lang w:val="en-US"/>
              </w:rPr>
              <w:t xml:space="preserve"> </w:t>
            </w:r>
            <w:r w:rsidRPr="00CC06B3">
              <w:rPr>
                <w:rFonts w:ascii="Calibri" w:eastAsia="Times New Roman" w:hAnsi="Calibri" w:cs="Times New Roman"/>
                <w:b/>
                <w:bCs/>
                <w:color w:val="000000"/>
                <w:lang w:val="en-US"/>
              </w:rPr>
              <w:t>996.61</w:t>
            </w:r>
            <w:r w:rsidRPr="00CC06B3">
              <w:rPr>
                <w:rFonts w:ascii="Calibri" w:eastAsia="Times New Roman" w:hAnsi="Calibri" w:cs="Times New Roman"/>
                <w:color w:val="000000"/>
                <w:lang w:val="en-US"/>
              </w:rPr>
              <w:t>(T826 and T827) (note typo in the manuscript) against Duke criteria infective endocarditis. PPV 91/123 81% PPV, sensitivity 91/98 93%.</w:t>
            </w:r>
            <w:r w:rsidRPr="00CC06B3">
              <w:rPr>
                <w:rFonts w:ascii="Calibri" w:eastAsia="Times New Roman" w:hAnsi="Calibri" w:cs="Times New Roman"/>
                <w:b/>
                <w:bCs/>
                <w:color w:val="000000"/>
                <w:lang w:val="en-US"/>
              </w:rPr>
              <w:t xml:space="preserve"> </w:t>
            </w:r>
          </w:p>
        </w:tc>
      </w:tr>
      <w:tr w:rsidR="00CC06B3" w:rsidRPr="00CC06B3" w14:paraId="5B9595F7"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29D4EA9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Schneeweiss</w:t>
            </w:r>
            <w:r w:rsidRPr="00CC06B3">
              <w:rPr>
                <w:rFonts w:ascii="Calibri" w:eastAsia="Times New Roman" w:hAnsi="Calibri" w:cs="Times New Roman"/>
                <w:color w:val="000000"/>
                <w:vertAlign w:val="superscript"/>
                <w:lang w:val="en-US"/>
              </w:rPr>
              <w:t>33</w:t>
            </w:r>
            <w:r w:rsidRPr="00CC06B3">
              <w:rPr>
                <w:rFonts w:ascii="Calibri" w:eastAsia="Times New Roman" w:hAnsi="Calibri" w:cs="Times New Roman"/>
                <w:color w:val="000000"/>
                <w:lang w:val="en-US"/>
              </w:rPr>
              <w:t xml:space="preserve"> 2007</w:t>
            </w:r>
          </w:p>
        </w:tc>
        <w:tc>
          <w:tcPr>
            <w:tcW w:w="1035" w:type="pct"/>
            <w:tcBorders>
              <w:top w:val="nil"/>
              <w:left w:val="nil"/>
              <w:bottom w:val="nil"/>
              <w:right w:val="single" w:sz="8" w:space="0" w:color="auto"/>
            </w:tcBorders>
            <w:shd w:val="clear" w:color="auto" w:fill="auto"/>
            <w:vAlign w:val="center"/>
            <w:hideMark/>
          </w:tcPr>
          <w:p w14:paraId="6837BEC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Overall accuracy of bacterial infection coding, 127 patients with coded infections selected for review</w:t>
            </w:r>
          </w:p>
        </w:tc>
        <w:tc>
          <w:tcPr>
            <w:tcW w:w="798" w:type="pct"/>
            <w:tcBorders>
              <w:top w:val="nil"/>
              <w:left w:val="nil"/>
              <w:bottom w:val="nil"/>
              <w:right w:val="single" w:sz="8" w:space="0" w:color="auto"/>
            </w:tcBorders>
            <w:shd w:val="clear" w:color="auto" w:fill="auto"/>
            <w:vAlign w:val="center"/>
            <w:hideMark/>
          </w:tcPr>
          <w:p w14:paraId="3D9DB22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Overall specific PPV 80%/infection generally 90%</w:t>
            </w:r>
          </w:p>
        </w:tc>
        <w:tc>
          <w:tcPr>
            <w:tcW w:w="1056" w:type="pct"/>
            <w:tcBorders>
              <w:top w:val="nil"/>
              <w:left w:val="nil"/>
              <w:bottom w:val="nil"/>
              <w:right w:val="single" w:sz="8" w:space="0" w:color="auto"/>
            </w:tcBorders>
            <w:shd w:val="clear" w:color="auto" w:fill="auto"/>
            <w:vAlign w:val="center"/>
            <w:hideMark/>
          </w:tcPr>
          <w:p w14:paraId="65C94DCC"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421.x used</w:t>
            </w:r>
          </w:p>
        </w:tc>
        <w:tc>
          <w:tcPr>
            <w:tcW w:w="845" w:type="pct"/>
            <w:tcBorders>
              <w:top w:val="nil"/>
              <w:left w:val="nil"/>
              <w:bottom w:val="nil"/>
              <w:right w:val="single" w:sz="8" w:space="0" w:color="auto"/>
            </w:tcBorders>
            <w:shd w:val="clear" w:color="auto" w:fill="auto"/>
            <w:vAlign w:val="center"/>
            <w:hideMark/>
          </w:tcPr>
          <w:p w14:paraId="76BA891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NA</w:t>
            </w:r>
          </w:p>
        </w:tc>
        <w:tc>
          <w:tcPr>
            <w:tcW w:w="793" w:type="pct"/>
            <w:tcBorders>
              <w:top w:val="nil"/>
              <w:left w:val="nil"/>
              <w:bottom w:val="nil"/>
              <w:right w:val="single" w:sz="8" w:space="0" w:color="auto"/>
            </w:tcBorders>
            <w:shd w:val="clear" w:color="auto" w:fill="auto"/>
            <w:vAlign w:val="center"/>
            <w:hideMark/>
          </w:tcPr>
          <w:p w14:paraId="6D29119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NA</w:t>
            </w:r>
          </w:p>
        </w:tc>
      </w:tr>
      <w:tr w:rsidR="00CC06B3" w:rsidRPr="00CC06B3" w14:paraId="79AEA4A1"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14A70E2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67D6DDC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nil"/>
              <w:right w:val="single" w:sz="8" w:space="0" w:color="auto"/>
            </w:tcBorders>
            <w:shd w:val="clear" w:color="auto" w:fill="auto"/>
            <w:vAlign w:val="center"/>
            <w:hideMark/>
          </w:tcPr>
          <w:p w14:paraId="390840C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Endocarditis: 14/19 were true, with PPV 74%</w:t>
            </w:r>
          </w:p>
        </w:tc>
        <w:tc>
          <w:tcPr>
            <w:tcW w:w="1056" w:type="pct"/>
            <w:tcBorders>
              <w:top w:val="nil"/>
              <w:left w:val="nil"/>
              <w:bottom w:val="nil"/>
              <w:right w:val="single" w:sz="8" w:space="0" w:color="auto"/>
            </w:tcBorders>
            <w:shd w:val="clear" w:color="auto" w:fill="auto"/>
            <w:vAlign w:val="center"/>
            <w:hideMark/>
          </w:tcPr>
          <w:p w14:paraId="0CA96EA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Considered and excluded 036.42, 093.2x 098.84, 391.1, 397.9, 421.0 421.9 422.92</w:t>
            </w:r>
          </w:p>
        </w:tc>
        <w:tc>
          <w:tcPr>
            <w:tcW w:w="845" w:type="pct"/>
            <w:tcBorders>
              <w:top w:val="nil"/>
              <w:left w:val="nil"/>
              <w:bottom w:val="nil"/>
              <w:right w:val="single" w:sz="8" w:space="0" w:color="auto"/>
            </w:tcBorders>
            <w:shd w:val="clear" w:color="auto" w:fill="auto"/>
            <w:vAlign w:val="center"/>
            <w:hideMark/>
          </w:tcPr>
          <w:p w14:paraId="5B05DEA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0B3B36B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CF87763" w14:textId="77777777" w:rsidTr="00CC06B3">
        <w:trPr>
          <w:trHeight w:val="3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3BEE9D6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single" w:sz="8" w:space="0" w:color="auto"/>
              <w:right w:val="single" w:sz="8" w:space="0" w:color="auto"/>
            </w:tcBorders>
            <w:shd w:val="clear" w:color="auto" w:fill="auto"/>
            <w:vAlign w:val="center"/>
            <w:hideMark/>
          </w:tcPr>
          <w:p w14:paraId="4C18C43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hideMark/>
          </w:tcPr>
          <w:p w14:paraId="6D2B74D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56" w:type="pct"/>
            <w:tcBorders>
              <w:top w:val="nil"/>
              <w:left w:val="nil"/>
              <w:bottom w:val="single" w:sz="8" w:space="0" w:color="auto"/>
              <w:right w:val="single" w:sz="8" w:space="0" w:color="auto"/>
            </w:tcBorders>
            <w:shd w:val="clear" w:color="auto" w:fill="auto"/>
            <w:hideMark/>
          </w:tcPr>
          <w:p w14:paraId="372E9BF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vAlign w:val="center"/>
            <w:hideMark/>
          </w:tcPr>
          <w:p w14:paraId="1223668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7320D0D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CDDE6D4"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7308DC1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Sunder</w:t>
            </w:r>
            <w:r w:rsidRPr="00CC06B3">
              <w:rPr>
                <w:rFonts w:ascii="Calibri" w:eastAsia="Times New Roman" w:hAnsi="Calibri" w:cs="Times New Roman"/>
                <w:color w:val="000000"/>
                <w:vertAlign w:val="superscript"/>
                <w:lang w:val="en-US"/>
              </w:rPr>
              <w:t>34</w:t>
            </w:r>
            <w:r w:rsidRPr="00CC06B3">
              <w:rPr>
                <w:rFonts w:ascii="Calibri" w:eastAsia="Times New Roman" w:hAnsi="Calibri" w:cs="Times New Roman"/>
                <w:color w:val="000000"/>
                <w:lang w:val="en-US"/>
              </w:rPr>
              <w:t xml:space="preserve"> 2015</w:t>
            </w:r>
          </w:p>
        </w:tc>
        <w:tc>
          <w:tcPr>
            <w:tcW w:w="1035" w:type="pct"/>
            <w:tcBorders>
              <w:top w:val="nil"/>
              <w:left w:val="nil"/>
              <w:bottom w:val="nil"/>
              <w:right w:val="single" w:sz="8" w:space="0" w:color="auto"/>
            </w:tcBorders>
            <w:shd w:val="clear" w:color="auto" w:fill="auto"/>
            <w:vAlign w:val="center"/>
            <w:hideMark/>
          </w:tcPr>
          <w:p w14:paraId="35F14BD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French Regional Hospital Discharge Database (part of French Hospital Discharge Database) 2007-2009 2.53 million inhabitants.</w:t>
            </w:r>
          </w:p>
        </w:tc>
        <w:tc>
          <w:tcPr>
            <w:tcW w:w="798" w:type="pct"/>
            <w:tcBorders>
              <w:top w:val="nil"/>
              <w:left w:val="nil"/>
              <w:bottom w:val="nil"/>
              <w:right w:val="single" w:sz="8" w:space="0" w:color="auto"/>
            </w:tcBorders>
            <w:shd w:val="clear" w:color="auto" w:fill="auto"/>
            <w:vAlign w:val="center"/>
            <w:hideMark/>
          </w:tcPr>
          <w:p w14:paraId="04F7EC3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w:t>
            </w:r>
          </w:p>
        </w:tc>
        <w:tc>
          <w:tcPr>
            <w:tcW w:w="1056" w:type="pct"/>
            <w:tcBorders>
              <w:top w:val="nil"/>
              <w:left w:val="nil"/>
              <w:bottom w:val="nil"/>
              <w:right w:val="single" w:sz="8" w:space="0" w:color="auto"/>
            </w:tcBorders>
            <w:shd w:val="clear" w:color="auto" w:fill="auto"/>
            <w:vAlign w:val="center"/>
            <w:hideMark/>
          </w:tcPr>
          <w:p w14:paraId="362D19A0"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Any position:</w:t>
            </w:r>
          </w:p>
        </w:tc>
        <w:tc>
          <w:tcPr>
            <w:tcW w:w="845" w:type="pct"/>
            <w:tcBorders>
              <w:top w:val="nil"/>
              <w:left w:val="nil"/>
              <w:bottom w:val="nil"/>
              <w:right w:val="single" w:sz="8" w:space="0" w:color="auto"/>
            </w:tcBorders>
            <w:shd w:val="clear" w:color="auto" w:fill="auto"/>
            <w:vAlign w:val="center"/>
            <w:hideMark/>
          </w:tcPr>
          <w:p w14:paraId="7B3CD25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Ambulatory stays &lt;24hrs excluded</w:t>
            </w:r>
          </w:p>
        </w:tc>
        <w:tc>
          <w:tcPr>
            <w:tcW w:w="793" w:type="pct"/>
            <w:tcBorders>
              <w:top w:val="nil"/>
              <w:left w:val="nil"/>
              <w:bottom w:val="nil"/>
              <w:right w:val="single" w:sz="8" w:space="0" w:color="auto"/>
            </w:tcBorders>
            <w:shd w:val="clear" w:color="auto" w:fill="auto"/>
            <w:vAlign w:val="center"/>
            <w:hideMark/>
          </w:tcPr>
          <w:p w14:paraId="675E047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72C085B4" w14:textId="77777777" w:rsidTr="00CC06B3">
        <w:trPr>
          <w:trHeight w:val="1200"/>
        </w:trPr>
        <w:tc>
          <w:tcPr>
            <w:tcW w:w="473" w:type="pct"/>
            <w:tcBorders>
              <w:top w:val="nil"/>
              <w:left w:val="single" w:sz="8" w:space="0" w:color="auto"/>
              <w:bottom w:val="nil"/>
              <w:right w:val="single" w:sz="8" w:space="0" w:color="auto"/>
            </w:tcBorders>
            <w:shd w:val="clear" w:color="auto" w:fill="auto"/>
            <w:vAlign w:val="center"/>
            <w:hideMark/>
          </w:tcPr>
          <w:p w14:paraId="07ED233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2F6BCFE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First:</w:t>
            </w:r>
          </w:p>
        </w:tc>
        <w:tc>
          <w:tcPr>
            <w:tcW w:w="798" w:type="pct"/>
            <w:tcBorders>
              <w:top w:val="nil"/>
              <w:left w:val="nil"/>
              <w:bottom w:val="nil"/>
              <w:right w:val="single" w:sz="8" w:space="0" w:color="auto"/>
            </w:tcBorders>
            <w:shd w:val="clear" w:color="auto" w:fill="auto"/>
            <w:vAlign w:val="center"/>
            <w:hideMark/>
          </w:tcPr>
          <w:p w14:paraId="561417E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PPV 87.4% 128/173 definite, 44 possible 1 insufficient data.</w:t>
            </w:r>
          </w:p>
        </w:tc>
        <w:tc>
          <w:tcPr>
            <w:tcW w:w="1056" w:type="pct"/>
            <w:tcBorders>
              <w:top w:val="nil"/>
              <w:left w:val="nil"/>
              <w:bottom w:val="nil"/>
              <w:right w:val="single" w:sz="8" w:space="0" w:color="auto"/>
            </w:tcBorders>
            <w:shd w:val="clear" w:color="auto" w:fill="auto"/>
            <w:vAlign w:val="center"/>
            <w:hideMark/>
          </w:tcPr>
          <w:p w14:paraId="5BE6C9B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I33 I38 I39 T826</w:t>
            </w:r>
          </w:p>
        </w:tc>
        <w:tc>
          <w:tcPr>
            <w:tcW w:w="845" w:type="pct"/>
            <w:tcBorders>
              <w:top w:val="nil"/>
              <w:left w:val="nil"/>
              <w:bottom w:val="nil"/>
              <w:right w:val="single" w:sz="8" w:space="0" w:color="auto"/>
            </w:tcBorders>
            <w:shd w:val="clear" w:color="auto" w:fill="auto"/>
            <w:vAlign w:val="center"/>
            <w:hideMark/>
          </w:tcPr>
          <w:p w14:paraId="3FD583E4"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One episode per patient (justified as 2 year study, assumed same infective endocarditis)</w:t>
            </w:r>
          </w:p>
        </w:tc>
        <w:tc>
          <w:tcPr>
            <w:tcW w:w="793" w:type="pct"/>
            <w:tcBorders>
              <w:top w:val="nil"/>
              <w:left w:val="nil"/>
              <w:bottom w:val="nil"/>
              <w:right w:val="single" w:sz="8" w:space="0" w:color="auto"/>
            </w:tcBorders>
            <w:shd w:val="clear" w:color="auto" w:fill="auto"/>
            <w:vAlign w:val="center"/>
            <w:hideMark/>
          </w:tcPr>
          <w:p w14:paraId="7D3198D1"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03A5198F"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5ED64D4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E5FF64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243 stays 198 patients randomly selected and reviewed by ID specialist.</w:t>
            </w:r>
          </w:p>
        </w:tc>
        <w:tc>
          <w:tcPr>
            <w:tcW w:w="798" w:type="pct"/>
            <w:tcBorders>
              <w:top w:val="nil"/>
              <w:left w:val="nil"/>
              <w:bottom w:val="nil"/>
              <w:right w:val="single" w:sz="8" w:space="0" w:color="auto"/>
            </w:tcBorders>
            <w:shd w:val="clear" w:color="auto" w:fill="auto"/>
            <w:vAlign w:val="center"/>
            <w:hideMark/>
          </w:tcPr>
          <w:p w14:paraId="22791A2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Second:</w:t>
            </w:r>
          </w:p>
        </w:tc>
        <w:tc>
          <w:tcPr>
            <w:tcW w:w="1056" w:type="pct"/>
            <w:tcBorders>
              <w:top w:val="nil"/>
              <w:left w:val="nil"/>
              <w:bottom w:val="nil"/>
              <w:right w:val="single" w:sz="8" w:space="0" w:color="auto"/>
            </w:tcBorders>
            <w:shd w:val="clear" w:color="auto" w:fill="auto"/>
            <w:vAlign w:val="center"/>
            <w:hideMark/>
          </w:tcPr>
          <w:p w14:paraId="1AED21C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Extensive codes see appendix**</w:t>
            </w:r>
          </w:p>
        </w:tc>
        <w:tc>
          <w:tcPr>
            <w:tcW w:w="845" w:type="pct"/>
            <w:tcBorders>
              <w:top w:val="nil"/>
              <w:left w:val="nil"/>
              <w:bottom w:val="nil"/>
              <w:right w:val="single" w:sz="8" w:space="0" w:color="auto"/>
            </w:tcBorders>
            <w:shd w:val="clear" w:color="auto" w:fill="auto"/>
            <w:hideMark/>
          </w:tcPr>
          <w:p w14:paraId="1634F6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08D8E3B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B8CD7AD" w14:textId="77777777" w:rsidTr="00CC06B3">
        <w:trPr>
          <w:trHeight w:val="3600"/>
        </w:trPr>
        <w:tc>
          <w:tcPr>
            <w:tcW w:w="473" w:type="pct"/>
            <w:tcBorders>
              <w:top w:val="nil"/>
              <w:left w:val="single" w:sz="8" w:space="0" w:color="auto"/>
              <w:bottom w:val="nil"/>
              <w:right w:val="single" w:sz="8" w:space="0" w:color="auto"/>
            </w:tcBorders>
            <w:shd w:val="clear" w:color="auto" w:fill="auto"/>
            <w:vAlign w:val="center"/>
            <w:hideMark/>
          </w:tcPr>
          <w:p w14:paraId="6FD2454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70B7EBA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173 patients had infective endocarditis duke criteria.</w:t>
            </w:r>
          </w:p>
        </w:tc>
        <w:tc>
          <w:tcPr>
            <w:tcW w:w="798" w:type="pct"/>
            <w:tcBorders>
              <w:top w:val="nil"/>
              <w:left w:val="nil"/>
              <w:bottom w:val="nil"/>
              <w:right w:val="single" w:sz="8" w:space="0" w:color="auto"/>
            </w:tcBorders>
            <w:shd w:val="clear" w:color="auto" w:fill="auto"/>
            <w:vAlign w:val="center"/>
            <w:hideMark/>
          </w:tcPr>
          <w:p w14:paraId="5AD8A7C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NPV 99.4% PPV 100% sens 90% spec 100%</w:t>
            </w:r>
          </w:p>
        </w:tc>
        <w:tc>
          <w:tcPr>
            <w:tcW w:w="1056" w:type="pct"/>
            <w:tcBorders>
              <w:top w:val="nil"/>
              <w:left w:val="nil"/>
              <w:bottom w:val="nil"/>
              <w:right w:val="single" w:sz="8" w:space="0" w:color="auto"/>
            </w:tcBorders>
            <w:shd w:val="clear" w:color="auto" w:fill="auto"/>
            <w:vAlign w:val="center"/>
            <w:hideMark/>
          </w:tcPr>
          <w:p w14:paraId="44AA7BF4" w14:textId="77777777" w:rsidR="00CC06B3" w:rsidRPr="00CC06B3" w:rsidRDefault="00CC06B3" w:rsidP="00CC06B3">
            <w:pPr>
              <w:spacing w:line="240" w:lineRule="auto"/>
              <w:rPr>
                <w:rFonts w:ascii="Calibri" w:eastAsia="Times New Roman" w:hAnsi="Calibri" w:cs="Times New Roman"/>
                <w:color w:val="000000"/>
                <w:u w:val="single"/>
                <w:lang w:val="en-US"/>
              </w:rPr>
            </w:pPr>
            <w:r w:rsidRPr="00CC06B3">
              <w:rPr>
                <w:rFonts w:ascii="Calibri" w:eastAsia="Times New Roman" w:hAnsi="Calibri" w:cs="Times New Roman"/>
                <w:color w:val="000000"/>
                <w:u w:val="single"/>
                <w:lang w:val="en-US"/>
              </w:rPr>
              <w:t>Codes for infection due to pathogens responsible for infective endocarditis</w:t>
            </w:r>
            <w:r w:rsidRPr="00CC06B3">
              <w:rPr>
                <w:rFonts w:ascii="Calibri" w:eastAsia="Times New Roman" w:hAnsi="Calibri" w:cs="Times New Roman"/>
                <w:color w:val="000000"/>
                <w:lang w:val="en-US"/>
              </w:rPr>
              <w:t>: A40 A48 A78 A395 A410 A411 A412 A413 A414 A415 A418 A419 A448 A449 A478 A479 A490 A491 A493 A498 A499 B376 B377 B960 B961 B962 B963 B964 B965 B966 B968</w:t>
            </w:r>
          </w:p>
        </w:tc>
        <w:tc>
          <w:tcPr>
            <w:tcW w:w="845" w:type="pct"/>
            <w:tcBorders>
              <w:top w:val="nil"/>
              <w:left w:val="nil"/>
              <w:bottom w:val="nil"/>
              <w:right w:val="single" w:sz="8" w:space="0" w:color="auto"/>
            </w:tcBorders>
            <w:shd w:val="clear" w:color="auto" w:fill="auto"/>
            <w:hideMark/>
          </w:tcPr>
          <w:p w14:paraId="5B620B9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B648D48"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39D809C9" w14:textId="77777777" w:rsidTr="00CC06B3">
        <w:trPr>
          <w:trHeight w:val="600"/>
        </w:trPr>
        <w:tc>
          <w:tcPr>
            <w:tcW w:w="473" w:type="pct"/>
            <w:tcBorders>
              <w:top w:val="nil"/>
              <w:left w:val="single" w:sz="8" w:space="0" w:color="auto"/>
              <w:bottom w:val="nil"/>
              <w:right w:val="single" w:sz="8" w:space="0" w:color="auto"/>
            </w:tcBorders>
            <w:shd w:val="clear" w:color="auto" w:fill="auto"/>
            <w:vAlign w:val="center"/>
            <w:hideMark/>
          </w:tcPr>
          <w:p w14:paraId="253ADD7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nil"/>
              <w:right w:val="single" w:sz="8" w:space="0" w:color="auto"/>
            </w:tcBorders>
            <w:shd w:val="clear" w:color="auto" w:fill="auto"/>
            <w:vAlign w:val="center"/>
            <w:hideMark/>
          </w:tcPr>
          <w:p w14:paraId="5E4FF5DA"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Second:</w:t>
            </w:r>
          </w:p>
        </w:tc>
        <w:tc>
          <w:tcPr>
            <w:tcW w:w="798" w:type="pct"/>
            <w:tcBorders>
              <w:top w:val="nil"/>
              <w:left w:val="nil"/>
              <w:bottom w:val="nil"/>
              <w:right w:val="single" w:sz="8" w:space="0" w:color="auto"/>
            </w:tcBorders>
            <w:shd w:val="clear" w:color="auto" w:fill="auto"/>
            <w:vAlign w:val="center"/>
            <w:hideMark/>
          </w:tcPr>
          <w:p w14:paraId="3C97862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These values used to adjust incidence estimates:</w:t>
            </w:r>
          </w:p>
        </w:tc>
        <w:tc>
          <w:tcPr>
            <w:tcW w:w="1056" w:type="pct"/>
            <w:tcBorders>
              <w:top w:val="nil"/>
              <w:left w:val="nil"/>
              <w:bottom w:val="nil"/>
              <w:right w:val="single" w:sz="8" w:space="0" w:color="auto"/>
            </w:tcBorders>
            <w:shd w:val="clear" w:color="auto" w:fill="auto"/>
            <w:vAlign w:val="center"/>
            <w:hideMark/>
          </w:tcPr>
          <w:p w14:paraId="1C0398A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hideMark/>
          </w:tcPr>
          <w:p w14:paraId="510542B9"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51DD822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108910B2" w14:textId="77777777" w:rsidTr="00CC06B3">
        <w:trPr>
          <w:trHeight w:val="900"/>
        </w:trPr>
        <w:tc>
          <w:tcPr>
            <w:tcW w:w="473" w:type="pct"/>
            <w:tcBorders>
              <w:top w:val="nil"/>
              <w:left w:val="single" w:sz="8" w:space="0" w:color="auto"/>
              <w:bottom w:val="nil"/>
              <w:right w:val="single" w:sz="8" w:space="0" w:color="auto"/>
            </w:tcBorders>
            <w:shd w:val="clear" w:color="auto" w:fill="auto"/>
            <w:vAlign w:val="center"/>
            <w:hideMark/>
          </w:tcPr>
          <w:p w14:paraId="2FFC2D27"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lastRenderedPageBreak/>
              <w:t> </w:t>
            </w:r>
          </w:p>
        </w:tc>
        <w:tc>
          <w:tcPr>
            <w:tcW w:w="1035" w:type="pct"/>
            <w:tcBorders>
              <w:top w:val="nil"/>
              <w:left w:val="nil"/>
              <w:bottom w:val="nil"/>
              <w:right w:val="single" w:sz="8" w:space="0" w:color="auto"/>
            </w:tcBorders>
            <w:shd w:val="clear" w:color="auto" w:fill="auto"/>
            <w:vAlign w:val="center"/>
            <w:hideMark/>
          </w:tcPr>
          <w:p w14:paraId="785CEF6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492 random patients post valve surgery, TOE or PPM removal</w:t>
            </w:r>
          </w:p>
        </w:tc>
        <w:tc>
          <w:tcPr>
            <w:tcW w:w="798" w:type="pct"/>
            <w:tcBorders>
              <w:top w:val="nil"/>
              <w:left w:val="nil"/>
              <w:bottom w:val="nil"/>
              <w:right w:val="single" w:sz="8" w:space="0" w:color="auto"/>
            </w:tcBorders>
            <w:shd w:val="clear" w:color="auto" w:fill="auto"/>
            <w:vAlign w:val="center"/>
            <w:hideMark/>
          </w:tcPr>
          <w:p w14:paraId="205A4CF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infective endocarditis incidence 45.8 case per million</w:t>
            </w:r>
          </w:p>
        </w:tc>
        <w:tc>
          <w:tcPr>
            <w:tcW w:w="1056" w:type="pct"/>
            <w:tcBorders>
              <w:top w:val="nil"/>
              <w:left w:val="nil"/>
              <w:bottom w:val="nil"/>
              <w:right w:val="single" w:sz="8" w:space="0" w:color="auto"/>
            </w:tcBorders>
            <w:shd w:val="clear" w:color="auto" w:fill="auto"/>
            <w:hideMark/>
          </w:tcPr>
          <w:p w14:paraId="434873D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nil"/>
              <w:right w:val="single" w:sz="8" w:space="0" w:color="auto"/>
            </w:tcBorders>
            <w:shd w:val="clear" w:color="auto" w:fill="auto"/>
            <w:hideMark/>
          </w:tcPr>
          <w:p w14:paraId="4D9077C3"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nil"/>
              <w:right w:val="single" w:sz="8" w:space="0" w:color="auto"/>
            </w:tcBorders>
            <w:shd w:val="clear" w:color="auto" w:fill="auto"/>
            <w:vAlign w:val="center"/>
            <w:hideMark/>
          </w:tcPr>
          <w:p w14:paraId="3A4F555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5C84FD2C" w14:textId="77777777" w:rsidTr="00CC06B3">
        <w:trPr>
          <w:trHeight w:val="1515"/>
        </w:trPr>
        <w:tc>
          <w:tcPr>
            <w:tcW w:w="473" w:type="pct"/>
            <w:tcBorders>
              <w:top w:val="nil"/>
              <w:left w:val="single" w:sz="8" w:space="0" w:color="auto"/>
              <w:bottom w:val="single" w:sz="8" w:space="0" w:color="auto"/>
              <w:right w:val="single" w:sz="8" w:space="0" w:color="auto"/>
            </w:tcBorders>
            <w:shd w:val="clear" w:color="auto" w:fill="auto"/>
            <w:vAlign w:val="center"/>
            <w:hideMark/>
          </w:tcPr>
          <w:p w14:paraId="75523156"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1035" w:type="pct"/>
            <w:tcBorders>
              <w:top w:val="nil"/>
              <w:left w:val="nil"/>
              <w:bottom w:val="single" w:sz="8" w:space="0" w:color="auto"/>
              <w:right w:val="single" w:sz="8" w:space="0" w:color="auto"/>
            </w:tcBorders>
            <w:shd w:val="clear" w:color="auto" w:fill="auto"/>
            <w:hideMark/>
          </w:tcPr>
          <w:p w14:paraId="6D3BA4AE"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8" w:type="pct"/>
            <w:tcBorders>
              <w:top w:val="nil"/>
              <w:left w:val="nil"/>
              <w:bottom w:val="single" w:sz="8" w:space="0" w:color="auto"/>
              <w:right w:val="single" w:sz="8" w:space="0" w:color="auto"/>
            </w:tcBorders>
            <w:shd w:val="clear" w:color="auto" w:fill="auto"/>
            <w:vAlign w:val="center"/>
            <w:hideMark/>
          </w:tcPr>
          <w:p w14:paraId="24298B8B"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Microbiological code 309 patients (53.5%) 11,2% nonspecific bacterial infection, Streptococci 49% staphylococci 36%.</w:t>
            </w:r>
          </w:p>
        </w:tc>
        <w:tc>
          <w:tcPr>
            <w:tcW w:w="1056" w:type="pct"/>
            <w:tcBorders>
              <w:top w:val="nil"/>
              <w:left w:val="nil"/>
              <w:bottom w:val="single" w:sz="8" w:space="0" w:color="auto"/>
              <w:right w:val="single" w:sz="8" w:space="0" w:color="auto"/>
            </w:tcBorders>
            <w:shd w:val="clear" w:color="auto" w:fill="auto"/>
            <w:hideMark/>
          </w:tcPr>
          <w:p w14:paraId="68DB0F5D"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845" w:type="pct"/>
            <w:tcBorders>
              <w:top w:val="nil"/>
              <w:left w:val="nil"/>
              <w:bottom w:val="single" w:sz="8" w:space="0" w:color="auto"/>
              <w:right w:val="single" w:sz="8" w:space="0" w:color="auto"/>
            </w:tcBorders>
            <w:shd w:val="clear" w:color="auto" w:fill="auto"/>
            <w:hideMark/>
          </w:tcPr>
          <w:p w14:paraId="36E941A5"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c>
          <w:tcPr>
            <w:tcW w:w="793" w:type="pct"/>
            <w:tcBorders>
              <w:top w:val="nil"/>
              <w:left w:val="nil"/>
              <w:bottom w:val="single" w:sz="8" w:space="0" w:color="auto"/>
              <w:right w:val="single" w:sz="8" w:space="0" w:color="auto"/>
            </w:tcBorders>
            <w:shd w:val="clear" w:color="auto" w:fill="auto"/>
            <w:vAlign w:val="center"/>
            <w:hideMark/>
          </w:tcPr>
          <w:p w14:paraId="2D882F22"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 </w:t>
            </w:r>
          </w:p>
        </w:tc>
      </w:tr>
      <w:tr w:rsidR="00CC06B3" w:rsidRPr="00CC06B3" w14:paraId="46717C08" w14:textId="77777777" w:rsidTr="00CC06B3">
        <w:trPr>
          <w:trHeight w:val="300"/>
        </w:trPr>
        <w:tc>
          <w:tcPr>
            <w:tcW w:w="2306" w:type="pct"/>
            <w:gridSpan w:val="3"/>
            <w:tcBorders>
              <w:top w:val="nil"/>
              <w:left w:val="nil"/>
              <w:bottom w:val="nil"/>
              <w:right w:val="nil"/>
            </w:tcBorders>
            <w:shd w:val="clear" w:color="auto" w:fill="auto"/>
            <w:noWrap/>
            <w:vAlign w:val="center"/>
            <w:hideMark/>
          </w:tcPr>
          <w:p w14:paraId="74F1684F" w14:textId="77777777" w:rsidR="00CC06B3" w:rsidRPr="00CC06B3" w:rsidRDefault="00CC06B3" w:rsidP="00CC06B3">
            <w:pPr>
              <w:spacing w:line="240" w:lineRule="auto"/>
              <w:rPr>
                <w:rFonts w:ascii="Calibri" w:eastAsia="Times New Roman" w:hAnsi="Calibri" w:cs="Times New Roman"/>
                <w:color w:val="000000"/>
                <w:lang w:val="en-US"/>
              </w:rPr>
            </w:pPr>
            <w:r w:rsidRPr="00CC06B3">
              <w:rPr>
                <w:rFonts w:ascii="Calibri" w:eastAsia="Times New Roman" w:hAnsi="Calibri" w:cs="Times New Roman"/>
                <w:color w:val="000000"/>
                <w:lang w:val="en-US"/>
              </w:rPr>
              <w:t>Note: PPV=positive predictive value. NA Not applicable</w:t>
            </w:r>
          </w:p>
        </w:tc>
        <w:tc>
          <w:tcPr>
            <w:tcW w:w="1056" w:type="pct"/>
            <w:tcBorders>
              <w:top w:val="nil"/>
              <w:left w:val="nil"/>
              <w:bottom w:val="nil"/>
              <w:right w:val="nil"/>
            </w:tcBorders>
            <w:shd w:val="clear" w:color="auto" w:fill="auto"/>
            <w:noWrap/>
            <w:vAlign w:val="bottom"/>
            <w:hideMark/>
          </w:tcPr>
          <w:p w14:paraId="6C3B8B0B" w14:textId="77777777" w:rsidR="00CC06B3" w:rsidRPr="00CC06B3" w:rsidRDefault="00CC06B3" w:rsidP="00CC06B3">
            <w:pPr>
              <w:spacing w:line="240" w:lineRule="auto"/>
              <w:rPr>
                <w:rFonts w:ascii="Calibri" w:eastAsia="Times New Roman" w:hAnsi="Calibri" w:cs="Times New Roman"/>
                <w:color w:val="000000"/>
                <w:lang w:val="en-US"/>
              </w:rPr>
            </w:pPr>
          </w:p>
        </w:tc>
        <w:tc>
          <w:tcPr>
            <w:tcW w:w="845" w:type="pct"/>
            <w:tcBorders>
              <w:top w:val="nil"/>
              <w:left w:val="nil"/>
              <w:bottom w:val="nil"/>
              <w:right w:val="nil"/>
            </w:tcBorders>
            <w:shd w:val="clear" w:color="auto" w:fill="auto"/>
            <w:noWrap/>
            <w:vAlign w:val="bottom"/>
            <w:hideMark/>
          </w:tcPr>
          <w:p w14:paraId="43521803" w14:textId="77777777" w:rsidR="00CC06B3" w:rsidRPr="00CC06B3" w:rsidRDefault="00CC06B3" w:rsidP="00CC06B3">
            <w:pPr>
              <w:spacing w:line="240" w:lineRule="auto"/>
              <w:rPr>
                <w:rFonts w:ascii="Times New Roman" w:eastAsia="Times New Roman" w:hAnsi="Times New Roman" w:cs="Times New Roman"/>
                <w:sz w:val="20"/>
                <w:szCs w:val="20"/>
                <w:lang w:val="en-US"/>
              </w:rPr>
            </w:pPr>
          </w:p>
        </w:tc>
        <w:tc>
          <w:tcPr>
            <w:tcW w:w="793" w:type="pct"/>
            <w:tcBorders>
              <w:top w:val="nil"/>
              <w:left w:val="nil"/>
              <w:bottom w:val="nil"/>
              <w:right w:val="nil"/>
            </w:tcBorders>
            <w:shd w:val="clear" w:color="auto" w:fill="auto"/>
            <w:noWrap/>
            <w:vAlign w:val="bottom"/>
            <w:hideMark/>
          </w:tcPr>
          <w:p w14:paraId="3F6FFE09" w14:textId="77777777" w:rsidR="00CC06B3" w:rsidRPr="00CC06B3" w:rsidRDefault="00CC06B3" w:rsidP="00CC06B3">
            <w:pPr>
              <w:spacing w:line="240" w:lineRule="auto"/>
              <w:rPr>
                <w:rFonts w:ascii="Times New Roman" w:eastAsia="Times New Roman" w:hAnsi="Times New Roman" w:cs="Times New Roman"/>
                <w:sz w:val="20"/>
                <w:szCs w:val="20"/>
                <w:lang w:val="en-US"/>
              </w:rPr>
            </w:pPr>
          </w:p>
        </w:tc>
      </w:tr>
    </w:tbl>
    <w:p w14:paraId="37077455" w14:textId="77777777" w:rsidR="00CC06B3" w:rsidRDefault="00CC06B3" w:rsidP="00E47D3F"/>
    <w:p w14:paraId="023D4C09" w14:textId="049AB856" w:rsidR="0057144F" w:rsidRDefault="0057144F">
      <w:pPr>
        <w:spacing w:after="200" w:line="276" w:lineRule="auto"/>
        <w:rPr>
          <w:rFonts w:cstheme="minorHAnsi"/>
        </w:rPr>
      </w:pPr>
      <w:r>
        <w:rPr>
          <w:rFonts w:cstheme="minorHAnsi"/>
        </w:rPr>
        <w:br w:type="page"/>
      </w:r>
    </w:p>
    <w:p w14:paraId="7BE805CA" w14:textId="77777777" w:rsidR="0057144F" w:rsidRDefault="0057144F" w:rsidP="00E47D3F">
      <w:pPr>
        <w:rPr>
          <w:b/>
          <w:bCs/>
        </w:rPr>
        <w:sectPr w:rsidR="0057144F" w:rsidSect="00CC06B3">
          <w:pgSz w:w="16838" w:h="11906" w:orient="landscape"/>
          <w:pgMar w:top="1440" w:right="1440" w:bottom="1440" w:left="1440" w:header="706" w:footer="706" w:gutter="0"/>
          <w:cols w:space="708"/>
          <w:docGrid w:linePitch="360"/>
        </w:sectPr>
      </w:pPr>
    </w:p>
    <w:p w14:paraId="176D4E31" w14:textId="5C8F2E17" w:rsidR="00CC06B3" w:rsidRDefault="0057144F" w:rsidP="00E47D3F">
      <w:r>
        <w:rPr>
          <w:b/>
          <w:bCs/>
        </w:rPr>
        <w:lastRenderedPageBreak/>
        <w:t xml:space="preserve">Table S2 </w:t>
      </w:r>
      <w:r>
        <w:t>Summary of Endocarditis codes used in the above studies</w:t>
      </w:r>
    </w:p>
    <w:tbl>
      <w:tblPr>
        <w:tblW w:w="8640" w:type="dxa"/>
        <w:tblInd w:w="118" w:type="dxa"/>
        <w:tblLook w:val="04A0" w:firstRow="1" w:lastRow="0" w:firstColumn="1" w:lastColumn="0" w:noHBand="0" w:noVBand="1"/>
      </w:tblPr>
      <w:tblGrid>
        <w:gridCol w:w="1348"/>
        <w:gridCol w:w="1065"/>
        <w:gridCol w:w="875"/>
        <w:gridCol w:w="957"/>
        <w:gridCol w:w="1182"/>
        <w:gridCol w:w="957"/>
        <w:gridCol w:w="875"/>
        <w:gridCol w:w="957"/>
        <w:gridCol w:w="908"/>
      </w:tblGrid>
      <w:tr w:rsidR="0057144F" w:rsidRPr="0057144F" w14:paraId="1D169012" w14:textId="77777777" w:rsidTr="0057144F">
        <w:trPr>
          <w:trHeight w:val="495"/>
        </w:trPr>
        <w:tc>
          <w:tcPr>
            <w:tcW w:w="11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C964C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Author</w:t>
            </w:r>
          </w:p>
        </w:tc>
        <w:tc>
          <w:tcPr>
            <w:tcW w:w="948" w:type="dxa"/>
            <w:tcBorders>
              <w:top w:val="single" w:sz="8" w:space="0" w:color="auto"/>
              <w:left w:val="nil"/>
              <w:bottom w:val="single" w:sz="8" w:space="0" w:color="auto"/>
              <w:right w:val="single" w:sz="8" w:space="0" w:color="auto"/>
            </w:tcBorders>
            <w:shd w:val="clear" w:color="auto" w:fill="auto"/>
            <w:vAlign w:val="center"/>
            <w:hideMark/>
          </w:tcPr>
          <w:p w14:paraId="0B2B5E3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Other </w:t>
            </w:r>
          </w:p>
        </w:tc>
        <w:tc>
          <w:tcPr>
            <w:tcW w:w="892" w:type="dxa"/>
            <w:tcBorders>
              <w:top w:val="single" w:sz="8" w:space="0" w:color="auto"/>
              <w:left w:val="nil"/>
              <w:bottom w:val="single" w:sz="8" w:space="0" w:color="auto"/>
              <w:right w:val="single" w:sz="8" w:space="0" w:color="auto"/>
            </w:tcBorders>
            <w:shd w:val="clear" w:color="auto" w:fill="auto"/>
            <w:vAlign w:val="center"/>
            <w:hideMark/>
          </w:tcPr>
          <w:p w14:paraId="19CA218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I33.0 Primary</w:t>
            </w:r>
          </w:p>
        </w:tc>
        <w:tc>
          <w:tcPr>
            <w:tcW w:w="927" w:type="dxa"/>
            <w:tcBorders>
              <w:top w:val="single" w:sz="8" w:space="0" w:color="auto"/>
              <w:left w:val="nil"/>
              <w:bottom w:val="single" w:sz="8" w:space="0" w:color="auto"/>
              <w:right w:val="single" w:sz="8" w:space="0" w:color="auto"/>
            </w:tcBorders>
            <w:shd w:val="clear" w:color="auto" w:fill="auto"/>
            <w:vAlign w:val="center"/>
            <w:hideMark/>
          </w:tcPr>
          <w:p w14:paraId="7A73E3D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I33.0 Secondary </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14:paraId="4AF8C61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Other Primary </w:t>
            </w:r>
          </w:p>
        </w:tc>
        <w:tc>
          <w:tcPr>
            <w:tcW w:w="927" w:type="dxa"/>
            <w:tcBorders>
              <w:top w:val="single" w:sz="8" w:space="0" w:color="auto"/>
              <w:left w:val="nil"/>
              <w:bottom w:val="single" w:sz="8" w:space="0" w:color="auto"/>
              <w:right w:val="single" w:sz="8" w:space="0" w:color="auto"/>
            </w:tcBorders>
            <w:shd w:val="clear" w:color="auto" w:fill="auto"/>
            <w:vAlign w:val="center"/>
            <w:hideMark/>
          </w:tcPr>
          <w:p w14:paraId="44D4142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Other Secondary </w:t>
            </w:r>
          </w:p>
        </w:tc>
        <w:tc>
          <w:tcPr>
            <w:tcW w:w="892" w:type="dxa"/>
            <w:tcBorders>
              <w:top w:val="single" w:sz="8" w:space="0" w:color="auto"/>
              <w:left w:val="nil"/>
              <w:bottom w:val="single" w:sz="8" w:space="0" w:color="auto"/>
              <w:right w:val="single" w:sz="8" w:space="0" w:color="auto"/>
            </w:tcBorders>
            <w:shd w:val="clear" w:color="auto" w:fill="auto"/>
            <w:vAlign w:val="center"/>
            <w:hideMark/>
          </w:tcPr>
          <w:p w14:paraId="1715238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I38 Primary</w:t>
            </w:r>
          </w:p>
        </w:tc>
        <w:tc>
          <w:tcPr>
            <w:tcW w:w="927" w:type="dxa"/>
            <w:tcBorders>
              <w:top w:val="single" w:sz="8" w:space="0" w:color="auto"/>
              <w:left w:val="nil"/>
              <w:bottom w:val="single" w:sz="8" w:space="0" w:color="auto"/>
              <w:right w:val="single" w:sz="8" w:space="0" w:color="auto"/>
            </w:tcBorders>
            <w:shd w:val="clear" w:color="auto" w:fill="auto"/>
            <w:vAlign w:val="center"/>
            <w:hideMark/>
          </w:tcPr>
          <w:p w14:paraId="210107A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I38 Secondary</w:t>
            </w:r>
          </w:p>
        </w:tc>
        <w:tc>
          <w:tcPr>
            <w:tcW w:w="917" w:type="dxa"/>
            <w:tcBorders>
              <w:top w:val="single" w:sz="8" w:space="0" w:color="auto"/>
              <w:left w:val="nil"/>
              <w:bottom w:val="single" w:sz="8" w:space="0" w:color="auto"/>
              <w:right w:val="single" w:sz="8" w:space="0" w:color="auto"/>
            </w:tcBorders>
            <w:shd w:val="clear" w:color="auto" w:fill="auto"/>
            <w:vAlign w:val="center"/>
            <w:hideMark/>
          </w:tcPr>
          <w:p w14:paraId="3F90479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Organism codes</w:t>
            </w:r>
          </w:p>
        </w:tc>
      </w:tr>
      <w:tr w:rsidR="0057144F" w:rsidRPr="0057144F" w14:paraId="5720603C"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05A1C8D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 Tubiana </w:t>
            </w:r>
            <w:r w:rsidRPr="0057144F">
              <w:rPr>
                <w:rFonts w:ascii="Times New Roman" w:eastAsia="Times New Roman" w:hAnsi="Times New Roman" w:cs="Times New Roman"/>
                <w:color w:val="000000"/>
                <w:sz w:val="18"/>
                <w:szCs w:val="18"/>
                <w:vertAlign w:val="superscript"/>
                <w:lang w:val="en-US"/>
              </w:rPr>
              <w:t>8</w:t>
            </w:r>
            <w:r w:rsidRPr="0057144F">
              <w:rPr>
                <w:rFonts w:ascii="Times New Roman" w:eastAsia="Times New Roman" w:hAnsi="Times New Roman" w:cs="Times New Roman"/>
                <w:color w:val="000000"/>
                <w:sz w:val="18"/>
                <w:szCs w:val="18"/>
                <w:lang w:val="en-US"/>
              </w:rPr>
              <w:t>2017</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2AA208A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25333C9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39A78C9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6BC8AD9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I339</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CB8003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09ED757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75C0C34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7F11561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32063F9F"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1018BA5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1FB1353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6C53F6E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6C34711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32E3190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4D45139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6E0E4C9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59D45E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6D8F6AE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063FF11F"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34C386B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Bates</w:t>
            </w:r>
            <w:r w:rsidRPr="0057144F">
              <w:rPr>
                <w:rFonts w:ascii="Times New Roman" w:eastAsia="Times New Roman" w:hAnsi="Times New Roman" w:cs="Times New Roman"/>
                <w:color w:val="000000"/>
                <w:sz w:val="18"/>
                <w:szCs w:val="18"/>
                <w:vertAlign w:val="superscript"/>
                <w:lang w:val="en-US"/>
              </w:rPr>
              <w:t>9</w:t>
            </w:r>
            <w:r w:rsidRPr="0057144F">
              <w:rPr>
                <w:rFonts w:ascii="Times New Roman" w:eastAsia="Times New Roman" w:hAnsi="Times New Roman" w:cs="Times New Roman"/>
                <w:color w:val="000000"/>
                <w:sz w:val="18"/>
                <w:szCs w:val="18"/>
                <w:lang w:val="en-US"/>
              </w:rPr>
              <w:t xml:space="preserve"> 2017</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4C13C6B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2DBA2E3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5A8C03D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487C45B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628B6BE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19B832E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4A85663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7AAE27F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7EC0CAC5"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5E11E35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6F4B597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38B43AC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53F59E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1A67DD1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1D987DD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7E2152F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5F7892B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2FA241B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2FC03F3D"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452FE2F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Bikdeli</w:t>
            </w:r>
            <w:r w:rsidRPr="0057144F">
              <w:rPr>
                <w:rFonts w:ascii="Times New Roman" w:eastAsia="Times New Roman" w:hAnsi="Times New Roman" w:cs="Times New Roman"/>
                <w:color w:val="000000"/>
                <w:sz w:val="18"/>
                <w:szCs w:val="18"/>
                <w:vertAlign w:val="superscript"/>
                <w:lang w:val="en-US"/>
              </w:rPr>
              <w:t>11</w:t>
            </w:r>
            <w:r w:rsidRPr="0057144F">
              <w:rPr>
                <w:rFonts w:ascii="Times New Roman" w:eastAsia="Times New Roman" w:hAnsi="Times New Roman" w:cs="Times New Roman"/>
                <w:color w:val="000000"/>
                <w:sz w:val="18"/>
                <w:szCs w:val="18"/>
                <w:lang w:val="en-US"/>
              </w:rPr>
              <w:t xml:space="preserve"> 2013</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59234A9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39F15E6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7BC0075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tcBorders>
              <w:top w:val="nil"/>
              <w:left w:val="nil"/>
              <w:bottom w:val="nil"/>
              <w:right w:val="single" w:sz="8" w:space="0" w:color="auto"/>
            </w:tcBorders>
            <w:shd w:val="clear" w:color="000000" w:fill="FABF8F"/>
            <w:vAlign w:val="center"/>
            <w:hideMark/>
          </w:tcPr>
          <w:p w14:paraId="10E7421F"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w:t>
            </w:r>
          </w:p>
        </w:tc>
        <w:tc>
          <w:tcPr>
            <w:tcW w:w="927" w:type="dxa"/>
            <w:tcBorders>
              <w:top w:val="nil"/>
              <w:left w:val="nil"/>
              <w:bottom w:val="nil"/>
              <w:right w:val="single" w:sz="8" w:space="0" w:color="auto"/>
            </w:tcBorders>
            <w:shd w:val="clear" w:color="000000" w:fill="FDE9D9"/>
            <w:vAlign w:val="center"/>
            <w:hideMark/>
          </w:tcPr>
          <w:p w14:paraId="12E04FBE"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w:t>
            </w:r>
          </w:p>
        </w:tc>
        <w:tc>
          <w:tcPr>
            <w:tcW w:w="892" w:type="dxa"/>
            <w:vMerge w:val="restart"/>
            <w:tcBorders>
              <w:top w:val="nil"/>
              <w:left w:val="single" w:sz="8" w:space="0" w:color="auto"/>
              <w:bottom w:val="single" w:sz="8" w:space="0" w:color="000000"/>
              <w:right w:val="single" w:sz="8" w:space="0" w:color="auto"/>
            </w:tcBorders>
            <w:shd w:val="clear" w:color="000000" w:fill="00B050"/>
            <w:vAlign w:val="center"/>
            <w:hideMark/>
          </w:tcPr>
          <w:p w14:paraId="425FF381"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4249</w:t>
            </w:r>
          </w:p>
        </w:tc>
        <w:tc>
          <w:tcPr>
            <w:tcW w:w="92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60D80A4"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4249</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7F0CF92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5B5EDAE9" w14:textId="77777777" w:rsidTr="0057144F">
        <w:trPr>
          <w:trHeight w:val="315"/>
        </w:trPr>
        <w:tc>
          <w:tcPr>
            <w:tcW w:w="1190" w:type="dxa"/>
            <w:vMerge/>
            <w:tcBorders>
              <w:top w:val="nil"/>
              <w:left w:val="single" w:sz="8" w:space="0" w:color="auto"/>
              <w:bottom w:val="single" w:sz="8" w:space="0" w:color="000000"/>
              <w:right w:val="single" w:sz="8" w:space="0" w:color="auto"/>
            </w:tcBorders>
            <w:vAlign w:val="center"/>
            <w:hideMark/>
          </w:tcPr>
          <w:p w14:paraId="7D46E5C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23EA866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7732AF0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6E716D5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tcBorders>
              <w:top w:val="nil"/>
              <w:left w:val="nil"/>
              <w:bottom w:val="single" w:sz="8" w:space="0" w:color="auto"/>
              <w:right w:val="single" w:sz="8" w:space="0" w:color="auto"/>
            </w:tcBorders>
            <w:shd w:val="clear" w:color="000000" w:fill="FABF8F"/>
            <w:vAlign w:val="center"/>
            <w:hideMark/>
          </w:tcPr>
          <w:p w14:paraId="107BAB3F"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4219</w:t>
            </w:r>
          </w:p>
        </w:tc>
        <w:tc>
          <w:tcPr>
            <w:tcW w:w="927" w:type="dxa"/>
            <w:tcBorders>
              <w:top w:val="nil"/>
              <w:left w:val="nil"/>
              <w:bottom w:val="single" w:sz="8" w:space="0" w:color="auto"/>
              <w:right w:val="single" w:sz="8" w:space="0" w:color="auto"/>
            </w:tcBorders>
            <w:shd w:val="clear" w:color="000000" w:fill="FDE9D9"/>
            <w:vAlign w:val="center"/>
            <w:hideMark/>
          </w:tcPr>
          <w:p w14:paraId="73655C3C"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4219</w:t>
            </w:r>
          </w:p>
        </w:tc>
        <w:tc>
          <w:tcPr>
            <w:tcW w:w="892" w:type="dxa"/>
            <w:vMerge/>
            <w:tcBorders>
              <w:top w:val="nil"/>
              <w:left w:val="single" w:sz="8" w:space="0" w:color="auto"/>
              <w:bottom w:val="single" w:sz="8" w:space="0" w:color="000000"/>
              <w:right w:val="single" w:sz="8" w:space="0" w:color="auto"/>
            </w:tcBorders>
            <w:vAlign w:val="center"/>
            <w:hideMark/>
          </w:tcPr>
          <w:p w14:paraId="12906D8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49C66DB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5C6CF77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5FF9DDB9"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6101037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DeSimone</w:t>
            </w:r>
            <w:r w:rsidRPr="0057144F">
              <w:rPr>
                <w:rFonts w:ascii="Times New Roman" w:eastAsia="Times New Roman" w:hAnsi="Times New Roman" w:cs="Times New Roman"/>
                <w:color w:val="000000"/>
                <w:sz w:val="18"/>
                <w:szCs w:val="18"/>
                <w:vertAlign w:val="superscript"/>
                <w:lang w:val="en-US"/>
              </w:rPr>
              <w:t>17</w:t>
            </w:r>
            <w:r w:rsidRPr="0057144F">
              <w:rPr>
                <w:rFonts w:ascii="Times New Roman" w:eastAsia="Times New Roman" w:hAnsi="Times New Roman" w:cs="Times New Roman"/>
                <w:color w:val="000000"/>
                <w:sz w:val="18"/>
                <w:szCs w:val="18"/>
                <w:lang w:val="en-US"/>
              </w:rPr>
              <w:t xml:space="preserve"> 2012</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7EEE0E5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DA92F5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2E891F4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5D80B88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2E33406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7F3A557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7BEE340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7C4E395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26D568C4"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0FBBE17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35C480B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4E8AF66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441C766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12F85B1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5CCA4D6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5807508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2BA990D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2326E96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5E3D4FE9" w14:textId="77777777" w:rsidTr="0057144F">
        <w:trPr>
          <w:trHeight w:val="52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6420F83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Duval </w:t>
            </w:r>
            <w:r w:rsidRPr="0057144F">
              <w:rPr>
                <w:rFonts w:ascii="Times New Roman" w:eastAsia="Times New Roman" w:hAnsi="Times New Roman" w:cs="Times New Roman"/>
                <w:color w:val="000000"/>
                <w:sz w:val="18"/>
                <w:szCs w:val="18"/>
                <w:vertAlign w:val="superscript"/>
                <w:lang w:val="en-US"/>
              </w:rPr>
              <w:t>18</w:t>
            </w:r>
            <w:r w:rsidRPr="0057144F">
              <w:rPr>
                <w:rFonts w:ascii="Times New Roman" w:eastAsia="Times New Roman" w:hAnsi="Times New Roman" w:cs="Times New Roman"/>
                <w:color w:val="000000"/>
                <w:sz w:val="18"/>
                <w:szCs w:val="18"/>
                <w:lang w:val="en-US"/>
              </w:rPr>
              <w:t xml:space="preserve"> 2012</w:t>
            </w:r>
          </w:p>
        </w:tc>
        <w:tc>
          <w:tcPr>
            <w:tcW w:w="948" w:type="dxa"/>
            <w:tcBorders>
              <w:top w:val="nil"/>
              <w:left w:val="nil"/>
              <w:bottom w:val="single" w:sz="8" w:space="0" w:color="auto"/>
              <w:right w:val="single" w:sz="8" w:space="0" w:color="auto"/>
            </w:tcBorders>
            <w:shd w:val="clear" w:color="000000" w:fill="F2DBDB"/>
            <w:vAlign w:val="center"/>
            <w:hideMark/>
          </w:tcPr>
          <w:p w14:paraId="5FDEA3E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survey</w:t>
            </w:r>
          </w:p>
        </w:tc>
        <w:tc>
          <w:tcPr>
            <w:tcW w:w="892" w:type="dxa"/>
            <w:tcBorders>
              <w:top w:val="nil"/>
              <w:left w:val="nil"/>
              <w:bottom w:val="single" w:sz="8" w:space="0" w:color="auto"/>
              <w:right w:val="single" w:sz="8" w:space="0" w:color="auto"/>
            </w:tcBorders>
            <w:shd w:val="clear" w:color="auto" w:fill="auto"/>
            <w:vAlign w:val="center"/>
            <w:hideMark/>
          </w:tcPr>
          <w:p w14:paraId="7B43AE6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6E86E0E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tcBorders>
              <w:top w:val="nil"/>
              <w:left w:val="nil"/>
              <w:bottom w:val="single" w:sz="8" w:space="0" w:color="auto"/>
              <w:right w:val="single" w:sz="8" w:space="0" w:color="auto"/>
            </w:tcBorders>
            <w:shd w:val="clear" w:color="auto" w:fill="auto"/>
            <w:vAlign w:val="center"/>
            <w:hideMark/>
          </w:tcPr>
          <w:p w14:paraId="476E504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6E0AE90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auto" w:fill="auto"/>
            <w:vAlign w:val="center"/>
            <w:hideMark/>
          </w:tcPr>
          <w:p w14:paraId="339B33B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641CFDD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auto" w:fill="auto"/>
            <w:vAlign w:val="center"/>
            <w:hideMark/>
          </w:tcPr>
          <w:p w14:paraId="474286E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57FBC422" w14:textId="77777777" w:rsidTr="0057144F">
        <w:trPr>
          <w:trHeight w:val="76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712F863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Van den Brink</w:t>
            </w:r>
            <w:r w:rsidRPr="0057144F">
              <w:rPr>
                <w:rFonts w:ascii="Times New Roman" w:eastAsia="Times New Roman" w:hAnsi="Times New Roman" w:cs="Times New Roman"/>
                <w:color w:val="000000"/>
                <w:sz w:val="18"/>
                <w:szCs w:val="18"/>
                <w:vertAlign w:val="superscript"/>
                <w:lang w:val="en-US"/>
              </w:rPr>
              <w:t>19</w:t>
            </w:r>
            <w:r w:rsidRPr="0057144F">
              <w:rPr>
                <w:rFonts w:ascii="Times New Roman" w:eastAsia="Times New Roman" w:hAnsi="Times New Roman" w:cs="Times New Roman"/>
                <w:color w:val="000000"/>
                <w:sz w:val="18"/>
                <w:szCs w:val="18"/>
                <w:lang w:val="en-US"/>
              </w:rPr>
              <w:t xml:space="preserve"> 2017</w:t>
            </w:r>
          </w:p>
        </w:tc>
        <w:tc>
          <w:tcPr>
            <w:tcW w:w="948" w:type="dxa"/>
            <w:tcBorders>
              <w:top w:val="nil"/>
              <w:left w:val="nil"/>
              <w:bottom w:val="single" w:sz="8" w:space="0" w:color="auto"/>
              <w:right w:val="single" w:sz="8" w:space="0" w:color="auto"/>
            </w:tcBorders>
            <w:shd w:val="clear" w:color="000000" w:fill="F2DBDB"/>
            <w:vAlign w:val="center"/>
            <w:hideMark/>
          </w:tcPr>
          <w:p w14:paraId="473DE83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Netherlands specific codes</w:t>
            </w:r>
          </w:p>
        </w:tc>
        <w:tc>
          <w:tcPr>
            <w:tcW w:w="892" w:type="dxa"/>
            <w:tcBorders>
              <w:top w:val="nil"/>
              <w:left w:val="nil"/>
              <w:bottom w:val="single" w:sz="8" w:space="0" w:color="auto"/>
              <w:right w:val="single" w:sz="8" w:space="0" w:color="auto"/>
            </w:tcBorders>
            <w:shd w:val="clear" w:color="auto" w:fill="auto"/>
            <w:vAlign w:val="center"/>
            <w:hideMark/>
          </w:tcPr>
          <w:p w14:paraId="2D0365C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766408D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tcBorders>
              <w:top w:val="nil"/>
              <w:left w:val="nil"/>
              <w:bottom w:val="single" w:sz="8" w:space="0" w:color="auto"/>
              <w:right w:val="single" w:sz="8" w:space="0" w:color="auto"/>
            </w:tcBorders>
            <w:shd w:val="clear" w:color="auto" w:fill="auto"/>
            <w:vAlign w:val="center"/>
            <w:hideMark/>
          </w:tcPr>
          <w:p w14:paraId="76B3E48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6E526FA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auto" w:fill="auto"/>
            <w:vAlign w:val="center"/>
            <w:hideMark/>
          </w:tcPr>
          <w:p w14:paraId="6B92091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5C73DD2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auto" w:fill="auto"/>
            <w:vAlign w:val="center"/>
            <w:hideMark/>
          </w:tcPr>
          <w:p w14:paraId="63F8B9C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6BAD8312"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70A0391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Dayer</w:t>
            </w:r>
            <w:r w:rsidRPr="0057144F">
              <w:rPr>
                <w:rFonts w:ascii="Times New Roman" w:eastAsia="Times New Roman" w:hAnsi="Times New Roman" w:cs="Times New Roman"/>
                <w:color w:val="000000"/>
                <w:sz w:val="18"/>
                <w:szCs w:val="18"/>
                <w:vertAlign w:val="superscript"/>
                <w:lang w:val="en-US"/>
              </w:rPr>
              <w:t>20</w:t>
            </w:r>
            <w:r w:rsidRPr="0057144F">
              <w:rPr>
                <w:rFonts w:ascii="Times New Roman" w:eastAsia="Times New Roman" w:hAnsi="Times New Roman" w:cs="Times New Roman"/>
                <w:color w:val="000000"/>
                <w:sz w:val="18"/>
                <w:szCs w:val="18"/>
                <w:lang w:val="en-US"/>
              </w:rPr>
              <w:t xml:space="preserve"> 2015</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4DBA56E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0A3F2F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2CABF56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5BF2087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6F3BD4B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655BA4C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7CE3B4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0DC5788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5D93CEEB"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7A8A33E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22F7555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05915AF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45AD12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1B178E5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1BC045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54FF063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569E8E5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1BC7DDC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71E6CAA6"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0A75ECF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Keller</w:t>
            </w:r>
            <w:r w:rsidRPr="0057144F">
              <w:rPr>
                <w:rFonts w:ascii="Times New Roman" w:eastAsia="Times New Roman" w:hAnsi="Times New Roman" w:cs="Times New Roman"/>
                <w:color w:val="000000"/>
                <w:sz w:val="18"/>
                <w:szCs w:val="18"/>
                <w:vertAlign w:val="superscript"/>
                <w:lang w:val="en-US"/>
              </w:rPr>
              <w:t>21</w:t>
            </w:r>
            <w:r w:rsidRPr="0057144F">
              <w:rPr>
                <w:rFonts w:ascii="Times New Roman" w:eastAsia="Times New Roman" w:hAnsi="Times New Roman" w:cs="Times New Roman"/>
                <w:color w:val="000000"/>
                <w:sz w:val="18"/>
                <w:szCs w:val="18"/>
                <w:lang w:val="en-US"/>
              </w:rPr>
              <w:t xml:space="preserve"> 2017</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69112A5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291CDD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3E930F4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2ABD933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45C4C9C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297E486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6CACD1E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3CFDDBD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30C02C38"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3DF9277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1A6B95B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2C5C2C2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6716D2B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719ED50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55F54D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6547B51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0AFA471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3E85DEC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002D53AE"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576D357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Pant</w:t>
            </w:r>
            <w:r w:rsidRPr="0057144F">
              <w:rPr>
                <w:rFonts w:ascii="Times New Roman" w:eastAsia="Times New Roman" w:hAnsi="Times New Roman" w:cs="Times New Roman"/>
                <w:color w:val="000000"/>
                <w:sz w:val="18"/>
                <w:szCs w:val="18"/>
                <w:vertAlign w:val="superscript"/>
                <w:lang w:val="en-US"/>
              </w:rPr>
              <w:t>22</w:t>
            </w:r>
            <w:r w:rsidRPr="0057144F">
              <w:rPr>
                <w:rFonts w:ascii="Times New Roman" w:eastAsia="Times New Roman" w:hAnsi="Times New Roman" w:cs="Times New Roman"/>
                <w:color w:val="000000"/>
                <w:sz w:val="18"/>
                <w:szCs w:val="18"/>
                <w:lang w:val="en-US"/>
              </w:rPr>
              <w:t xml:space="preserve"> 2015</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13A8D6E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4F48DFA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39B959B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tcBorders>
              <w:top w:val="nil"/>
              <w:left w:val="nil"/>
              <w:bottom w:val="nil"/>
              <w:right w:val="single" w:sz="8" w:space="0" w:color="auto"/>
            </w:tcBorders>
            <w:shd w:val="clear" w:color="000000" w:fill="FABF8F"/>
            <w:vAlign w:val="center"/>
            <w:hideMark/>
          </w:tcPr>
          <w:p w14:paraId="16B4B7D3"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w:t>
            </w:r>
          </w:p>
        </w:tc>
        <w:tc>
          <w:tcPr>
            <w:tcW w:w="927" w:type="dxa"/>
            <w:tcBorders>
              <w:top w:val="nil"/>
              <w:left w:val="nil"/>
              <w:bottom w:val="nil"/>
              <w:right w:val="single" w:sz="8" w:space="0" w:color="auto"/>
            </w:tcBorders>
            <w:shd w:val="clear" w:color="000000" w:fill="FDE9D9"/>
            <w:vAlign w:val="center"/>
            <w:hideMark/>
          </w:tcPr>
          <w:p w14:paraId="2DFCDF69"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59139D1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607EE61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7F4E76B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2DB24023" w14:textId="77777777" w:rsidTr="0057144F">
        <w:trPr>
          <w:trHeight w:val="315"/>
        </w:trPr>
        <w:tc>
          <w:tcPr>
            <w:tcW w:w="1190" w:type="dxa"/>
            <w:vMerge/>
            <w:tcBorders>
              <w:top w:val="nil"/>
              <w:left w:val="single" w:sz="8" w:space="0" w:color="auto"/>
              <w:bottom w:val="single" w:sz="8" w:space="0" w:color="000000"/>
              <w:right w:val="single" w:sz="8" w:space="0" w:color="auto"/>
            </w:tcBorders>
            <w:vAlign w:val="center"/>
            <w:hideMark/>
          </w:tcPr>
          <w:p w14:paraId="65EFDDC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3E1CE60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75B179A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493DC3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tcBorders>
              <w:top w:val="nil"/>
              <w:left w:val="nil"/>
              <w:bottom w:val="single" w:sz="8" w:space="0" w:color="auto"/>
              <w:right w:val="single" w:sz="8" w:space="0" w:color="auto"/>
            </w:tcBorders>
            <w:shd w:val="clear" w:color="000000" w:fill="FABF8F"/>
            <w:vAlign w:val="center"/>
            <w:hideMark/>
          </w:tcPr>
          <w:p w14:paraId="27743C2B"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4219</w:t>
            </w:r>
          </w:p>
        </w:tc>
        <w:tc>
          <w:tcPr>
            <w:tcW w:w="927" w:type="dxa"/>
            <w:tcBorders>
              <w:top w:val="nil"/>
              <w:left w:val="nil"/>
              <w:bottom w:val="single" w:sz="8" w:space="0" w:color="auto"/>
              <w:right w:val="single" w:sz="8" w:space="0" w:color="auto"/>
            </w:tcBorders>
            <w:shd w:val="clear" w:color="000000" w:fill="FDE9D9"/>
            <w:vAlign w:val="center"/>
            <w:hideMark/>
          </w:tcPr>
          <w:p w14:paraId="3134FFB6"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4219</w:t>
            </w:r>
          </w:p>
        </w:tc>
        <w:tc>
          <w:tcPr>
            <w:tcW w:w="892" w:type="dxa"/>
            <w:vMerge/>
            <w:tcBorders>
              <w:top w:val="nil"/>
              <w:left w:val="single" w:sz="8" w:space="0" w:color="auto"/>
              <w:bottom w:val="single" w:sz="8" w:space="0" w:color="000000"/>
              <w:right w:val="single" w:sz="8" w:space="0" w:color="auto"/>
            </w:tcBorders>
            <w:vAlign w:val="center"/>
            <w:hideMark/>
          </w:tcPr>
          <w:p w14:paraId="5942A48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6CAEF72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0F4D90A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043DA4F0" w14:textId="77777777" w:rsidTr="0057144F">
        <w:trPr>
          <w:trHeight w:val="121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2A535BC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Bor</w:t>
            </w:r>
            <w:r w:rsidRPr="0057144F">
              <w:rPr>
                <w:rFonts w:ascii="Times New Roman" w:eastAsia="Times New Roman" w:hAnsi="Times New Roman" w:cs="Times New Roman"/>
                <w:color w:val="000000"/>
                <w:sz w:val="18"/>
                <w:szCs w:val="18"/>
                <w:vertAlign w:val="superscript"/>
                <w:lang w:val="en-US"/>
              </w:rPr>
              <w:t>23</w:t>
            </w:r>
            <w:r w:rsidRPr="0057144F">
              <w:rPr>
                <w:rFonts w:ascii="Times New Roman" w:eastAsia="Times New Roman" w:hAnsi="Times New Roman" w:cs="Times New Roman"/>
                <w:color w:val="000000"/>
                <w:sz w:val="18"/>
                <w:szCs w:val="18"/>
                <w:lang w:val="en-US"/>
              </w:rPr>
              <w:t xml:space="preserve"> 2013</w:t>
            </w:r>
          </w:p>
        </w:tc>
        <w:tc>
          <w:tcPr>
            <w:tcW w:w="948" w:type="dxa"/>
            <w:tcBorders>
              <w:top w:val="nil"/>
              <w:left w:val="nil"/>
              <w:bottom w:val="single" w:sz="8" w:space="0" w:color="auto"/>
              <w:right w:val="single" w:sz="8" w:space="0" w:color="auto"/>
            </w:tcBorders>
            <w:shd w:val="clear" w:color="auto" w:fill="auto"/>
            <w:vAlign w:val="center"/>
            <w:hideMark/>
          </w:tcPr>
          <w:p w14:paraId="5AF4ABB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000000" w:fill="FFFF00"/>
            <w:vAlign w:val="center"/>
            <w:hideMark/>
          </w:tcPr>
          <w:p w14:paraId="776BB3A9"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4210</w:t>
            </w:r>
          </w:p>
        </w:tc>
        <w:tc>
          <w:tcPr>
            <w:tcW w:w="927" w:type="dxa"/>
            <w:tcBorders>
              <w:top w:val="nil"/>
              <w:left w:val="nil"/>
              <w:bottom w:val="single" w:sz="8" w:space="0" w:color="auto"/>
              <w:right w:val="single" w:sz="8" w:space="0" w:color="auto"/>
            </w:tcBorders>
            <w:shd w:val="clear" w:color="000000" w:fill="FFFFCC"/>
            <w:vAlign w:val="center"/>
            <w:hideMark/>
          </w:tcPr>
          <w:p w14:paraId="79D85F17" w14:textId="77777777" w:rsidR="0057144F" w:rsidRPr="0057144F" w:rsidRDefault="0057144F" w:rsidP="0057144F">
            <w:pPr>
              <w:spacing w:line="240" w:lineRule="auto"/>
              <w:jc w:val="right"/>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4210</w:t>
            </w:r>
          </w:p>
        </w:tc>
        <w:tc>
          <w:tcPr>
            <w:tcW w:w="1020" w:type="dxa"/>
            <w:tcBorders>
              <w:top w:val="nil"/>
              <w:left w:val="nil"/>
              <w:bottom w:val="single" w:sz="8" w:space="0" w:color="auto"/>
              <w:right w:val="single" w:sz="8" w:space="0" w:color="auto"/>
            </w:tcBorders>
            <w:shd w:val="clear" w:color="000000" w:fill="FABF8F"/>
            <w:vAlign w:val="center"/>
            <w:hideMark/>
          </w:tcPr>
          <w:p w14:paraId="7CC4E99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4211 4219 03642 09884 11281 1154.</w:t>
            </w:r>
          </w:p>
        </w:tc>
        <w:tc>
          <w:tcPr>
            <w:tcW w:w="927" w:type="dxa"/>
            <w:tcBorders>
              <w:top w:val="nil"/>
              <w:left w:val="nil"/>
              <w:bottom w:val="single" w:sz="8" w:space="0" w:color="auto"/>
              <w:right w:val="single" w:sz="8" w:space="0" w:color="auto"/>
            </w:tcBorders>
            <w:shd w:val="clear" w:color="000000" w:fill="FDE9D9"/>
            <w:vAlign w:val="center"/>
            <w:hideMark/>
          </w:tcPr>
          <w:p w14:paraId="2941556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4211 4219 03642 09884 11281 1154.</w:t>
            </w:r>
          </w:p>
        </w:tc>
        <w:tc>
          <w:tcPr>
            <w:tcW w:w="892" w:type="dxa"/>
            <w:tcBorders>
              <w:top w:val="nil"/>
              <w:left w:val="nil"/>
              <w:bottom w:val="single" w:sz="8" w:space="0" w:color="auto"/>
              <w:right w:val="single" w:sz="8" w:space="0" w:color="auto"/>
            </w:tcBorders>
            <w:shd w:val="clear" w:color="auto" w:fill="auto"/>
            <w:vAlign w:val="center"/>
            <w:hideMark/>
          </w:tcPr>
          <w:p w14:paraId="4A759E9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1D51E8B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000000" w:fill="E5B8B7"/>
            <w:vAlign w:val="center"/>
            <w:hideMark/>
          </w:tcPr>
          <w:p w14:paraId="6A59707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2BA36EEE" w14:textId="77777777" w:rsidTr="0057144F">
        <w:trPr>
          <w:trHeight w:val="52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4BED34C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Mackie</w:t>
            </w:r>
            <w:r w:rsidRPr="0057144F">
              <w:rPr>
                <w:rFonts w:ascii="Times New Roman" w:eastAsia="Times New Roman" w:hAnsi="Times New Roman" w:cs="Times New Roman"/>
                <w:color w:val="000000"/>
                <w:sz w:val="18"/>
                <w:szCs w:val="18"/>
                <w:vertAlign w:val="superscript"/>
                <w:lang w:val="en-US"/>
              </w:rPr>
              <w:t>24</w:t>
            </w:r>
            <w:r w:rsidRPr="0057144F">
              <w:rPr>
                <w:rFonts w:ascii="Times New Roman" w:eastAsia="Times New Roman" w:hAnsi="Times New Roman" w:cs="Times New Roman"/>
                <w:color w:val="000000"/>
                <w:sz w:val="18"/>
                <w:szCs w:val="18"/>
                <w:lang w:val="en-US"/>
              </w:rPr>
              <w:t xml:space="preserve"> 2106</w:t>
            </w:r>
          </w:p>
        </w:tc>
        <w:tc>
          <w:tcPr>
            <w:tcW w:w="948" w:type="dxa"/>
            <w:tcBorders>
              <w:top w:val="nil"/>
              <w:left w:val="nil"/>
              <w:bottom w:val="single" w:sz="8" w:space="0" w:color="auto"/>
              <w:right w:val="single" w:sz="8" w:space="0" w:color="auto"/>
            </w:tcBorders>
            <w:shd w:val="clear" w:color="auto" w:fill="auto"/>
            <w:vAlign w:val="center"/>
            <w:hideMark/>
          </w:tcPr>
          <w:p w14:paraId="660E628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000000" w:fill="FFFF00"/>
            <w:vAlign w:val="center"/>
            <w:hideMark/>
          </w:tcPr>
          <w:p w14:paraId="50E5A8C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I33 or 4210</w:t>
            </w:r>
          </w:p>
        </w:tc>
        <w:tc>
          <w:tcPr>
            <w:tcW w:w="927" w:type="dxa"/>
            <w:tcBorders>
              <w:top w:val="nil"/>
              <w:left w:val="nil"/>
              <w:bottom w:val="single" w:sz="8" w:space="0" w:color="auto"/>
              <w:right w:val="single" w:sz="8" w:space="0" w:color="auto"/>
            </w:tcBorders>
            <w:shd w:val="clear" w:color="auto" w:fill="auto"/>
            <w:vAlign w:val="center"/>
            <w:hideMark/>
          </w:tcPr>
          <w:p w14:paraId="1588EA2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tcBorders>
              <w:top w:val="nil"/>
              <w:left w:val="nil"/>
              <w:bottom w:val="single" w:sz="8" w:space="0" w:color="auto"/>
              <w:right w:val="single" w:sz="8" w:space="0" w:color="auto"/>
            </w:tcBorders>
            <w:shd w:val="clear" w:color="000000" w:fill="FABF8F"/>
            <w:vAlign w:val="center"/>
            <w:hideMark/>
          </w:tcPr>
          <w:p w14:paraId="408BD0C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4219/I339</w:t>
            </w:r>
          </w:p>
        </w:tc>
        <w:tc>
          <w:tcPr>
            <w:tcW w:w="927" w:type="dxa"/>
            <w:tcBorders>
              <w:top w:val="nil"/>
              <w:left w:val="nil"/>
              <w:bottom w:val="single" w:sz="8" w:space="0" w:color="auto"/>
              <w:right w:val="single" w:sz="8" w:space="0" w:color="auto"/>
            </w:tcBorders>
            <w:shd w:val="clear" w:color="auto" w:fill="auto"/>
            <w:vAlign w:val="center"/>
            <w:hideMark/>
          </w:tcPr>
          <w:p w14:paraId="4ED550B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auto" w:fill="auto"/>
            <w:vAlign w:val="center"/>
            <w:hideMark/>
          </w:tcPr>
          <w:p w14:paraId="6887327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25A79D8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000000" w:fill="E5B8B7"/>
            <w:vAlign w:val="center"/>
            <w:hideMark/>
          </w:tcPr>
          <w:p w14:paraId="2A52200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65ACA79C" w14:textId="77777777" w:rsidTr="0057144F">
        <w:trPr>
          <w:trHeight w:val="100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37E377C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Toyoda </w:t>
            </w:r>
            <w:r w:rsidRPr="0057144F">
              <w:rPr>
                <w:rFonts w:ascii="Times New Roman" w:eastAsia="Times New Roman" w:hAnsi="Times New Roman" w:cs="Times New Roman"/>
                <w:color w:val="000000"/>
                <w:sz w:val="18"/>
                <w:szCs w:val="18"/>
                <w:vertAlign w:val="superscript"/>
                <w:lang w:val="en-US"/>
              </w:rPr>
              <w:t>25</w:t>
            </w:r>
            <w:r w:rsidRPr="0057144F">
              <w:rPr>
                <w:rFonts w:ascii="Times New Roman" w:eastAsia="Times New Roman" w:hAnsi="Times New Roman" w:cs="Times New Roman"/>
                <w:color w:val="000000"/>
                <w:sz w:val="18"/>
                <w:szCs w:val="18"/>
                <w:lang w:val="en-US"/>
              </w:rPr>
              <w:t>: assessment of incidence 2017</w:t>
            </w:r>
          </w:p>
        </w:tc>
        <w:tc>
          <w:tcPr>
            <w:tcW w:w="948" w:type="dxa"/>
            <w:tcBorders>
              <w:top w:val="nil"/>
              <w:left w:val="nil"/>
              <w:bottom w:val="single" w:sz="8" w:space="0" w:color="auto"/>
              <w:right w:val="single" w:sz="8" w:space="0" w:color="auto"/>
            </w:tcBorders>
            <w:shd w:val="clear" w:color="auto" w:fill="auto"/>
            <w:vAlign w:val="center"/>
            <w:hideMark/>
          </w:tcPr>
          <w:p w14:paraId="2C75F20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000000" w:fill="FFFF00"/>
            <w:vAlign w:val="center"/>
            <w:hideMark/>
          </w:tcPr>
          <w:p w14:paraId="43D35C0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tcBorders>
              <w:top w:val="nil"/>
              <w:left w:val="nil"/>
              <w:bottom w:val="single" w:sz="8" w:space="0" w:color="auto"/>
              <w:right w:val="single" w:sz="8" w:space="0" w:color="auto"/>
            </w:tcBorders>
            <w:shd w:val="clear" w:color="000000" w:fill="FFFFCC"/>
            <w:vAlign w:val="center"/>
            <w:hideMark/>
          </w:tcPr>
          <w:p w14:paraId="1E7F203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tcBorders>
              <w:top w:val="nil"/>
              <w:left w:val="nil"/>
              <w:bottom w:val="single" w:sz="8" w:space="0" w:color="auto"/>
              <w:right w:val="single" w:sz="8" w:space="0" w:color="auto"/>
            </w:tcBorders>
            <w:shd w:val="clear" w:color="000000" w:fill="FABF8F"/>
            <w:vAlign w:val="center"/>
            <w:hideMark/>
          </w:tcPr>
          <w:p w14:paraId="0E03880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tcBorders>
              <w:top w:val="nil"/>
              <w:left w:val="nil"/>
              <w:bottom w:val="single" w:sz="8" w:space="0" w:color="auto"/>
              <w:right w:val="single" w:sz="8" w:space="0" w:color="auto"/>
            </w:tcBorders>
            <w:shd w:val="clear" w:color="000000" w:fill="FDE9D9"/>
            <w:vAlign w:val="center"/>
            <w:hideMark/>
          </w:tcPr>
          <w:p w14:paraId="3885D77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892" w:type="dxa"/>
            <w:tcBorders>
              <w:top w:val="nil"/>
              <w:left w:val="nil"/>
              <w:bottom w:val="single" w:sz="8" w:space="0" w:color="auto"/>
              <w:right w:val="single" w:sz="8" w:space="0" w:color="auto"/>
            </w:tcBorders>
            <w:shd w:val="clear" w:color="000000" w:fill="00B050"/>
            <w:vAlign w:val="center"/>
            <w:hideMark/>
          </w:tcPr>
          <w:p w14:paraId="01A8048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tcBorders>
              <w:top w:val="nil"/>
              <w:left w:val="nil"/>
              <w:bottom w:val="single" w:sz="8" w:space="0" w:color="auto"/>
              <w:right w:val="single" w:sz="8" w:space="0" w:color="auto"/>
            </w:tcBorders>
            <w:shd w:val="clear" w:color="auto" w:fill="auto"/>
            <w:vAlign w:val="center"/>
            <w:hideMark/>
          </w:tcPr>
          <w:p w14:paraId="25C2015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000000" w:fill="E5B8B7"/>
            <w:vAlign w:val="center"/>
            <w:hideMark/>
          </w:tcPr>
          <w:p w14:paraId="1EBA21B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1B5258DA" w14:textId="77777777" w:rsidTr="0057144F">
        <w:trPr>
          <w:trHeight w:val="949"/>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2BA6F55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Toyoda</w:t>
            </w:r>
            <w:r w:rsidRPr="0057144F">
              <w:rPr>
                <w:rFonts w:ascii="Times New Roman" w:eastAsia="Times New Roman" w:hAnsi="Times New Roman" w:cs="Times New Roman"/>
                <w:color w:val="000000"/>
                <w:sz w:val="18"/>
                <w:szCs w:val="18"/>
                <w:vertAlign w:val="superscript"/>
                <w:lang w:val="en-US"/>
              </w:rPr>
              <w:t>25</w:t>
            </w:r>
            <w:r w:rsidRPr="0057144F">
              <w:rPr>
                <w:rFonts w:ascii="Times New Roman" w:eastAsia="Times New Roman" w:hAnsi="Times New Roman" w:cs="Times New Roman"/>
                <w:color w:val="000000"/>
                <w:sz w:val="18"/>
                <w:szCs w:val="18"/>
                <w:lang w:val="en-US"/>
              </w:rPr>
              <w:t xml:space="preserve"> additional: coding accuracy   2017</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3F1F98F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3A3B638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136686F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5F557A4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DE9D9"/>
            <w:vAlign w:val="center"/>
            <w:hideMark/>
          </w:tcPr>
          <w:p w14:paraId="6D4155A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892" w:type="dxa"/>
            <w:vMerge w:val="restart"/>
            <w:tcBorders>
              <w:top w:val="nil"/>
              <w:left w:val="single" w:sz="8" w:space="0" w:color="auto"/>
              <w:bottom w:val="single" w:sz="8" w:space="0" w:color="000000"/>
              <w:right w:val="single" w:sz="8" w:space="0" w:color="auto"/>
            </w:tcBorders>
            <w:shd w:val="clear" w:color="000000" w:fill="00B050"/>
            <w:vAlign w:val="center"/>
            <w:hideMark/>
          </w:tcPr>
          <w:p w14:paraId="7E80C42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2CF22B8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617D347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39BF1343"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41276FB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20F4EAF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6EE6BD6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24FCF0A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16AA428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1CC68CB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0811C66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2CF59A3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652AE5C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5B8BBD27" w14:textId="77777777" w:rsidTr="0057144F">
        <w:trPr>
          <w:trHeight w:val="48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7252BBB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Sakai-Bizmark</w:t>
            </w:r>
            <w:r w:rsidRPr="0057144F">
              <w:rPr>
                <w:rFonts w:ascii="Times New Roman" w:eastAsia="Times New Roman" w:hAnsi="Times New Roman" w:cs="Times New Roman"/>
                <w:color w:val="000000"/>
                <w:sz w:val="18"/>
                <w:szCs w:val="18"/>
                <w:vertAlign w:val="superscript"/>
                <w:lang w:val="en-US"/>
              </w:rPr>
              <w:t>26</w:t>
            </w:r>
            <w:r w:rsidRPr="0057144F">
              <w:rPr>
                <w:rFonts w:ascii="Times New Roman" w:eastAsia="Times New Roman" w:hAnsi="Times New Roman" w:cs="Times New Roman"/>
                <w:color w:val="000000"/>
                <w:sz w:val="18"/>
                <w:szCs w:val="18"/>
                <w:lang w:val="en-US"/>
              </w:rPr>
              <w:t xml:space="preserve"> 2017</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6AF9500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97FD48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380899C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tcBorders>
              <w:top w:val="nil"/>
              <w:left w:val="nil"/>
              <w:bottom w:val="nil"/>
              <w:right w:val="single" w:sz="8" w:space="0" w:color="auto"/>
            </w:tcBorders>
            <w:shd w:val="clear" w:color="000000" w:fill="FABF8F"/>
            <w:vAlign w:val="center"/>
            <w:hideMark/>
          </w:tcPr>
          <w:p w14:paraId="3D01432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Yes 4211 4219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747B499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38C45A0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5FBE0BA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18D26C2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245D1FA8" w14:textId="77777777" w:rsidTr="0057144F">
        <w:trPr>
          <w:trHeight w:val="975"/>
        </w:trPr>
        <w:tc>
          <w:tcPr>
            <w:tcW w:w="1190" w:type="dxa"/>
            <w:vMerge/>
            <w:tcBorders>
              <w:top w:val="nil"/>
              <w:left w:val="single" w:sz="8" w:space="0" w:color="auto"/>
              <w:bottom w:val="single" w:sz="8" w:space="0" w:color="000000"/>
              <w:right w:val="single" w:sz="8" w:space="0" w:color="auto"/>
            </w:tcBorders>
            <w:vAlign w:val="center"/>
            <w:hideMark/>
          </w:tcPr>
          <w:p w14:paraId="1AE468B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479235B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4F242D6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9EFE7B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tcBorders>
              <w:top w:val="nil"/>
              <w:left w:val="nil"/>
              <w:bottom w:val="single" w:sz="8" w:space="0" w:color="auto"/>
              <w:right w:val="single" w:sz="8" w:space="0" w:color="auto"/>
            </w:tcBorders>
            <w:shd w:val="clear" w:color="000000" w:fill="FABF8F"/>
            <w:vAlign w:val="center"/>
            <w:hideMark/>
          </w:tcPr>
          <w:p w14:paraId="439A5DD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If prim/sec code infective code </w:t>
            </w:r>
          </w:p>
        </w:tc>
        <w:tc>
          <w:tcPr>
            <w:tcW w:w="927" w:type="dxa"/>
            <w:vMerge/>
            <w:tcBorders>
              <w:top w:val="nil"/>
              <w:left w:val="single" w:sz="8" w:space="0" w:color="auto"/>
              <w:bottom w:val="single" w:sz="8" w:space="0" w:color="000000"/>
              <w:right w:val="single" w:sz="8" w:space="0" w:color="auto"/>
            </w:tcBorders>
            <w:vAlign w:val="center"/>
            <w:hideMark/>
          </w:tcPr>
          <w:p w14:paraId="140F81B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31F0E7B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01F5DF8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508BF5A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7ECDA52F" w14:textId="77777777" w:rsidTr="0057144F">
        <w:trPr>
          <w:trHeight w:val="900"/>
        </w:trPr>
        <w:tc>
          <w:tcPr>
            <w:tcW w:w="1190" w:type="dxa"/>
            <w:tcBorders>
              <w:top w:val="nil"/>
              <w:left w:val="single" w:sz="8" w:space="0" w:color="auto"/>
              <w:bottom w:val="nil"/>
              <w:right w:val="single" w:sz="8" w:space="0" w:color="auto"/>
            </w:tcBorders>
            <w:shd w:val="clear" w:color="auto" w:fill="auto"/>
            <w:vAlign w:val="center"/>
            <w:hideMark/>
          </w:tcPr>
          <w:p w14:paraId="23943BC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lastRenderedPageBreak/>
              <w:t>Gupta et al</w:t>
            </w:r>
            <w:r w:rsidRPr="0057144F">
              <w:rPr>
                <w:rFonts w:ascii="Times New Roman" w:eastAsia="Times New Roman" w:hAnsi="Times New Roman" w:cs="Times New Roman"/>
                <w:color w:val="000000"/>
                <w:sz w:val="18"/>
                <w:szCs w:val="18"/>
                <w:vertAlign w:val="superscript"/>
                <w:lang w:val="en-US"/>
              </w:rPr>
              <w:t>28</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08C65A0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3C776C8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4C8AFED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0B5F2D6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09884,03642, 11281, 11504 11514 11594</w:t>
            </w:r>
          </w:p>
        </w:tc>
        <w:tc>
          <w:tcPr>
            <w:tcW w:w="927" w:type="dxa"/>
            <w:vMerge w:val="restart"/>
            <w:tcBorders>
              <w:top w:val="nil"/>
              <w:left w:val="single" w:sz="8" w:space="0" w:color="auto"/>
              <w:bottom w:val="single" w:sz="8" w:space="0" w:color="000000"/>
              <w:right w:val="single" w:sz="8" w:space="0" w:color="auto"/>
            </w:tcBorders>
            <w:shd w:val="clear" w:color="000000" w:fill="FDE9D9"/>
            <w:vAlign w:val="center"/>
            <w:hideMark/>
          </w:tcPr>
          <w:p w14:paraId="5D5CFA0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09884, 03642, 11281, 11504 11514 11594</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52F151F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E3102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37EF9FA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541C5313" w14:textId="77777777" w:rsidTr="0057144F">
        <w:trPr>
          <w:trHeight w:val="49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3246E72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2017 update </w:t>
            </w:r>
          </w:p>
        </w:tc>
        <w:tc>
          <w:tcPr>
            <w:tcW w:w="948" w:type="dxa"/>
            <w:vMerge/>
            <w:tcBorders>
              <w:top w:val="nil"/>
              <w:left w:val="single" w:sz="8" w:space="0" w:color="auto"/>
              <w:bottom w:val="single" w:sz="8" w:space="0" w:color="000000"/>
              <w:right w:val="single" w:sz="8" w:space="0" w:color="auto"/>
            </w:tcBorders>
            <w:vAlign w:val="center"/>
            <w:hideMark/>
          </w:tcPr>
          <w:p w14:paraId="651E660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5A3C465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5562B1B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4647E7C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4F94CA7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1A28F28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2FED0C1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33F4DF0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41DB97B6"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5DABE9B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Pasquali </w:t>
            </w:r>
            <w:r w:rsidRPr="0057144F">
              <w:rPr>
                <w:rFonts w:ascii="Times New Roman" w:eastAsia="Times New Roman" w:hAnsi="Times New Roman" w:cs="Times New Roman"/>
                <w:color w:val="000000"/>
                <w:sz w:val="18"/>
                <w:szCs w:val="18"/>
                <w:vertAlign w:val="superscript"/>
                <w:lang w:val="en-US"/>
              </w:rPr>
              <w:t>29</w:t>
            </w:r>
            <w:r w:rsidRPr="0057144F">
              <w:rPr>
                <w:rFonts w:ascii="Times New Roman" w:eastAsia="Times New Roman" w:hAnsi="Times New Roman" w:cs="Times New Roman"/>
                <w:color w:val="000000"/>
                <w:sz w:val="18"/>
                <w:szCs w:val="18"/>
                <w:lang w:val="en-US"/>
              </w:rPr>
              <w:t xml:space="preserve">  2012</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2731642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nil"/>
              <w:right w:val="single" w:sz="8" w:space="0" w:color="auto"/>
            </w:tcBorders>
            <w:shd w:val="clear" w:color="000000" w:fill="FFFF00"/>
            <w:vAlign w:val="center"/>
            <w:hideMark/>
          </w:tcPr>
          <w:p w14:paraId="2CDBE3C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tcBorders>
              <w:top w:val="nil"/>
              <w:left w:val="nil"/>
              <w:bottom w:val="nil"/>
              <w:right w:val="single" w:sz="8" w:space="0" w:color="auto"/>
            </w:tcBorders>
            <w:shd w:val="clear" w:color="000000" w:fill="FFFFCC"/>
            <w:vAlign w:val="center"/>
            <w:hideMark/>
          </w:tcPr>
          <w:p w14:paraId="0ABDA78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28CFB66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4395BCF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627F8CB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52458C9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513037D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11ED3779" w14:textId="77777777" w:rsidTr="0057144F">
        <w:trPr>
          <w:trHeight w:val="315"/>
        </w:trPr>
        <w:tc>
          <w:tcPr>
            <w:tcW w:w="1190" w:type="dxa"/>
            <w:vMerge/>
            <w:tcBorders>
              <w:top w:val="nil"/>
              <w:left w:val="single" w:sz="8" w:space="0" w:color="auto"/>
              <w:bottom w:val="single" w:sz="8" w:space="0" w:color="000000"/>
              <w:right w:val="single" w:sz="8" w:space="0" w:color="auto"/>
            </w:tcBorders>
            <w:vAlign w:val="center"/>
            <w:hideMark/>
          </w:tcPr>
          <w:p w14:paraId="2058021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6B546E6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tcBorders>
              <w:top w:val="nil"/>
              <w:left w:val="nil"/>
              <w:bottom w:val="single" w:sz="8" w:space="0" w:color="auto"/>
              <w:right w:val="single" w:sz="8" w:space="0" w:color="auto"/>
            </w:tcBorders>
            <w:shd w:val="clear" w:color="000000" w:fill="FFFF00"/>
            <w:vAlign w:val="center"/>
            <w:hideMark/>
          </w:tcPr>
          <w:p w14:paraId="211BC3DA"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plus abx </w:t>
            </w:r>
          </w:p>
        </w:tc>
        <w:tc>
          <w:tcPr>
            <w:tcW w:w="927" w:type="dxa"/>
            <w:tcBorders>
              <w:top w:val="nil"/>
              <w:left w:val="nil"/>
              <w:bottom w:val="single" w:sz="8" w:space="0" w:color="auto"/>
              <w:right w:val="single" w:sz="8" w:space="0" w:color="auto"/>
            </w:tcBorders>
            <w:shd w:val="clear" w:color="000000" w:fill="FFFFCC"/>
            <w:vAlign w:val="center"/>
            <w:hideMark/>
          </w:tcPr>
          <w:p w14:paraId="41354DA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Plus abx</w:t>
            </w:r>
          </w:p>
        </w:tc>
        <w:tc>
          <w:tcPr>
            <w:tcW w:w="1020" w:type="dxa"/>
            <w:vMerge/>
            <w:tcBorders>
              <w:top w:val="nil"/>
              <w:left w:val="single" w:sz="8" w:space="0" w:color="auto"/>
              <w:bottom w:val="single" w:sz="8" w:space="0" w:color="000000"/>
              <w:right w:val="single" w:sz="8" w:space="0" w:color="auto"/>
            </w:tcBorders>
            <w:vAlign w:val="center"/>
            <w:hideMark/>
          </w:tcPr>
          <w:p w14:paraId="34F0AFC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109409F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1A4DE8D9"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9EA8A3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75C4974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75FB58A9"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5475CFF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xml:space="preserve">Fedeli </w:t>
            </w:r>
            <w:r w:rsidRPr="0057144F">
              <w:rPr>
                <w:rFonts w:ascii="Times New Roman" w:eastAsia="Times New Roman" w:hAnsi="Times New Roman" w:cs="Times New Roman"/>
                <w:color w:val="000000"/>
                <w:sz w:val="18"/>
                <w:szCs w:val="18"/>
                <w:vertAlign w:val="superscript"/>
                <w:lang w:val="en-US"/>
              </w:rPr>
              <w:t>12</w:t>
            </w:r>
            <w:r w:rsidRPr="0057144F">
              <w:rPr>
                <w:rFonts w:ascii="Times New Roman" w:eastAsia="Times New Roman" w:hAnsi="Times New Roman" w:cs="Times New Roman"/>
                <w:color w:val="000000"/>
                <w:sz w:val="18"/>
                <w:szCs w:val="18"/>
                <w:lang w:val="en-US"/>
              </w:rPr>
              <w:t>2011</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46B8C4C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3961ABA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7304248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00FB161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DE9D9"/>
            <w:vAlign w:val="center"/>
            <w:hideMark/>
          </w:tcPr>
          <w:p w14:paraId="3B8BDE6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7FDFF20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4D54EF5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4E6E3BD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75EC4C65"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4685414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0125502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0F81A7F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C156B7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5CC9D86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467F501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1D3155E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08BA6CC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72EC7FB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3C633BDA"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053BB27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Schneeweiss</w:t>
            </w:r>
            <w:r w:rsidRPr="0057144F">
              <w:rPr>
                <w:rFonts w:ascii="Times New Roman" w:eastAsia="Times New Roman" w:hAnsi="Times New Roman" w:cs="Times New Roman"/>
                <w:color w:val="000000"/>
                <w:sz w:val="18"/>
                <w:szCs w:val="18"/>
                <w:vertAlign w:val="superscript"/>
                <w:lang w:val="en-US"/>
              </w:rPr>
              <w:t>32</w:t>
            </w:r>
            <w:r w:rsidRPr="0057144F">
              <w:rPr>
                <w:rFonts w:ascii="Times New Roman" w:eastAsia="Times New Roman" w:hAnsi="Times New Roman" w:cs="Times New Roman"/>
                <w:color w:val="000000"/>
                <w:sz w:val="18"/>
                <w:szCs w:val="18"/>
                <w:lang w:val="en-US"/>
              </w:rPr>
              <w:t xml:space="preserve"> 2007 </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5E39FE6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1E1B5B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7B04464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14:paraId="6E09F3A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D62FD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auto" w:fill="auto"/>
            <w:vAlign w:val="center"/>
            <w:hideMark/>
          </w:tcPr>
          <w:p w14:paraId="49F6AFB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17BFBA1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hideMark/>
          </w:tcPr>
          <w:p w14:paraId="3152466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69F50DBA"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45FBE5A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6BA5E7C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56B961E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20EEE0E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0737821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785B93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601E5FA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08491F6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78477F8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0957D08A" w14:textId="77777777" w:rsidTr="0057144F">
        <w:trPr>
          <w:trHeight w:val="300"/>
        </w:trPr>
        <w:tc>
          <w:tcPr>
            <w:tcW w:w="1190" w:type="dxa"/>
            <w:vMerge w:val="restart"/>
            <w:tcBorders>
              <w:top w:val="nil"/>
              <w:left w:val="single" w:sz="8" w:space="0" w:color="auto"/>
              <w:bottom w:val="single" w:sz="8" w:space="0" w:color="000000"/>
              <w:right w:val="single" w:sz="8" w:space="0" w:color="auto"/>
            </w:tcBorders>
            <w:shd w:val="clear" w:color="auto" w:fill="auto"/>
            <w:vAlign w:val="center"/>
            <w:hideMark/>
          </w:tcPr>
          <w:p w14:paraId="791C79C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Sunder</w:t>
            </w:r>
            <w:r w:rsidRPr="0057144F">
              <w:rPr>
                <w:rFonts w:ascii="Times New Roman" w:eastAsia="Times New Roman" w:hAnsi="Times New Roman" w:cs="Times New Roman"/>
                <w:color w:val="000000"/>
                <w:sz w:val="18"/>
                <w:szCs w:val="18"/>
                <w:vertAlign w:val="superscript"/>
                <w:lang w:val="en-US"/>
              </w:rPr>
              <w:t>33</w:t>
            </w:r>
            <w:r w:rsidRPr="0057144F">
              <w:rPr>
                <w:rFonts w:ascii="Times New Roman" w:eastAsia="Times New Roman" w:hAnsi="Times New Roman" w:cs="Times New Roman"/>
                <w:color w:val="000000"/>
                <w:sz w:val="18"/>
                <w:szCs w:val="18"/>
                <w:lang w:val="en-US"/>
              </w:rPr>
              <w:t xml:space="preserve"> 2015</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14:paraId="5477AB24"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0DED6F9B"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FFFFCC"/>
            <w:vAlign w:val="center"/>
            <w:hideMark/>
          </w:tcPr>
          <w:p w14:paraId="68DF338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vMerge w:val="restart"/>
            <w:tcBorders>
              <w:top w:val="nil"/>
              <w:left w:val="single" w:sz="8" w:space="0" w:color="auto"/>
              <w:bottom w:val="single" w:sz="8" w:space="0" w:color="000000"/>
              <w:right w:val="single" w:sz="8" w:space="0" w:color="auto"/>
            </w:tcBorders>
            <w:shd w:val="clear" w:color="000000" w:fill="FABF8F"/>
            <w:vAlign w:val="center"/>
            <w:hideMark/>
          </w:tcPr>
          <w:p w14:paraId="55C8679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I39 T826</w:t>
            </w:r>
          </w:p>
        </w:tc>
        <w:tc>
          <w:tcPr>
            <w:tcW w:w="927" w:type="dxa"/>
            <w:vMerge w:val="restart"/>
            <w:tcBorders>
              <w:top w:val="nil"/>
              <w:left w:val="single" w:sz="8" w:space="0" w:color="auto"/>
              <w:bottom w:val="single" w:sz="8" w:space="0" w:color="000000"/>
              <w:right w:val="single" w:sz="8" w:space="0" w:color="auto"/>
            </w:tcBorders>
            <w:shd w:val="clear" w:color="000000" w:fill="FDE9D9"/>
            <w:vAlign w:val="center"/>
            <w:hideMark/>
          </w:tcPr>
          <w:p w14:paraId="043A990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I39 T826</w:t>
            </w:r>
          </w:p>
        </w:tc>
        <w:tc>
          <w:tcPr>
            <w:tcW w:w="892" w:type="dxa"/>
            <w:vMerge w:val="restart"/>
            <w:tcBorders>
              <w:top w:val="nil"/>
              <w:left w:val="single" w:sz="8" w:space="0" w:color="auto"/>
              <w:bottom w:val="single" w:sz="8" w:space="0" w:color="000000"/>
              <w:right w:val="single" w:sz="8" w:space="0" w:color="auto"/>
            </w:tcBorders>
            <w:shd w:val="clear" w:color="000000" w:fill="00B050"/>
            <w:vAlign w:val="center"/>
            <w:hideMark/>
          </w:tcPr>
          <w:p w14:paraId="570E13A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5214297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17" w:type="dxa"/>
            <w:vMerge w:val="restart"/>
            <w:tcBorders>
              <w:top w:val="nil"/>
              <w:left w:val="single" w:sz="8" w:space="0" w:color="auto"/>
              <w:bottom w:val="single" w:sz="8" w:space="0" w:color="000000"/>
              <w:right w:val="single" w:sz="8" w:space="0" w:color="auto"/>
            </w:tcBorders>
            <w:shd w:val="clear" w:color="000000" w:fill="E5B8B7"/>
            <w:vAlign w:val="center"/>
            <w:hideMark/>
          </w:tcPr>
          <w:p w14:paraId="6A8848A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r>
      <w:tr w:rsidR="0057144F" w:rsidRPr="0057144F" w14:paraId="4873E076" w14:textId="77777777" w:rsidTr="0057144F">
        <w:trPr>
          <w:trHeight w:val="464"/>
        </w:trPr>
        <w:tc>
          <w:tcPr>
            <w:tcW w:w="1190" w:type="dxa"/>
            <w:vMerge/>
            <w:tcBorders>
              <w:top w:val="nil"/>
              <w:left w:val="single" w:sz="8" w:space="0" w:color="auto"/>
              <w:bottom w:val="single" w:sz="8" w:space="0" w:color="000000"/>
              <w:right w:val="single" w:sz="8" w:space="0" w:color="auto"/>
            </w:tcBorders>
            <w:vAlign w:val="center"/>
            <w:hideMark/>
          </w:tcPr>
          <w:p w14:paraId="08E7F58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vMerge/>
            <w:tcBorders>
              <w:top w:val="nil"/>
              <w:left w:val="single" w:sz="8" w:space="0" w:color="auto"/>
              <w:bottom w:val="single" w:sz="8" w:space="0" w:color="000000"/>
              <w:right w:val="single" w:sz="8" w:space="0" w:color="auto"/>
            </w:tcBorders>
            <w:vAlign w:val="center"/>
            <w:hideMark/>
          </w:tcPr>
          <w:p w14:paraId="45C2389E"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4702EEAC"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568B1E3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1020" w:type="dxa"/>
            <w:vMerge/>
            <w:tcBorders>
              <w:top w:val="nil"/>
              <w:left w:val="single" w:sz="8" w:space="0" w:color="auto"/>
              <w:bottom w:val="single" w:sz="8" w:space="0" w:color="000000"/>
              <w:right w:val="single" w:sz="8" w:space="0" w:color="auto"/>
            </w:tcBorders>
            <w:vAlign w:val="center"/>
            <w:hideMark/>
          </w:tcPr>
          <w:p w14:paraId="3212123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7A52C98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892" w:type="dxa"/>
            <w:vMerge/>
            <w:tcBorders>
              <w:top w:val="nil"/>
              <w:left w:val="single" w:sz="8" w:space="0" w:color="auto"/>
              <w:bottom w:val="single" w:sz="8" w:space="0" w:color="000000"/>
              <w:right w:val="single" w:sz="8" w:space="0" w:color="auto"/>
            </w:tcBorders>
            <w:vAlign w:val="center"/>
            <w:hideMark/>
          </w:tcPr>
          <w:p w14:paraId="550B6883"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vMerge/>
            <w:tcBorders>
              <w:top w:val="nil"/>
              <w:left w:val="single" w:sz="8" w:space="0" w:color="auto"/>
              <w:bottom w:val="single" w:sz="8" w:space="0" w:color="000000"/>
              <w:right w:val="single" w:sz="8" w:space="0" w:color="auto"/>
            </w:tcBorders>
            <w:vAlign w:val="center"/>
            <w:hideMark/>
          </w:tcPr>
          <w:p w14:paraId="31B5434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17" w:type="dxa"/>
            <w:vMerge/>
            <w:tcBorders>
              <w:top w:val="nil"/>
              <w:left w:val="single" w:sz="8" w:space="0" w:color="auto"/>
              <w:bottom w:val="single" w:sz="8" w:space="0" w:color="000000"/>
              <w:right w:val="single" w:sz="8" w:space="0" w:color="auto"/>
            </w:tcBorders>
            <w:vAlign w:val="center"/>
            <w:hideMark/>
          </w:tcPr>
          <w:p w14:paraId="11E2E4E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r>
      <w:tr w:rsidR="0057144F" w:rsidRPr="0057144F" w14:paraId="5A35A29C" w14:textId="77777777" w:rsidTr="0057144F">
        <w:trPr>
          <w:trHeight w:val="525"/>
        </w:trPr>
        <w:tc>
          <w:tcPr>
            <w:tcW w:w="1190" w:type="dxa"/>
            <w:tcBorders>
              <w:top w:val="nil"/>
              <w:left w:val="single" w:sz="8" w:space="0" w:color="auto"/>
              <w:bottom w:val="single" w:sz="8" w:space="0" w:color="auto"/>
              <w:right w:val="single" w:sz="8" w:space="0" w:color="auto"/>
            </w:tcBorders>
            <w:shd w:val="clear" w:color="auto" w:fill="auto"/>
            <w:vAlign w:val="center"/>
            <w:hideMark/>
          </w:tcPr>
          <w:p w14:paraId="2076DC58"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Thornhill</w:t>
            </w:r>
            <w:r w:rsidRPr="0057144F">
              <w:rPr>
                <w:rFonts w:ascii="Times New Roman" w:eastAsia="Times New Roman" w:hAnsi="Times New Roman" w:cs="Times New Roman"/>
                <w:color w:val="000000"/>
                <w:sz w:val="18"/>
                <w:szCs w:val="18"/>
                <w:vertAlign w:val="superscript"/>
                <w:lang w:val="en-US"/>
              </w:rPr>
              <w:t>30</w:t>
            </w:r>
            <w:r w:rsidRPr="0057144F">
              <w:rPr>
                <w:rFonts w:ascii="Times New Roman" w:eastAsia="Times New Roman" w:hAnsi="Times New Roman" w:cs="Times New Roman"/>
                <w:color w:val="000000"/>
                <w:sz w:val="18"/>
                <w:szCs w:val="18"/>
                <w:lang w:val="en-US"/>
              </w:rPr>
              <w:t>2018</w:t>
            </w:r>
          </w:p>
        </w:tc>
        <w:tc>
          <w:tcPr>
            <w:tcW w:w="948" w:type="dxa"/>
            <w:tcBorders>
              <w:top w:val="nil"/>
              <w:left w:val="nil"/>
              <w:bottom w:val="single" w:sz="8" w:space="0" w:color="auto"/>
              <w:right w:val="single" w:sz="8" w:space="0" w:color="auto"/>
            </w:tcBorders>
            <w:shd w:val="clear" w:color="auto" w:fill="auto"/>
            <w:vAlign w:val="center"/>
            <w:hideMark/>
          </w:tcPr>
          <w:p w14:paraId="0AEFEEC5"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892" w:type="dxa"/>
            <w:tcBorders>
              <w:top w:val="nil"/>
              <w:left w:val="nil"/>
              <w:bottom w:val="single" w:sz="8" w:space="0" w:color="auto"/>
              <w:right w:val="single" w:sz="8" w:space="0" w:color="auto"/>
            </w:tcBorders>
            <w:shd w:val="clear" w:color="000000" w:fill="FFFF00"/>
            <w:vAlign w:val="center"/>
            <w:hideMark/>
          </w:tcPr>
          <w:p w14:paraId="31A7A407"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927" w:type="dxa"/>
            <w:tcBorders>
              <w:top w:val="nil"/>
              <w:left w:val="nil"/>
              <w:bottom w:val="single" w:sz="8" w:space="0" w:color="auto"/>
              <w:right w:val="single" w:sz="8" w:space="0" w:color="auto"/>
            </w:tcBorders>
            <w:shd w:val="clear" w:color="000000" w:fill="FFFFCC"/>
            <w:vAlign w:val="center"/>
            <w:hideMark/>
          </w:tcPr>
          <w:p w14:paraId="074C7DA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yes</w:t>
            </w:r>
          </w:p>
        </w:tc>
        <w:tc>
          <w:tcPr>
            <w:tcW w:w="1020" w:type="dxa"/>
            <w:tcBorders>
              <w:top w:val="nil"/>
              <w:left w:val="nil"/>
              <w:bottom w:val="single" w:sz="8" w:space="0" w:color="auto"/>
              <w:right w:val="single" w:sz="8" w:space="0" w:color="auto"/>
            </w:tcBorders>
            <w:shd w:val="clear" w:color="000000" w:fill="FABF8F"/>
            <w:vAlign w:val="center"/>
            <w:hideMark/>
          </w:tcPr>
          <w:p w14:paraId="1C7E4D96"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4211   4219</w:t>
            </w:r>
          </w:p>
        </w:tc>
        <w:tc>
          <w:tcPr>
            <w:tcW w:w="927" w:type="dxa"/>
            <w:tcBorders>
              <w:top w:val="nil"/>
              <w:left w:val="nil"/>
              <w:bottom w:val="single" w:sz="8" w:space="0" w:color="auto"/>
              <w:right w:val="single" w:sz="8" w:space="0" w:color="auto"/>
            </w:tcBorders>
            <w:shd w:val="clear" w:color="000000" w:fill="FDE9D9"/>
            <w:vAlign w:val="center"/>
            <w:hideMark/>
          </w:tcPr>
          <w:p w14:paraId="34733102"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4211   4219</w:t>
            </w:r>
          </w:p>
        </w:tc>
        <w:tc>
          <w:tcPr>
            <w:tcW w:w="892" w:type="dxa"/>
            <w:tcBorders>
              <w:top w:val="nil"/>
              <w:left w:val="nil"/>
              <w:bottom w:val="single" w:sz="8" w:space="0" w:color="auto"/>
              <w:right w:val="single" w:sz="8" w:space="0" w:color="auto"/>
            </w:tcBorders>
            <w:shd w:val="clear" w:color="auto" w:fill="auto"/>
            <w:vAlign w:val="center"/>
            <w:hideMark/>
          </w:tcPr>
          <w:p w14:paraId="422BF870"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27" w:type="dxa"/>
            <w:tcBorders>
              <w:top w:val="nil"/>
              <w:left w:val="nil"/>
              <w:bottom w:val="single" w:sz="8" w:space="0" w:color="auto"/>
              <w:right w:val="single" w:sz="8" w:space="0" w:color="auto"/>
            </w:tcBorders>
            <w:shd w:val="clear" w:color="auto" w:fill="auto"/>
            <w:vAlign w:val="center"/>
            <w:hideMark/>
          </w:tcPr>
          <w:p w14:paraId="2BE6AAF1"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c>
          <w:tcPr>
            <w:tcW w:w="917" w:type="dxa"/>
            <w:tcBorders>
              <w:top w:val="nil"/>
              <w:left w:val="nil"/>
              <w:bottom w:val="single" w:sz="8" w:space="0" w:color="auto"/>
              <w:right w:val="single" w:sz="8" w:space="0" w:color="auto"/>
            </w:tcBorders>
            <w:shd w:val="clear" w:color="auto" w:fill="auto"/>
            <w:vAlign w:val="center"/>
            <w:hideMark/>
          </w:tcPr>
          <w:p w14:paraId="4B38B99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 </w:t>
            </w:r>
          </w:p>
        </w:tc>
      </w:tr>
      <w:tr w:rsidR="0057144F" w:rsidRPr="0057144F" w14:paraId="5EFD5EA0" w14:textId="77777777" w:rsidTr="0057144F">
        <w:trPr>
          <w:trHeight w:val="300"/>
        </w:trPr>
        <w:tc>
          <w:tcPr>
            <w:tcW w:w="1190" w:type="dxa"/>
            <w:tcBorders>
              <w:top w:val="nil"/>
              <w:left w:val="nil"/>
              <w:bottom w:val="nil"/>
              <w:right w:val="nil"/>
            </w:tcBorders>
            <w:shd w:val="clear" w:color="auto" w:fill="auto"/>
            <w:noWrap/>
            <w:vAlign w:val="center"/>
            <w:hideMark/>
          </w:tcPr>
          <w:p w14:paraId="56AC2E0F"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48" w:type="dxa"/>
            <w:tcBorders>
              <w:top w:val="nil"/>
              <w:left w:val="nil"/>
              <w:bottom w:val="nil"/>
              <w:right w:val="nil"/>
            </w:tcBorders>
            <w:shd w:val="clear" w:color="auto" w:fill="auto"/>
            <w:noWrap/>
            <w:vAlign w:val="bottom"/>
            <w:hideMark/>
          </w:tcPr>
          <w:p w14:paraId="266FEB2A"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892" w:type="dxa"/>
            <w:tcBorders>
              <w:top w:val="nil"/>
              <w:left w:val="nil"/>
              <w:bottom w:val="nil"/>
              <w:right w:val="nil"/>
            </w:tcBorders>
            <w:shd w:val="clear" w:color="auto" w:fill="auto"/>
            <w:noWrap/>
            <w:vAlign w:val="bottom"/>
            <w:hideMark/>
          </w:tcPr>
          <w:p w14:paraId="2E9D6B72"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27" w:type="dxa"/>
            <w:tcBorders>
              <w:top w:val="nil"/>
              <w:left w:val="nil"/>
              <w:bottom w:val="nil"/>
              <w:right w:val="nil"/>
            </w:tcBorders>
            <w:shd w:val="clear" w:color="auto" w:fill="auto"/>
            <w:noWrap/>
            <w:vAlign w:val="bottom"/>
            <w:hideMark/>
          </w:tcPr>
          <w:p w14:paraId="682FCF4D"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1020" w:type="dxa"/>
            <w:tcBorders>
              <w:top w:val="nil"/>
              <w:left w:val="nil"/>
              <w:bottom w:val="nil"/>
              <w:right w:val="nil"/>
            </w:tcBorders>
            <w:shd w:val="clear" w:color="auto" w:fill="auto"/>
            <w:noWrap/>
            <w:vAlign w:val="bottom"/>
            <w:hideMark/>
          </w:tcPr>
          <w:p w14:paraId="0D30A37A"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27" w:type="dxa"/>
            <w:tcBorders>
              <w:top w:val="nil"/>
              <w:left w:val="nil"/>
              <w:bottom w:val="nil"/>
              <w:right w:val="nil"/>
            </w:tcBorders>
            <w:shd w:val="clear" w:color="auto" w:fill="auto"/>
            <w:noWrap/>
            <w:vAlign w:val="bottom"/>
            <w:hideMark/>
          </w:tcPr>
          <w:p w14:paraId="1DFC4561"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892" w:type="dxa"/>
            <w:tcBorders>
              <w:top w:val="nil"/>
              <w:left w:val="nil"/>
              <w:bottom w:val="nil"/>
              <w:right w:val="nil"/>
            </w:tcBorders>
            <w:shd w:val="clear" w:color="auto" w:fill="auto"/>
            <w:noWrap/>
            <w:vAlign w:val="bottom"/>
            <w:hideMark/>
          </w:tcPr>
          <w:p w14:paraId="71FE6DB5"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27" w:type="dxa"/>
            <w:tcBorders>
              <w:top w:val="nil"/>
              <w:left w:val="nil"/>
              <w:bottom w:val="nil"/>
              <w:right w:val="nil"/>
            </w:tcBorders>
            <w:shd w:val="clear" w:color="auto" w:fill="auto"/>
            <w:noWrap/>
            <w:vAlign w:val="bottom"/>
            <w:hideMark/>
          </w:tcPr>
          <w:p w14:paraId="48C39FEE"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17" w:type="dxa"/>
            <w:tcBorders>
              <w:top w:val="nil"/>
              <w:left w:val="nil"/>
              <w:bottom w:val="nil"/>
              <w:right w:val="nil"/>
            </w:tcBorders>
            <w:shd w:val="clear" w:color="auto" w:fill="auto"/>
            <w:noWrap/>
            <w:vAlign w:val="bottom"/>
            <w:hideMark/>
          </w:tcPr>
          <w:p w14:paraId="13DB4BF3"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r>
      <w:tr w:rsidR="0057144F" w:rsidRPr="0057144F" w14:paraId="61F602BB" w14:textId="77777777" w:rsidTr="0057144F">
        <w:trPr>
          <w:trHeight w:val="300"/>
        </w:trPr>
        <w:tc>
          <w:tcPr>
            <w:tcW w:w="2138" w:type="dxa"/>
            <w:gridSpan w:val="2"/>
            <w:tcBorders>
              <w:top w:val="nil"/>
              <w:left w:val="nil"/>
              <w:bottom w:val="nil"/>
              <w:right w:val="nil"/>
            </w:tcBorders>
            <w:shd w:val="clear" w:color="auto" w:fill="auto"/>
            <w:noWrap/>
            <w:vAlign w:val="center"/>
            <w:hideMark/>
          </w:tcPr>
          <w:p w14:paraId="3924068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r w:rsidRPr="0057144F">
              <w:rPr>
                <w:rFonts w:ascii="Times New Roman" w:eastAsia="Times New Roman" w:hAnsi="Times New Roman" w:cs="Times New Roman"/>
                <w:color w:val="000000"/>
                <w:sz w:val="18"/>
                <w:szCs w:val="18"/>
                <w:lang w:val="en-US"/>
              </w:rPr>
              <w:t>Note: abx=antibiotics</w:t>
            </w:r>
          </w:p>
        </w:tc>
        <w:tc>
          <w:tcPr>
            <w:tcW w:w="892" w:type="dxa"/>
            <w:tcBorders>
              <w:top w:val="nil"/>
              <w:left w:val="nil"/>
              <w:bottom w:val="nil"/>
              <w:right w:val="nil"/>
            </w:tcBorders>
            <w:shd w:val="clear" w:color="auto" w:fill="auto"/>
            <w:noWrap/>
            <w:vAlign w:val="bottom"/>
            <w:hideMark/>
          </w:tcPr>
          <w:p w14:paraId="361C34AD" w14:textId="77777777" w:rsidR="0057144F" w:rsidRPr="0057144F" w:rsidRDefault="0057144F" w:rsidP="0057144F">
            <w:pPr>
              <w:spacing w:line="240" w:lineRule="auto"/>
              <w:rPr>
                <w:rFonts w:ascii="Times New Roman" w:eastAsia="Times New Roman" w:hAnsi="Times New Roman" w:cs="Times New Roman"/>
                <w:color w:val="000000"/>
                <w:sz w:val="18"/>
                <w:szCs w:val="18"/>
                <w:lang w:val="en-US"/>
              </w:rPr>
            </w:pPr>
          </w:p>
        </w:tc>
        <w:tc>
          <w:tcPr>
            <w:tcW w:w="927" w:type="dxa"/>
            <w:tcBorders>
              <w:top w:val="nil"/>
              <w:left w:val="nil"/>
              <w:bottom w:val="nil"/>
              <w:right w:val="nil"/>
            </w:tcBorders>
            <w:shd w:val="clear" w:color="auto" w:fill="auto"/>
            <w:noWrap/>
            <w:vAlign w:val="bottom"/>
            <w:hideMark/>
          </w:tcPr>
          <w:p w14:paraId="731DA870"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1020" w:type="dxa"/>
            <w:tcBorders>
              <w:top w:val="nil"/>
              <w:left w:val="nil"/>
              <w:bottom w:val="nil"/>
              <w:right w:val="nil"/>
            </w:tcBorders>
            <w:shd w:val="clear" w:color="auto" w:fill="auto"/>
            <w:noWrap/>
            <w:vAlign w:val="bottom"/>
            <w:hideMark/>
          </w:tcPr>
          <w:p w14:paraId="53D3B77D"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27" w:type="dxa"/>
            <w:tcBorders>
              <w:top w:val="nil"/>
              <w:left w:val="nil"/>
              <w:bottom w:val="nil"/>
              <w:right w:val="nil"/>
            </w:tcBorders>
            <w:shd w:val="clear" w:color="auto" w:fill="auto"/>
            <w:noWrap/>
            <w:vAlign w:val="bottom"/>
            <w:hideMark/>
          </w:tcPr>
          <w:p w14:paraId="7C331857"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892" w:type="dxa"/>
            <w:tcBorders>
              <w:top w:val="nil"/>
              <w:left w:val="nil"/>
              <w:bottom w:val="nil"/>
              <w:right w:val="nil"/>
            </w:tcBorders>
            <w:shd w:val="clear" w:color="auto" w:fill="auto"/>
            <w:noWrap/>
            <w:vAlign w:val="bottom"/>
            <w:hideMark/>
          </w:tcPr>
          <w:p w14:paraId="4F39AAF4"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27" w:type="dxa"/>
            <w:tcBorders>
              <w:top w:val="nil"/>
              <w:left w:val="nil"/>
              <w:bottom w:val="nil"/>
              <w:right w:val="nil"/>
            </w:tcBorders>
            <w:shd w:val="clear" w:color="auto" w:fill="auto"/>
            <w:noWrap/>
            <w:vAlign w:val="bottom"/>
            <w:hideMark/>
          </w:tcPr>
          <w:p w14:paraId="72603B76"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c>
          <w:tcPr>
            <w:tcW w:w="917" w:type="dxa"/>
            <w:tcBorders>
              <w:top w:val="nil"/>
              <w:left w:val="nil"/>
              <w:bottom w:val="nil"/>
              <w:right w:val="nil"/>
            </w:tcBorders>
            <w:shd w:val="clear" w:color="auto" w:fill="auto"/>
            <w:noWrap/>
            <w:vAlign w:val="bottom"/>
            <w:hideMark/>
          </w:tcPr>
          <w:p w14:paraId="70D6227D" w14:textId="77777777" w:rsidR="0057144F" w:rsidRPr="0057144F" w:rsidRDefault="0057144F" w:rsidP="0057144F">
            <w:pPr>
              <w:spacing w:line="240" w:lineRule="auto"/>
              <w:rPr>
                <w:rFonts w:ascii="Times New Roman" w:eastAsia="Times New Roman" w:hAnsi="Times New Roman" w:cs="Times New Roman"/>
                <w:sz w:val="20"/>
                <w:szCs w:val="20"/>
                <w:lang w:val="en-US"/>
              </w:rPr>
            </w:pPr>
          </w:p>
        </w:tc>
      </w:tr>
    </w:tbl>
    <w:p w14:paraId="64355447" w14:textId="48F7200D" w:rsidR="0057144F" w:rsidRDefault="0057144F" w:rsidP="00E47D3F">
      <w:pPr>
        <w:rPr>
          <w:rFonts w:cstheme="minorHAnsi"/>
        </w:rPr>
      </w:pPr>
    </w:p>
    <w:p w14:paraId="7EEC233B" w14:textId="77777777" w:rsidR="0057144F" w:rsidRDefault="0057144F">
      <w:pPr>
        <w:spacing w:after="200" w:line="276" w:lineRule="auto"/>
        <w:rPr>
          <w:rFonts w:cstheme="minorHAnsi"/>
        </w:rPr>
      </w:pPr>
      <w:r>
        <w:rPr>
          <w:rFonts w:cstheme="minorHAnsi"/>
        </w:rPr>
        <w:br w:type="page"/>
      </w:r>
    </w:p>
    <w:p w14:paraId="2DB38DB1" w14:textId="77777777" w:rsidR="0057144F" w:rsidRDefault="0057144F" w:rsidP="00E47D3F">
      <w:pPr>
        <w:rPr>
          <w:b/>
          <w:bCs/>
        </w:rPr>
        <w:sectPr w:rsidR="0057144F" w:rsidSect="0057144F">
          <w:pgSz w:w="11906" w:h="16838"/>
          <w:pgMar w:top="1440" w:right="1440" w:bottom="1440" w:left="1440" w:header="706" w:footer="706" w:gutter="0"/>
          <w:cols w:space="708"/>
          <w:docGrid w:linePitch="360"/>
        </w:sectPr>
      </w:pPr>
    </w:p>
    <w:p w14:paraId="331F0B09" w14:textId="20C7D7EE" w:rsidR="0057144F" w:rsidRDefault="0057144F" w:rsidP="00E47D3F">
      <w:r>
        <w:rPr>
          <w:b/>
          <w:bCs/>
        </w:rPr>
        <w:lastRenderedPageBreak/>
        <w:t xml:space="preserve">Table S3 </w:t>
      </w:r>
      <w:r>
        <w:t>Secondary/supplementary organism codes used and reviewed</w:t>
      </w:r>
    </w:p>
    <w:tbl>
      <w:tblPr>
        <w:tblW w:w="0" w:type="auto"/>
        <w:tblInd w:w="118" w:type="dxa"/>
        <w:tblLook w:val="04A0" w:firstRow="1" w:lastRow="0" w:firstColumn="1" w:lastColumn="0" w:noHBand="0" w:noVBand="1"/>
      </w:tblPr>
      <w:tblGrid>
        <w:gridCol w:w="2228"/>
        <w:gridCol w:w="11828"/>
      </w:tblGrid>
      <w:tr w:rsidR="0057144F" w:rsidRPr="0057144F" w14:paraId="0083AF85" w14:textId="77777777" w:rsidTr="0057144F">
        <w:trPr>
          <w:trHeight w:val="31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C23859"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icd10 code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4F89BF3"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icd10 description</w:t>
            </w:r>
          </w:p>
        </w:tc>
      </w:tr>
      <w:tr w:rsidR="0057144F" w:rsidRPr="0057144F" w14:paraId="7C66B9BB" w14:textId="77777777" w:rsidTr="0057144F">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6F126B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mrsa</w:t>
            </w:r>
          </w:p>
        </w:tc>
      </w:tr>
      <w:tr w:rsidR="0057144F" w:rsidRPr="0057144F" w14:paraId="385AF512"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F02749"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 xml:space="preserve">U80.1 + other staph code </w:t>
            </w:r>
          </w:p>
        </w:tc>
        <w:tc>
          <w:tcPr>
            <w:tcW w:w="0" w:type="auto"/>
            <w:tcBorders>
              <w:top w:val="nil"/>
              <w:left w:val="nil"/>
              <w:bottom w:val="single" w:sz="8" w:space="0" w:color="auto"/>
              <w:right w:val="single" w:sz="8" w:space="0" w:color="auto"/>
            </w:tcBorders>
            <w:shd w:val="clear" w:color="auto" w:fill="auto"/>
            <w:noWrap/>
            <w:vAlign w:val="center"/>
            <w:hideMark/>
          </w:tcPr>
          <w:p w14:paraId="171FC1D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 xml:space="preserve">Methicillin resistant agent </w:t>
            </w:r>
          </w:p>
        </w:tc>
      </w:tr>
      <w:tr w:rsidR="0057144F" w:rsidRPr="0057144F" w14:paraId="6F395AE4" w14:textId="77777777" w:rsidTr="0057144F">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4788956"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Staphylococcus unspecified</w:t>
            </w:r>
          </w:p>
        </w:tc>
      </w:tr>
      <w:tr w:rsidR="0057144F" w:rsidRPr="0057144F" w14:paraId="665733D5"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60D4F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A49.0</w:t>
            </w:r>
          </w:p>
        </w:tc>
        <w:tc>
          <w:tcPr>
            <w:tcW w:w="0" w:type="auto"/>
            <w:tcBorders>
              <w:top w:val="nil"/>
              <w:left w:val="nil"/>
              <w:bottom w:val="single" w:sz="8" w:space="0" w:color="auto"/>
              <w:right w:val="single" w:sz="8" w:space="0" w:color="auto"/>
            </w:tcBorders>
            <w:shd w:val="clear" w:color="auto" w:fill="auto"/>
            <w:noWrap/>
            <w:vAlign w:val="center"/>
            <w:hideMark/>
          </w:tcPr>
          <w:p w14:paraId="4BD5DB9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staphylococcal infection, unspecified site</w:t>
            </w:r>
          </w:p>
        </w:tc>
      </w:tr>
      <w:tr w:rsidR="0057144F" w:rsidRPr="0057144F" w14:paraId="264712E3"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6C60C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A41.2</w:t>
            </w:r>
          </w:p>
        </w:tc>
        <w:tc>
          <w:tcPr>
            <w:tcW w:w="0" w:type="auto"/>
            <w:tcBorders>
              <w:top w:val="nil"/>
              <w:left w:val="nil"/>
              <w:bottom w:val="single" w:sz="8" w:space="0" w:color="auto"/>
              <w:right w:val="single" w:sz="8" w:space="0" w:color="auto"/>
            </w:tcBorders>
            <w:shd w:val="clear" w:color="auto" w:fill="auto"/>
            <w:noWrap/>
            <w:vAlign w:val="center"/>
            <w:hideMark/>
          </w:tcPr>
          <w:p w14:paraId="6AC86E9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UNSPECIFIED STAPHYLOCOCCUS</w:t>
            </w:r>
          </w:p>
        </w:tc>
      </w:tr>
      <w:tr w:rsidR="0057144F" w:rsidRPr="0057144F" w14:paraId="6D61AB1A"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FAC505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A41.2</w:t>
            </w:r>
          </w:p>
        </w:tc>
        <w:tc>
          <w:tcPr>
            <w:tcW w:w="0" w:type="auto"/>
            <w:tcBorders>
              <w:top w:val="nil"/>
              <w:left w:val="nil"/>
              <w:bottom w:val="single" w:sz="8" w:space="0" w:color="auto"/>
              <w:right w:val="single" w:sz="8" w:space="0" w:color="auto"/>
            </w:tcBorders>
            <w:shd w:val="clear" w:color="auto" w:fill="auto"/>
            <w:noWrap/>
            <w:vAlign w:val="center"/>
            <w:hideMark/>
          </w:tcPr>
          <w:p w14:paraId="6092736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UNSPECIFIED STAPHYLOCOCCUS</w:t>
            </w:r>
          </w:p>
        </w:tc>
      </w:tr>
      <w:tr w:rsidR="0057144F" w:rsidRPr="0057144F" w14:paraId="2FC22B28"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EDF43D"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A41.1</w:t>
            </w:r>
          </w:p>
        </w:tc>
        <w:tc>
          <w:tcPr>
            <w:tcW w:w="0" w:type="auto"/>
            <w:tcBorders>
              <w:top w:val="nil"/>
              <w:left w:val="nil"/>
              <w:bottom w:val="single" w:sz="8" w:space="0" w:color="auto"/>
              <w:right w:val="single" w:sz="8" w:space="0" w:color="auto"/>
            </w:tcBorders>
            <w:shd w:val="clear" w:color="auto" w:fill="auto"/>
            <w:noWrap/>
            <w:vAlign w:val="center"/>
            <w:hideMark/>
          </w:tcPr>
          <w:p w14:paraId="01BFA24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OTHER SPECIFIED STAPHYLOCOCCUS</w:t>
            </w:r>
          </w:p>
        </w:tc>
      </w:tr>
      <w:tr w:rsidR="0057144F" w:rsidRPr="0057144F" w14:paraId="05EB667A"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FE667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B95.8</w:t>
            </w:r>
          </w:p>
        </w:tc>
        <w:tc>
          <w:tcPr>
            <w:tcW w:w="0" w:type="auto"/>
            <w:tcBorders>
              <w:top w:val="nil"/>
              <w:left w:val="nil"/>
              <w:bottom w:val="single" w:sz="8" w:space="0" w:color="auto"/>
              <w:right w:val="single" w:sz="8" w:space="0" w:color="auto"/>
            </w:tcBorders>
            <w:shd w:val="clear" w:color="auto" w:fill="auto"/>
            <w:noWrap/>
            <w:vAlign w:val="center"/>
            <w:hideMark/>
          </w:tcPr>
          <w:p w14:paraId="28ACBD6A"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UNSPECIFIED STAPHYLOCOCCUS AS THE CAUSE OF DISEASES CLASSIFIED ELSEWHERE</w:t>
            </w:r>
          </w:p>
        </w:tc>
      </w:tr>
      <w:tr w:rsidR="0057144F" w:rsidRPr="0057144F" w14:paraId="40C7716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6F71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B95.8</w:t>
            </w:r>
          </w:p>
        </w:tc>
        <w:tc>
          <w:tcPr>
            <w:tcW w:w="0" w:type="auto"/>
            <w:tcBorders>
              <w:top w:val="nil"/>
              <w:left w:val="nil"/>
              <w:bottom w:val="single" w:sz="8" w:space="0" w:color="auto"/>
              <w:right w:val="single" w:sz="8" w:space="0" w:color="auto"/>
            </w:tcBorders>
            <w:shd w:val="clear" w:color="auto" w:fill="auto"/>
            <w:noWrap/>
            <w:vAlign w:val="center"/>
            <w:hideMark/>
          </w:tcPr>
          <w:p w14:paraId="1601091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UNSPECIFIED STAPHYLOCOCCUS AS THE CAUSE OF DISEASES CLASSIFIED ELSEWHERE</w:t>
            </w:r>
          </w:p>
        </w:tc>
      </w:tr>
      <w:tr w:rsidR="0057144F" w:rsidRPr="0057144F" w14:paraId="4B9C804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5579E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B95.7</w:t>
            </w:r>
          </w:p>
        </w:tc>
        <w:tc>
          <w:tcPr>
            <w:tcW w:w="0" w:type="auto"/>
            <w:tcBorders>
              <w:top w:val="nil"/>
              <w:left w:val="nil"/>
              <w:bottom w:val="single" w:sz="8" w:space="0" w:color="auto"/>
              <w:right w:val="single" w:sz="8" w:space="0" w:color="auto"/>
            </w:tcBorders>
            <w:shd w:val="clear" w:color="auto" w:fill="auto"/>
            <w:noWrap/>
            <w:vAlign w:val="center"/>
            <w:hideMark/>
          </w:tcPr>
          <w:p w14:paraId="70320FF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OTHER STAPHYLOCOCCUS AS THE CAUSE OF DISEASES CLASSIFIED ELSEWHERE</w:t>
            </w:r>
          </w:p>
        </w:tc>
      </w:tr>
      <w:tr w:rsidR="0057144F" w:rsidRPr="0057144F" w14:paraId="34FB105E" w14:textId="77777777" w:rsidTr="0057144F">
        <w:trPr>
          <w:trHeight w:val="315"/>
        </w:trPr>
        <w:tc>
          <w:tcPr>
            <w:tcW w:w="0" w:type="auto"/>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DF1168D"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 xml:space="preserve">Staphylococcus aureus </w:t>
            </w:r>
          </w:p>
        </w:tc>
      </w:tr>
      <w:tr w:rsidR="0057144F" w:rsidRPr="0057144F" w14:paraId="7B8E07F8"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AFA44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A41.0</w:t>
            </w:r>
          </w:p>
        </w:tc>
        <w:tc>
          <w:tcPr>
            <w:tcW w:w="0" w:type="auto"/>
            <w:tcBorders>
              <w:top w:val="nil"/>
              <w:left w:val="nil"/>
              <w:bottom w:val="single" w:sz="8" w:space="0" w:color="auto"/>
              <w:right w:val="single" w:sz="8" w:space="0" w:color="auto"/>
            </w:tcBorders>
            <w:shd w:val="clear" w:color="auto" w:fill="auto"/>
            <w:noWrap/>
            <w:vAlign w:val="center"/>
            <w:hideMark/>
          </w:tcPr>
          <w:p w14:paraId="533D8E6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Staphylococcus aureus</w:t>
            </w:r>
          </w:p>
        </w:tc>
      </w:tr>
      <w:tr w:rsidR="0057144F" w:rsidRPr="0057144F" w14:paraId="6E3D8A95" w14:textId="77777777" w:rsidTr="0057144F">
        <w:trPr>
          <w:trHeight w:val="315"/>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12D4B88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 xml:space="preserve">Streptococcus </w:t>
            </w:r>
          </w:p>
        </w:tc>
        <w:tc>
          <w:tcPr>
            <w:tcW w:w="0" w:type="auto"/>
            <w:tcBorders>
              <w:top w:val="nil"/>
              <w:left w:val="nil"/>
              <w:bottom w:val="single" w:sz="8" w:space="0" w:color="auto"/>
              <w:right w:val="single" w:sz="8" w:space="0" w:color="auto"/>
            </w:tcBorders>
            <w:shd w:val="clear" w:color="000000" w:fill="D9D9D9"/>
            <w:noWrap/>
            <w:vAlign w:val="center"/>
            <w:hideMark/>
          </w:tcPr>
          <w:p w14:paraId="05B790E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 </w:t>
            </w:r>
          </w:p>
        </w:tc>
      </w:tr>
      <w:tr w:rsidR="0057144F" w:rsidRPr="0057144F" w14:paraId="3D8567F3"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FA7296"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B95.5</w:t>
            </w:r>
          </w:p>
        </w:tc>
        <w:tc>
          <w:tcPr>
            <w:tcW w:w="0" w:type="auto"/>
            <w:tcBorders>
              <w:top w:val="nil"/>
              <w:left w:val="nil"/>
              <w:bottom w:val="single" w:sz="8" w:space="0" w:color="auto"/>
              <w:right w:val="single" w:sz="8" w:space="0" w:color="auto"/>
            </w:tcBorders>
            <w:shd w:val="clear" w:color="auto" w:fill="auto"/>
            <w:noWrap/>
            <w:vAlign w:val="center"/>
            <w:hideMark/>
          </w:tcPr>
          <w:p w14:paraId="280AB31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UNSPECIFIED STREPTOCOCCUS AS THE CAUSE OF DISEASES CLASSIFIED ELSEWHERE</w:t>
            </w:r>
          </w:p>
        </w:tc>
      </w:tr>
      <w:tr w:rsidR="0057144F" w:rsidRPr="0057144F" w14:paraId="2E8FB3BF"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F1B303"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B95.4</w:t>
            </w:r>
          </w:p>
        </w:tc>
        <w:tc>
          <w:tcPr>
            <w:tcW w:w="0" w:type="auto"/>
            <w:tcBorders>
              <w:top w:val="nil"/>
              <w:left w:val="nil"/>
              <w:bottom w:val="single" w:sz="8" w:space="0" w:color="auto"/>
              <w:right w:val="single" w:sz="8" w:space="0" w:color="auto"/>
            </w:tcBorders>
            <w:shd w:val="clear" w:color="auto" w:fill="auto"/>
            <w:noWrap/>
            <w:vAlign w:val="center"/>
            <w:hideMark/>
          </w:tcPr>
          <w:p w14:paraId="706D5CD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OTHER STREPTOCOCCUS AS THE CAUSE OF DISEASES CLASSIFIED ELSEWHERE</w:t>
            </w:r>
          </w:p>
        </w:tc>
      </w:tr>
      <w:tr w:rsidR="0057144F" w:rsidRPr="0057144F" w14:paraId="2E251CCE"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F61C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A49.1</w:t>
            </w:r>
          </w:p>
        </w:tc>
        <w:tc>
          <w:tcPr>
            <w:tcW w:w="0" w:type="auto"/>
            <w:tcBorders>
              <w:top w:val="nil"/>
              <w:left w:val="nil"/>
              <w:bottom w:val="single" w:sz="8" w:space="0" w:color="auto"/>
              <w:right w:val="single" w:sz="8" w:space="0" w:color="auto"/>
            </w:tcBorders>
            <w:shd w:val="clear" w:color="auto" w:fill="auto"/>
            <w:noWrap/>
            <w:vAlign w:val="center"/>
            <w:hideMark/>
          </w:tcPr>
          <w:p w14:paraId="4F87F73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Streptococcal infection, unspecified site</w:t>
            </w:r>
          </w:p>
        </w:tc>
      </w:tr>
      <w:tr w:rsidR="0057144F" w:rsidRPr="0057144F" w14:paraId="117E26B0"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CEDA6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A40.8</w:t>
            </w:r>
          </w:p>
        </w:tc>
        <w:tc>
          <w:tcPr>
            <w:tcW w:w="0" w:type="auto"/>
            <w:tcBorders>
              <w:top w:val="nil"/>
              <w:left w:val="nil"/>
              <w:bottom w:val="single" w:sz="8" w:space="0" w:color="auto"/>
              <w:right w:val="single" w:sz="8" w:space="0" w:color="auto"/>
            </w:tcBorders>
            <w:shd w:val="clear" w:color="auto" w:fill="auto"/>
            <w:noWrap/>
            <w:vAlign w:val="center"/>
            <w:hideMark/>
          </w:tcPr>
          <w:p w14:paraId="7A9DC43C"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Other streptococcal sepsis</w:t>
            </w:r>
          </w:p>
        </w:tc>
      </w:tr>
      <w:tr w:rsidR="0057144F" w:rsidRPr="0057144F" w14:paraId="08B0E6FC"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9EEF3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A40.9</w:t>
            </w:r>
          </w:p>
        </w:tc>
        <w:tc>
          <w:tcPr>
            <w:tcW w:w="0" w:type="auto"/>
            <w:tcBorders>
              <w:top w:val="nil"/>
              <w:left w:val="nil"/>
              <w:bottom w:val="single" w:sz="8" w:space="0" w:color="auto"/>
              <w:right w:val="single" w:sz="8" w:space="0" w:color="auto"/>
            </w:tcBorders>
            <w:shd w:val="clear" w:color="auto" w:fill="auto"/>
            <w:noWrap/>
            <w:vAlign w:val="center"/>
            <w:hideMark/>
          </w:tcPr>
          <w:p w14:paraId="7F4B596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STREPTOCOCCAL SEPSIS, UNSPECIFIED</w:t>
            </w:r>
          </w:p>
        </w:tc>
      </w:tr>
      <w:tr w:rsidR="0057144F" w:rsidRPr="0057144F" w14:paraId="38CEFCD0"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9A180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A40.3</w:t>
            </w:r>
          </w:p>
        </w:tc>
        <w:tc>
          <w:tcPr>
            <w:tcW w:w="0" w:type="auto"/>
            <w:tcBorders>
              <w:top w:val="nil"/>
              <w:left w:val="nil"/>
              <w:bottom w:val="single" w:sz="8" w:space="0" w:color="auto"/>
              <w:right w:val="single" w:sz="8" w:space="0" w:color="auto"/>
            </w:tcBorders>
            <w:shd w:val="clear" w:color="auto" w:fill="auto"/>
            <w:noWrap/>
            <w:vAlign w:val="center"/>
            <w:hideMark/>
          </w:tcPr>
          <w:p w14:paraId="0399A802"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STREPTOCOCCUS PNEUMONIAE</w:t>
            </w:r>
          </w:p>
        </w:tc>
      </w:tr>
      <w:tr w:rsidR="0057144F" w:rsidRPr="0057144F" w14:paraId="6E2D65DE"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C5983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B95.5</w:t>
            </w:r>
          </w:p>
        </w:tc>
        <w:tc>
          <w:tcPr>
            <w:tcW w:w="0" w:type="auto"/>
            <w:tcBorders>
              <w:top w:val="nil"/>
              <w:left w:val="nil"/>
              <w:bottom w:val="single" w:sz="8" w:space="0" w:color="auto"/>
              <w:right w:val="single" w:sz="8" w:space="0" w:color="auto"/>
            </w:tcBorders>
            <w:shd w:val="clear" w:color="auto" w:fill="auto"/>
            <w:noWrap/>
            <w:vAlign w:val="center"/>
            <w:hideMark/>
          </w:tcPr>
          <w:p w14:paraId="726D8252"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UNSPECIFIED STREPTOCOCCUS AS THE CAUSE OF DISEASES CLASSIFIED ELSEWHERE</w:t>
            </w:r>
          </w:p>
        </w:tc>
      </w:tr>
      <w:tr w:rsidR="0057144F" w:rsidRPr="0057144F" w14:paraId="7EFC97CF"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A9ED02"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B95.0</w:t>
            </w:r>
          </w:p>
        </w:tc>
        <w:tc>
          <w:tcPr>
            <w:tcW w:w="0" w:type="auto"/>
            <w:tcBorders>
              <w:top w:val="nil"/>
              <w:left w:val="nil"/>
              <w:bottom w:val="single" w:sz="8" w:space="0" w:color="auto"/>
              <w:right w:val="single" w:sz="8" w:space="0" w:color="auto"/>
            </w:tcBorders>
            <w:shd w:val="clear" w:color="auto" w:fill="auto"/>
            <w:noWrap/>
            <w:vAlign w:val="center"/>
            <w:hideMark/>
          </w:tcPr>
          <w:p w14:paraId="37F64D3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STREPTOCOCCUS, GROUP A, AS THE CAUSE OF DISEASES CLASSIFIED ELSEWHERE</w:t>
            </w:r>
          </w:p>
        </w:tc>
      </w:tr>
      <w:tr w:rsidR="0057144F" w:rsidRPr="0057144F" w14:paraId="6CED881A"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58CAD3"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B95.1</w:t>
            </w:r>
          </w:p>
        </w:tc>
        <w:tc>
          <w:tcPr>
            <w:tcW w:w="0" w:type="auto"/>
            <w:tcBorders>
              <w:top w:val="nil"/>
              <w:left w:val="nil"/>
              <w:bottom w:val="single" w:sz="8" w:space="0" w:color="auto"/>
              <w:right w:val="single" w:sz="8" w:space="0" w:color="auto"/>
            </w:tcBorders>
            <w:shd w:val="clear" w:color="auto" w:fill="auto"/>
            <w:noWrap/>
            <w:vAlign w:val="center"/>
            <w:hideMark/>
          </w:tcPr>
          <w:p w14:paraId="5869C669"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STREPTOCOCCUS, GROUP B, AS THE CAUSE OF DISEASES CLASSIFIED ELSEWHERE</w:t>
            </w:r>
          </w:p>
        </w:tc>
      </w:tr>
      <w:tr w:rsidR="0057144F" w:rsidRPr="0057144F" w14:paraId="5409CA9E"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8B451A"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B95.4</w:t>
            </w:r>
          </w:p>
        </w:tc>
        <w:tc>
          <w:tcPr>
            <w:tcW w:w="0" w:type="auto"/>
            <w:tcBorders>
              <w:top w:val="nil"/>
              <w:left w:val="nil"/>
              <w:bottom w:val="single" w:sz="8" w:space="0" w:color="auto"/>
              <w:right w:val="single" w:sz="8" w:space="0" w:color="auto"/>
            </w:tcBorders>
            <w:shd w:val="clear" w:color="auto" w:fill="auto"/>
            <w:noWrap/>
            <w:vAlign w:val="center"/>
            <w:hideMark/>
          </w:tcPr>
          <w:p w14:paraId="4CE6F9CB"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OTHER STREPTOCOCCUS AS THE CAUSE OF DISEASES CLASSIFIED ELSEWHERE</w:t>
            </w:r>
          </w:p>
        </w:tc>
      </w:tr>
      <w:tr w:rsidR="0057144F" w:rsidRPr="0057144F" w14:paraId="27901BEC"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AF027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B95.2**</w:t>
            </w:r>
          </w:p>
        </w:tc>
        <w:tc>
          <w:tcPr>
            <w:tcW w:w="0" w:type="auto"/>
            <w:tcBorders>
              <w:top w:val="nil"/>
              <w:left w:val="nil"/>
              <w:bottom w:val="single" w:sz="8" w:space="0" w:color="auto"/>
              <w:right w:val="single" w:sz="8" w:space="0" w:color="auto"/>
            </w:tcBorders>
            <w:shd w:val="clear" w:color="auto" w:fill="auto"/>
            <w:noWrap/>
            <w:vAlign w:val="center"/>
            <w:hideMark/>
          </w:tcPr>
          <w:p w14:paraId="52FF4F4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STREPTOCOCCUS, GROUP d, AS THE CAUSE OF DISEASES CLASSIFIED ELSEWHERE</w:t>
            </w:r>
          </w:p>
        </w:tc>
      </w:tr>
      <w:tr w:rsidR="0057144F" w:rsidRPr="0057144F" w14:paraId="23A6C1F3"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8C061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lastRenderedPageBreak/>
              <w:t>B95.3</w:t>
            </w:r>
          </w:p>
        </w:tc>
        <w:tc>
          <w:tcPr>
            <w:tcW w:w="0" w:type="auto"/>
            <w:tcBorders>
              <w:top w:val="nil"/>
              <w:left w:val="nil"/>
              <w:bottom w:val="single" w:sz="8" w:space="0" w:color="auto"/>
              <w:right w:val="single" w:sz="8" w:space="0" w:color="auto"/>
            </w:tcBorders>
            <w:shd w:val="clear" w:color="auto" w:fill="auto"/>
            <w:noWrap/>
            <w:vAlign w:val="center"/>
            <w:hideMark/>
          </w:tcPr>
          <w:p w14:paraId="3CD3C7DA"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STREPTOCOCCUS PNEUMONIAE AS THE CAUSE OF DISEASES CLASSIFIED ELSEWHERE</w:t>
            </w:r>
          </w:p>
        </w:tc>
      </w:tr>
      <w:tr w:rsidR="0057144F" w:rsidRPr="0057144F" w14:paraId="52566DA8"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6B534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A40.0</w:t>
            </w:r>
          </w:p>
        </w:tc>
        <w:tc>
          <w:tcPr>
            <w:tcW w:w="0" w:type="auto"/>
            <w:tcBorders>
              <w:top w:val="nil"/>
              <w:left w:val="nil"/>
              <w:bottom w:val="single" w:sz="8" w:space="0" w:color="auto"/>
              <w:right w:val="single" w:sz="8" w:space="0" w:color="auto"/>
            </w:tcBorders>
            <w:shd w:val="clear" w:color="auto" w:fill="auto"/>
            <w:noWrap/>
            <w:vAlign w:val="center"/>
            <w:hideMark/>
          </w:tcPr>
          <w:p w14:paraId="6365C57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Streptococcus, group A</w:t>
            </w:r>
          </w:p>
        </w:tc>
      </w:tr>
      <w:tr w:rsidR="0057144F" w:rsidRPr="0057144F" w14:paraId="0D948C17"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B99BAC"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A40.1</w:t>
            </w:r>
          </w:p>
        </w:tc>
        <w:tc>
          <w:tcPr>
            <w:tcW w:w="0" w:type="auto"/>
            <w:tcBorders>
              <w:top w:val="nil"/>
              <w:left w:val="nil"/>
              <w:bottom w:val="single" w:sz="8" w:space="0" w:color="auto"/>
              <w:right w:val="single" w:sz="8" w:space="0" w:color="auto"/>
            </w:tcBorders>
            <w:shd w:val="clear" w:color="auto" w:fill="auto"/>
            <w:noWrap/>
            <w:vAlign w:val="center"/>
            <w:hideMark/>
          </w:tcPr>
          <w:p w14:paraId="639606ED"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Streptococcus, group B</w:t>
            </w:r>
          </w:p>
        </w:tc>
      </w:tr>
      <w:tr w:rsidR="0057144F" w:rsidRPr="0057144F" w14:paraId="44D017B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CF079B"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A40.2</w:t>
            </w:r>
          </w:p>
        </w:tc>
        <w:tc>
          <w:tcPr>
            <w:tcW w:w="0" w:type="auto"/>
            <w:tcBorders>
              <w:top w:val="nil"/>
              <w:left w:val="nil"/>
              <w:bottom w:val="single" w:sz="8" w:space="0" w:color="auto"/>
              <w:right w:val="single" w:sz="8" w:space="0" w:color="auto"/>
            </w:tcBorders>
            <w:shd w:val="clear" w:color="auto" w:fill="auto"/>
            <w:noWrap/>
            <w:vAlign w:val="center"/>
            <w:hideMark/>
          </w:tcPr>
          <w:p w14:paraId="1F63701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Streptococcus, group D</w:t>
            </w:r>
          </w:p>
        </w:tc>
      </w:tr>
      <w:tr w:rsidR="0057144F" w:rsidRPr="0057144F" w14:paraId="1AE132FF"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29CC5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A40.3</w:t>
            </w:r>
          </w:p>
        </w:tc>
        <w:tc>
          <w:tcPr>
            <w:tcW w:w="0" w:type="auto"/>
            <w:tcBorders>
              <w:top w:val="nil"/>
              <w:left w:val="nil"/>
              <w:bottom w:val="single" w:sz="8" w:space="0" w:color="auto"/>
              <w:right w:val="single" w:sz="8" w:space="0" w:color="auto"/>
            </w:tcBorders>
            <w:shd w:val="clear" w:color="auto" w:fill="auto"/>
            <w:noWrap/>
            <w:vAlign w:val="center"/>
            <w:hideMark/>
          </w:tcPr>
          <w:p w14:paraId="24924802"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Streptococcus, group D</w:t>
            </w:r>
          </w:p>
        </w:tc>
      </w:tr>
      <w:tr w:rsidR="0057144F" w:rsidRPr="0057144F" w14:paraId="31C4C1D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6E11F0"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A40.8</w:t>
            </w:r>
          </w:p>
        </w:tc>
        <w:tc>
          <w:tcPr>
            <w:tcW w:w="0" w:type="auto"/>
            <w:tcBorders>
              <w:top w:val="nil"/>
              <w:left w:val="nil"/>
              <w:bottom w:val="single" w:sz="8" w:space="0" w:color="auto"/>
              <w:right w:val="single" w:sz="8" w:space="0" w:color="auto"/>
            </w:tcBorders>
            <w:shd w:val="clear" w:color="auto" w:fill="auto"/>
            <w:noWrap/>
            <w:vAlign w:val="center"/>
            <w:hideMark/>
          </w:tcPr>
          <w:p w14:paraId="35B311F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Other streptococcal sepsis</w:t>
            </w:r>
          </w:p>
        </w:tc>
      </w:tr>
      <w:tr w:rsidR="0057144F" w:rsidRPr="0057144F" w14:paraId="4B2A4B9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4C3249"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A40.9</w:t>
            </w:r>
          </w:p>
        </w:tc>
        <w:tc>
          <w:tcPr>
            <w:tcW w:w="0" w:type="auto"/>
            <w:tcBorders>
              <w:top w:val="nil"/>
              <w:left w:val="nil"/>
              <w:bottom w:val="single" w:sz="8" w:space="0" w:color="auto"/>
              <w:right w:val="single" w:sz="8" w:space="0" w:color="auto"/>
            </w:tcBorders>
            <w:shd w:val="clear" w:color="auto" w:fill="auto"/>
            <w:noWrap/>
            <w:vAlign w:val="center"/>
            <w:hideMark/>
          </w:tcPr>
          <w:p w14:paraId="5A31FFAC"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streptococcal sepsis, unspecified</w:t>
            </w:r>
          </w:p>
        </w:tc>
      </w:tr>
      <w:tr w:rsidR="0057144F" w:rsidRPr="0057144F" w14:paraId="1ECCDA87"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A1CA99"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B95.X</w:t>
            </w:r>
          </w:p>
        </w:tc>
        <w:tc>
          <w:tcPr>
            <w:tcW w:w="0" w:type="auto"/>
            <w:tcBorders>
              <w:top w:val="nil"/>
              <w:left w:val="nil"/>
              <w:bottom w:val="single" w:sz="8" w:space="0" w:color="auto"/>
              <w:right w:val="single" w:sz="8" w:space="0" w:color="auto"/>
            </w:tcBorders>
            <w:shd w:val="clear" w:color="auto" w:fill="auto"/>
            <w:noWrap/>
            <w:vAlign w:val="center"/>
            <w:hideMark/>
          </w:tcPr>
          <w:p w14:paraId="49E6300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Streptococcus, Staphylococcus, and Enterococcus as the cause of diseases classified elsewhere</w:t>
            </w:r>
          </w:p>
        </w:tc>
      </w:tr>
      <w:tr w:rsidR="0057144F" w:rsidRPr="0057144F" w14:paraId="6E47FC8D" w14:textId="77777777" w:rsidTr="0057144F">
        <w:trPr>
          <w:trHeight w:val="375"/>
        </w:trPr>
        <w:tc>
          <w:tcPr>
            <w:tcW w:w="0" w:type="auto"/>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3E8350D"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Codes that feature only US specialised coding guidance (ICD-10-CM 2010)</w:t>
            </w:r>
            <w:r w:rsidRPr="0057144F">
              <w:rPr>
                <w:rFonts w:ascii="Times New Roman" w:eastAsia="Times New Roman" w:hAnsi="Times New Roman" w:cs="Times New Roman"/>
                <w:color w:val="000000"/>
                <w:vertAlign w:val="superscript"/>
                <w:lang w:val="en-US"/>
              </w:rPr>
              <w:t>34</w:t>
            </w:r>
            <w:r w:rsidRPr="0057144F">
              <w:rPr>
                <w:rFonts w:ascii="Times New Roman" w:eastAsia="Times New Roman" w:hAnsi="Times New Roman" w:cs="Times New Roman"/>
                <w:color w:val="000000"/>
                <w:lang w:val="en-US"/>
              </w:rPr>
              <w:t>, not in UK datasets</w:t>
            </w:r>
          </w:p>
        </w:tc>
      </w:tr>
      <w:tr w:rsidR="0057144F" w:rsidRPr="0057144F" w14:paraId="4935C14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B09C57"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B9562</w:t>
            </w:r>
          </w:p>
        </w:tc>
        <w:tc>
          <w:tcPr>
            <w:tcW w:w="0" w:type="auto"/>
            <w:tcBorders>
              <w:top w:val="nil"/>
              <w:left w:val="nil"/>
              <w:bottom w:val="single" w:sz="8" w:space="0" w:color="auto"/>
              <w:right w:val="single" w:sz="8" w:space="0" w:color="auto"/>
            </w:tcBorders>
            <w:shd w:val="clear" w:color="auto" w:fill="auto"/>
            <w:noWrap/>
            <w:vAlign w:val="center"/>
            <w:hideMark/>
          </w:tcPr>
          <w:p w14:paraId="446A9DD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METHICILLIN RESISTANT STAPHYLOCOCCUS AUREUS INFECTION AS THE CAUSE OF DISEASES CLASSIFIED ELSEWHERE</w:t>
            </w:r>
          </w:p>
        </w:tc>
      </w:tr>
      <w:tr w:rsidR="0057144F" w:rsidRPr="0057144F" w14:paraId="2AEBCF9E"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43C26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A4102</w:t>
            </w:r>
          </w:p>
        </w:tc>
        <w:tc>
          <w:tcPr>
            <w:tcW w:w="0" w:type="auto"/>
            <w:tcBorders>
              <w:top w:val="nil"/>
              <w:left w:val="nil"/>
              <w:bottom w:val="single" w:sz="8" w:space="0" w:color="auto"/>
              <w:right w:val="single" w:sz="8" w:space="0" w:color="auto"/>
            </w:tcBorders>
            <w:shd w:val="clear" w:color="auto" w:fill="auto"/>
            <w:noWrap/>
            <w:vAlign w:val="center"/>
            <w:hideMark/>
          </w:tcPr>
          <w:p w14:paraId="78853FC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METHICILLIN RESISTANT STAPHYLOCOCCUS AUREUS</w:t>
            </w:r>
          </w:p>
        </w:tc>
      </w:tr>
      <w:tr w:rsidR="0057144F" w:rsidRPr="0057144F" w14:paraId="0DFA3AE3"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88A7A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Z1611</w:t>
            </w:r>
          </w:p>
        </w:tc>
        <w:tc>
          <w:tcPr>
            <w:tcW w:w="0" w:type="auto"/>
            <w:tcBorders>
              <w:top w:val="nil"/>
              <w:left w:val="nil"/>
              <w:bottom w:val="single" w:sz="8" w:space="0" w:color="auto"/>
              <w:right w:val="single" w:sz="8" w:space="0" w:color="auto"/>
            </w:tcBorders>
            <w:shd w:val="clear" w:color="auto" w:fill="auto"/>
            <w:noWrap/>
            <w:vAlign w:val="center"/>
            <w:hideMark/>
          </w:tcPr>
          <w:p w14:paraId="1C94A7E8"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RESISTANCE TO PENICILLINS</w:t>
            </w:r>
          </w:p>
        </w:tc>
      </w:tr>
      <w:tr w:rsidR="0057144F" w:rsidRPr="0057144F" w14:paraId="6B1A5AAD"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B1D48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Z1610</w:t>
            </w:r>
          </w:p>
        </w:tc>
        <w:tc>
          <w:tcPr>
            <w:tcW w:w="0" w:type="auto"/>
            <w:tcBorders>
              <w:top w:val="nil"/>
              <w:left w:val="nil"/>
              <w:bottom w:val="single" w:sz="8" w:space="0" w:color="auto"/>
              <w:right w:val="single" w:sz="8" w:space="0" w:color="auto"/>
            </w:tcBorders>
            <w:shd w:val="clear" w:color="auto" w:fill="auto"/>
            <w:noWrap/>
            <w:vAlign w:val="center"/>
            <w:hideMark/>
          </w:tcPr>
          <w:p w14:paraId="683241FC"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RESISTANCE TO UNSPECIFIED BETA LACTAM ANTIBIOTICS</w:t>
            </w:r>
          </w:p>
        </w:tc>
      </w:tr>
      <w:tr w:rsidR="0057144F" w:rsidRPr="0057144F" w14:paraId="3C649EDF"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15A1E5"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Z1612</w:t>
            </w:r>
          </w:p>
        </w:tc>
        <w:tc>
          <w:tcPr>
            <w:tcW w:w="0" w:type="auto"/>
            <w:tcBorders>
              <w:top w:val="nil"/>
              <w:left w:val="nil"/>
              <w:bottom w:val="single" w:sz="8" w:space="0" w:color="auto"/>
              <w:right w:val="single" w:sz="8" w:space="0" w:color="auto"/>
            </w:tcBorders>
            <w:shd w:val="clear" w:color="auto" w:fill="auto"/>
            <w:noWrap/>
            <w:vAlign w:val="center"/>
            <w:hideMark/>
          </w:tcPr>
          <w:p w14:paraId="71F0C28D"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EXTENDED SPECTRUM BETA LACTAMASE (ESBL) RESISTANCE</w:t>
            </w:r>
          </w:p>
        </w:tc>
      </w:tr>
      <w:tr w:rsidR="0057144F" w:rsidRPr="0057144F" w14:paraId="5A653FF2"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2FB06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Z1619</w:t>
            </w:r>
          </w:p>
        </w:tc>
        <w:tc>
          <w:tcPr>
            <w:tcW w:w="0" w:type="auto"/>
            <w:tcBorders>
              <w:top w:val="nil"/>
              <w:left w:val="nil"/>
              <w:bottom w:val="single" w:sz="8" w:space="0" w:color="auto"/>
              <w:right w:val="single" w:sz="8" w:space="0" w:color="auto"/>
            </w:tcBorders>
            <w:shd w:val="clear" w:color="auto" w:fill="auto"/>
            <w:noWrap/>
            <w:vAlign w:val="center"/>
            <w:hideMark/>
          </w:tcPr>
          <w:p w14:paraId="6F8EF54B"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RESISTANCE TO OTHER SPECIFIED BETA LACTAM ANTIBIOTICS</w:t>
            </w:r>
          </w:p>
        </w:tc>
      </w:tr>
      <w:tr w:rsidR="0057144F" w:rsidRPr="0057144F" w14:paraId="3FF6F9F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310EF"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A4101</w:t>
            </w:r>
          </w:p>
        </w:tc>
        <w:tc>
          <w:tcPr>
            <w:tcW w:w="0" w:type="auto"/>
            <w:tcBorders>
              <w:top w:val="nil"/>
              <w:left w:val="nil"/>
              <w:bottom w:val="single" w:sz="8" w:space="0" w:color="auto"/>
              <w:right w:val="single" w:sz="8" w:space="0" w:color="auto"/>
            </w:tcBorders>
            <w:shd w:val="clear" w:color="auto" w:fill="auto"/>
            <w:noWrap/>
            <w:vAlign w:val="center"/>
            <w:hideMark/>
          </w:tcPr>
          <w:p w14:paraId="02BDA1DB"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METHICILLIN SUSCEPTIBLE STAPHYLOCOCCUS AUREUS</w:t>
            </w:r>
          </w:p>
        </w:tc>
      </w:tr>
      <w:tr w:rsidR="0057144F" w:rsidRPr="0057144F" w14:paraId="4842F02D"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DF72EA"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B9561</w:t>
            </w:r>
          </w:p>
        </w:tc>
        <w:tc>
          <w:tcPr>
            <w:tcW w:w="0" w:type="auto"/>
            <w:tcBorders>
              <w:top w:val="nil"/>
              <w:left w:val="nil"/>
              <w:bottom w:val="single" w:sz="8" w:space="0" w:color="auto"/>
              <w:right w:val="single" w:sz="8" w:space="0" w:color="auto"/>
            </w:tcBorders>
            <w:shd w:val="clear" w:color="auto" w:fill="auto"/>
            <w:noWrap/>
            <w:vAlign w:val="center"/>
            <w:hideMark/>
          </w:tcPr>
          <w:p w14:paraId="174835C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METHICILLIN SUSCEPTIBLE STAPHYLOCOCCUS AUREUS INFECTION AS THE CAUSE OF DISEASES CLASSIFIED ELSEWHERE</w:t>
            </w:r>
          </w:p>
        </w:tc>
      </w:tr>
      <w:tr w:rsidR="0057144F" w:rsidRPr="0057144F" w14:paraId="7C9ECF01"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04C321"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B9562</w:t>
            </w:r>
          </w:p>
        </w:tc>
        <w:tc>
          <w:tcPr>
            <w:tcW w:w="0" w:type="auto"/>
            <w:tcBorders>
              <w:top w:val="nil"/>
              <w:left w:val="nil"/>
              <w:bottom w:val="single" w:sz="8" w:space="0" w:color="auto"/>
              <w:right w:val="single" w:sz="8" w:space="0" w:color="auto"/>
            </w:tcBorders>
            <w:shd w:val="clear" w:color="auto" w:fill="auto"/>
            <w:noWrap/>
            <w:vAlign w:val="center"/>
            <w:hideMark/>
          </w:tcPr>
          <w:p w14:paraId="10BEA3CE"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METHICILLIN RESISTANT STAPHYLOCOCCUS AUREUS INFECTION AS THE CAUSE OF DISEASES CLASSIFIED ELSEWHERE</w:t>
            </w:r>
          </w:p>
        </w:tc>
      </w:tr>
      <w:tr w:rsidR="0057144F" w:rsidRPr="0057144F" w14:paraId="7A2B3963"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7849E7"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A4101</w:t>
            </w:r>
          </w:p>
        </w:tc>
        <w:tc>
          <w:tcPr>
            <w:tcW w:w="0" w:type="auto"/>
            <w:tcBorders>
              <w:top w:val="nil"/>
              <w:left w:val="nil"/>
              <w:bottom w:val="single" w:sz="8" w:space="0" w:color="auto"/>
              <w:right w:val="single" w:sz="8" w:space="0" w:color="auto"/>
            </w:tcBorders>
            <w:shd w:val="clear" w:color="auto" w:fill="auto"/>
            <w:noWrap/>
            <w:vAlign w:val="center"/>
            <w:hideMark/>
          </w:tcPr>
          <w:p w14:paraId="68B81C86"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SEPSIS DUE TO METHICILLIN SUSCEPTIBLE STAPHYLOCOCCUS AUREUS</w:t>
            </w:r>
          </w:p>
        </w:tc>
      </w:tr>
      <w:tr w:rsidR="0057144F" w:rsidRPr="0057144F" w14:paraId="4C327B7A" w14:textId="77777777" w:rsidTr="0057144F">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457CB4"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B9561</w:t>
            </w:r>
          </w:p>
        </w:tc>
        <w:tc>
          <w:tcPr>
            <w:tcW w:w="0" w:type="auto"/>
            <w:tcBorders>
              <w:top w:val="nil"/>
              <w:left w:val="nil"/>
              <w:bottom w:val="single" w:sz="8" w:space="0" w:color="auto"/>
              <w:right w:val="single" w:sz="8" w:space="0" w:color="auto"/>
            </w:tcBorders>
            <w:shd w:val="clear" w:color="auto" w:fill="auto"/>
            <w:noWrap/>
            <w:vAlign w:val="center"/>
            <w:hideMark/>
          </w:tcPr>
          <w:p w14:paraId="6FCDFB66"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METHICILLIN SUSCEPTIBLE STAPHYLOCOCCUS AUREUS INFECTION AS THE CAUSE OF DISEASES CLASSIFIED ELSEWHERE</w:t>
            </w:r>
          </w:p>
        </w:tc>
      </w:tr>
      <w:tr w:rsidR="0057144F" w:rsidRPr="0057144F" w14:paraId="61E17163" w14:textId="77777777" w:rsidTr="0057144F">
        <w:trPr>
          <w:trHeight w:val="960"/>
        </w:trPr>
        <w:tc>
          <w:tcPr>
            <w:tcW w:w="0" w:type="auto"/>
            <w:tcBorders>
              <w:top w:val="nil"/>
              <w:left w:val="nil"/>
              <w:bottom w:val="nil"/>
              <w:right w:val="nil"/>
            </w:tcBorders>
            <w:shd w:val="clear" w:color="auto" w:fill="auto"/>
            <w:noWrap/>
            <w:vAlign w:val="bottom"/>
            <w:hideMark/>
          </w:tcPr>
          <w:p w14:paraId="47B7E83D" w14:textId="77777777" w:rsidR="0057144F" w:rsidRPr="0057144F" w:rsidRDefault="0057144F" w:rsidP="0057144F">
            <w:pPr>
              <w:spacing w:line="240" w:lineRule="auto"/>
              <w:rPr>
                <w:rFonts w:ascii="Times New Roman" w:eastAsia="Times New Roman" w:hAnsi="Times New Roman" w:cs="Times New Roman"/>
                <w:color w:val="000000"/>
                <w:lang w:val="en-US"/>
              </w:rPr>
            </w:pPr>
          </w:p>
        </w:tc>
        <w:tc>
          <w:tcPr>
            <w:tcW w:w="0" w:type="auto"/>
            <w:tcBorders>
              <w:top w:val="nil"/>
              <w:left w:val="nil"/>
              <w:bottom w:val="nil"/>
              <w:right w:val="nil"/>
            </w:tcBorders>
            <w:shd w:val="clear" w:color="auto" w:fill="auto"/>
            <w:vAlign w:val="center"/>
            <w:hideMark/>
          </w:tcPr>
          <w:p w14:paraId="75553BBB" w14:textId="77777777" w:rsidR="0057144F" w:rsidRPr="0057144F" w:rsidRDefault="0057144F" w:rsidP="0057144F">
            <w:pPr>
              <w:spacing w:line="240" w:lineRule="auto"/>
              <w:rPr>
                <w:rFonts w:ascii="Times New Roman" w:eastAsia="Times New Roman" w:hAnsi="Times New Roman" w:cs="Times New Roman"/>
                <w:color w:val="000000"/>
                <w:lang w:val="en-US"/>
              </w:rPr>
            </w:pPr>
            <w:r w:rsidRPr="0057144F">
              <w:rPr>
                <w:rFonts w:ascii="Times New Roman" w:eastAsia="Times New Roman" w:hAnsi="Times New Roman" w:cs="Times New Roman"/>
                <w:color w:val="000000"/>
                <w:lang w:val="en-US"/>
              </w:rPr>
              <w:t>**Note: From 1</w:t>
            </w:r>
            <w:r w:rsidRPr="0057144F">
              <w:rPr>
                <w:rFonts w:ascii="Times New Roman" w:eastAsia="Times New Roman" w:hAnsi="Times New Roman" w:cs="Times New Roman"/>
                <w:color w:val="000000"/>
                <w:vertAlign w:val="superscript"/>
                <w:lang w:val="en-US"/>
              </w:rPr>
              <w:t>st</w:t>
            </w:r>
            <w:r w:rsidRPr="0057144F">
              <w:rPr>
                <w:rFonts w:ascii="Times New Roman" w:eastAsia="Times New Roman" w:hAnsi="Times New Roman" w:cs="Times New Roman"/>
                <w:color w:val="000000"/>
                <w:lang w:val="en-US"/>
              </w:rPr>
              <w:t xml:space="preserve"> April 2016, B952 became: STREPTOCOCCUS, GROUP d, </w:t>
            </w:r>
            <w:r w:rsidRPr="0057144F">
              <w:rPr>
                <w:rFonts w:ascii="Times New Roman" w:eastAsia="Times New Roman" w:hAnsi="Times New Roman" w:cs="Times New Roman"/>
                <w:color w:val="000000"/>
                <w:u w:val="single"/>
                <w:lang w:val="en-US"/>
              </w:rPr>
              <w:t>AND ENTEROCOCCUS</w:t>
            </w:r>
            <w:r w:rsidRPr="0057144F">
              <w:rPr>
                <w:rFonts w:ascii="Times New Roman" w:eastAsia="Times New Roman" w:hAnsi="Times New Roman" w:cs="Times New Roman"/>
                <w:color w:val="000000"/>
                <w:lang w:val="en-US"/>
              </w:rPr>
              <w:t xml:space="preserve"> AS THE CAUSE OF DISEASES CLASSIFIED ELSEWHERE. The ICD-9 system has had Enterococcus as a separate code 041.04, which maps to B95.2. The OUH coding team had received guidance to code Enterococcus as B95.4 –</w:t>
            </w:r>
            <w:r w:rsidRPr="0057144F">
              <w:rPr>
                <w:rFonts w:ascii="Times New Roman" w:eastAsia="Times New Roman" w:hAnsi="Times New Roman" w:cs="Times New Roman"/>
                <w:i/>
                <w:iCs/>
                <w:color w:val="000000"/>
                <w:lang w:val="en-US"/>
              </w:rPr>
              <w:t>a Streptococcus</w:t>
            </w:r>
            <w:r w:rsidRPr="0057144F">
              <w:rPr>
                <w:rFonts w:ascii="Times New Roman" w:eastAsia="Times New Roman" w:hAnsi="Times New Roman" w:cs="Times New Roman"/>
                <w:color w:val="000000"/>
                <w:lang w:val="en-US"/>
              </w:rPr>
              <w:t xml:space="preserve"> code. </w:t>
            </w:r>
          </w:p>
        </w:tc>
      </w:tr>
    </w:tbl>
    <w:p w14:paraId="678BA3EC" w14:textId="77777777" w:rsidR="0057144F" w:rsidRDefault="0057144F">
      <w:pPr>
        <w:spacing w:after="200" w:line="276" w:lineRule="auto"/>
        <w:rPr>
          <w:rFonts w:cstheme="minorHAnsi"/>
        </w:rPr>
      </w:pPr>
      <w:r>
        <w:rPr>
          <w:rFonts w:cstheme="minorHAnsi"/>
        </w:rPr>
        <w:br w:type="page"/>
      </w:r>
    </w:p>
    <w:p w14:paraId="75484506" w14:textId="0D83FEE4" w:rsidR="0057144F" w:rsidRDefault="0057144F" w:rsidP="00E47D3F">
      <w:r>
        <w:rPr>
          <w:b/>
          <w:bCs/>
        </w:rPr>
        <w:lastRenderedPageBreak/>
        <w:t xml:space="preserve">Figure S1 </w:t>
      </w:r>
      <w:r>
        <w:t>Clinical reviews in the Leeds Endocarditis Service database, Duke status and diagnostic codes</w:t>
      </w:r>
    </w:p>
    <w:p w14:paraId="1BD620EF" w14:textId="26CB74CB" w:rsidR="0057144F" w:rsidRDefault="0057144F" w:rsidP="00E47D3F">
      <w:pPr>
        <w:rPr>
          <w:rFonts w:cstheme="minorHAnsi"/>
        </w:rPr>
      </w:pPr>
      <w:r w:rsidRPr="0017725B">
        <w:rPr>
          <w:rFonts w:cstheme="minorHAnsi"/>
          <w:noProof/>
          <w:lang w:val="en-US"/>
        </w:rPr>
        <w:drawing>
          <wp:inline distT="0" distB="0" distL="0" distR="0" wp14:anchorId="2334BE65" wp14:editId="3978E3A9">
            <wp:extent cx="8206929" cy="4971799"/>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5220" cy="4976821"/>
                    </a:xfrm>
                    <a:prstGeom prst="rect">
                      <a:avLst/>
                    </a:prstGeom>
                    <a:noFill/>
                  </pic:spPr>
                </pic:pic>
              </a:graphicData>
            </a:graphic>
          </wp:inline>
        </w:drawing>
      </w:r>
    </w:p>
    <w:p w14:paraId="664C5B92" w14:textId="77777777" w:rsidR="0057144F" w:rsidRDefault="0057144F">
      <w:pPr>
        <w:spacing w:after="200" w:line="276" w:lineRule="auto"/>
        <w:rPr>
          <w:rFonts w:cstheme="minorHAnsi"/>
        </w:rPr>
      </w:pPr>
      <w:r>
        <w:rPr>
          <w:rFonts w:cstheme="minorHAnsi"/>
        </w:rPr>
        <w:br w:type="page"/>
      </w:r>
    </w:p>
    <w:p w14:paraId="32A9612D" w14:textId="77777777" w:rsidR="0057144F" w:rsidRDefault="0057144F" w:rsidP="00E47D3F">
      <w:pPr>
        <w:rPr>
          <w:b/>
          <w:bCs/>
        </w:rPr>
        <w:sectPr w:rsidR="0057144F" w:rsidSect="0057144F">
          <w:pgSz w:w="16838" w:h="11906" w:orient="landscape"/>
          <w:pgMar w:top="1440" w:right="1440" w:bottom="1440" w:left="1440" w:header="706" w:footer="706" w:gutter="0"/>
          <w:cols w:space="708"/>
          <w:docGrid w:linePitch="360"/>
        </w:sectPr>
      </w:pPr>
    </w:p>
    <w:p w14:paraId="5EDB86B3" w14:textId="7EF25B66" w:rsidR="0057144F" w:rsidRDefault="0057144F" w:rsidP="00E47D3F">
      <w:r>
        <w:rPr>
          <w:b/>
          <w:bCs/>
        </w:rPr>
        <w:lastRenderedPageBreak/>
        <w:t xml:space="preserve">Figure S2 </w:t>
      </w:r>
      <w:r>
        <w:t>Admissions with an endocarditis diagnosis code and selection for review: Oxford</w:t>
      </w:r>
    </w:p>
    <w:p w14:paraId="5079DF91" w14:textId="677111DD" w:rsidR="0057144F" w:rsidRDefault="0057144F" w:rsidP="00E47D3F">
      <w:pPr>
        <w:rPr>
          <w:rFonts w:cstheme="minorHAnsi"/>
        </w:rPr>
      </w:pPr>
      <w:r>
        <w:rPr>
          <w:noProof/>
          <w:lang w:val="en-US"/>
        </w:rPr>
        <w:drawing>
          <wp:inline distT="0" distB="0" distL="0" distR="0" wp14:anchorId="54F4CCDD" wp14:editId="5FEC82C6">
            <wp:extent cx="5188688" cy="6771932"/>
            <wp:effectExtent l="0" t="0" r="0" b="0"/>
            <wp:docPr id="1" name="Picture 1" descr="D:\WorkDIR\LOVE\a\8-14\BEI91390\12916_2019_1390_MOESM6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DIR\LOVE\a\8-14\BEI91390\12916_2019_1390_MOESM6_ES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4489" cy="6779503"/>
                    </a:xfrm>
                    <a:prstGeom prst="rect">
                      <a:avLst/>
                    </a:prstGeom>
                    <a:noFill/>
                    <a:ln>
                      <a:noFill/>
                    </a:ln>
                  </pic:spPr>
                </pic:pic>
              </a:graphicData>
            </a:graphic>
          </wp:inline>
        </w:drawing>
      </w:r>
    </w:p>
    <w:p w14:paraId="77C72CFD" w14:textId="77777777" w:rsidR="0057144F" w:rsidRDefault="0057144F">
      <w:pPr>
        <w:spacing w:after="200" w:line="276" w:lineRule="auto"/>
        <w:rPr>
          <w:rFonts w:cstheme="minorHAnsi"/>
        </w:rPr>
      </w:pPr>
      <w:r>
        <w:rPr>
          <w:rFonts w:cstheme="minorHAnsi"/>
        </w:rPr>
        <w:br w:type="page"/>
      </w:r>
    </w:p>
    <w:p w14:paraId="349C3384" w14:textId="6A27E944" w:rsidR="0057144F" w:rsidRDefault="0057144F" w:rsidP="00E47D3F">
      <w:r>
        <w:rPr>
          <w:b/>
          <w:bCs/>
        </w:rPr>
        <w:lastRenderedPageBreak/>
        <w:t xml:space="preserve">Figure S3 </w:t>
      </w:r>
      <w:r>
        <w:t>Review of electronic prescription data in Oxford 2016 with matching to coded data</w:t>
      </w:r>
    </w:p>
    <w:p w14:paraId="182CCD37" w14:textId="334EBF66" w:rsidR="0057144F" w:rsidRDefault="0057144F" w:rsidP="00E47D3F">
      <w:pPr>
        <w:rPr>
          <w:rFonts w:cstheme="minorHAnsi"/>
        </w:rPr>
      </w:pPr>
      <w:r>
        <w:rPr>
          <w:noProof/>
          <w:lang w:val="en-US"/>
        </w:rPr>
        <w:drawing>
          <wp:inline distT="0" distB="0" distL="0" distR="0" wp14:anchorId="571DB24D" wp14:editId="3EE8EE60">
            <wp:extent cx="5887632" cy="7198242"/>
            <wp:effectExtent l="0" t="0" r="0" b="3175"/>
            <wp:docPr id="2" name="Picture 2" descr="D:\WorkDIR\LOVE\a\8-14\BEI91390\12916_2019_1390_MOESM7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DIR\LOVE\a\8-14\BEI91390\12916_2019_1390_MOESM7_ES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8866" cy="7199751"/>
                    </a:xfrm>
                    <a:prstGeom prst="rect">
                      <a:avLst/>
                    </a:prstGeom>
                    <a:noFill/>
                    <a:ln>
                      <a:noFill/>
                    </a:ln>
                  </pic:spPr>
                </pic:pic>
              </a:graphicData>
            </a:graphic>
          </wp:inline>
        </w:drawing>
      </w:r>
    </w:p>
    <w:p w14:paraId="6F117EFF" w14:textId="77777777" w:rsidR="0057144F" w:rsidRDefault="0057144F">
      <w:pPr>
        <w:spacing w:after="200" w:line="276" w:lineRule="auto"/>
        <w:rPr>
          <w:rFonts w:cstheme="minorHAnsi"/>
        </w:rPr>
      </w:pPr>
      <w:r>
        <w:rPr>
          <w:rFonts w:cstheme="minorHAnsi"/>
        </w:rPr>
        <w:br w:type="page"/>
      </w:r>
    </w:p>
    <w:p w14:paraId="6C8B33CA" w14:textId="371012E0" w:rsidR="0057144F" w:rsidRDefault="001B1393" w:rsidP="00E47D3F">
      <w:r>
        <w:rPr>
          <w:b/>
          <w:bCs/>
        </w:rPr>
        <w:lastRenderedPageBreak/>
        <w:t>Table</w:t>
      </w:r>
      <w:r w:rsidR="00BA119A">
        <w:rPr>
          <w:b/>
          <w:bCs/>
        </w:rPr>
        <w:t xml:space="preserve"> S4 </w:t>
      </w:r>
      <w:r w:rsidR="00BA119A">
        <w:t>Reviews and Duke status in the Leeds Service Database and matching to endocarditis coded admissions</w:t>
      </w:r>
    </w:p>
    <w:tbl>
      <w:tblPr>
        <w:tblW w:w="0" w:type="auto"/>
        <w:tblInd w:w="113" w:type="dxa"/>
        <w:tblLook w:val="04A0" w:firstRow="1" w:lastRow="0" w:firstColumn="1" w:lastColumn="0" w:noHBand="0" w:noVBand="1"/>
      </w:tblPr>
      <w:tblGrid>
        <w:gridCol w:w="1282"/>
        <w:gridCol w:w="1446"/>
        <w:gridCol w:w="1985"/>
        <w:gridCol w:w="2000"/>
        <w:gridCol w:w="717"/>
      </w:tblGrid>
      <w:tr w:rsidR="00BA119A" w:rsidRPr="00BA119A" w14:paraId="437FE93E" w14:textId="77777777" w:rsidTr="00BA119A">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6BB697"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 xml:space="preserve">Duke Status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48A15A"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 xml:space="preserve">Both datasets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62B770"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Coding dataset only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2410F1"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Clinical dataset only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AAAB72"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Total</w:t>
            </w:r>
          </w:p>
        </w:tc>
      </w:tr>
      <w:tr w:rsidR="00BA119A" w:rsidRPr="00BA119A" w14:paraId="418C1676" w14:textId="77777777" w:rsidTr="00BA119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3BC2D"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Definite</w:t>
            </w:r>
          </w:p>
        </w:tc>
        <w:tc>
          <w:tcPr>
            <w:tcW w:w="0" w:type="auto"/>
            <w:tcBorders>
              <w:top w:val="nil"/>
              <w:left w:val="nil"/>
              <w:bottom w:val="single" w:sz="4" w:space="0" w:color="auto"/>
              <w:right w:val="single" w:sz="4" w:space="0" w:color="auto"/>
            </w:tcBorders>
            <w:shd w:val="clear" w:color="auto" w:fill="auto"/>
            <w:noWrap/>
            <w:vAlign w:val="bottom"/>
            <w:hideMark/>
          </w:tcPr>
          <w:p w14:paraId="7EF6DD37"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560</w:t>
            </w:r>
          </w:p>
        </w:tc>
        <w:tc>
          <w:tcPr>
            <w:tcW w:w="0" w:type="auto"/>
            <w:tcBorders>
              <w:top w:val="nil"/>
              <w:left w:val="nil"/>
              <w:bottom w:val="single" w:sz="4" w:space="0" w:color="auto"/>
              <w:right w:val="single" w:sz="4" w:space="0" w:color="auto"/>
            </w:tcBorders>
            <w:shd w:val="clear" w:color="auto" w:fill="auto"/>
            <w:noWrap/>
            <w:vAlign w:val="bottom"/>
            <w:hideMark/>
          </w:tcPr>
          <w:p w14:paraId="5F918323"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6C60AECD"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153</w:t>
            </w:r>
          </w:p>
        </w:tc>
        <w:tc>
          <w:tcPr>
            <w:tcW w:w="0" w:type="auto"/>
            <w:tcBorders>
              <w:top w:val="nil"/>
              <w:left w:val="nil"/>
              <w:bottom w:val="single" w:sz="4" w:space="0" w:color="auto"/>
              <w:right w:val="single" w:sz="4" w:space="0" w:color="auto"/>
            </w:tcBorders>
            <w:shd w:val="clear" w:color="auto" w:fill="auto"/>
            <w:noWrap/>
            <w:vAlign w:val="bottom"/>
            <w:hideMark/>
          </w:tcPr>
          <w:p w14:paraId="541EED8D"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713</w:t>
            </w:r>
          </w:p>
        </w:tc>
      </w:tr>
      <w:tr w:rsidR="00BA119A" w:rsidRPr="00BA119A" w14:paraId="71B602BF" w14:textId="77777777" w:rsidTr="00BA119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467759"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Possible</w:t>
            </w:r>
          </w:p>
        </w:tc>
        <w:tc>
          <w:tcPr>
            <w:tcW w:w="0" w:type="auto"/>
            <w:tcBorders>
              <w:top w:val="nil"/>
              <w:left w:val="nil"/>
              <w:bottom w:val="single" w:sz="4" w:space="0" w:color="auto"/>
              <w:right w:val="single" w:sz="4" w:space="0" w:color="auto"/>
            </w:tcBorders>
            <w:shd w:val="clear" w:color="auto" w:fill="auto"/>
            <w:noWrap/>
            <w:vAlign w:val="bottom"/>
            <w:hideMark/>
          </w:tcPr>
          <w:p w14:paraId="485D59F0"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178</w:t>
            </w:r>
          </w:p>
        </w:tc>
        <w:tc>
          <w:tcPr>
            <w:tcW w:w="0" w:type="auto"/>
            <w:tcBorders>
              <w:top w:val="nil"/>
              <w:left w:val="nil"/>
              <w:bottom w:val="single" w:sz="4" w:space="0" w:color="auto"/>
              <w:right w:val="single" w:sz="4" w:space="0" w:color="auto"/>
            </w:tcBorders>
            <w:shd w:val="clear" w:color="auto" w:fill="auto"/>
            <w:noWrap/>
            <w:vAlign w:val="bottom"/>
            <w:hideMark/>
          </w:tcPr>
          <w:p w14:paraId="40502667"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5DDE0B91"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110</w:t>
            </w:r>
          </w:p>
        </w:tc>
        <w:tc>
          <w:tcPr>
            <w:tcW w:w="0" w:type="auto"/>
            <w:tcBorders>
              <w:top w:val="nil"/>
              <w:left w:val="nil"/>
              <w:bottom w:val="single" w:sz="4" w:space="0" w:color="auto"/>
              <w:right w:val="single" w:sz="4" w:space="0" w:color="auto"/>
            </w:tcBorders>
            <w:shd w:val="clear" w:color="auto" w:fill="auto"/>
            <w:noWrap/>
            <w:vAlign w:val="bottom"/>
            <w:hideMark/>
          </w:tcPr>
          <w:p w14:paraId="2A6EA4D3"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288</w:t>
            </w:r>
          </w:p>
        </w:tc>
      </w:tr>
      <w:tr w:rsidR="00BA119A" w:rsidRPr="00BA119A" w14:paraId="18F95CC0" w14:textId="77777777" w:rsidTr="00BA119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946041"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Rejected</w:t>
            </w:r>
          </w:p>
        </w:tc>
        <w:tc>
          <w:tcPr>
            <w:tcW w:w="0" w:type="auto"/>
            <w:tcBorders>
              <w:top w:val="nil"/>
              <w:left w:val="nil"/>
              <w:bottom w:val="single" w:sz="4" w:space="0" w:color="auto"/>
              <w:right w:val="single" w:sz="4" w:space="0" w:color="auto"/>
            </w:tcBorders>
            <w:shd w:val="clear" w:color="auto" w:fill="auto"/>
            <w:noWrap/>
            <w:vAlign w:val="bottom"/>
            <w:hideMark/>
          </w:tcPr>
          <w:p w14:paraId="4D3D9C04"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101</w:t>
            </w:r>
          </w:p>
        </w:tc>
        <w:tc>
          <w:tcPr>
            <w:tcW w:w="0" w:type="auto"/>
            <w:tcBorders>
              <w:top w:val="nil"/>
              <w:left w:val="nil"/>
              <w:bottom w:val="single" w:sz="4" w:space="0" w:color="auto"/>
              <w:right w:val="single" w:sz="4" w:space="0" w:color="auto"/>
            </w:tcBorders>
            <w:shd w:val="clear" w:color="auto" w:fill="auto"/>
            <w:noWrap/>
            <w:vAlign w:val="bottom"/>
            <w:hideMark/>
          </w:tcPr>
          <w:p w14:paraId="4F972FC7"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7610B577"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818</w:t>
            </w:r>
          </w:p>
        </w:tc>
        <w:tc>
          <w:tcPr>
            <w:tcW w:w="0" w:type="auto"/>
            <w:tcBorders>
              <w:top w:val="nil"/>
              <w:left w:val="nil"/>
              <w:bottom w:val="single" w:sz="4" w:space="0" w:color="auto"/>
              <w:right w:val="single" w:sz="4" w:space="0" w:color="auto"/>
            </w:tcBorders>
            <w:shd w:val="clear" w:color="auto" w:fill="auto"/>
            <w:noWrap/>
            <w:vAlign w:val="bottom"/>
            <w:hideMark/>
          </w:tcPr>
          <w:p w14:paraId="7A0E7DB4"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919</w:t>
            </w:r>
          </w:p>
        </w:tc>
      </w:tr>
      <w:tr w:rsidR="00BA119A" w:rsidRPr="00BA119A" w14:paraId="4B9E29B6" w14:textId="77777777" w:rsidTr="00BA119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67FD0E"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w:t>
            </w:r>
          </w:p>
        </w:tc>
        <w:tc>
          <w:tcPr>
            <w:tcW w:w="0" w:type="auto"/>
            <w:tcBorders>
              <w:top w:val="nil"/>
              <w:left w:val="nil"/>
              <w:bottom w:val="single" w:sz="4" w:space="0" w:color="auto"/>
              <w:right w:val="single" w:sz="4" w:space="0" w:color="auto"/>
            </w:tcBorders>
            <w:shd w:val="clear" w:color="auto" w:fill="auto"/>
            <w:noWrap/>
            <w:vAlign w:val="bottom"/>
            <w:hideMark/>
          </w:tcPr>
          <w:p w14:paraId="7D63CA9D"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7860E2A4"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842</w:t>
            </w:r>
          </w:p>
        </w:tc>
        <w:tc>
          <w:tcPr>
            <w:tcW w:w="0" w:type="auto"/>
            <w:tcBorders>
              <w:top w:val="nil"/>
              <w:left w:val="nil"/>
              <w:bottom w:val="single" w:sz="4" w:space="0" w:color="auto"/>
              <w:right w:val="single" w:sz="4" w:space="0" w:color="auto"/>
            </w:tcBorders>
            <w:shd w:val="clear" w:color="auto" w:fill="auto"/>
            <w:noWrap/>
            <w:vAlign w:val="bottom"/>
            <w:hideMark/>
          </w:tcPr>
          <w:p w14:paraId="37E3A64A"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14:paraId="336F3056"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842</w:t>
            </w:r>
          </w:p>
        </w:tc>
      </w:tr>
      <w:tr w:rsidR="00BA119A" w:rsidRPr="00BA119A" w14:paraId="182F782A" w14:textId="77777777" w:rsidTr="00BA119A">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B2F620" w14:textId="77777777" w:rsidR="00BA119A" w:rsidRPr="00BA119A" w:rsidRDefault="00BA119A" w:rsidP="00BA119A">
            <w:pPr>
              <w:spacing w:line="240" w:lineRule="auto"/>
              <w:rPr>
                <w:rFonts w:ascii="Calibri" w:eastAsia="Times New Roman" w:hAnsi="Calibri" w:cs="Times New Roman"/>
                <w:color w:val="000000"/>
                <w:lang w:val="en-US"/>
              </w:rPr>
            </w:pPr>
            <w:r w:rsidRPr="00BA119A">
              <w:rPr>
                <w:rFonts w:ascii="Calibri" w:eastAsia="Times New Roman" w:hAnsi="Calibri" w:cs="Times New Roman"/>
                <w:color w:val="000000"/>
                <w:lang w:val="en-US"/>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2598D649"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839</w:t>
            </w:r>
          </w:p>
        </w:tc>
        <w:tc>
          <w:tcPr>
            <w:tcW w:w="0" w:type="auto"/>
            <w:tcBorders>
              <w:top w:val="nil"/>
              <w:left w:val="nil"/>
              <w:bottom w:val="single" w:sz="4" w:space="0" w:color="auto"/>
              <w:right w:val="single" w:sz="4" w:space="0" w:color="auto"/>
            </w:tcBorders>
            <w:shd w:val="clear" w:color="auto" w:fill="auto"/>
            <w:noWrap/>
            <w:vAlign w:val="bottom"/>
            <w:hideMark/>
          </w:tcPr>
          <w:p w14:paraId="73616BE2"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842</w:t>
            </w:r>
          </w:p>
        </w:tc>
        <w:tc>
          <w:tcPr>
            <w:tcW w:w="0" w:type="auto"/>
            <w:tcBorders>
              <w:top w:val="nil"/>
              <w:left w:val="nil"/>
              <w:bottom w:val="single" w:sz="4" w:space="0" w:color="auto"/>
              <w:right w:val="single" w:sz="4" w:space="0" w:color="auto"/>
            </w:tcBorders>
            <w:shd w:val="clear" w:color="auto" w:fill="auto"/>
            <w:noWrap/>
            <w:vAlign w:val="bottom"/>
            <w:hideMark/>
          </w:tcPr>
          <w:p w14:paraId="7B74B43C"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1,081</w:t>
            </w:r>
          </w:p>
        </w:tc>
        <w:tc>
          <w:tcPr>
            <w:tcW w:w="0" w:type="auto"/>
            <w:tcBorders>
              <w:top w:val="nil"/>
              <w:left w:val="nil"/>
              <w:bottom w:val="single" w:sz="4" w:space="0" w:color="auto"/>
              <w:right w:val="single" w:sz="4" w:space="0" w:color="auto"/>
            </w:tcBorders>
            <w:shd w:val="clear" w:color="auto" w:fill="auto"/>
            <w:noWrap/>
            <w:vAlign w:val="bottom"/>
            <w:hideMark/>
          </w:tcPr>
          <w:p w14:paraId="47335ACE" w14:textId="77777777" w:rsidR="00BA119A" w:rsidRPr="00BA119A" w:rsidRDefault="00BA119A" w:rsidP="00BA119A">
            <w:pPr>
              <w:spacing w:line="240" w:lineRule="auto"/>
              <w:jc w:val="center"/>
              <w:rPr>
                <w:rFonts w:ascii="Calibri" w:eastAsia="Times New Roman" w:hAnsi="Calibri" w:cs="Times New Roman"/>
                <w:color w:val="000000"/>
                <w:lang w:val="en-US"/>
              </w:rPr>
            </w:pPr>
            <w:r w:rsidRPr="00BA119A">
              <w:rPr>
                <w:rFonts w:ascii="Calibri" w:eastAsia="Times New Roman" w:hAnsi="Calibri" w:cs="Times New Roman"/>
                <w:color w:val="000000"/>
                <w:lang w:val="en-US"/>
              </w:rPr>
              <w:t>2,762</w:t>
            </w:r>
          </w:p>
        </w:tc>
      </w:tr>
    </w:tbl>
    <w:p w14:paraId="7D02AA0A" w14:textId="34B0DD8E" w:rsidR="00BA119A" w:rsidRDefault="00BA119A" w:rsidP="00E47D3F">
      <w:pPr>
        <w:rPr>
          <w:rFonts w:cstheme="minorHAnsi"/>
        </w:rPr>
      </w:pPr>
    </w:p>
    <w:p w14:paraId="00304F3B" w14:textId="585C3837" w:rsidR="00BA119A" w:rsidRDefault="00BA119A" w:rsidP="00E47D3F">
      <w:pPr>
        <w:rPr>
          <w:rFonts w:cstheme="minorHAnsi"/>
        </w:rPr>
      </w:pPr>
    </w:p>
    <w:p w14:paraId="64E56F25" w14:textId="50E5CC83" w:rsidR="00BA119A" w:rsidRDefault="00BA119A" w:rsidP="00E47D3F">
      <w:pPr>
        <w:rPr>
          <w:rFonts w:cstheme="minorHAnsi"/>
        </w:rPr>
      </w:pPr>
    </w:p>
    <w:p w14:paraId="1AE390EA" w14:textId="5BFB3F8E" w:rsidR="001B1393" w:rsidRDefault="001B1393">
      <w:pPr>
        <w:spacing w:after="200" w:line="276" w:lineRule="auto"/>
        <w:rPr>
          <w:rFonts w:cstheme="minorHAnsi"/>
        </w:rPr>
      </w:pPr>
      <w:r>
        <w:rPr>
          <w:rFonts w:cstheme="minorHAnsi"/>
        </w:rPr>
        <w:br w:type="page"/>
      </w:r>
    </w:p>
    <w:p w14:paraId="65F3B753" w14:textId="77777777" w:rsidR="001B1393" w:rsidRDefault="001B1393" w:rsidP="00E47D3F">
      <w:pPr>
        <w:rPr>
          <w:b/>
        </w:rPr>
        <w:sectPr w:rsidR="001B1393" w:rsidSect="0057144F">
          <w:pgSz w:w="11906" w:h="16838"/>
          <w:pgMar w:top="1440" w:right="1440" w:bottom="1440" w:left="1440" w:header="706" w:footer="706" w:gutter="0"/>
          <w:cols w:space="708"/>
          <w:docGrid w:linePitch="360"/>
        </w:sectPr>
      </w:pPr>
    </w:p>
    <w:p w14:paraId="2076ABC1" w14:textId="3D61A495" w:rsidR="00BA119A" w:rsidRDefault="001B1393" w:rsidP="00E47D3F">
      <w:r w:rsidRPr="001B1393">
        <w:rPr>
          <w:b/>
        </w:rPr>
        <w:lastRenderedPageBreak/>
        <w:t>Table S5</w:t>
      </w:r>
      <w:r>
        <w:t xml:space="preserve"> Agreement between different combinations of endocarditis-coded admissions and confirmed clinical cases in Oxford </w:t>
      </w:r>
    </w:p>
    <w:tbl>
      <w:tblPr>
        <w:tblW w:w="0" w:type="auto"/>
        <w:tblInd w:w="113" w:type="dxa"/>
        <w:tblLayout w:type="fixed"/>
        <w:tblLook w:val="04A0" w:firstRow="1" w:lastRow="0" w:firstColumn="1" w:lastColumn="0" w:noHBand="0" w:noVBand="1"/>
      </w:tblPr>
      <w:tblGrid>
        <w:gridCol w:w="2335"/>
        <w:gridCol w:w="771"/>
        <w:gridCol w:w="838"/>
        <w:gridCol w:w="1001"/>
        <w:gridCol w:w="924"/>
        <w:gridCol w:w="966"/>
        <w:gridCol w:w="1080"/>
        <w:gridCol w:w="1080"/>
        <w:gridCol w:w="1530"/>
        <w:gridCol w:w="1170"/>
        <w:gridCol w:w="792"/>
        <w:gridCol w:w="1188"/>
      </w:tblGrid>
      <w:tr w:rsidR="001B1393" w:rsidRPr="001B1393" w14:paraId="50584F9B" w14:textId="77777777" w:rsidTr="001B1393">
        <w:trPr>
          <w:trHeight w:val="300"/>
        </w:trPr>
        <w:tc>
          <w:tcPr>
            <w:tcW w:w="2335" w:type="dxa"/>
            <w:tcBorders>
              <w:top w:val="single" w:sz="4" w:space="0" w:color="auto"/>
              <w:left w:val="single" w:sz="4" w:space="0" w:color="auto"/>
              <w:bottom w:val="nil"/>
              <w:right w:val="single" w:sz="4" w:space="0" w:color="auto"/>
            </w:tcBorders>
            <w:shd w:val="clear" w:color="auto" w:fill="auto"/>
            <w:noWrap/>
            <w:vAlign w:val="bottom"/>
            <w:hideMark/>
          </w:tcPr>
          <w:p w14:paraId="630E196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2610" w:type="dxa"/>
            <w:gridSpan w:val="3"/>
            <w:tcBorders>
              <w:top w:val="single" w:sz="4" w:space="0" w:color="auto"/>
              <w:left w:val="nil"/>
              <w:bottom w:val="nil"/>
              <w:right w:val="single" w:sz="4" w:space="0" w:color="auto"/>
            </w:tcBorders>
            <w:shd w:val="clear" w:color="auto" w:fill="auto"/>
            <w:noWrap/>
            <w:vAlign w:val="bottom"/>
            <w:hideMark/>
          </w:tcPr>
          <w:p w14:paraId="1F1FC120" w14:textId="2B2C515E"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removal of admissions with: </w:t>
            </w:r>
          </w:p>
        </w:tc>
        <w:tc>
          <w:tcPr>
            <w:tcW w:w="924" w:type="dxa"/>
            <w:tcBorders>
              <w:top w:val="single" w:sz="4" w:space="0" w:color="auto"/>
              <w:left w:val="nil"/>
              <w:bottom w:val="nil"/>
              <w:right w:val="nil"/>
            </w:tcBorders>
            <w:shd w:val="clear" w:color="auto" w:fill="auto"/>
            <w:noWrap/>
            <w:vAlign w:val="bottom"/>
            <w:hideMark/>
          </w:tcPr>
          <w:p w14:paraId="20409B0E"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66" w:type="dxa"/>
            <w:tcBorders>
              <w:top w:val="single" w:sz="4" w:space="0" w:color="auto"/>
              <w:left w:val="single" w:sz="4" w:space="0" w:color="auto"/>
              <w:bottom w:val="nil"/>
              <w:right w:val="single" w:sz="4" w:space="0" w:color="auto"/>
            </w:tcBorders>
            <w:shd w:val="clear" w:color="auto" w:fill="auto"/>
            <w:noWrap/>
            <w:vAlign w:val="bottom"/>
            <w:hideMark/>
          </w:tcPr>
          <w:p w14:paraId="698924E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single" w:sz="4" w:space="0" w:color="auto"/>
              <w:left w:val="nil"/>
              <w:bottom w:val="nil"/>
              <w:right w:val="nil"/>
            </w:tcBorders>
            <w:shd w:val="clear" w:color="auto" w:fill="auto"/>
            <w:noWrap/>
            <w:vAlign w:val="bottom"/>
            <w:hideMark/>
          </w:tcPr>
          <w:p w14:paraId="4D5A84D1"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24A63545"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single" w:sz="4" w:space="0" w:color="auto"/>
              <w:left w:val="nil"/>
              <w:bottom w:val="nil"/>
              <w:right w:val="nil"/>
            </w:tcBorders>
            <w:shd w:val="clear" w:color="auto" w:fill="auto"/>
            <w:noWrap/>
            <w:vAlign w:val="bottom"/>
            <w:hideMark/>
          </w:tcPr>
          <w:p w14:paraId="17566EC3"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proportion audit</w:t>
            </w:r>
          </w:p>
        </w:tc>
        <w:tc>
          <w:tcPr>
            <w:tcW w:w="1170" w:type="dxa"/>
            <w:tcBorders>
              <w:top w:val="single" w:sz="4" w:space="0" w:color="auto"/>
              <w:left w:val="single" w:sz="4" w:space="0" w:color="auto"/>
              <w:bottom w:val="nil"/>
              <w:right w:val="single" w:sz="4" w:space="0" w:color="auto"/>
            </w:tcBorders>
            <w:shd w:val="clear" w:color="auto" w:fill="auto"/>
            <w:noWrap/>
            <w:vAlign w:val="bottom"/>
            <w:hideMark/>
          </w:tcPr>
          <w:p w14:paraId="69E3E86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single" w:sz="4" w:space="0" w:color="auto"/>
              <w:left w:val="nil"/>
              <w:bottom w:val="nil"/>
              <w:right w:val="nil"/>
            </w:tcBorders>
            <w:shd w:val="clear" w:color="auto" w:fill="auto"/>
            <w:noWrap/>
            <w:vAlign w:val="bottom"/>
            <w:hideMark/>
          </w:tcPr>
          <w:p w14:paraId="6756E49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188" w:type="dxa"/>
            <w:tcBorders>
              <w:top w:val="single" w:sz="4" w:space="0" w:color="auto"/>
              <w:left w:val="single" w:sz="4" w:space="0" w:color="auto"/>
              <w:bottom w:val="nil"/>
              <w:right w:val="single" w:sz="4" w:space="0" w:color="auto"/>
            </w:tcBorders>
            <w:shd w:val="clear" w:color="auto" w:fill="auto"/>
            <w:noWrap/>
            <w:vAlign w:val="bottom"/>
            <w:hideMark/>
          </w:tcPr>
          <w:p w14:paraId="0B8D8C9E"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proportion audit </w:t>
            </w:r>
          </w:p>
        </w:tc>
      </w:tr>
      <w:tr w:rsidR="001B1393" w:rsidRPr="001B1393" w14:paraId="12E88B36"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66F2CEB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71" w:type="dxa"/>
            <w:tcBorders>
              <w:top w:val="single" w:sz="4" w:space="0" w:color="auto"/>
              <w:left w:val="single" w:sz="4" w:space="0" w:color="auto"/>
              <w:bottom w:val="nil"/>
              <w:right w:val="nil"/>
            </w:tcBorders>
            <w:shd w:val="clear" w:color="auto" w:fill="auto"/>
            <w:noWrap/>
            <w:vAlign w:val="bottom"/>
            <w:hideMark/>
          </w:tcPr>
          <w:p w14:paraId="0BF1216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&lt;3day</w:t>
            </w:r>
          </w:p>
        </w:tc>
        <w:tc>
          <w:tcPr>
            <w:tcW w:w="838" w:type="dxa"/>
            <w:tcBorders>
              <w:top w:val="single" w:sz="4" w:space="0" w:color="auto"/>
              <w:left w:val="single" w:sz="4" w:space="0" w:color="auto"/>
              <w:bottom w:val="nil"/>
              <w:right w:val="single" w:sz="4" w:space="0" w:color="auto"/>
            </w:tcBorders>
            <w:shd w:val="clear" w:color="auto" w:fill="auto"/>
            <w:noWrap/>
            <w:vAlign w:val="bottom"/>
            <w:hideMark/>
          </w:tcPr>
          <w:p w14:paraId="3C9BBEA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readm</w:t>
            </w:r>
          </w:p>
        </w:tc>
        <w:tc>
          <w:tcPr>
            <w:tcW w:w="1001" w:type="dxa"/>
            <w:tcBorders>
              <w:top w:val="single" w:sz="4" w:space="0" w:color="auto"/>
              <w:left w:val="nil"/>
              <w:bottom w:val="nil"/>
              <w:right w:val="single" w:sz="4" w:space="0" w:color="auto"/>
            </w:tcBorders>
            <w:shd w:val="clear" w:color="auto" w:fill="auto"/>
            <w:noWrap/>
            <w:vAlign w:val="bottom"/>
            <w:hideMark/>
          </w:tcPr>
          <w:p w14:paraId="3DEE73D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elective</w:t>
            </w:r>
          </w:p>
        </w:tc>
        <w:tc>
          <w:tcPr>
            <w:tcW w:w="924" w:type="dxa"/>
            <w:tcBorders>
              <w:top w:val="nil"/>
              <w:left w:val="nil"/>
              <w:bottom w:val="nil"/>
              <w:right w:val="nil"/>
            </w:tcBorders>
            <w:shd w:val="clear" w:color="auto" w:fill="auto"/>
            <w:noWrap/>
            <w:vAlign w:val="bottom"/>
            <w:hideMark/>
          </w:tcPr>
          <w:p w14:paraId="7FDE26FC"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088AA0B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49452AA2"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7D8156A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65E526C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true cases correctly</w:t>
            </w:r>
          </w:p>
        </w:tc>
        <w:tc>
          <w:tcPr>
            <w:tcW w:w="1170" w:type="dxa"/>
            <w:tcBorders>
              <w:top w:val="nil"/>
              <w:left w:val="single" w:sz="4" w:space="0" w:color="auto"/>
              <w:bottom w:val="nil"/>
              <w:right w:val="single" w:sz="4" w:space="0" w:color="auto"/>
            </w:tcBorders>
            <w:shd w:val="clear" w:color="auto" w:fill="auto"/>
            <w:noWrap/>
            <w:vAlign w:val="bottom"/>
            <w:hideMark/>
          </w:tcPr>
          <w:p w14:paraId="230E1E8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6FB5E048"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2F6A0FA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non-cases correctly</w:t>
            </w:r>
          </w:p>
        </w:tc>
      </w:tr>
      <w:tr w:rsidR="001B1393" w:rsidRPr="001B1393" w14:paraId="65DF3133" w14:textId="77777777" w:rsidTr="001B1393">
        <w:trPr>
          <w:trHeight w:val="300"/>
        </w:trPr>
        <w:tc>
          <w:tcPr>
            <w:tcW w:w="2335" w:type="dxa"/>
            <w:tcBorders>
              <w:top w:val="nil"/>
              <w:left w:val="single" w:sz="4" w:space="0" w:color="auto"/>
              <w:bottom w:val="single" w:sz="4" w:space="0" w:color="auto"/>
              <w:right w:val="nil"/>
            </w:tcBorders>
            <w:shd w:val="clear" w:color="auto" w:fill="auto"/>
            <w:noWrap/>
            <w:vAlign w:val="bottom"/>
            <w:hideMark/>
          </w:tcPr>
          <w:p w14:paraId="7E3159E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Codes used </w:t>
            </w:r>
          </w:p>
        </w:tc>
        <w:tc>
          <w:tcPr>
            <w:tcW w:w="771" w:type="dxa"/>
            <w:tcBorders>
              <w:top w:val="nil"/>
              <w:left w:val="single" w:sz="4" w:space="0" w:color="auto"/>
              <w:bottom w:val="single" w:sz="4" w:space="0" w:color="auto"/>
              <w:right w:val="nil"/>
            </w:tcBorders>
            <w:shd w:val="clear" w:color="auto" w:fill="auto"/>
            <w:noWrap/>
            <w:vAlign w:val="bottom"/>
            <w:hideMark/>
          </w:tcPr>
          <w:p w14:paraId="4652D11A"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LOS</w:t>
            </w:r>
          </w:p>
        </w:tc>
        <w:tc>
          <w:tcPr>
            <w:tcW w:w="838" w:type="dxa"/>
            <w:tcBorders>
              <w:top w:val="nil"/>
              <w:left w:val="single" w:sz="4" w:space="0" w:color="auto"/>
              <w:bottom w:val="single" w:sz="4" w:space="0" w:color="auto"/>
              <w:right w:val="single" w:sz="4" w:space="0" w:color="auto"/>
            </w:tcBorders>
            <w:shd w:val="clear" w:color="auto" w:fill="auto"/>
            <w:noWrap/>
            <w:vAlign w:val="bottom"/>
            <w:hideMark/>
          </w:tcPr>
          <w:p w14:paraId="722CB8B8"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&lt;30days</w:t>
            </w:r>
          </w:p>
        </w:tc>
        <w:tc>
          <w:tcPr>
            <w:tcW w:w="1001" w:type="dxa"/>
            <w:tcBorders>
              <w:top w:val="nil"/>
              <w:left w:val="nil"/>
              <w:bottom w:val="single" w:sz="4" w:space="0" w:color="auto"/>
              <w:right w:val="single" w:sz="4" w:space="0" w:color="auto"/>
            </w:tcBorders>
            <w:shd w:val="clear" w:color="auto" w:fill="auto"/>
            <w:noWrap/>
            <w:vAlign w:val="bottom"/>
            <w:hideMark/>
          </w:tcPr>
          <w:p w14:paraId="38B768B9"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status</w:t>
            </w:r>
          </w:p>
        </w:tc>
        <w:tc>
          <w:tcPr>
            <w:tcW w:w="924" w:type="dxa"/>
            <w:tcBorders>
              <w:top w:val="nil"/>
              <w:left w:val="nil"/>
              <w:bottom w:val="single" w:sz="4" w:space="0" w:color="auto"/>
              <w:right w:val="nil"/>
            </w:tcBorders>
            <w:shd w:val="clear" w:color="auto" w:fill="auto"/>
            <w:noWrap/>
            <w:vAlign w:val="bottom"/>
            <w:hideMark/>
          </w:tcPr>
          <w:p w14:paraId="6F39610A"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True Positive</w:t>
            </w:r>
          </w:p>
        </w:tc>
        <w:tc>
          <w:tcPr>
            <w:tcW w:w="966" w:type="dxa"/>
            <w:tcBorders>
              <w:top w:val="nil"/>
              <w:left w:val="single" w:sz="4" w:space="0" w:color="auto"/>
              <w:bottom w:val="single" w:sz="4" w:space="0" w:color="auto"/>
              <w:right w:val="single" w:sz="4" w:space="0" w:color="auto"/>
            </w:tcBorders>
            <w:shd w:val="clear" w:color="auto" w:fill="auto"/>
            <w:noWrap/>
            <w:vAlign w:val="bottom"/>
            <w:hideMark/>
          </w:tcPr>
          <w:p w14:paraId="074CA2B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False Positive</w:t>
            </w:r>
          </w:p>
        </w:tc>
        <w:tc>
          <w:tcPr>
            <w:tcW w:w="1080" w:type="dxa"/>
            <w:tcBorders>
              <w:top w:val="nil"/>
              <w:left w:val="nil"/>
              <w:bottom w:val="single" w:sz="4" w:space="0" w:color="auto"/>
              <w:right w:val="nil"/>
            </w:tcBorders>
            <w:shd w:val="clear" w:color="auto" w:fill="auto"/>
            <w:noWrap/>
            <w:vAlign w:val="bottom"/>
            <w:hideMark/>
          </w:tcPr>
          <w:p w14:paraId="2209FCB3"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True Negative</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43032C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False Negative</w:t>
            </w:r>
          </w:p>
        </w:tc>
        <w:tc>
          <w:tcPr>
            <w:tcW w:w="1530" w:type="dxa"/>
            <w:tcBorders>
              <w:top w:val="nil"/>
              <w:left w:val="nil"/>
              <w:bottom w:val="single" w:sz="4" w:space="0" w:color="auto"/>
              <w:right w:val="nil"/>
            </w:tcBorders>
            <w:shd w:val="clear" w:color="auto" w:fill="auto"/>
            <w:noWrap/>
            <w:vAlign w:val="bottom"/>
            <w:hideMark/>
          </w:tcPr>
          <w:p w14:paraId="781998C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identified </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907981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Specificity</w:t>
            </w:r>
          </w:p>
        </w:tc>
        <w:tc>
          <w:tcPr>
            <w:tcW w:w="792" w:type="dxa"/>
            <w:tcBorders>
              <w:top w:val="nil"/>
              <w:left w:val="nil"/>
              <w:bottom w:val="single" w:sz="4" w:space="0" w:color="auto"/>
              <w:right w:val="nil"/>
            </w:tcBorders>
            <w:shd w:val="clear" w:color="auto" w:fill="auto"/>
            <w:noWrap/>
            <w:vAlign w:val="bottom"/>
            <w:hideMark/>
          </w:tcPr>
          <w:p w14:paraId="0363477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PPV</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14:paraId="12B932D1"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identified </w:t>
            </w:r>
          </w:p>
        </w:tc>
      </w:tr>
      <w:tr w:rsidR="001B1393" w:rsidRPr="001B1393" w14:paraId="4A2259DF"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E6F50F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primary only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F82BD1F"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659E257A"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7F10A3A4"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3C62C11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231</w:t>
            </w:r>
          </w:p>
        </w:tc>
        <w:tc>
          <w:tcPr>
            <w:tcW w:w="966" w:type="dxa"/>
            <w:tcBorders>
              <w:top w:val="nil"/>
              <w:left w:val="single" w:sz="4" w:space="0" w:color="auto"/>
              <w:bottom w:val="nil"/>
              <w:right w:val="single" w:sz="4" w:space="0" w:color="auto"/>
            </w:tcBorders>
            <w:shd w:val="clear" w:color="auto" w:fill="auto"/>
            <w:noWrap/>
            <w:vAlign w:val="bottom"/>
            <w:hideMark/>
          </w:tcPr>
          <w:p w14:paraId="33975D2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42</w:t>
            </w:r>
          </w:p>
        </w:tc>
        <w:tc>
          <w:tcPr>
            <w:tcW w:w="1080" w:type="dxa"/>
            <w:tcBorders>
              <w:top w:val="nil"/>
              <w:left w:val="nil"/>
              <w:bottom w:val="nil"/>
              <w:right w:val="nil"/>
            </w:tcBorders>
            <w:shd w:val="clear" w:color="auto" w:fill="auto"/>
            <w:noWrap/>
            <w:vAlign w:val="bottom"/>
            <w:hideMark/>
          </w:tcPr>
          <w:p w14:paraId="50DDCFC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203</w:t>
            </w:r>
          </w:p>
        </w:tc>
        <w:tc>
          <w:tcPr>
            <w:tcW w:w="1080" w:type="dxa"/>
            <w:tcBorders>
              <w:top w:val="nil"/>
              <w:left w:val="single" w:sz="4" w:space="0" w:color="auto"/>
              <w:bottom w:val="nil"/>
              <w:right w:val="single" w:sz="4" w:space="0" w:color="auto"/>
            </w:tcBorders>
            <w:shd w:val="clear" w:color="auto" w:fill="auto"/>
            <w:noWrap/>
            <w:vAlign w:val="bottom"/>
            <w:hideMark/>
          </w:tcPr>
          <w:p w14:paraId="6877DB2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76</w:t>
            </w:r>
          </w:p>
        </w:tc>
        <w:tc>
          <w:tcPr>
            <w:tcW w:w="1530" w:type="dxa"/>
            <w:tcBorders>
              <w:top w:val="nil"/>
              <w:left w:val="nil"/>
              <w:bottom w:val="nil"/>
              <w:right w:val="nil"/>
            </w:tcBorders>
            <w:shd w:val="clear" w:color="auto" w:fill="auto"/>
            <w:noWrap/>
            <w:vAlign w:val="bottom"/>
            <w:hideMark/>
          </w:tcPr>
          <w:p w14:paraId="591E6DC8"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0.75</w:t>
            </w:r>
          </w:p>
        </w:tc>
        <w:tc>
          <w:tcPr>
            <w:tcW w:w="1170" w:type="dxa"/>
            <w:tcBorders>
              <w:top w:val="nil"/>
              <w:left w:val="single" w:sz="4" w:space="0" w:color="auto"/>
              <w:bottom w:val="nil"/>
              <w:right w:val="single" w:sz="4" w:space="0" w:color="auto"/>
            </w:tcBorders>
            <w:shd w:val="clear" w:color="auto" w:fill="auto"/>
            <w:noWrap/>
            <w:vAlign w:val="bottom"/>
            <w:hideMark/>
          </w:tcPr>
          <w:p w14:paraId="7F6687F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0.83</w:t>
            </w:r>
          </w:p>
        </w:tc>
        <w:tc>
          <w:tcPr>
            <w:tcW w:w="792" w:type="dxa"/>
            <w:tcBorders>
              <w:top w:val="nil"/>
              <w:left w:val="nil"/>
              <w:bottom w:val="nil"/>
              <w:right w:val="nil"/>
            </w:tcBorders>
            <w:shd w:val="clear" w:color="auto" w:fill="auto"/>
            <w:noWrap/>
            <w:vAlign w:val="bottom"/>
            <w:hideMark/>
          </w:tcPr>
          <w:p w14:paraId="1B7B07AB"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0.85</w:t>
            </w:r>
          </w:p>
        </w:tc>
        <w:tc>
          <w:tcPr>
            <w:tcW w:w="1188" w:type="dxa"/>
            <w:tcBorders>
              <w:top w:val="nil"/>
              <w:left w:val="single" w:sz="4" w:space="0" w:color="auto"/>
              <w:bottom w:val="nil"/>
              <w:right w:val="single" w:sz="4" w:space="0" w:color="auto"/>
            </w:tcBorders>
            <w:shd w:val="clear" w:color="auto" w:fill="auto"/>
            <w:noWrap/>
            <w:vAlign w:val="bottom"/>
            <w:hideMark/>
          </w:tcPr>
          <w:p w14:paraId="59E1E53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0.73</w:t>
            </w:r>
          </w:p>
        </w:tc>
      </w:tr>
      <w:tr w:rsidR="001B1393" w:rsidRPr="001B1393" w14:paraId="30A2A396"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22DEAE6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primary only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3D4AE6E"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2134A115"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7B14646A"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585D22C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230</w:t>
            </w:r>
          </w:p>
        </w:tc>
        <w:tc>
          <w:tcPr>
            <w:tcW w:w="966" w:type="dxa"/>
            <w:tcBorders>
              <w:top w:val="nil"/>
              <w:left w:val="single" w:sz="4" w:space="0" w:color="auto"/>
              <w:bottom w:val="nil"/>
              <w:right w:val="single" w:sz="4" w:space="0" w:color="auto"/>
            </w:tcBorders>
            <w:shd w:val="clear" w:color="auto" w:fill="auto"/>
            <w:noWrap/>
            <w:vAlign w:val="bottom"/>
            <w:hideMark/>
          </w:tcPr>
          <w:p w14:paraId="080C184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33</w:t>
            </w:r>
          </w:p>
        </w:tc>
        <w:tc>
          <w:tcPr>
            <w:tcW w:w="1080" w:type="dxa"/>
            <w:tcBorders>
              <w:top w:val="nil"/>
              <w:left w:val="nil"/>
              <w:bottom w:val="nil"/>
              <w:right w:val="nil"/>
            </w:tcBorders>
            <w:shd w:val="clear" w:color="auto" w:fill="auto"/>
            <w:noWrap/>
            <w:vAlign w:val="bottom"/>
            <w:hideMark/>
          </w:tcPr>
          <w:p w14:paraId="530BB8B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212</w:t>
            </w:r>
          </w:p>
        </w:tc>
        <w:tc>
          <w:tcPr>
            <w:tcW w:w="1080" w:type="dxa"/>
            <w:tcBorders>
              <w:top w:val="nil"/>
              <w:left w:val="single" w:sz="4" w:space="0" w:color="auto"/>
              <w:bottom w:val="nil"/>
              <w:right w:val="single" w:sz="4" w:space="0" w:color="auto"/>
            </w:tcBorders>
            <w:shd w:val="clear" w:color="auto" w:fill="auto"/>
            <w:noWrap/>
            <w:vAlign w:val="bottom"/>
            <w:hideMark/>
          </w:tcPr>
          <w:p w14:paraId="03BA911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77</w:t>
            </w:r>
          </w:p>
        </w:tc>
        <w:tc>
          <w:tcPr>
            <w:tcW w:w="1530" w:type="dxa"/>
            <w:tcBorders>
              <w:top w:val="nil"/>
              <w:left w:val="nil"/>
              <w:bottom w:val="nil"/>
              <w:right w:val="nil"/>
            </w:tcBorders>
            <w:shd w:val="clear" w:color="auto" w:fill="auto"/>
            <w:noWrap/>
            <w:vAlign w:val="bottom"/>
            <w:hideMark/>
          </w:tcPr>
          <w:p w14:paraId="275DBB56"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0.75</w:t>
            </w:r>
          </w:p>
        </w:tc>
        <w:tc>
          <w:tcPr>
            <w:tcW w:w="1170" w:type="dxa"/>
            <w:tcBorders>
              <w:top w:val="nil"/>
              <w:left w:val="single" w:sz="4" w:space="0" w:color="auto"/>
              <w:bottom w:val="nil"/>
              <w:right w:val="single" w:sz="4" w:space="0" w:color="auto"/>
            </w:tcBorders>
            <w:shd w:val="clear" w:color="auto" w:fill="auto"/>
            <w:noWrap/>
            <w:vAlign w:val="bottom"/>
            <w:hideMark/>
          </w:tcPr>
          <w:p w14:paraId="51E895C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0.87</w:t>
            </w:r>
          </w:p>
        </w:tc>
        <w:tc>
          <w:tcPr>
            <w:tcW w:w="792" w:type="dxa"/>
            <w:tcBorders>
              <w:top w:val="nil"/>
              <w:left w:val="nil"/>
              <w:bottom w:val="nil"/>
              <w:right w:val="nil"/>
            </w:tcBorders>
            <w:shd w:val="clear" w:color="auto" w:fill="auto"/>
            <w:noWrap/>
            <w:vAlign w:val="bottom"/>
            <w:hideMark/>
          </w:tcPr>
          <w:p w14:paraId="62C5D9D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0.88</w:t>
            </w:r>
          </w:p>
        </w:tc>
        <w:tc>
          <w:tcPr>
            <w:tcW w:w="1188" w:type="dxa"/>
            <w:tcBorders>
              <w:top w:val="nil"/>
              <w:left w:val="single" w:sz="4" w:space="0" w:color="auto"/>
              <w:bottom w:val="nil"/>
              <w:right w:val="single" w:sz="4" w:space="0" w:color="auto"/>
            </w:tcBorders>
            <w:shd w:val="clear" w:color="auto" w:fill="auto"/>
            <w:noWrap/>
            <w:vAlign w:val="bottom"/>
            <w:hideMark/>
          </w:tcPr>
          <w:p w14:paraId="5B42E6F1"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0.73</w:t>
            </w:r>
          </w:p>
        </w:tc>
      </w:tr>
      <w:tr w:rsidR="001B1393" w:rsidRPr="001B1393" w14:paraId="66757A35"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6A6A8AE1"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primary only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45ECE54"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141E3845"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66617B0B"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4BA35E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228</w:t>
            </w:r>
          </w:p>
        </w:tc>
        <w:tc>
          <w:tcPr>
            <w:tcW w:w="966" w:type="dxa"/>
            <w:tcBorders>
              <w:top w:val="nil"/>
              <w:left w:val="single" w:sz="4" w:space="0" w:color="auto"/>
              <w:bottom w:val="nil"/>
              <w:right w:val="single" w:sz="4" w:space="0" w:color="auto"/>
            </w:tcBorders>
            <w:shd w:val="clear" w:color="auto" w:fill="auto"/>
            <w:noWrap/>
            <w:vAlign w:val="bottom"/>
            <w:hideMark/>
          </w:tcPr>
          <w:p w14:paraId="36B1CD4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26</w:t>
            </w:r>
          </w:p>
        </w:tc>
        <w:tc>
          <w:tcPr>
            <w:tcW w:w="1080" w:type="dxa"/>
            <w:tcBorders>
              <w:top w:val="nil"/>
              <w:left w:val="nil"/>
              <w:bottom w:val="nil"/>
              <w:right w:val="nil"/>
            </w:tcBorders>
            <w:shd w:val="clear" w:color="auto" w:fill="auto"/>
            <w:noWrap/>
            <w:vAlign w:val="bottom"/>
            <w:hideMark/>
          </w:tcPr>
          <w:p w14:paraId="5E1C329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219</w:t>
            </w:r>
          </w:p>
        </w:tc>
        <w:tc>
          <w:tcPr>
            <w:tcW w:w="1080" w:type="dxa"/>
            <w:tcBorders>
              <w:top w:val="nil"/>
              <w:left w:val="single" w:sz="4" w:space="0" w:color="auto"/>
              <w:bottom w:val="nil"/>
              <w:right w:val="single" w:sz="4" w:space="0" w:color="auto"/>
            </w:tcBorders>
            <w:shd w:val="clear" w:color="auto" w:fill="auto"/>
            <w:noWrap/>
            <w:vAlign w:val="bottom"/>
            <w:hideMark/>
          </w:tcPr>
          <w:p w14:paraId="7ACEC8D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79</w:t>
            </w:r>
          </w:p>
        </w:tc>
        <w:tc>
          <w:tcPr>
            <w:tcW w:w="1530" w:type="dxa"/>
            <w:tcBorders>
              <w:top w:val="nil"/>
              <w:left w:val="nil"/>
              <w:bottom w:val="nil"/>
              <w:right w:val="nil"/>
            </w:tcBorders>
            <w:shd w:val="clear" w:color="auto" w:fill="auto"/>
            <w:noWrap/>
            <w:vAlign w:val="bottom"/>
            <w:hideMark/>
          </w:tcPr>
          <w:p w14:paraId="69FBBA18"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0.74</w:t>
            </w:r>
          </w:p>
        </w:tc>
        <w:tc>
          <w:tcPr>
            <w:tcW w:w="1170" w:type="dxa"/>
            <w:tcBorders>
              <w:top w:val="nil"/>
              <w:left w:val="single" w:sz="4" w:space="0" w:color="auto"/>
              <w:bottom w:val="nil"/>
              <w:right w:val="single" w:sz="4" w:space="0" w:color="auto"/>
            </w:tcBorders>
            <w:shd w:val="clear" w:color="auto" w:fill="auto"/>
            <w:noWrap/>
            <w:vAlign w:val="bottom"/>
            <w:hideMark/>
          </w:tcPr>
          <w:p w14:paraId="791F0A6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0.89</w:t>
            </w:r>
          </w:p>
        </w:tc>
        <w:tc>
          <w:tcPr>
            <w:tcW w:w="792" w:type="dxa"/>
            <w:tcBorders>
              <w:top w:val="nil"/>
              <w:left w:val="nil"/>
              <w:bottom w:val="nil"/>
              <w:right w:val="nil"/>
            </w:tcBorders>
            <w:shd w:val="clear" w:color="auto" w:fill="auto"/>
            <w:noWrap/>
            <w:vAlign w:val="bottom"/>
            <w:hideMark/>
          </w:tcPr>
          <w:p w14:paraId="36DEE98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0.90</w:t>
            </w:r>
          </w:p>
        </w:tc>
        <w:tc>
          <w:tcPr>
            <w:tcW w:w="1188" w:type="dxa"/>
            <w:tcBorders>
              <w:top w:val="nil"/>
              <w:left w:val="single" w:sz="4" w:space="0" w:color="auto"/>
              <w:bottom w:val="nil"/>
              <w:right w:val="single" w:sz="4" w:space="0" w:color="auto"/>
            </w:tcBorders>
            <w:shd w:val="clear" w:color="auto" w:fill="auto"/>
            <w:noWrap/>
            <w:vAlign w:val="bottom"/>
            <w:hideMark/>
          </w:tcPr>
          <w:p w14:paraId="20B1F7A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0.74</w:t>
            </w:r>
          </w:p>
        </w:tc>
      </w:tr>
      <w:tr w:rsidR="001B1393" w:rsidRPr="001B1393" w14:paraId="5DAA1B75"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43DE2F3A"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primary only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DC69418"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062C3643"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692A5E23"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nil"/>
              <w:right w:val="nil"/>
            </w:tcBorders>
            <w:shd w:val="clear" w:color="auto" w:fill="auto"/>
            <w:noWrap/>
            <w:vAlign w:val="bottom"/>
            <w:hideMark/>
          </w:tcPr>
          <w:p w14:paraId="196A4E9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223</w:t>
            </w:r>
          </w:p>
        </w:tc>
        <w:tc>
          <w:tcPr>
            <w:tcW w:w="966" w:type="dxa"/>
            <w:tcBorders>
              <w:top w:val="nil"/>
              <w:left w:val="single" w:sz="4" w:space="0" w:color="auto"/>
              <w:bottom w:val="nil"/>
              <w:right w:val="single" w:sz="4" w:space="0" w:color="auto"/>
            </w:tcBorders>
            <w:shd w:val="clear" w:color="auto" w:fill="auto"/>
            <w:noWrap/>
            <w:vAlign w:val="bottom"/>
            <w:hideMark/>
          </w:tcPr>
          <w:p w14:paraId="1E55C39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23</w:t>
            </w:r>
          </w:p>
        </w:tc>
        <w:tc>
          <w:tcPr>
            <w:tcW w:w="1080" w:type="dxa"/>
            <w:tcBorders>
              <w:top w:val="nil"/>
              <w:left w:val="nil"/>
              <w:bottom w:val="nil"/>
              <w:right w:val="nil"/>
            </w:tcBorders>
            <w:shd w:val="clear" w:color="auto" w:fill="auto"/>
            <w:noWrap/>
            <w:vAlign w:val="bottom"/>
            <w:hideMark/>
          </w:tcPr>
          <w:p w14:paraId="5B3D04F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222</w:t>
            </w:r>
          </w:p>
        </w:tc>
        <w:tc>
          <w:tcPr>
            <w:tcW w:w="1080" w:type="dxa"/>
            <w:tcBorders>
              <w:top w:val="nil"/>
              <w:left w:val="single" w:sz="4" w:space="0" w:color="auto"/>
              <w:bottom w:val="nil"/>
              <w:right w:val="single" w:sz="4" w:space="0" w:color="auto"/>
            </w:tcBorders>
            <w:shd w:val="clear" w:color="auto" w:fill="auto"/>
            <w:noWrap/>
            <w:vAlign w:val="bottom"/>
            <w:hideMark/>
          </w:tcPr>
          <w:p w14:paraId="4EF46FC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84</w:t>
            </w:r>
          </w:p>
        </w:tc>
        <w:tc>
          <w:tcPr>
            <w:tcW w:w="1530" w:type="dxa"/>
            <w:tcBorders>
              <w:top w:val="nil"/>
              <w:left w:val="nil"/>
              <w:bottom w:val="nil"/>
              <w:right w:val="nil"/>
            </w:tcBorders>
            <w:shd w:val="clear" w:color="auto" w:fill="auto"/>
            <w:noWrap/>
            <w:vAlign w:val="bottom"/>
            <w:hideMark/>
          </w:tcPr>
          <w:p w14:paraId="12708B98"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0.73</w:t>
            </w:r>
          </w:p>
        </w:tc>
        <w:tc>
          <w:tcPr>
            <w:tcW w:w="1170" w:type="dxa"/>
            <w:tcBorders>
              <w:top w:val="nil"/>
              <w:left w:val="single" w:sz="4" w:space="0" w:color="auto"/>
              <w:bottom w:val="nil"/>
              <w:right w:val="single" w:sz="4" w:space="0" w:color="auto"/>
            </w:tcBorders>
            <w:shd w:val="clear" w:color="auto" w:fill="auto"/>
            <w:noWrap/>
            <w:vAlign w:val="bottom"/>
            <w:hideMark/>
          </w:tcPr>
          <w:p w14:paraId="02A8147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0.91</w:t>
            </w:r>
          </w:p>
        </w:tc>
        <w:tc>
          <w:tcPr>
            <w:tcW w:w="792" w:type="dxa"/>
            <w:tcBorders>
              <w:top w:val="nil"/>
              <w:left w:val="nil"/>
              <w:bottom w:val="nil"/>
              <w:right w:val="nil"/>
            </w:tcBorders>
            <w:shd w:val="clear" w:color="auto" w:fill="auto"/>
            <w:noWrap/>
            <w:vAlign w:val="bottom"/>
            <w:hideMark/>
          </w:tcPr>
          <w:p w14:paraId="0525252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0.91</w:t>
            </w:r>
          </w:p>
        </w:tc>
        <w:tc>
          <w:tcPr>
            <w:tcW w:w="1188" w:type="dxa"/>
            <w:tcBorders>
              <w:top w:val="nil"/>
              <w:left w:val="single" w:sz="4" w:space="0" w:color="auto"/>
              <w:bottom w:val="nil"/>
              <w:right w:val="single" w:sz="4" w:space="0" w:color="auto"/>
            </w:tcBorders>
            <w:shd w:val="clear" w:color="auto" w:fill="auto"/>
            <w:noWrap/>
            <w:vAlign w:val="bottom"/>
            <w:hideMark/>
          </w:tcPr>
          <w:p w14:paraId="7D0FAE99"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0.73</w:t>
            </w:r>
          </w:p>
        </w:tc>
      </w:tr>
      <w:tr w:rsidR="001B1393" w:rsidRPr="001B1393" w14:paraId="243E319F"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61EC3A2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3E80FF61"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75D2121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170BEA4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3F26453C"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3A3ADA2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7ED0BFD8"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295CB6F5"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64E3A7A6" w14:textId="77777777" w:rsidR="001B1393" w:rsidRPr="001B1393" w:rsidRDefault="001B1393" w:rsidP="001B1393">
            <w:pPr>
              <w:spacing w:line="240" w:lineRule="auto"/>
              <w:rPr>
                <w:rFonts w:ascii="Calibri" w:eastAsia="Times New Roman" w:hAnsi="Calibri" w:cs="Times New Roman"/>
                <w:color w:val="000000"/>
                <w:lang w:val="en-US"/>
              </w:rPr>
            </w:pPr>
          </w:p>
        </w:tc>
        <w:tc>
          <w:tcPr>
            <w:tcW w:w="1170" w:type="dxa"/>
            <w:tcBorders>
              <w:top w:val="nil"/>
              <w:left w:val="single" w:sz="4" w:space="0" w:color="auto"/>
              <w:bottom w:val="nil"/>
              <w:right w:val="single" w:sz="4" w:space="0" w:color="auto"/>
            </w:tcBorders>
            <w:shd w:val="clear" w:color="auto" w:fill="auto"/>
            <w:noWrap/>
            <w:vAlign w:val="bottom"/>
            <w:hideMark/>
          </w:tcPr>
          <w:p w14:paraId="0CA3728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756E96F6"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2EA2525B" w14:textId="77777777" w:rsidR="001B1393" w:rsidRPr="001B1393" w:rsidRDefault="001B1393" w:rsidP="001B1393">
            <w:pPr>
              <w:spacing w:line="240" w:lineRule="auto"/>
              <w:rPr>
                <w:rFonts w:ascii="Calibri" w:eastAsia="Times New Roman" w:hAnsi="Calibri" w:cs="Times New Roman"/>
                <w:color w:val="808080"/>
                <w:lang w:val="en-US"/>
              </w:rPr>
            </w:pPr>
            <w:r w:rsidRPr="001B1393">
              <w:rPr>
                <w:rFonts w:ascii="Calibri" w:eastAsia="Times New Roman" w:hAnsi="Calibri" w:cs="Times New Roman"/>
                <w:color w:val="808080"/>
                <w:lang w:val="en-US"/>
              </w:rPr>
              <w:t> </w:t>
            </w:r>
          </w:p>
        </w:tc>
      </w:tr>
      <w:tr w:rsidR="001B1393" w:rsidRPr="001B1393" w14:paraId="1B6496A2"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1025BF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primary codes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28E8C8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41B15482"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4B03D924"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6DAE12B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253</w:t>
            </w:r>
          </w:p>
        </w:tc>
        <w:tc>
          <w:tcPr>
            <w:tcW w:w="966" w:type="dxa"/>
            <w:tcBorders>
              <w:top w:val="nil"/>
              <w:left w:val="single" w:sz="4" w:space="0" w:color="auto"/>
              <w:bottom w:val="nil"/>
              <w:right w:val="single" w:sz="4" w:space="0" w:color="auto"/>
            </w:tcBorders>
            <w:shd w:val="clear" w:color="auto" w:fill="auto"/>
            <w:noWrap/>
            <w:vAlign w:val="bottom"/>
            <w:hideMark/>
          </w:tcPr>
          <w:p w14:paraId="4A10F21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79</w:t>
            </w:r>
          </w:p>
        </w:tc>
        <w:tc>
          <w:tcPr>
            <w:tcW w:w="1080" w:type="dxa"/>
            <w:tcBorders>
              <w:top w:val="nil"/>
              <w:left w:val="nil"/>
              <w:bottom w:val="nil"/>
              <w:right w:val="nil"/>
            </w:tcBorders>
            <w:shd w:val="clear" w:color="auto" w:fill="auto"/>
            <w:noWrap/>
            <w:vAlign w:val="bottom"/>
            <w:hideMark/>
          </w:tcPr>
          <w:p w14:paraId="0725114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166</w:t>
            </w:r>
          </w:p>
        </w:tc>
        <w:tc>
          <w:tcPr>
            <w:tcW w:w="1080" w:type="dxa"/>
            <w:tcBorders>
              <w:top w:val="nil"/>
              <w:left w:val="single" w:sz="4" w:space="0" w:color="auto"/>
              <w:bottom w:val="nil"/>
              <w:right w:val="single" w:sz="4" w:space="0" w:color="auto"/>
            </w:tcBorders>
            <w:shd w:val="clear" w:color="auto" w:fill="auto"/>
            <w:noWrap/>
            <w:vAlign w:val="bottom"/>
            <w:hideMark/>
          </w:tcPr>
          <w:p w14:paraId="3414F3B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54</w:t>
            </w:r>
          </w:p>
        </w:tc>
        <w:tc>
          <w:tcPr>
            <w:tcW w:w="1530" w:type="dxa"/>
            <w:tcBorders>
              <w:top w:val="nil"/>
              <w:left w:val="nil"/>
              <w:bottom w:val="nil"/>
              <w:right w:val="nil"/>
            </w:tcBorders>
            <w:shd w:val="clear" w:color="auto" w:fill="auto"/>
            <w:noWrap/>
            <w:vAlign w:val="bottom"/>
            <w:hideMark/>
          </w:tcPr>
          <w:p w14:paraId="22D57C6F"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0.82</w:t>
            </w:r>
          </w:p>
        </w:tc>
        <w:tc>
          <w:tcPr>
            <w:tcW w:w="1170" w:type="dxa"/>
            <w:tcBorders>
              <w:top w:val="nil"/>
              <w:left w:val="single" w:sz="4" w:space="0" w:color="auto"/>
              <w:bottom w:val="nil"/>
              <w:right w:val="single" w:sz="4" w:space="0" w:color="auto"/>
            </w:tcBorders>
            <w:shd w:val="clear" w:color="auto" w:fill="auto"/>
            <w:noWrap/>
            <w:vAlign w:val="bottom"/>
            <w:hideMark/>
          </w:tcPr>
          <w:p w14:paraId="73136B7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0.68</w:t>
            </w:r>
          </w:p>
        </w:tc>
        <w:tc>
          <w:tcPr>
            <w:tcW w:w="792" w:type="dxa"/>
            <w:tcBorders>
              <w:top w:val="nil"/>
              <w:left w:val="nil"/>
              <w:bottom w:val="nil"/>
              <w:right w:val="nil"/>
            </w:tcBorders>
            <w:shd w:val="clear" w:color="auto" w:fill="auto"/>
            <w:noWrap/>
            <w:vAlign w:val="bottom"/>
            <w:hideMark/>
          </w:tcPr>
          <w:p w14:paraId="4B0E967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0.76</w:t>
            </w:r>
          </w:p>
        </w:tc>
        <w:tc>
          <w:tcPr>
            <w:tcW w:w="1188" w:type="dxa"/>
            <w:tcBorders>
              <w:top w:val="nil"/>
              <w:left w:val="single" w:sz="4" w:space="0" w:color="auto"/>
              <w:bottom w:val="nil"/>
              <w:right w:val="single" w:sz="4" w:space="0" w:color="auto"/>
            </w:tcBorders>
            <w:shd w:val="clear" w:color="auto" w:fill="auto"/>
            <w:noWrap/>
            <w:vAlign w:val="bottom"/>
            <w:hideMark/>
          </w:tcPr>
          <w:p w14:paraId="09AF0BCE"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0.76</w:t>
            </w:r>
          </w:p>
        </w:tc>
      </w:tr>
      <w:tr w:rsidR="001B1393" w:rsidRPr="001B1393" w14:paraId="5ECE2CD6"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7CF3928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primary codes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274A12ED"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5FC4D08F"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1C81DC36"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3CE9CA6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252</w:t>
            </w:r>
          </w:p>
        </w:tc>
        <w:tc>
          <w:tcPr>
            <w:tcW w:w="966" w:type="dxa"/>
            <w:tcBorders>
              <w:top w:val="nil"/>
              <w:left w:val="single" w:sz="4" w:space="0" w:color="auto"/>
              <w:bottom w:val="nil"/>
              <w:right w:val="single" w:sz="4" w:space="0" w:color="auto"/>
            </w:tcBorders>
            <w:shd w:val="clear" w:color="auto" w:fill="auto"/>
            <w:noWrap/>
            <w:vAlign w:val="bottom"/>
            <w:hideMark/>
          </w:tcPr>
          <w:p w14:paraId="7007840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53</w:t>
            </w:r>
          </w:p>
        </w:tc>
        <w:tc>
          <w:tcPr>
            <w:tcW w:w="1080" w:type="dxa"/>
            <w:tcBorders>
              <w:top w:val="nil"/>
              <w:left w:val="nil"/>
              <w:bottom w:val="nil"/>
              <w:right w:val="nil"/>
            </w:tcBorders>
            <w:shd w:val="clear" w:color="auto" w:fill="auto"/>
            <w:noWrap/>
            <w:vAlign w:val="bottom"/>
            <w:hideMark/>
          </w:tcPr>
          <w:p w14:paraId="6B60BE8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192</w:t>
            </w:r>
          </w:p>
        </w:tc>
        <w:tc>
          <w:tcPr>
            <w:tcW w:w="1080" w:type="dxa"/>
            <w:tcBorders>
              <w:top w:val="nil"/>
              <w:left w:val="single" w:sz="4" w:space="0" w:color="auto"/>
              <w:bottom w:val="nil"/>
              <w:right w:val="single" w:sz="4" w:space="0" w:color="auto"/>
            </w:tcBorders>
            <w:shd w:val="clear" w:color="auto" w:fill="auto"/>
            <w:noWrap/>
            <w:vAlign w:val="bottom"/>
            <w:hideMark/>
          </w:tcPr>
          <w:p w14:paraId="7979637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55</w:t>
            </w:r>
          </w:p>
        </w:tc>
        <w:tc>
          <w:tcPr>
            <w:tcW w:w="1530" w:type="dxa"/>
            <w:tcBorders>
              <w:top w:val="nil"/>
              <w:left w:val="nil"/>
              <w:bottom w:val="nil"/>
              <w:right w:val="nil"/>
            </w:tcBorders>
            <w:shd w:val="clear" w:color="auto" w:fill="auto"/>
            <w:noWrap/>
            <w:vAlign w:val="bottom"/>
            <w:hideMark/>
          </w:tcPr>
          <w:p w14:paraId="40E95E7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0.82</w:t>
            </w:r>
          </w:p>
        </w:tc>
        <w:tc>
          <w:tcPr>
            <w:tcW w:w="1170" w:type="dxa"/>
            <w:tcBorders>
              <w:top w:val="nil"/>
              <w:left w:val="single" w:sz="4" w:space="0" w:color="auto"/>
              <w:bottom w:val="nil"/>
              <w:right w:val="single" w:sz="4" w:space="0" w:color="auto"/>
            </w:tcBorders>
            <w:shd w:val="clear" w:color="auto" w:fill="auto"/>
            <w:noWrap/>
            <w:vAlign w:val="bottom"/>
            <w:hideMark/>
          </w:tcPr>
          <w:p w14:paraId="53D8CDE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0.78</w:t>
            </w:r>
          </w:p>
        </w:tc>
        <w:tc>
          <w:tcPr>
            <w:tcW w:w="792" w:type="dxa"/>
            <w:tcBorders>
              <w:top w:val="nil"/>
              <w:left w:val="nil"/>
              <w:bottom w:val="nil"/>
              <w:right w:val="nil"/>
            </w:tcBorders>
            <w:shd w:val="clear" w:color="auto" w:fill="auto"/>
            <w:noWrap/>
            <w:vAlign w:val="bottom"/>
            <w:hideMark/>
          </w:tcPr>
          <w:p w14:paraId="3F60AB6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0.83</w:t>
            </w:r>
          </w:p>
        </w:tc>
        <w:tc>
          <w:tcPr>
            <w:tcW w:w="1188" w:type="dxa"/>
            <w:tcBorders>
              <w:top w:val="nil"/>
              <w:left w:val="single" w:sz="4" w:space="0" w:color="auto"/>
              <w:bottom w:val="nil"/>
              <w:right w:val="single" w:sz="4" w:space="0" w:color="auto"/>
            </w:tcBorders>
            <w:shd w:val="clear" w:color="auto" w:fill="auto"/>
            <w:noWrap/>
            <w:vAlign w:val="bottom"/>
            <w:hideMark/>
          </w:tcPr>
          <w:p w14:paraId="7A9C71FF"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0.78</w:t>
            </w:r>
          </w:p>
        </w:tc>
      </w:tr>
      <w:tr w:rsidR="001B1393" w:rsidRPr="001B1393" w14:paraId="03F14FB6"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269AE87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primary codes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FD58F40"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5EE5588C"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1F82EBF2"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7CA26AC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249</w:t>
            </w:r>
          </w:p>
        </w:tc>
        <w:tc>
          <w:tcPr>
            <w:tcW w:w="966" w:type="dxa"/>
            <w:tcBorders>
              <w:top w:val="nil"/>
              <w:left w:val="single" w:sz="4" w:space="0" w:color="auto"/>
              <w:bottom w:val="nil"/>
              <w:right w:val="single" w:sz="4" w:space="0" w:color="auto"/>
            </w:tcBorders>
            <w:shd w:val="clear" w:color="auto" w:fill="auto"/>
            <w:noWrap/>
            <w:vAlign w:val="bottom"/>
            <w:hideMark/>
          </w:tcPr>
          <w:p w14:paraId="7DE6E8D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45</w:t>
            </w:r>
          </w:p>
        </w:tc>
        <w:tc>
          <w:tcPr>
            <w:tcW w:w="1080" w:type="dxa"/>
            <w:tcBorders>
              <w:top w:val="nil"/>
              <w:left w:val="nil"/>
              <w:bottom w:val="nil"/>
              <w:right w:val="nil"/>
            </w:tcBorders>
            <w:shd w:val="clear" w:color="auto" w:fill="auto"/>
            <w:noWrap/>
            <w:vAlign w:val="bottom"/>
            <w:hideMark/>
          </w:tcPr>
          <w:p w14:paraId="1E7EB7C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200</w:t>
            </w:r>
          </w:p>
        </w:tc>
        <w:tc>
          <w:tcPr>
            <w:tcW w:w="1080" w:type="dxa"/>
            <w:tcBorders>
              <w:top w:val="nil"/>
              <w:left w:val="single" w:sz="4" w:space="0" w:color="auto"/>
              <w:bottom w:val="nil"/>
              <w:right w:val="single" w:sz="4" w:space="0" w:color="auto"/>
            </w:tcBorders>
            <w:shd w:val="clear" w:color="auto" w:fill="auto"/>
            <w:noWrap/>
            <w:vAlign w:val="bottom"/>
            <w:hideMark/>
          </w:tcPr>
          <w:p w14:paraId="7E5E028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58</w:t>
            </w:r>
          </w:p>
        </w:tc>
        <w:tc>
          <w:tcPr>
            <w:tcW w:w="1530" w:type="dxa"/>
            <w:tcBorders>
              <w:top w:val="nil"/>
              <w:left w:val="nil"/>
              <w:bottom w:val="nil"/>
              <w:right w:val="nil"/>
            </w:tcBorders>
            <w:shd w:val="clear" w:color="auto" w:fill="auto"/>
            <w:noWrap/>
            <w:vAlign w:val="bottom"/>
            <w:hideMark/>
          </w:tcPr>
          <w:p w14:paraId="77939A5B"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0.81</w:t>
            </w:r>
          </w:p>
        </w:tc>
        <w:tc>
          <w:tcPr>
            <w:tcW w:w="1170" w:type="dxa"/>
            <w:tcBorders>
              <w:top w:val="nil"/>
              <w:left w:val="single" w:sz="4" w:space="0" w:color="auto"/>
              <w:bottom w:val="nil"/>
              <w:right w:val="single" w:sz="4" w:space="0" w:color="auto"/>
            </w:tcBorders>
            <w:shd w:val="clear" w:color="auto" w:fill="auto"/>
            <w:noWrap/>
            <w:vAlign w:val="bottom"/>
            <w:hideMark/>
          </w:tcPr>
          <w:p w14:paraId="7495809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0.82</w:t>
            </w:r>
          </w:p>
        </w:tc>
        <w:tc>
          <w:tcPr>
            <w:tcW w:w="792" w:type="dxa"/>
            <w:tcBorders>
              <w:top w:val="nil"/>
              <w:left w:val="nil"/>
              <w:bottom w:val="nil"/>
              <w:right w:val="nil"/>
            </w:tcBorders>
            <w:shd w:val="clear" w:color="auto" w:fill="auto"/>
            <w:noWrap/>
            <w:vAlign w:val="bottom"/>
            <w:hideMark/>
          </w:tcPr>
          <w:p w14:paraId="2672A0C8"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0.85</w:t>
            </w:r>
          </w:p>
        </w:tc>
        <w:tc>
          <w:tcPr>
            <w:tcW w:w="1188" w:type="dxa"/>
            <w:tcBorders>
              <w:top w:val="nil"/>
              <w:left w:val="single" w:sz="4" w:space="0" w:color="auto"/>
              <w:bottom w:val="nil"/>
              <w:right w:val="single" w:sz="4" w:space="0" w:color="auto"/>
            </w:tcBorders>
            <w:shd w:val="clear" w:color="auto" w:fill="auto"/>
            <w:noWrap/>
            <w:vAlign w:val="bottom"/>
            <w:hideMark/>
          </w:tcPr>
          <w:p w14:paraId="168EEB9B"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0.78</w:t>
            </w:r>
          </w:p>
        </w:tc>
      </w:tr>
      <w:tr w:rsidR="001B1393" w:rsidRPr="001B1393" w14:paraId="58B115D1"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5B8BA7A5"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primary codes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7AB5D6E"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242BFB70"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4659AD30"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nil"/>
              <w:right w:val="nil"/>
            </w:tcBorders>
            <w:shd w:val="clear" w:color="auto" w:fill="auto"/>
            <w:noWrap/>
            <w:vAlign w:val="bottom"/>
            <w:hideMark/>
          </w:tcPr>
          <w:p w14:paraId="7955D86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243</w:t>
            </w:r>
          </w:p>
        </w:tc>
        <w:tc>
          <w:tcPr>
            <w:tcW w:w="966" w:type="dxa"/>
            <w:tcBorders>
              <w:top w:val="nil"/>
              <w:left w:val="single" w:sz="4" w:space="0" w:color="auto"/>
              <w:bottom w:val="nil"/>
              <w:right w:val="single" w:sz="4" w:space="0" w:color="auto"/>
            </w:tcBorders>
            <w:shd w:val="clear" w:color="auto" w:fill="auto"/>
            <w:noWrap/>
            <w:vAlign w:val="bottom"/>
            <w:hideMark/>
          </w:tcPr>
          <w:p w14:paraId="6D5D1DE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38</w:t>
            </w:r>
          </w:p>
        </w:tc>
        <w:tc>
          <w:tcPr>
            <w:tcW w:w="1080" w:type="dxa"/>
            <w:tcBorders>
              <w:top w:val="nil"/>
              <w:left w:val="nil"/>
              <w:bottom w:val="nil"/>
              <w:right w:val="nil"/>
            </w:tcBorders>
            <w:shd w:val="clear" w:color="auto" w:fill="auto"/>
            <w:noWrap/>
            <w:vAlign w:val="bottom"/>
            <w:hideMark/>
          </w:tcPr>
          <w:p w14:paraId="2850D8E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207</w:t>
            </w:r>
          </w:p>
        </w:tc>
        <w:tc>
          <w:tcPr>
            <w:tcW w:w="1080" w:type="dxa"/>
            <w:tcBorders>
              <w:top w:val="nil"/>
              <w:left w:val="single" w:sz="4" w:space="0" w:color="auto"/>
              <w:bottom w:val="nil"/>
              <w:right w:val="single" w:sz="4" w:space="0" w:color="auto"/>
            </w:tcBorders>
            <w:shd w:val="clear" w:color="auto" w:fill="auto"/>
            <w:noWrap/>
            <w:vAlign w:val="bottom"/>
            <w:hideMark/>
          </w:tcPr>
          <w:p w14:paraId="409DA90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64</w:t>
            </w:r>
          </w:p>
        </w:tc>
        <w:tc>
          <w:tcPr>
            <w:tcW w:w="1530" w:type="dxa"/>
            <w:tcBorders>
              <w:top w:val="nil"/>
              <w:left w:val="nil"/>
              <w:bottom w:val="nil"/>
              <w:right w:val="nil"/>
            </w:tcBorders>
            <w:shd w:val="clear" w:color="auto" w:fill="auto"/>
            <w:noWrap/>
            <w:vAlign w:val="bottom"/>
            <w:hideMark/>
          </w:tcPr>
          <w:p w14:paraId="7B6A313B"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0.79</w:t>
            </w:r>
          </w:p>
        </w:tc>
        <w:tc>
          <w:tcPr>
            <w:tcW w:w="1170" w:type="dxa"/>
            <w:tcBorders>
              <w:top w:val="nil"/>
              <w:left w:val="single" w:sz="4" w:space="0" w:color="auto"/>
              <w:bottom w:val="nil"/>
              <w:right w:val="single" w:sz="4" w:space="0" w:color="auto"/>
            </w:tcBorders>
            <w:shd w:val="clear" w:color="auto" w:fill="auto"/>
            <w:noWrap/>
            <w:vAlign w:val="bottom"/>
            <w:hideMark/>
          </w:tcPr>
          <w:p w14:paraId="33EF8D6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0.85</w:t>
            </w:r>
          </w:p>
        </w:tc>
        <w:tc>
          <w:tcPr>
            <w:tcW w:w="792" w:type="dxa"/>
            <w:tcBorders>
              <w:top w:val="nil"/>
              <w:left w:val="nil"/>
              <w:bottom w:val="nil"/>
              <w:right w:val="nil"/>
            </w:tcBorders>
            <w:shd w:val="clear" w:color="auto" w:fill="auto"/>
            <w:noWrap/>
            <w:vAlign w:val="bottom"/>
            <w:hideMark/>
          </w:tcPr>
          <w:p w14:paraId="0810BB0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0.87</w:t>
            </w:r>
          </w:p>
        </w:tc>
        <w:tc>
          <w:tcPr>
            <w:tcW w:w="1188" w:type="dxa"/>
            <w:tcBorders>
              <w:top w:val="nil"/>
              <w:left w:val="single" w:sz="4" w:space="0" w:color="auto"/>
              <w:bottom w:val="nil"/>
              <w:right w:val="single" w:sz="4" w:space="0" w:color="auto"/>
            </w:tcBorders>
            <w:shd w:val="clear" w:color="auto" w:fill="auto"/>
            <w:noWrap/>
            <w:vAlign w:val="bottom"/>
            <w:hideMark/>
          </w:tcPr>
          <w:p w14:paraId="04E4CDA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0.76</w:t>
            </w:r>
          </w:p>
        </w:tc>
      </w:tr>
      <w:tr w:rsidR="001B1393" w:rsidRPr="001B1393" w14:paraId="0D80354B"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1C9ED09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3B4E648"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1DF31F31"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130055C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0EE73E89"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5856CAA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14AA8F44"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6E46E88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3154B361" w14:textId="77777777" w:rsidR="001B1393" w:rsidRPr="001B1393" w:rsidRDefault="001B1393" w:rsidP="001B1393">
            <w:pPr>
              <w:spacing w:line="240" w:lineRule="auto"/>
              <w:rPr>
                <w:rFonts w:ascii="Calibri" w:eastAsia="Times New Roman" w:hAnsi="Calibri" w:cs="Times New Roman"/>
                <w:color w:val="000000"/>
                <w:lang w:val="en-US"/>
              </w:rPr>
            </w:pPr>
          </w:p>
        </w:tc>
        <w:tc>
          <w:tcPr>
            <w:tcW w:w="1170" w:type="dxa"/>
            <w:tcBorders>
              <w:top w:val="nil"/>
              <w:left w:val="single" w:sz="4" w:space="0" w:color="auto"/>
              <w:bottom w:val="nil"/>
              <w:right w:val="single" w:sz="4" w:space="0" w:color="auto"/>
            </w:tcBorders>
            <w:shd w:val="clear" w:color="auto" w:fill="auto"/>
            <w:noWrap/>
            <w:vAlign w:val="bottom"/>
            <w:hideMark/>
          </w:tcPr>
          <w:p w14:paraId="19726CC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55C3CE48"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53CD7EA4" w14:textId="77777777" w:rsidR="001B1393" w:rsidRPr="001B1393" w:rsidRDefault="001B1393" w:rsidP="001B1393">
            <w:pPr>
              <w:spacing w:line="240" w:lineRule="auto"/>
              <w:rPr>
                <w:rFonts w:ascii="Calibri" w:eastAsia="Times New Roman" w:hAnsi="Calibri" w:cs="Times New Roman"/>
                <w:color w:val="808080"/>
                <w:lang w:val="en-US"/>
              </w:rPr>
            </w:pPr>
            <w:r w:rsidRPr="001B1393">
              <w:rPr>
                <w:rFonts w:ascii="Calibri" w:eastAsia="Times New Roman" w:hAnsi="Calibri" w:cs="Times New Roman"/>
                <w:color w:val="808080"/>
                <w:lang w:val="en-US"/>
              </w:rPr>
              <w:t> </w:t>
            </w:r>
          </w:p>
        </w:tc>
      </w:tr>
      <w:tr w:rsidR="001B1393" w:rsidRPr="001B1393" w14:paraId="42990320"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A893E5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in any position</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E284227"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797EA9C2"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0B435E48"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3284ABB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281</w:t>
            </w:r>
          </w:p>
        </w:tc>
        <w:tc>
          <w:tcPr>
            <w:tcW w:w="966" w:type="dxa"/>
            <w:tcBorders>
              <w:top w:val="nil"/>
              <w:left w:val="single" w:sz="4" w:space="0" w:color="auto"/>
              <w:bottom w:val="nil"/>
              <w:right w:val="single" w:sz="4" w:space="0" w:color="auto"/>
            </w:tcBorders>
            <w:shd w:val="clear" w:color="auto" w:fill="auto"/>
            <w:noWrap/>
            <w:vAlign w:val="bottom"/>
            <w:hideMark/>
          </w:tcPr>
          <w:p w14:paraId="26BCC18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90</w:t>
            </w:r>
          </w:p>
        </w:tc>
        <w:tc>
          <w:tcPr>
            <w:tcW w:w="1080" w:type="dxa"/>
            <w:tcBorders>
              <w:top w:val="nil"/>
              <w:left w:val="nil"/>
              <w:bottom w:val="nil"/>
              <w:right w:val="nil"/>
            </w:tcBorders>
            <w:shd w:val="clear" w:color="auto" w:fill="auto"/>
            <w:noWrap/>
            <w:vAlign w:val="bottom"/>
            <w:hideMark/>
          </w:tcPr>
          <w:p w14:paraId="325A4D4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155</w:t>
            </w:r>
          </w:p>
        </w:tc>
        <w:tc>
          <w:tcPr>
            <w:tcW w:w="1080" w:type="dxa"/>
            <w:tcBorders>
              <w:top w:val="nil"/>
              <w:left w:val="single" w:sz="4" w:space="0" w:color="auto"/>
              <w:bottom w:val="nil"/>
              <w:right w:val="single" w:sz="4" w:space="0" w:color="auto"/>
            </w:tcBorders>
            <w:shd w:val="clear" w:color="auto" w:fill="auto"/>
            <w:noWrap/>
            <w:vAlign w:val="bottom"/>
            <w:hideMark/>
          </w:tcPr>
          <w:p w14:paraId="4D52D3A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26</w:t>
            </w:r>
          </w:p>
        </w:tc>
        <w:tc>
          <w:tcPr>
            <w:tcW w:w="1530" w:type="dxa"/>
            <w:tcBorders>
              <w:top w:val="nil"/>
              <w:left w:val="nil"/>
              <w:bottom w:val="nil"/>
              <w:right w:val="nil"/>
            </w:tcBorders>
            <w:shd w:val="clear" w:color="auto" w:fill="auto"/>
            <w:noWrap/>
            <w:vAlign w:val="bottom"/>
            <w:hideMark/>
          </w:tcPr>
          <w:p w14:paraId="7D8EEFCE"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0.92</w:t>
            </w:r>
          </w:p>
        </w:tc>
        <w:tc>
          <w:tcPr>
            <w:tcW w:w="1170" w:type="dxa"/>
            <w:tcBorders>
              <w:top w:val="nil"/>
              <w:left w:val="single" w:sz="4" w:space="0" w:color="auto"/>
              <w:bottom w:val="nil"/>
              <w:right w:val="single" w:sz="4" w:space="0" w:color="auto"/>
            </w:tcBorders>
            <w:shd w:val="clear" w:color="auto" w:fill="auto"/>
            <w:noWrap/>
            <w:vAlign w:val="bottom"/>
            <w:hideMark/>
          </w:tcPr>
          <w:p w14:paraId="6F92A3E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0.63</w:t>
            </w:r>
          </w:p>
        </w:tc>
        <w:tc>
          <w:tcPr>
            <w:tcW w:w="792" w:type="dxa"/>
            <w:tcBorders>
              <w:top w:val="nil"/>
              <w:left w:val="nil"/>
              <w:bottom w:val="nil"/>
              <w:right w:val="nil"/>
            </w:tcBorders>
            <w:shd w:val="clear" w:color="auto" w:fill="auto"/>
            <w:noWrap/>
            <w:vAlign w:val="bottom"/>
            <w:hideMark/>
          </w:tcPr>
          <w:p w14:paraId="67A5B3E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0.76</w:t>
            </w:r>
          </w:p>
        </w:tc>
        <w:tc>
          <w:tcPr>
            <w:tcW w:w="1188" w:type="dxa"/>
            <w:tcBorders>
              <w:top w:val="nil"/>
              <w:left w:val="single" w:sz="4" w:space="0" w:color="auto"/>
              <w:bottom w:val="nil"/>
              <w:right w:val="single" w:sz="4" w:space="0" w:color="auto"/>
            </w:tcBorders>
            <w:shd w:val="clear" w:color="auto" w:fill="auto"/>
            <w:noWrap/>
            <w:vAlign w:val="bottom"/>
            <w:hideMark/>
          </w:tcPr>
          <w:p w14:paraId="5AF34B34"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0.86</w:t>
            </w:r>
          </w:p>
        </w:tc>
      </w:tr>
      <w:tr w:rsidR="001B1393" w:rsidRPr="001B1393" w14:paraId="3A785F0D"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319B86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in any position</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CC4B9E4"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721C0B36"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38E70DF8"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130FBB4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277</w:t>
            </w:r>
          </w:p>
        </w:tc>
        <w:tc>
          <w:tcPr>
            <w:tcW w:w="966" w:type="dxa"/>
            <w:tcBorders>
              <w:top w:val="nil"/>
              <w:left w:val="single" w:sz="4" w:space="0" w:color="auto"/>
              <w:bottom w:val="nil"/>
              <w:right w:val="single" w:sz="4" w:space="0" w:color="auto"/>
            </w:tcBorders>
            <w:shd w:val="clear" w:color="auto" w:fill="auto"/>
            <w:noWrap/>
            <w:vAlign w:val="bottom"/>
            <w:hideMark/>
          </w:tcPr>
          <w:p w14:paraId="5D90B15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65</w:t>
            </w:r>
          </w:p>
        </w:tc>
        <w:tc>
          <w:tcPr>
            <w:tcW w:w="1080" w:type="dxa"/>
            <w:tcBorders>
              <w:top w:val="nil"/>
              <w:left w:val="nil"/>
              <w:bottom w:val="nil"/>
              <w:right w:val="nil"/>
            </w:tcBorders>
            <w:shd w:val="clear" w:color="auto" w:fill="auto"/>
            <w:noWrap/>
            <w:vAlign w:val="bottom"/>
            <w:hideMark/>
          </w:tcPr>
          <w:p w14:paraId="12F03DE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180</w:t>
            </w:r>
          </w:p>
        </w:tc>
        <w:tc>
          <w:tcPr>
            <w:tcW w:w="1080" w:type="dxa"/>
            <w:tcBorders>
              <w:top w:val="nil"/>
              <w:left w:val="single" w:sz="4" w:space="0" w:color="auto"/>
              <w:bottom w:val="nil"/>
              <w:right w:val="single" w:sz="4" w:space="0" w:color="auto"/>
            </w:tcBorders>
            <w:shd w:val="clear" w:color="auto" w:fill="auto"/>
            <w:noWrap/>
            <w:vAlign w:val="bottom"/>
            <w:hideMark/>
          </w:tcPr>
          <w:p w14:paraId="2584BFC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30</w:t>
            </w:r>
          </w:p>
        </w:tc>
        <w:tc>
          <w:tcPr>
            <w:tcW w:w="1530" w:type="dxa"/>
            <w:tcBorders>
              <w:top w:val="nil"/>
              <w:left w:val="nil"/>
              <w:bottom w:val="nil"/>
              <w:right w:val="nil"/>
            </w:tcBorders>
            <w:shd w:val="clear" w:color="auto" w:fill="auto"/>
            <w:noWrap/>
            <w:vAlign w:val="bottom"/>
            <w:hideMark/>
          </w:tcPr>
          <w:p w14:paraId="70BF34B3"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0.90</w:t>
            </w:r>
          </w:p>
        </w:tc>
        <w:tc>
          <w:tcPr>
            <w:tcW w:w="1170" w:type="dxa"/>
            <w:tcBorders>
              <w:top w:val="nil"/>
              <w:left w:val="single" w:sz="4" w:space="0" w:color="auto"/>
              <w:bottom w:val="nil"/>
              <w:right w:val="single" w:sz="4" w:space="0" w:color="auto"/>
            </w:tcBorders>
            <w:shd w:val="clear" w:color="auto" w:fill="auto"/>
            <w:noWrap/>
            <w:vAlign w:val="bottom"/>
            <w:hideMark/>
          </w:tcPr>
          <w:p w14:paraId="7255A25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0.74</w:t>
            </w:r>
          </w:p>
        </w:tc>
        <w:tc>
          <w:tcPr>
            <w:tcW w:w="792" w:type="dxa"/>
            <w:tcBorders>
              <w:top w:val="nil"/>
              <w:left w:val="nil"/>
              <w:bottom w:val="nil"/>
              <w:right w:val="nil"/>
            </w:tcBorders>
            <w:shd w:val="clear" w:color="auto" w:fill="auto"/>
            <w:noWrap/>
            <w:vAlign w:val="bottom"/>
            <w:hideMark/>
          </w:tcPr>
          <w:p w14:paraId="5A41283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0.81</w:t>
            </w:r>
          </w:p>
        </w:tc>
        <w:tc>
          <w:tcPr>
            <w:tcW w:w="1188" w:type="dxa"/>
            <w:tcBorders>
              <w:top w:val="nil"/>
              <w:left w:val="single" w:sz="4" w:space="0" w:color="auto"/>
              <w:bottom w:val="nil"/>
              <w:right w:val="single" w:sz="4" w:space="0" w:color="auto"/>
            </w:tcBorders>
            <w:shd w:val="clear" w:color="auto" w:fill="auto"/>
            <w:noWrap/>
            <w:vAlign w:val="bottom"/>
            <w:hideMark/>
          </w:tcPr>
          <w:p w14:paraId="10AF91C8"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0.86</w:t>
            </w:r>
          </w:p>
        </w:tc>
      </w:tr>
      <w:tr w:rsidR="001B1393" w:rsidRPr="001B1393" w14:paraId="4D28FCD8"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6E354C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in any position</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A394FEE"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13BC4949"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3954379B"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6EE6171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273</w:t>
            </w:r>
          </w:p>
        </w:tc>
        <w:tc>
          <w:tcPr>
            <w:tcW w:w="966" w:type="dxa"/>
            <w:tcBorders>
              <w:top w:val="nil"/>
              <w:left w:val="single" w:sz="4" w:space="0" w:color="auto"/>
              <w:bottom w:val="nil"/>
              <w:right w:val="single" w:sz="4" w:space="0" w:color="auto"/>
            </w:tcBorders>
            <w:shd w:val="clear" w:color="auto" w:fill="auto"/>
            <w:noWrap/>
            <w:vAlign w:val="bottom"/>
            <w:hideMark/>
          </w:tcPr>
          <w:p w14:paraId="0C10A8C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46</w:t>
            </w:r>
          </w:p>
        </w:tc>
        <w:tc>
          <w:tcPr>
            <w:tcW w:w="1080" w:type="dxa"/>
            <w:tcBorders>
              <w:top w:val="nil"/>
              <w:left w:val="nil"/>
              <w:bottom w:val="nil"/>
              <w:right w:val="nil"/>
            </w:tcBorders>
            <w:shd w:val="clear" w:color="auto" w:fill="auto"/>
            <w:noWrap/>
            <w:vAlign w:val="bottom"/>
            <w:hideMark/>
          </w:tcPr>
          <w:p w14:paraId="7627581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199</w:t>
            </w:r>
          </w:p>
        </w:tc>
        <w:tc>
          <w:tcPr>
            <w:tcW w:w="1080" w:type="dxa"/>
            <w:tcBorders>
              <w:top w:val="nil"/>
              <w:left w:val="single" w:sz="4" w:space="0" w:color="auto"/>
              <w:bottom w:val="nil"/>
              <w:right w:val="single" w:sz="4" w:space="0" w:color="auto"/>
            </w:tcBorders>
            <w:shd w:val="clear" w:color="auto" w:fill="auto"/>
            <w:noWrap/>
            <w:vAlign w:val="bottom"/>
            <w:hideMark/>
          </w:tcPr>
          <w:p w14:paraId="5E6C6CD6"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34</w:t>
            </w:r>
          </w:p>
        </w:tc>
        <w:tc>
          <w:tcPr>
            <w:tcW w:w="1530" w:type="dxa"/>
            <w:tcBorders>
              <w:top w:val="nil"/>
              <w:left w:val="nil"/>
              <w:bottom w:val="nil"/>
              <w:right w:val="nil"/>
            </w:tcBorders>
            <w:shd w:val="clear" w:color="auto" w:fill="auto"/>
            <w:noWrap/>
            <w:vAlign w:val="bottom"/>
            <w:hideMark/>
          </w:tcPr>
          <w:p w14:paraId="009823FD"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0.89</w:t>
            </w:r>
          </w:p>
        </w:tc>
        <w:tc>
          <w:tcPr>
            <w:tcW w:w="1170" w:type="dxa"/>
            <w:tcBorders>
              <w:top w:val="nil"/>
              <w:left w:val="single" w:sz="4" w:space="0" w:color="auto"/>
              <w:bottom w:val="nil"/>
              <w:right w:val="single" w:sz="4" w:space="0" w:color="auto"/>
            </w:tcBorders>
            <w:shd w:val="clear" w:color="auto" w:fill="auto"/>
            <w:noWrap/>
            <w:vAlign w:val="bottom"/>
            <w:hideMark/>
          </w:tcPr>
          <w:p w14:paraId="67A9570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0.81</w:t>
            </w:r>
          </w:p>
        </w:tc>
        <w:tc>
          <w:tcPr>
            <w:tcW w:w="792" w:type="dxa"/>
            <w:tcBorders>
              <w:top w:val="nil"/>
              <w:left w:val="nil"/>
              <w:bottom w:val="nil"/>
              <w:right w:val="nil"/>
            </w:tcBorders>
            <w:shd w:val="clear" w:color="auto" w:fill="auto"/>
            <w:noWrap/>
            <w:vAlign w:val="bottom"/>
            <w:hideMark/>
          </w:tcPr>
          <w:p w14:paraId="667BC71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0.86</w:t>
            </w:r>
          </w:p>
        </w:tc>
        <w:tc>
          <w:tcPr>
            <w:tcW w:w="1188" w:type="dxa"/>
            <w:tcBorders>
              <w:top w:val="nil"/>
              <w:left w:val="single" w:sz="4" w:space="0" w:color="auto"/>
              <w:bottom w:val="nil"/>
              <w:right w:val="single" w:sz="4" w:space="0" w:color="auto"/>
            </w:tcBorders>
            <w:shd w:val="clear" w:color="auto" w:fill="auto"/>
            <w:noWrap/>
            <w:vAlign w:val="bottom"/>
            <w:hideMark/>
          </w:tcPr>
          <w:p w14:paraId="35926B3E"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0.85</w:t>
            </w:r>
          </w:p>
        </w:tc>
      </w:tr>
      <w:tr w:rsidR="001B1393" w:rsidRPr="001B1393" w14:paraId="4692D292"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878C3B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I33.0 in any position</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BF8DD69"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6552B2C6"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30A14786"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nil"/>
              <w:right w:val="nil"/>
            </w:tcBorders>
            <w:shd w:val="clear" w:color="auto" w:fill="auto"/>
            <w:noWrap/>
            <w:vAlign w:val="bottom"/>
            <w:hideMark/>
          </w:tcPr>
          <w:p w14:paraId="3641A13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265</w:t>
            </w:r>
          </w:p>
        </w:tc>
        <w:tc>
          <w:tcPr>
            <w:tcW w:w="966" w:type="dxa"/>
            <w:tcBorders>
              <w:top w:val="nil"/>
              <w:left w:val="single" w:sz="4" w:space="0" w:color="auto"/>
              <w:bottom w:val="nil"/>
              <w:right w:val="single" w:sz="4" w:space="0" w:color="auto"/>
            </w:tcBorders>
            <w:shd w:val="clear" w:color="auto" w:fill="auto"/>
            <w:noWrap/>
            <w:vAlign w:val="bottom"/>
            <w:hideMark/>
          </w:tcPr>
          <w:p w14:paraId="0ED39EE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39</w:t>
            </w:r>
          </w:p>
        </w:tc>
        <w:tc>
          <w:tcPr>
            <w:tcW w:w="1080" w:type="dxa"/>
            <w:tcBorders>
              <w:top w:val="nil"/>
              <w:left w:val="nil"/>
              <w:bottom w:val="nil"/>
              <w:right w:val="nil"/>
            </w:tcBorders>
            <w:shd w:val="clear" w:color="auto" w:fill="auto"/>
            <w:noWrap/>
            <w:vAlign w:val="bottom"/>
            <w:hideMark/>
          </w:tcPr>
          <w:p w14:paraId="678362B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206</w:t>
            </w:r>
          </w:p>
        </w:tc>
        <w:tc>
          <w:tcPr>
            <w:tcW w:w="1080" w:type="dxa"/>
            <w:tcBorders>
              <w:top w:val="nil"/>
              <w:left w:val="single" w:sz="4" w:space="0" w:color="auto"/>
              <w:bottom w:val="nil"/>
              <w:right w:val="single" w:sz="4" w:space="0" w:color="auto"/>
            </w:tcBorders>
            <w:shd w:val="clear" w:color="auto" w:fill="auto"/>
            <w:noWrap/>
            <w:vAlign w:val="bottom"/>
            <w:hideMark/>
          </w:tcPr>
          <w:p w14:paraId="366F418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42</w:t>
            </w:r>
          </w:p>
        </w:tc>
        <w:tc>
          <w:tcPr>
            <w:tcW w:w="1530" w:type="dxa"/>
            <w:tcBorders>
              <w:top w:val="nil"/>
              <w:left w:val="nil"/>
              <w:bottom w:val="nil"/>
              <w:right w:val="nil"/>
            </w:tcBorders>
            <w:shd w:val="clear" w:color="auto" w:fill="auto"/>
            <w:noWrap/>
            <w:vAlign w:val="bottom"/>
            <w:hideMark/>
          </w:tcPr>
          <w:p w14:paraId="6530B3B9"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0.86</w:t>
            </w:r>
          </w:p>
        </w:tc>
        <w:tc>
          <w:tcPr>
            <w:tcW w:w="1170" w:type="dxa"/>
            <w:tcBorders>
              <w:top w:val="nil"/>
              <w:left w:val="single" w:sz="4" w:space="0" w:color="auto"/>
              <w:bottom w:val="nil"/>
              <w:right w:val="single" w:sz="4" w:space="0" w:color="auto"/>
            </w:tcBorders>
            <w:shd w:val="clear" w:color="auto" w:fill="auto"/>
            <w:noWrap/>
            <w:vAlign w:val="bottom"/>
            <w:hideMark/>
          </w:tcPr>
          <w:p w14:paraId="186BB37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0.84</w:t>
            </w:r>
          </w:p>
        </w:tc>
        <w:tc>
          <w:tcPr>
            <w:tcW w:w="792" w:type="dxa"/>
            <w:tcBorders>
              <w:top w:val="nil"/>
              <w:left w:val="nil"/>
              <w:bottom w:val="nil"/>
              <w:right w:val="nil"/>
            </w:tcBorders>
            <w:shd w:val="clear" w:color="auto" w:fill="auto"/>
            <w:noWrap/>
            <w:vAlign w:val="bottom"/>
            <w:hideMark/>
          </w:tcPr>
          <w:p w14:paraId="76D0043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0.87</w:t>
            </w:r>
          </w:p>
        </w:tc>
        <w:tc>
          <w:tcPr>
            <w:tcW w:w="1188" w:type="dxa"/>
            <w:tcBorders>
              <w:top w:val="nil"/>
              <w:left w:val="single" w:sz="4" w:space="0" w:color="auto"/>
              <w:bottom w:val="nil"/>
              <w:right w:val="single" w:sz="4" w:space="0" w:color="auto"/>
            </w:tcBorders>
            <w:shd w:val="clear" w:color="auto" w:fill="auto"/>
            <w:noWrap/>
            <w:vAlign w:val="bottom"/>
            <w:hideMark/>
          </w:tcPr>
          <w:p w14:paraId="253D953C"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0.83</w:t>
            </w:r>
          </w:p>
        </w:tc>
      </w:tr>
      <w:tr w:rsidR="001B1393" w:rsidRPr="001B1393" w14:paraId="4CC3284D"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9A5189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DACFB66"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103547C8"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670F815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58E1136F"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4DB371B3"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781DBAD6"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2795A9A4"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3399C2D5" w14:textId="77777777" w:rsidR="001B1393" w:rsidRPr="001B1393" w:rsidRDefault="001B1393" w:rsidP="001B1393">
            <w:pPr>
              <w:spacing w:line="240" w:lineRule="auto"/>
              <w:rPr>
                <w:rFonts w:ascii="Calibri" w:eastAsia="Times New Roman" w:hAnsi="Calibri" w:cs="Times New Roman"/>
                <w:color w:val="000000"/>
                <w:lang w:val="en-US"/>
              </w:rPr>
            </w:pPr>
          </w:p>
        </w:tc>
        <w:tc>
          <w:tcPr>
            <w:tcW w:w="1170" w:type="dxa"/>
            <w:tcBorders>
              <w:top w:val="nil"/>
              <w:left w:val="single" w:sz="4" w:space="0" w:color="auto"/>
              <w:bottom w:val="nil"/>
              <w:right w:val="single" w:sz="4" w:space="0" w:color="auto"/>
            </w:tcBorders>
            <w:shd w:val="clear" w:color="auto" w:fill="auto"/>
            <w:noWrap/>
            <w:vAlign w:val="bottom"/>
            <w:hideMark/>
          </w:tcPr>
          <w:p w14:paraId="2CD43F7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6592B8A0"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48C1C584" w14:textId="77777777" w:rsidR="001B1393" w:rsidRPr="001B1393" w:rsidRDefault="001B1393" w:rsidP="001B1393">
            <w:pPr>
              <w:spacing w:line="240" w:lineRule="auto"/>
              <w:rPr>
                <w:rFonts w:ascii="Calibri" w:eastAsia="Times New Roman" w:hAnsi="Calibri" w:cs="Times New Roman"/>
                <w:color w:val="808080"/>
                <w:lang w:val="en-US"/>
              </w:rPr>
            </w:pPr>
            <w:r w:rsidRPr="001B1393">
              <w:rPr>
                <w:rFonts w:ascii="Calibri" w:eastAsia="Times New Roman" w:hAnsi="Calibri" w:cs="Times New Roman"/>
                <w:color w:val="808080"/>
                <w:lang w:val="en-US"/>
              </w:rPr>
              <w:t> </w:t>
            </w:r>
          </w:p>
        </w:tc>
      </w:tr>
      <w:tr w:rsidR="001B1393" w:rsidRPr="001B1393" w14:paraId="50C726D6"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75EDF985"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primary and I33.0 secondary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58A6491"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6940F540"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7C0D8BA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2EB2E1E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299</w:t>
            </w:r>
          </w:p>
        </w:tc>
        <w:tc>
          <w:tcPr>
            <w:tcW w:w="966" w:type="dxa"/>
            <w:tcBorders>
              <w:top w:val="nil"/>
              <w:left w:val="single" w:sz="4" w:space="0" w:color="auto"/>
              <w:bottom w:val="nil"/>
              <w:right w:val="single" w:sz="4" w:space="0" w:color="auto"/>
            </w:tcBorders>
            <w:shd w:val="clear" w:color="auto" w:fill="auto"/>
            <w:noWrap/>
            <w:vAlign w:val="bottom"/>
            <w:hideMark/>
          </w:tcPr>
          <w:p w14:paraId="1F9228B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127</w:t>
            </w:r>
          </w:p>
        </w:tc>
        <w:tc>
          <w:tcPr>
            <w:tcW w:w="1080" w:type="dxa"/>
            <w:tcBorders>
              <w:top w:val="nil"/>
              <w:left w:val="nil"/>
              <w:bottom w:val="nil"/>
              <w:right w:val="nil"/>
            </w:tcBorders>
            <w:shd w:val="clear" w:color="auto" w:fill="auto"/>
            <w:noWrap/>
            <w:vAlign w:val="bottom"/>
            <w:hideMark/>
          </w:tcPr>
          <w:p w14:paraId="4531231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118</w:t>
            </w:r>
          </w:p>
        </w:tc>
        <w:tc>
          <w:tcPr>
            <w:tcW w:w="1080" w:type="dxa"/>
            <w:tcBorders>
              <w:top w:val="nil"/>
              <w:left w:val="single" w:sz="4" w:space="0" w:color="auto"/>
              <w:bottom w:val="nil"/>
              <w:right w:val="single" w:sz="4" w:space="0" w:color="auto"/>
            </w:tcBorders>
            <w:shd w:val="clear" w:color="auto" w:fill="auto"/>
            <w:noWrap/>
            <w:vAlign w:val="bottom"/>
            <w:hideMark/>
          </w:tcPr>
          <w:p w14:paraId="091AFF3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8</w:t>
            </w:r>
          </w:p>
        </w:tc>
        <w:tc>
          <w:tcPr>
            <w:tcW w:w="1530" w:type="dxa"/>
            <w:tcBorders>
              <w:top w:val="nil"/>
              <w:left w:val="nil"/>
              <w:bottom w:val="nil"/>
              <w:right w:val="nil"/>
            </w:tcBorders>
            <w:shd w:val="clear" w:color="auto" w:fill="auto"/>
            <w:noWrap/>
            <w:vAlign w:val="bottom"/>
            <w:hideMark/>
          </w:tcPr>
          <w:p w14:paraId="6BBCE798"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0.97</w:t>
            </w:r>
          </w:p>
        </w:tc>
        <w:tc>
          <w:tcPr>
            <w:tcW w:w="1170" w:type="dxa"/>
            <w:tcBorders>
              <w:top w:val="nil"/>
              <w:left w:val="single" w:sz="4" w:space="0" w:color="auto"/>
              <w:bottom w:val="nil"/>
              <w:right w:val="single" w:sz="4" w:space="0" w:color="auto"/>
            </w:tcBorders>
            <w:shd w:val="clear" w:color="auto" w:fill="auto"/>
            <w:noWrap/>
            <w:vAlign w:val="bottom"/>
            <w:hideMark/>
          </w:tcPr>
          <w:p w14:paraId="490DA888"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0.48</w:t>
            </w:r>
          </w:p>
        </w:tc>
        <w:tc>
          <w:tcPr>
            <w:tcW w:w="792" w:type="dxa"/>
            <w:tcBorders>
              <w:top w:val="nil"/>
              <w:left w:val="nil"/>
              <w:bottom w:val="nil"/>
              <w:right w:val="nil"/>
            </w:tcBorders>
            <w:shd w:val="clear" w:color="auto" w:fill="auto"/>
            <w:noWrap/>
            <w:vAlign w:val="bottom"/>
            <w:hideMark/>
          </w:tcPr>
          <w:p w14:paraId="2C073C0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0.70</w:t>
            </w:r>
          </w:p>
        </w:tc>
        <w:tc>
          <w:tcPr>
            <w:tcW w:w="1188" w:type="dxa"/>
            <w:tcBorders>
              <w:top w:val="nil"/>
              <w:left w:val="single" w:sz="4" w:space="0" w:color="auto"/>
              <w:bottom w:val="nil"/>
              <w:right w:val="single" w:sz="4" w:space="0" w:color="auto"/>
            </w:tcBorders>
            <w:shd w:val="clear" w:color="auto" w:fill="auto"/>
            <w:noWrap/>
            <w:vAlign w:val="bottom"/>
            <w:hideMark/>
          </w:tcPr>
          <w:p w14:paraId="2C97A5FA"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0.94</w:t>
            </w:r>
          </w:p>
        </w:tc>
      </w:tr>
      <w:tr w:rsidR="001B1393" w:rsidRPr="001B1393" w14:paraId="305155A2"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329B05E"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primary and I33.0 secondary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715FCAB5"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02F06351"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5B1ED1A6"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85DA22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295</w:t>
            </w:r>
          </w:p>
        </w:tc>
        <w:tc>
          <w:tcPr>
            <w:tcW w:w="966" w:type="dxa"/>
            <w:tcBorders>
              <w:top w:val="nil"/>
              <w:left w:val="single" w:sz="4" w:space="0" w:color="auto"/>
              <w:bottom w:val="nil"/>
              <w:right w:val="single" w:sz="4" w:space="0" w:color="auto"/>
            </w:tcBorders>
            <w:shd w:val="clear" w:color="auto" w:fill="auto"/>
            <w:noWrap/>
            <w:vAlign w:val="bottom"/>
            <w:hideMark/>
          </w:tcPr>
          <w:p w14:paraId="4B2187C8"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85</w:t>
            </w:r>
          </w:p>
        </w:tc>
        <w:tc>
          <w:tcPr>
            <w:tcW w:w="1080" w:type="dxa"/>
            <w:tcBorders>
              <w:top w:val="nil"/>
              <w:left w:val="nil"/>
              <w:bottom w:val="nil"/>
              <w:right w:val="nil"/>
            </w:tcBorders>
            <w:shd w:val="clear" w:color="auto" w:fill="auto"/>
            <w:noWrap/>
            <w:vAlign w:val="bottom"/>
            <w:hideMark/>
          </w:tcPr>
          <w:p w14:paraId="6062DB8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160</w:t>
            </w:r>
          </w:p>
        </w:tc>
        <w:tc>
          <w:tcPr>
            <w:tcW w:w="1080" w:type="dxa"/>
            <w:tcBorders>
              <w:top w:val="nil"/>
              <w:left w:val="single" w:sz="4" w:space="0" w:color="auto"/>
              <w:bottom w:val="nil"/>
              <w:right w:val="single" w:sz="4" w:space="0" w:color="auto"/>
            </w:tcBorders>
            <w:shd w:val="clear" w:color="auto" w:fill="auto"/>
            <w:noWrap/>
            <w:vAlign w:val="bottom"/>
            <w:hideMark/>
          </w:tcPr>
          <w:p w14:paraId="4B8D662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12</w:t>
            </w:r>
          </w:p>
        </w:tc>
        <w:tc>
          <w:tcPr>
            <w:tcW w:w="1530" w:type="dxa"/>
            <w:tcBorders>
              <w:top w:val="nil"/>
              <w:left w:val="nil"/>
              <w:bottom w:val="nil"/>
              <w:right w:val="nil"/>
            </w:tcBorders>
            <w:shd w:val="clear" w:color="auto" w:fill="auto"/>
            <w:noWrap/>
            <w:vAlign w:val="bottom"/>
            <w:hideMark/>
          </w:tcPr>
          <w:p w14:paraId="0A95776F"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0.96</w:t>
            </w:r>
          </w:p>
        </w:tc>
        <w:tc>
          <w:tcPr>
            <w:tcW w:w="1170" w:type="dxa"/>
            <w:tcBorders>
              <w:top w:val="nil"/>
              <w:left w:val="single" w:sz="4" w:space="0" w:color="auto"/>
              <w:bottom w:val="nil"/>
              <w:right w:val="single" w:sz="4" w:space="0" w:color="auto"/>
            </w:tcBorders>
            <w:shd w:val="clear" w:color="auto" w:fill="auto"/>
            <w:noWrap/>
            <w:vAlign w:val="bottom"/>
            <w:hideMark/>
          </w:tcPr>
          <w:p w14:paraId="2313A1D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0.65</w:t>
            </w:r>
          </w:p>
        </w:tc>
        <w:tc>
          <w:tcPr>
            <w:tcW w:w="792" w:type="dxa"/>
            <w:tcBorders>
              <w:top w:val="nil"/>
              <w:left w:val="nil"/>
              <w:bottom w:val="nil"/>
              <w:right w:val="nil"/>
            </w:tcBorders>
            <w:shd w:val="clear" w:color="auto" w:fill="auto"/>
            <w:noWrap/>
            <w:vAlign w:val="bottom"/>
            <w:hideMark/>
          </w:tcPr>
          <w:p w14:paraId="43335CC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0.78</w:t>
            </w:r>
          </w:p>
        </w:tc>
        <w:tc>
          <w:tcPr>
            <w:tcW w:w="1188" w:type="dxa"/>
            <w:tcBorders>
              <w:top w:val="nil"/>
              <w:left w:val="single" w:sz="4" w:space="0" w:color="auto"/>
              <w:bottom w:val="nil"/>
              <w:right w:val="single" w:sz="4" w:space="0" w:color="auto"/>
            </w:tcBorders>
            <w:shd w:val="clear" w:color="auto" w:fill="auto"/>
            <w:noWrap/>
            <w:vAlign w:val="bottom"/>
            <w:hideMark/>
          </w:tcPr>
          <w:p w14:paraId="247B7C03"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0.93</w:t>
            </w:r>
          </w:p>
        </w:tc>
      </w:tr>
      <w:tr w:rsidR="001B1393" w:rsidRPr="001B1393" w14:paraId="75A0DD4A"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B4EF9D3"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primary and I33.0 secondary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FD2E28D"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384A1F54"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0EA0A6C5"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42A917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290</w:t>
            </w:r>
          </w:p>
        </w:tc>
        <w:tc>
          <w:tcPr>
            <w:tcW w:w="966" w:type="dxa"/>
            <w:tcBorders>
              <w:top w:val="nil"/>
              <w:left w:val="single" w:sz="4" w:space="0" w:color="auto"/>
              <w:bottom w:val="nil"/>
              <w:right w:val="single" w:sz="4" w:space="0" w:color="auto"/>
            </w:tcBorders>
            <w:shd w:val="clear" w:color="auto" w:fill="auto"/>
            <w:noWrap/>
            <w:vAlign w:val="bottom"/>
            <w:hideMark/>
          </w:tcPr>
          <w:p w14:paraId="301B10B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65</w:t>
            </w:r>
          </w:p>
        </w:tc>
        <w:tc>
          <w:tcPr>
            <w:tcW w:w="1080" w:type="dxa"/>
            <w:tcBorders>
              <w:top w:val="nil"/>
              <w:left w:val="nil"/>
              <w:bottom w:val="nil"/>
              <w:right w:val="nil"/>
            </w:tcBorders>
            <w:shd w:val="clear" w:color="auto" w:fill="auto"/>
            <w:noWrap/>
            <w:vAlign w:val="bottom"/>
            <w:hideMark/>
          </w:tcPr>
          <w:p w14:paraId="195C325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180</w:t>
            </w:r>
          </w:p>
        </w:tc>
        <w:tc>
          <w:tcPr>
            <w:tcW w:w="1080" w:type="dxa"/>
            <w:tcBorders>
              <w:top w:val="nil"/>
              <w:left w:val="single" w:sz="4" w:space="0" w:color="auto"/>
              <w:bottom w:val="nil"/>
              <w:right w:val="single" w:sz="4" w:space="0" w:color="auto"/>
            </w:tcBorders>
            <w:shd w:val="clear" w:color="auto" w:fill="auto"/>
            <w:noWrap/>
            <w:vAlign w:val="bottom"/>
            <w:hideMark/>
          </w:tcPr>
          <w:p w14:paraId="0103030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17</w:t>
            </w:r>
          </w:p>
        </w:tc>
        <w:tc>
          <w:tcPr>
            <w:tcW w:w="1530" w:type="dxa"/>
            <w:tcBorders>
              <w:top w:val="nil"/>
              <w:left w:val="nil"/>
              <w:bottom w:val="nil"/>
              <w:right w:val="nil"/>
            </w:tcBorders>
            <w:shd w:val="clear" w:color="auto" w:fill="auto"/>
            <w:noWrap/>
            <w:vAlign w:val="bottom"/>
            <w:hideMark/>
          </w:tcPr>
          <w:p w14:paraId="6B96EBF7"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0.95</w:t>
            </w:r>
          </w:p>
        </w:tc>
        <w:tc>
          <w:tcPr>
            <w:tcW w:w="1170" w:type="dxa"/>
            <w:tcBorders>
              <w:top w:val="nil"/>
              <w:left w:val="single" w:sz="4" w:space="0" w:color="auto"/>
              <w:bottom w:val="nil"/>
              <w:right w:val="single" w:sz="4" w:space="0" w:color="auto"/>
            </w:tcBorders>
            <w:shd w:val="clear" w:color="auto" w:fill="auto"/>
            <w:noWrap/>
            <w:vAlign w:val="bottom"/>
            <w:hideMark/>
          </w:tcPr>
          <w:p w14:paraId="17E7623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0.74</w:t>
            </w:r>
          </w:p>
        </w:tc>
        <w:tc>
          <w:tcPr>
            <w:tcW w:w="792" w:type="dxa"/>
            <w:tcBorders>
              <w:top w:val="nil"/>
              <w:left w:val="nil"/>
              <w:bottom w:val="nil"/>
              <w:right w:val="nil"/>
            </w:tcBorders>
            <w:shd w:val="clear" w:color="auto" w:fill="auto"/>
            <w:noWrap/>
            <w:vAlign w:val="bottom"/>
            <w:hideMark/>
          </w:tcPr>
          <w:p w14:paraId="22AE8968"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0.82</w:t>
            </w:r>
          </w:p>
        </w:tc>
        <w:tc>
          <w:tcPr>
            <w:tcW w:w="1188" w:type="dxa"/>
            <w:tcBorders>
              <w:top w:val="nil"/>
              <w:left w:val="single" w:sz="4" w:space="0" w:color="auto"/>
              <w:bottom w:val="nil"/>
              <w:right w:val="single" w:sz="4" w:space="0" w:color="auto"/>
            </w:tcBorders>
            <w:shd w:val="clear" w:color="auto" w:fill="auto"/>
            <w:noWrap/>
            <w:vAlign w:val="bottom"/>
            <w:hideMark/>
          </w:tcPr>
          <w:p w14:paraId="1CDA1694"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0.91</w:t>
            </w:r>
          </w:p>
        </w:tc>
      </w:tr>
      <w:tr w:rsidR="001B1393" w:rsidRPr="001B1393" w14:paraId="32F04003"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756628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primary and I33.0 secondary</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80FD966"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6313E28A"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0CE6A2B9"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nil"/>
              <w:right w:val="nil"/>
            </w:tcBorders>
            <w:shd w:val="clear" w:color="auto" w:fill="auto"/>
            <w:noWrap/>
            <w:vAlign w:val="bottom"/>
            <w:hideMark/>
          </w:tcPr>
          <w:p w14:paraId="06FD5DD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281</w:t>
            </w:r>
          </w:p>
        </w:tc>
        <w:tc>
          <w:tcPr>
            <w:tcW w:w="966" w:type="dxa"/>
            <w:tcBorders>
              <w:top w:val="nil"/>
              <w:left w:val="single" w:sz="4" w:space="0" w:color="auto"/>
              <w:bottom w:val="nil"/>
              <w:right w:val="single" w:sz="4" w:space="0" w:color="auto"/>
            </w:tcBorders>
            <w:shd w:val="clear" w:color="auto" w:fill="auto"/>
            <w:noWrap/>
            <w:vAlign w:val="bottom"/>
            <w:hideMark/>
          </w:tcPr>
          <w:p w14:paraId="4105B14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54</w:t>
            </w:r>
          </w:p>
        </w:tc>
        <w:tc>
          <w:tcPr>
            <w:tcW w:w="1080" w:type="dxa"/>
            <w:tcBorders>
              <w:top w:val="nil"/>
              <w:left w:val="nil"/>
              <w:bottom w:val="nil"/>
              <w:right w:val="nil"/>
            </w:tcBorders>
            <w:shd w:val="clear" w:color="auto" w:fill="auto"/>
            <w:noWrap/>
            <w:vAlign w:val="bottom"/>
            <w:hideMark/>
          </w:tcPr>
          <w:p w14:paraId="126F0F7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191</w:t>
            </w:r>
          </w:p>
        </w:tc>
        <w:tc>
          <w:tcPr>
            <w:tcW w:w="1080" w:type="dxa"/>
            <w:tcBorders>
              <w:top w:val="nil"/>
              <w:left w:val="single" w:sz="4" w:space="0" w:color="auto"/>
              <w:bottom w:val="nil"/>
              <w:right w:val="single" w:sz="4" w:space="0" w:color="auto"/>
            </w:tcBorders>
            <w:shd w:val="clear" w:color="auto" w:fill="auto"/>
            <w:noWrap/>
            <w:vAlign w:val="bottom"/>
            <w:hideMark/>
          </w:tcPr>
          <w:p w14:paraId="49B223A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26</w:t>
            </w:r>
          </w:p>
        </w:tc>
        <w:tc>
          <w:tcPr>
            <w:tcW w:w="1530" w:type="dxa"/>
            <w:tcBorders>
              <w:top w:val="nil"/>
              <w:left w:val="nil"/>
              <w:bottom w:val="nil"/>
              <w:right w:val="nil"/>
            </w:tcBorders>
            <w:shd w:val="clear" w:color="auto" w:fill="auto"/>
            <w:noWrap/>
            <w:vAlign w:val="bottom"/>
            <w:hideMark/>
          </w:tcPr>
          <w:p w14:paraId="520F6196"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0.92</w:t>
            </w:r>
          </w:p>
        </w:tc>
        <w:tc>
          <w:tcPr>
            <w:tcW w:w="1170" w:type="dxa"/>
            <w:tcBorders>
              <w:top w:val="nil"/>
              <w:left w:val="single" w:sz="4" w:space="0" w:color="auto"/>
              <w:bottom w:val="nil"/>
              <w:right w:val="single" w:sz="4" w:space="0" w:color="auto"/>
            </w:tcBorders>
            <w:shd w:val="clear" w:color="auto" w:fill="auto"/>
            <w:noWrap/>
            <w:vAlign w:val="bottom"/>
            <w:hideMark/>
          </w:tcPr>
          <w:p w14:paraId="331FAB1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0.78</w:t>
            </w:r>
          </w:p>
        </w:tc>
        <w:tc>
          <w:tcPr>
            <w:tcW w:w="792" w:type="dxa"/>
            <w:tcBorders>
              <w:top w:val="nil"/>
              <w:left w:val="nil"/>
              <w:bottom w:val="nil"/>
              <w:right w:val="nil"/>
            </w:tcBorders>
            <w:shd w:val="clear" w:color="auto" w:fill="auto"/>
            <w:noWrap/>
            <w:vAlign w:val="bottom"/>
            <w:hideMark/>
          </w:tcPr>
          <w:p w14:paraId="60F40F1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0.84</w:t>
            </w:r>
          </w:p>
        </w:tc>
        <w:tc>
          <w:tcPr>
            <w:tcW w:w="1188" w:type="dxa"/>
            <w:tcBorders>
              <w:top w:val="nil"/>
              <w:left w:val="single" w:sz="4" w:space="0" w:color="auto"/>
              <w:bottom w:val="nil"/>
              <w:right w:val="single" w:sz="4" w:space="0" w:color="auto"/>
            </w:tcBorders>
            <w:shd w:val="clear" w:color="auto" w:fill="auto"/>
            <w:noWrap/>
            <w:vAlign w:val="bottom"/>
            <w:hideMark/>
          </w:tcPr>
          <w:p w14:paraId="0DF2B401"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0.88</w:t>
            </w:r>
          </w:p>
        </w:tc>
      </w:tr>
      <w:tr w:rsidR="001B1393" w:rsidRPr="001B1393" w14:paraId="58732BD0"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45D48F0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lastRenderedPageBreak/>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67FD484"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71087EA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6DF0B1E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5E6AD56"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3D9486C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06040FB0"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64DA82AA"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2DD3A8A6" w14:textId="77777777" w:rsidR="001B1393" w:rsidRPr="001B1393" w:rsidRDefault="001B1393" w:rsidP="001B1393">
            <w:pPr>
              <w:spacing w:line="240" w:lineRule="auto"/>
              <w:rPr>
                <w:rFonts w:ascii="Calibri" w:eastAsia="Times New Roman" w:hAnsi="Calibri" w:cs="Times New Roman"/>
                <w:color w:val="000000"/>
                <w:lang w:val="en-US"/>
              </w:rPr>
            </w:pPr>
          </w:p>
        </w:tc>
        <w:tc>
          <w:tcPr>
            <w:tcW w:w="1170" w:type="dxa"/>
            <w:tcBorders>
              <w:top w:val="nil"/>
              <w:left w:val="single" w:sz="4" w:space="0" w:color="auto"/>
              <w:bottom w:val="nil"/>
              <w:right w:val="single" w:sz="4" w:space="0" w:color="auto"/>
            </w:tcBorders>
            <w:shd w:val="clear" w:color="auto" w:fill="auto"/>
            <w:noWrap/>
            <w:vAlign w:val="bottom"/>
            <w:hideMark/>
          </w:tcPr>
          <w:p w14:paraId="2BF9A992"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23EB0189"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09A6A0CA" w14:textId="77777777" w:rsidR="001B1393" w:rsidRPr="001B1393" w:rsidRDefault="001B1393" w:rsidP="001B1393">
            <w:pPr>
              <w:spacing w:line="240" w:lineRule="auto"/>
              <w:rPr>
                <w:rFonts w:ascii="Calibri" w:eastAsia="Times New Roman" w:hAnsi="Calibri" w:cs="Times New Roman"/>
                <w:color w:val="808080"/>
                <w:lang w:val="en-US"/>
              </w:rPr>
            </w:pPr>
            <w:r w:rsidRPr="001B1393">
              <w:rPr>
                <w:rFonts w:ascii="Calibri" w:eastAsia="Times New Roman" w:hAnsi="Calibri" w:cs="Times New Roman"/>
                <w:color w:val="808080"/>
                <w:lang w:val="en-US"/>
              </w:rPr>
              <w:t> </w:t>
            </w:r>
          </w:p>
        </w:tc>
      </w:tr>
      <w:tr w:rsidR="001B1393" w:rsidRPr="001B1393" w14:paraId="31B4A787"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5564C0E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codes except I38 secondary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154823F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0B97DB3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5BC0F6A9"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14C3A80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305</w:t>
            </w:r>
          </w:p>
        </w:tc>
        <w:tc>
          <w:tcPr>
            <w:tcW w:w="966" w:type="dxa"/>
            <w:tcBorders>
              <w:top w:val="nil"/>
              <w:left w:val="single" w:sz="4" w:space="0" w:color="auto"/>
              <w:bottom w:val="nil"/>
              <w:right w:val="single" w:sz="4" w:space="0" w:color="auto"/>
            </w:tcBorders>
            <w:shd w:val="clear" w:color="auto" w:fill="auto"/>
            <w:noWrap/>
            <w:vAlign w:val="bottom"/>
            <w:hideMark/>
          </w:tcPr>
          <w:p w14:paraId="31111CC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155</w:t>
            </w:r>
          </w:p>
        </w:tc>
        <w:tc>
          <w:tcPr>
            <w:tcW w:w="1080" w:type="dxa"/>
            <w:tcBorders>
              <w:top w:val="nil"/>
              <w:left w:val="nil"/>
              <w:bottom w:val="nil"/>
              <w:right w:val="nil"/>
            </w:tcBorders>
            <w:shd w:val="clear" w:color="auto" w:fill="auto"/>
            <w:noWrap/>
            <w:vAlign w:val="bottom"/>
            <w:hideMark/>
          </w:tcPr>
          <w:p w14:paraId="788B00FF"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90</w:t>
            </w:r>
          </w:p>
        </w:tc>
        <w:tc>
          <w:tcPr>
            <w:tcW w:w="1080" w:type="dxa"/>
            <w:tcBorders>
              <w:top w:val="nil"/>
              <w:left w:val="single" w:sz="4" w:space="0" w:color="auto"/>
              <w:bottom w:val="nil"/>
              <w:right w:val="single" w:sz="4" w:space="0" w:color="auto"/>
            </w:tcBorders>
            <w:shd w:val="clear" w:color="auto" w:fill="auto"/>
            <w:noWrap/>
            <w:vAlign w:val="bottom"/>
            <w:hideMark/>
          </w:tcPr>
          <w:p w14:paraId="07B221A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w:t>
            </w:r>
          </w:p>
        </w:tc>
        <w:tc>
          <w:tcPr>
            <w:tcW w:w="1530" w:type="dxa"/>
            <w:tcBorders>
              <w:top w:val="nil"/>
              <w:left w:val="nil"/>
              <w:bottom w:val="nil"/>
              <w:right w:val="nil"/>
            </w:tcBorders>
            <w:shd w:val="clear" w:color="auto" w:fill="auto"/>
            <w:noWrap/>
            <w:vAlign w:val="bottom"/>
            <w:hideMark/>
          </w:tcPr>
          <w:p w14:paraId="57C12C6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0.99</w:t>
            </w:r>
          </w:p>
        </w:tc>
        <w:tc>
          <w:tcPr>
            <w:tcW w:w="1170" w:type="dxa"/>
            <w:tcBorders>
              <w:top w:val="nil"/>
              <w:left w:val="single" w:sz="4" w:space="0" w:color="auto"/>
              <w:bottom w:val="nil"/>
              <w:right w:val="single" w:sz="4" w:space="0" w:color="auto"/>
            </w:tcBorders>
            <w:shd w:val="clear" w:color="auto" w:fill="auto"/>
            <w:noWrap/>
            <w:vAlign w:val="bottom"/>
            <w:hideMark/>
          </w:tcPr>
          <w:p w14:paraId="28D047A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0.37</w:t>
            </w:r>
          </w:p>
        </w:tc>
        <w:tc>
          <w:tcPr>
            <w:tcW w:w="792" w:type="dxa"/>
            <w:tcBorders>
              <w:top w:val="nil"/>
              <w:left w:val="nil"/>
              <w:bottom w:val="nil"/>
              <w:right w:val="nil"/>
            </w:tcBorders>
            <w:shd w:val="clear" w:color="auto" w:fill="auto"/>
            <w:noWrap/>
            <w:vAlign w:val="bottom"/>
            <w:hideMark/>
          </w:tcPr>
          <w:p w14:paraId="59589C6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0.66</w:t>
            </w:r>
          </w:p>
        </w:tc>
        <w:tc>
          <w:tcPr>
            <w:tcW w:w="1188" w:type="dxa"/>
            <w:tcBorders>
              <w:top w:val="nil"/>
              <w:left w:val="single" w:sz="4" w:space="0" w:color="auto"/>
              <w:bottom w:val="nil"/>
              <w:right w:val="single" w:sz="4" w:space="0" w:color="auto"/>
            </w:tcBorders>
            <w:shd w:val="clear" w:color="auto" w:fill="auto"/>
            <w:noWrap/>
            <w:vAlign w:val="bottom"/>
            <w:hideMark/>
          </w:tcPr>
          <w:p w14:paraId="37757FCD"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0.98</w:t>
            </w:r>
          </w:p>
        </w:tc>
      </w:tr>
      <w:tr w:rsidR="001B1393" w:rsidRPr="001B1393" w14:paraId="7D505768"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7A8BA787"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codes except I38 secondary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AA6DCCE"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4E71A0EE"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783798FC"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07F4E32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301</w:t>
            </w:r>
          </w:p>
        </w:tc>
        <w:tc>
          <w:tcPr>
            <w:tcW w:w="966" w:type="dxa"/>
            <w:tcBorders>
              <w:top w:val="nil"/>
              <w:left w:val="single" w:sz="4" w:space="0" w:color="auto"/>
              <w:bottom w:val="nil"/>
              <w:right w:val="single" w:sz="4" w:space="0" w:color="auto"/>
            </w:tcBorders>
            <w:shd w:val="clear" w:color="auto" w:fill="auto"/>
            <w:noWrap/>
            <w:vAlign w:val="bottom"/>
            <w:hideMark/>
          </w:tcPr>
          <w:p w14:paraId="58BBF0E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110</w:t>
            </w:r>
          </w:p>
        </w:tc>
        <w:tc>
          <w:tcPr>
            <w:tcW w:w="1080" w:type="dxa"/>
            <w:tcBorders>
              <w:top w:val="nil"/>
              <w:left w:val="nil"/>
              <w:bottom w:val="nil"/>
              <w:right w:val="nil"/>
            </w:tcBorders>
            <w:shd w:val="clear" w:color="auto" w:fill="auto"/>
            <w:noWrap/>
            <w:vAlign w:val="bottom"/>
            <w:hideMark/>
          </w:tcPr>
          <w:p w14:paraId="3D162A5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135</w:t>
            </w:r>
          </w:p>
        </w:tc>
        <w:tc>
          <w:tcPr>
            <w:tcW w:w="1080" w:type="dxa"/>
            <w:tcBorders>
              <w:top w:val="nil"/>
              <w:left w:val="single" w:sz="4" w:space="0" w:color="auto"/>
              <w:bottom w:val="nil"/>
              <w:right w:val="single" w:sz="4" w:space="0" w:color="auto"/>
            </w:tcBorders>
            <w:shd w:val="clear" w:color="auto" w:fill="auto"/>
            <w:noWrap/>
            <w:vAlign w:val="bottom"/>
            <w:hideMark/>
          </w:tcPr>
          <w:p w14:paraId="1663CDB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6</w:t>
            </w:r>
          </w:p>
        </w:tc>
        <w:tc>
          <w:tcPr>
            <w:tcW w:w="1530" w:type="dxa"/>
            <w:tcBorders>
              <w:top w:val="nil"/>
              <w:left w:val="nil"/>
              <w:bottom w:val="nil"/>
              <w:right w:val="nil"/>
            </w:tcBorders>
            <w:shd w:val="clear" w:color="auto" w:fill="auto"/>
            <w:noWrap/>
            <w:vAlign w:val="bottom"/>
            <w:hideMark/>
          </w:tcPr>
          <w:p w14:paraId="0DD875A0"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0.98</w:t>
            </w:r>
          </w:p>
        </w:tc>
        <w:tc>
          <w:tcPr>
            <w:tcW w:w="1170" w:type="dxa"/>
            <w:tcBorders>
              <w:top w:val="nil"/>
              <w:left w:val="single" w:sz="4" w:space="0" w:color="auto"/>
              <w:bottom w:val="nil"/>
              <w:right w:val="single" w:sz="4" w:space="0" w:color="auto"/>
            </w:tcBorders>
            <w:shd w:val="clear" w:color="auto" w:fill="auto"/>
            <w:noWrap/>
            <w:vAlign w:val="bottom"/>
            <w:hideMark/>
          </w:tcPr>
          <w:p w14:paraId="442523D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0.55</w:t>
            </w:r>
          </w:p>
        </w:tc>
        <w:tc>
          <w:tcPr>
            <w:tcW w:w="792" w:type="dxa"/>
            <w:tcBorders>
              <w:top w:val="nil"/>
              <w:left w:val="nil"/>
              <w:bottom w:val="nil"/>
              <w:right w:val="nil"/>
            </w:tcBorders>
            <w:shd w:val="clear" w:color="auto" w:fill="auto"/>
            <w:noWrap/>
            <w:vAlign w:val="bottom"/>
            <w:hideMark/>
          </w:tcPr>
          <w:p w14:paraId="5FDBAE3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0.73</w:t>
            </w:r>
          </w:p>
        </w:tc>
        <w:tc>
          <w:tcPr>
            <w:tcW w:w="1188" w:type="dxa"/>
            <w:tcBorders>
              <w:top w:val="nil"/>
              <w:left w:val="single" w:sz="4" w:space="0" w:color="auto"/>
              <w:bottom w:val="nil"/>
              <w:right w:val="single" w:sz="4" w:space="0" w:color="auto"/>
            </w:tcBorders>
            <w:shd w:val="clear" w:color="auto" w:fill="auto"/>
            <w:noWrap/>
            <w:vAlign w:val="bottom"/>
            <w:hideMark/>
          </w:tcPr>
          <w:p w14:paraId="09B84589"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0.96</w:t>
            </w:r>
          </w:p>
        </w:tc>
      </w:tr>
      <w:tr w:rsidR="001B1393" w:rsidRPr="001B1393" w14:paraId="2497398E"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0E362B4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codes except I38 secondary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F278F1F"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3BAA7EEA"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16D3AB01"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5154109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294</w:t>
            </w:r>
          </w:p>
        </w:tc>
        <w:tc>
          <w:tcPr>
            <w:tcW w:w="966" w:type="dxa"/>
            <w:tcBorders>
              <w:top w:val="nil"/>
              <w:left w:val="single" w:sz="4" w:space="0" w:color="auto"/>
              <w:bottom w:val="nil"/>
              <w:right w:val="single" w:sz="4" w:space="0" w:color="auto"/>
            </w:tcBorders>
            <w:shd w:val="clear" w:color="auto" w:fill="auto"/>
            <w:noWrap/>
            <w:vAlign w:val="bottom"/>
            <w:hideMark/>
          </w:tcPr>
          <w:p w14:paraId="210D58C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89</w:t>
            </w:r>
          </w:p>
        </w:tc>
        <w:tc>
          <w:tcPr>
            <w:tcW w:w="1080" w:type="dxa"/>
            <w:tcBorders>
              <w:top w:val="nil"/>
              <w:left w:val="nil"/>
              <w:bottom w:val="nil"/>
              <w:right w:val="nil"/>
            </w:tcBorders>
            <w:shd w:val="clear" w:color="auto" w:fill="auto"/>
            <w:noWrap/>
            <w:vAlign w:val="bottom"/>
            <w:hideMark/>
          </w:tcPr>
          <w:p w14:paraId="1813C80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156</w:t>
            </w:r>
          </w:p>
        </w:tc>
        <w:tc>
          <w:tcPr>
            <w:tcW w:w="1080" w:type="dxa"/>
            <w:tcBorders>
              <w:top w:val="nil"/>
              <w:left w:val="single" w:sz="4" w:space="0" w:color="auto"/>
              <w:bottom w:val="nil"/>
              <w:right w:val="single" w:sz="4" w:space="0" w:color="auto"/>
            </w:tcBorders>
            <w:shd w:val="clear" w:color="auto" w:fill="auto"/>
            <w:noWrap/>
            <w:vAlign w:val="bottom"/>
            <w:hideMark/>
          </w:tcPr>
          <w:p w14:paraId="49ED601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13</w:t>
            </w:r>
          </w:p>
        </w:tc>
        <w:tc>
          <w:tcPr>
            <w:tcW w:w="1530" w:type="dxa"/>
            <w:tcBorders>
              <w:top w:val="nil"/>
              <w:left w:val="nil"/>
              <w:bottom w:val="nil"/>
              <w:right w:val="nil"/>
            </w:tcBorders>
            <w:shd w:val="clear" w:color="auto" w:fill="auto"/>
            <w:noWrap/>
            <w:vAlign w:val="bottom"/>
            <w:hideMark/>
          </w:tcPr>
          <w:p w14:paraId="328BA733"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0.96</w:t>
            </w:r>
          </w:p>
        </w:tc>
        <w:tc>
          <w:tcPr>
            <w:tcW w:w="1170" w:type="dxa"/>
            <w:tcBorders>
              <w:top w:val="nil"/>
              <w:left w:val="single" w:sz="4" w:space="0" w:color="auto"/>
              <w:bottom w:val="nil"/>
              <w:right w:val="single" w:sz="4" w:space="0" w:color="auto"/>
            </w:tcBorders>
            <w:shd w:val="clear" w:color="auto" w:fill="auto"/>
            <w:noWrap/>
            <w:vAlign w:val="bottom"/>
            <w:hideMark/>
          </w:tcPr>
          <w:p w14:paraId="329A116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0.64</w:t>
            </w:r>
          </w:p>
        </w:tc>
        <w:tc>
          <w:tcPr>
            <w:tcW w:w="792" w:type="dxa"/>
            <w:tcBorders>
              <w:top w:val="nil"/>
              <w:left w:val="nil"/>
              <w:bottom w:val="nil"/>
              <w:right w:val="nil"/>
            </w:tcBorders>
            <w:shd w:val="clear" w:color="auto" w:fill="auto"/>
            <w:noWrap/>
            <w:vAlign w:val="bottom"/>
            <w:hideMark/>
          </w:tcPr>
          <w:p w14:paraId="5B99F63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0.77</w:t>
            </w:r>
          </w:p>
        </w:tc>
        <w:tc>
          <w:tcPr>
            <w:tcW w:w="1188" w:type="dxa"/>
            <w:tcBorders>
              <w:top w:val="nil"/>
              <w:left w:val="single" w:sz="4" w:space="0" w:color="auto"/>
              <w:bottom w:val="nil"/>
              <w:right w:val="single" w:sz="4" w:space="0" w:color="auto"/>
            </w:tcBorders>
            <w:shd w:val="clear" w:color="auto" w:fill="auto"/>
            <w:noWrap/>
            <w:vAlign w:val="bottom"/>
            <w:hideMark/>
          </w:tcPr>
          <w:p w14:paraId="3C8710AB"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0.92</w:t>
            </w:r>
          </w:p>
        </w:tc>
      </w:tr>
      <w:tr w:rsidR="001B1393" w:rsidRPr="001B1393" w14:paraId="74C8DC65"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5887B05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xml:space="preserve">All codes except I38 secondary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6885A6F7"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6A6340FF"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7CC16CB8"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nil"/>
              <w:right w:val="nil"/>
            </w:tcBorders>
            <w:shd w:val="clear" w:color="auto" w:fill="auto"/>
            <w:noWrap/>
            <w:vAlign w:val="bottom"/>
            <w:hideMark/>
          </w:tcPr>
          <w:p w14:paraId="2374D93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284</w:t>
            </w:r>
          </w:p>
        </w:tc>
        <w:tc>
          <w:tcPr>
            <w:tcW w:w="966" w:type="dxa"/>
            <w:tcBorders>
              <w:top w:val="nil"/>
              <w:left w:val="single" w:sz="4" w:space="0" w:color="auto"/>
              <w:bottom w:val="nil"/>
              <w:right w:val="single" w:sz="4" w:space="0" w:color="auto"/>
            </w:tcBorders>
            <w:shd w:val="clear" w:color="auto" w:fill="auto"/>
            <w:noWrap/>
            <w:vAlign w:val="bottom"/>
            <w:hideMark/>
          </w:tcPr>
          <w:p w14:paraId="54BEBF8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69</w:t>
            </w:r>
          </w:p>
        </w:tc>
        <w:tc>
          <w:tcPr>
            <w:tcW w:w="1080" w:type="dxa"/>
            <w:tcBorders>
              <w:top w:val="nil"/>
              <w:left w:val="nil"/>
              <w:bottom w:val="nil"/>
              <w:right w:val="nil"/>
            </w:tcBorders>
            <w:shd w:val="clear" w:color="auto" w:fill="auto"/>
            <w:noWrap/>
            <w:vAlign w:val="bottom"/>
            <w:hideMark/>
          </w:tcPr>
          <w:p w14:paraId="34C61A4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176</w:t>
            </w:r>
          </w:p>
        </w:tc>
        <w:tc>
          <w:tcPr>
            <w:tcW w:w="1080" w:type="dxa"/>
            <w:tcBorders>
              <w:top w:val="nil"/>
              <w:left w:val="single" w:sz="4" w:space="0" w:color="auto"/>
              <w:bottom w:val="nil"/>
              <w:right w:val="single" w:sz="4" w:space="0" w:color="auto"/>
            </w:tcBorders>
            <w:shd w:val="clear" w:color="auto" w:fill="auto"/>
            <w:noWrap/>
            <w:vAlign w:val="bottom"/>
            <w:hideMark/>
          </w:tcPr>
          <w:p w14:paraId="2EEBAC4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23</w:t>
            </w:r>
          </w:p>
        </w:tc>
        <w:tc>
          <w:tcPr>
            <w:tcW w:w="1530" w:type="dxa"/>
            <w:tcBorders>
              <w:top w:val="nil"/>
              <w:left w:val="nil"/>
              <w:bottom w:val="nil"/>
              <w:right w:val="nil"/>
            </w:tcBorders>
            <w:shd w:val="clear" w:color="auto" w:fill="auto"/>
            <w:noWrap/>
            <w:vAlign w:val="bottom"/>
            <w:hideMark/>
          </w:tcPr>
          <w:p w14:paraId="223DE5E2"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0.93</w:t>
            </w:r>
          </w:p>
        </w:tc>
        <w:tc>
          <w:tcPr>
            <w:tcW w:w="1170" w:type="dxa"/>
            <w:tcBorders>
              <w:top w:val="nil"/>
              <w:left w:val="single" w:sz="4" w:space="0" w:color="auto"/>
              <w:bottom w:val="nil"/>
              <w:right w:val="single" w:sz="4" w:space="0" w:color="auto"/>
            </w:tcBorders>
            <w:shd w:val="clear" w:color="auto" w:fill="auto"/>
            <w:noWrap/>
            <w:vAlign w:val="bottom"/>
            <w:hideMark/>
          </w:tcPr>
          <w:p w14:paraId="3BA8D5C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0.72</w:t>
            </w:r>
          </w:p>
        </w:tc>
        <w:tc>
          <w:tcPr>
            <w:tcW w:w="792" w:type="dxa"/>
            <w:tcBorders>
              <w:top w:val="nil"/>
              <w:left w:val="nil"/>
              <w:bottom w:val="nil"/>
              <w:right w:val="nil"/>
            </w:tcBorders>
            <w:shd w:val="clear" w:color="auto" w:fill="auto"/>
            <w:noWrap/>
            <w:vAlign w:val="bottom"/>
            <w:hideMark/>
          </w:tcPr>
          <w:p w14:paraId="571D585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0.81</w:t>
            </w:r>
          </w:p>
        </w:tc>
        <w:tc>
          <w:tcPr>
            <w:tcW w:w="1188" w:type="dxa"/>
            <w:tcBorders>
              <w:top w:val="nil"/>
              <w:left w:val="single" w:sz="4" w:space="0" w:color="auto"/>
              <w:bottom w:val="nil"/>
              <w:right w:val="single" w:sz="4" w:space="0" w:color="auto"/>
            </w:tcBorders>
            <w:shd w:val="clear" w:color="auto" w:fill="auto"/>
            <w:noWrap/>
            <w:vAlign w:val="bottom"/>
            <w:hideMark/>
          </w:tcPr>
          <w:p w14:paraId="1BD27B17"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0.88</w:t>
            </w:r>
          </w:p>
        </w:tc>
      </w:tr>
      <w:tr w:rsidR="001B1393" w:rsidRPr="001B1393" w14:paraId="74F79FF1"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58BC13F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4257B025"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390D501C"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4EC725C0"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9001FF3" w14:textId="77777777" w:rsidR="001B1393" w:rsidRPr="001B1393" w:rsidRDefault="001B1393" w:rsidP="001B1393">
            <w:pPr>
              <w:spacing w:line="240" w:lineRule="auto"/>
              <w:rPr>
                <w:rFonts w:ascii="Calibri" w:eastAsia="Times New Roman" w:hAnsi="Calibri" w:cs="Times New Roman"/>
                <w:color w:val="000000"/>
                <w:lang w:val="en-US"/>
              </w:rPr>
            </w:pPr>
          </w:p>
        </w:tc>
        <w:tc>
          <w:tcPr>
            <w:tcW w:w="966" w:type="dxa"/>
            <w:tcBorders>
              <w:top w:val="nil"/>
              <w:left w:val="single" w:sz="4" w:space="0" w:color="auto"/>
              <w:bottom w:val="nil"/>
              <w:right w:val="single" w:sz="4" w:space="0" w:color="auto"/>
            </w:tcBorders>
            <w:shd w:val="clear" w:color="auto" w:fill="auto"/>
            <w:noWrap/>
            <w:vAlign w:val="bottom"/>
            <w:hideMark/>
          </w:tcPr>
          <w:p w14:paraId="24D68804"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80" w:type="dxa"/>
            <w:tcBorders>
              <w:top w:val="nil"/>
              <w:left w:val="nil"/>
              <w:bottom w:val="nil"/>
              <w:right w:val="nil"/>
            </w:tcBorders>
            <w:shd w:val="clear" w:color="auto" w:fill="auto"/>
            <w:noWrap/>
            <w:vAlign w:val="bottom"/>
            <w:hideMark/>
          </w:tcPr>
          <w:p w14:paraId="552CDA04" w14:textId="77777777" w:rsidR="001B1393" w:rsidRPr="001B1393" w:rsidRDefault="001B1393" w:rsidP="001B1393">
            <w:pPr>
              <w:spacing w:line="240" w:lineRule="auto"/>
              <w:rPr>
                <w:rFonts w:ascii="Calibri" w:eastAsia="Times New Roman" w:hAnsi="Calibri" w:cs="Times New Roman"/>
                <w:color w:val="000000"/>
                <w:lang w:val="en-US"/>
              </w:rPr>
            </w:pPr>
          </w:p>
        </w:tc>
        <w:tc>
          <w:tcPr>
            <w:tcW w:w="1080" w:type="dxa"/>
            <w:tcBorders>
              <w:top w:val="nil"/>
              <w:left w:val="single" w:sz="4" w:space="0" w:color="auto"/>
              <w:bottom w:val="nil"/>
              <w:right w:val="single" w:sz="4" w:space="0" w:color="auto"/>
            </w:tcBorders>
            <w:shd w:val="clear" w:color="auto" w:fill="auto"/>
            <w:noWrap/>
            <w:vAlign w:val="bottom"/>
            <w:hideMark/>
          </w:tcPr>
          <w:p w14:paraId="34B4C01E"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530" w:type="dxa"/>
            <w:tcBorders>
              <w:top w:val="nil"/>
              <w:left w:val="nil"/>
              <w:bottom w:val="nil"/>
              <w:right w:val="nil"/>
            </w:tcBorders>
            <w:shd w:val="clear" w:color="auto" w:fill="auto"/>
            <w:noWrap/>
            <w:vAlign w:val="bottom"/>
            <w:hideMark/>
          </w:tcPr>
          <w:p w14:paraId="153B119F" w14:textId="77777777" w:rsidR="001B1393" w:rsidRPr="001B1393" w:rsidRDefault="001B1393" w:rsidP="001B1393">
            <w:pPr>
              <w:spacing w:line="240" w:lineRule="auto"/>
              <w:rPr>
                <w:rFonts w:ascii="Calibri" w:eastAsia="Times New Roman" w:hAnsi="Calibri" w:cs="Times New Roman"/>
                <w:color w:val="000000"/>
                <w:lang w:val="en-US"/>
              </w:rPr>
            </w:pPr>
          </w:p>
        </w:tc>
        <w:tc>
          <w:tcPr>
            <w:tcW w:w="1170" w:type="dxa"/>
            <w:tcBorders>
              <w:top w:val="nil"/>
              <w:left w:val="single" w:sz="4" w:space="0" w:color="auto"/>
              <w:bottom w:val="nil"/>
              <w:right w:val="single" w:sz="4" w:space="0" w:color="auto"/>
            </w:tcBorders>
            <w:shd w:val="clear" w:color="auto" w:fill="auto"/>
            <w:noWrap/>
            <w:vAlign w:val="bottom"/>
            <w:hideMark/>
          </w:tcPr>
          <w:p w14:paraId="161FC89F"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792" w:type="dxa"/>
            <w:tcBorders>
              <w:top w:val="nil"/>
              <w:left w:val="nil"/>
              <w:bottom w:val="nil"/>
              <w:right w:val="nil"/>
            </w:tcBorders>
            <w:shd w:val="clear" w:color="auto" w:fill="auto"/>
            <w:noWrap/>
            <w:vAlign w:val="bottom"/>
            <w:hideMark/>
          </w:tcPr>
          <w:p w14:paraId="5C6036A7" w14:textId="77777777" w:rsidR="001B1393" w:rsidRPr="001B1393" w:rsidRDefault="001B1393" w:rsidP="001B1393">
            <w:pPr>
              <w:spacing w:line="240" w:lineRule="auto"/>
              <w:rPr>
                <w:rFonts w:ascii="Calibri" w:eastAsia="Times New Roman" w:hAnsi="Calibri" w:cs="Times New Roman"/>
                <w:color w:val="000000"/>
                <w:lang w:val="en-US"/>
              </w:rPr>
            </w:pPr>
          </w:p>
        </w:tc>
        <w:tc>
          <w:tcPr>
            <w:tcW w:w="1188" w:type="dxa"/>
            <w:tcBorders>
              <w:top w:val="nil"/>
              <w:left w:val="single" w:sz="4" w:space="0" w:color="auto"/>
              <w:bottom w:val="nil"/>
              <w:right w:val="single" w:sz="4" w:space="0" w:color="auto"/>
            </w:tcBorders>
            <w:shd w:val="clear" w:color="auto" w:fill="auto"/>
            <w:noWrap/>
            <w:vAlign w:val="bottom"/>
            <w:hideMark/>
          </w:tcPr>
          <w:p w14:paraId="721D9C07" w14:textId="77777777" w:rsidR="001B1393" w:rsidRPr="001B1393" w:rsidRDefault="001B1393" w:rsidP="001B1393">
            <w:pPr>
              <w:spacing w:line="240" w:lineRule="auto"/>
              <w:rPr>
                <w:rFonts w:ascii="Calibri" w:eastAsia="Times New Roman" w:hAnsi="Calibri" w:cs="Times New Roman"/>
                <w:color w:val="808080"/>
                <w:lang w:val="en-US"/>
              </w:rPr>
            </w:pPr>
            <w:r w:rsidRPr="001B1393">
              <w:rPr>
                <w:rFonts w:ascii="Calibri" w:eastAsia="Times New Roman" w:hAnsi="Calibri" w:cs="Times New Roman"/>
                <w:color w:val="808080"/>
                <w:lang w:val="en-US"/>
              </w:rPr>
              <w:t> </w:t>
            </w:r>
          </w:p>
        </w:tc>
      </w:tr>
      <w:tr w:rsidR="001B1393" w:rsidRPr="001B1393" w14:paraId="589DA9B3"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5ABFD3D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codes</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C2FB41C"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838" w:type="dxa"/>
            <w:tcBorders>
              <w:top w:val="nil"/>
              <w:left w:val="nil"/>
              <w:bottom w:val="single" w:sz="4" w:space="0" w:color="auto"/>
              <w:right w:val="single" w:sz="4" w:space="0" w:color="auto"/>
            </w:tcBorders>
            <w:shd w:val="clear" w:color="auto" w:fill="auto"/>
            <w:noWrap/>
            <w:vAlign w:val="bottom"/>
            <w:hideMark/>
          </w:tcPr>
          <w:p w14:paraId="1D1D3C17"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0596EE6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0A44100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307</w:t>
            </w:r>
          </w:p>
        </w:tc>
        <w:tc>
          <w:tcPr>
            <w:tcW w:w="966" w:type="dxa"/>
            <w:tcBorders>
              <w:top w:val="nil"/>
              <w:left w:val="single" w:sz="4" w:space="0" w:color="auto"/>
              <w:bottom w:val="nil"/>
              <w:right w:val="single" w:sz="4" w:space="0" w:color="auto"/>
            </w:tcBorders>
            <w:shd w:val="clear" w:color="auto" w:fill="auto"/>
            <w:noWrap/>
            <w:vAlign w:val="bottom"/>
            <w:hideMark/>
          </w:tcPr>
          <w:p w14:paraId="7026A72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245</w:t>
            </w:r>
          </w:p>
        </w:tc>
        <w:tc>
          <w:tcPr>
            <w:tcW w:w="1080" w:type="dxa"/>
            <w:tcBorders>
              <w:top w:val="nil"/>
              <w:left w:val="nil"/>
              <w:bottom w:val="nil"/>
              <w:right w:val="nil"/>
            </w:tcBorders>
            <w:shd w:val="clear" w:color="auto" w:fill="auto"/>
            <w:noWrap/>
            <w:vAlign w:val="bottom"/>
            <w:hideMark/>
          </w:tcPr>
          <w:p w14:paraId="15E6F37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w:t>
            </w:r>
          </w:p>
        </w:tc>
        <w:tc>
          <w:tcPr>
            <w:tcW w:w="1080" w:type="dxa"/>
            <w:tcBorders>
              <w:top w:val="nil"/>
              <w:left w:val="single" w:sz="4" w:space="0" w:color="auto"/>
              <w:bottom w:val="nil"/>
              <w:right w:val="single" w:sz="4" w:space="0" w:color="auto"/>
            </w:tcBorders>
            <w:shd w:val="clear" w:color="auto" w:fill="auto"/>
            <w:noWrap/>
            <w:vAlign w:val="bottom"/>
            <w:hideMark/>
          </w:tcPr>
          <w:p w14:paraId="5815BDC4"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w:t>
            </w:r>
          </w:p>
        </w:tc>
        <w:tc>
          <w:tcPr>
            <w:tcW w:w="1530" w:type="dxa"/>
            <w:tcBorders>
              <w:top w:val="nil"/>
              <w:left w:val="nil"/>
              <w:bottom w:val="nil"/>
              <w:right w:val="nil"/>
            </w:tcBorders>
            <w:shd w:val="clear" w:color="auto" w:fill="auto"/>
            <w:noWrap/>
            <w:vAlign w:val="bottom"/>
            <w:hideMark/>
          </w:tcPr>
          <w:p w14:paraId="551DFD3D"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1.00</w:t>
            </w:r>
          </w:p>
        </w:tc>
        <w:tc>
          <w:tcPr>
            <w:tcW w:w="1170" w:type="dxa"/>
            <w:tcBorders>
              <w:top w:val="nil"/>
              <w:left w:val="single" w:sz="4" w:space="0" w:color="auto"/>
              <w:bottom w:val="nil"/>
              <w:right w:val="single" w:sz="4" w:space="0" w:color="auto"/>
            </w:tcBorders>
            <w:shd w:val="clear" w:color="auto" w:fill="auto"/>
            <w:noWrap/>
            <w:vAlign w:val="bottom"/>
            <w:hideMark/>
          </w:tcPr>
          <w:p w14:paraId="7A8902B8"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0.00</w:t>
            </w:r>
          </w:p>
        </w:tc>
        <w:tc>
          <w:tcPr>
            <w:tcW w:w="792" w:type="dxa"/>
            <w:tcBorders>
              <w:top w:val="nil"/>
              <w:left w:val="nil"/>
              <w:bottom w:val="nil"/>
              <w:right w:val="nil"/>
            </w:tcBorders>
            <w:shd w:val="clear" w:color="auto" w:fill="auto"/>
            <w:noWrap/>
            <w:vAlign w:val="bottom"/>
            <w:hideMark/>
          </w:tcPr>
          <w:p w14:paraId="753A4CD1"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0.56</w:t>
            </w:r>
          </w:p>
        </w:tc>
        <w:tc>
          <w:tcPr>
            <w:tcW w:w="1188" w:type="dxa"/>
            <w:tcBorders>
              <w:top w:val="nil"/>
              <w:left w:val="single" w:sz="4" w:space="0" w:color="auto"/>
              <w:bottom w:val="nil"/>
              <w:right w:val="single" w:sz="4" w:space="0" w:color="auto"/>
            </w:tcBorders>
            <w:shd w:val="clear" w:color="auto" w:fill="auto"/>
            <w:noWrap/>
            <w:vAlign w:val="bottom"/>
            <w:hideMark/>
          </w:tcPr>
          <w:p w14:paraId="58A1F76B"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0.00</w:t>
            </w:r>
          </w:p>
        </w:tc>
      </w:tr>
      <w:tr w:rsidR="001B1393" w:rsidRPr="001B1393" w14:paraId="5B5D1719"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33840C19"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codes</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6BD0ED47"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492BA099"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1001" w:type="dxa"/>
            <w:tcBorders>
              <w:top w:val="nil"/>
              <w:left w:val="nil"/>
              <w:bottom w:val="single" w:sz="4" w:space="0" w:color="auto"/>
              <w:right w:val="single" w:sz="4" w:space="0" w:color="auto"/>
            </w:tcBorders>
            <w:shd w:val="clear" w:color="auto" w:fill="auto"/>
            <w:noWrap/>
            <w:vAlign w:val="bottom"/>
            <w:hideMark/>
          </w:tcPr>
          <w:p w14:paraId="29BCE553"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4EB66F87"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303</w:t>
            </w:r>
          </w:p>
        </w:tc>
        <w:tc>
          <w:tcPr>
            <w:tcW w:w="966" w:type="dxa"/>
            <w:tcBorders>
              <w:top w:val="nil"/>
              <w:left w:val="single" w:sz="4" w:space="0" w:color="auto"/>
              <w:bottom w:val="nil"/>
              <w:right w:val="single" w:sz="4" w:space="0" w:color="auto"/>
            </w:tcBorders>
            <w:shd w:val="clear" w:color="auto" w:fill="auto"/>
            <w:noWrap/>
            <w:vAlign w:val="bottom"/>
            <w:hideMark/>
          </w:tcPr>
          <w:p w14:paraId="47E167BB"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158</w:t>
            </w:r>
          </w:p>
        </w:tc>
        <w:tc>
          <w:tcPr>
            <w:tcW w:w="1080" w:type="dxa"/>
            <w:tcBorders>
              <w:top w:val="nil"/>
              <w:left w:val="nil"/>
              <w:bottom w:val="nil"/>
              <w:right w:val="nil"/>
            </w:tcBorders>
            <w:shd w:val="clear" w:color="auto" w:fill="auto"/>
            <w:noWrap/>
            <w:vAlign w:val="bottom"/>
            <w:hideMark/>
          </w:tcPr>
          <w:p w14:paraId="2D555B0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87</w:t>
            </w:r>
          </w:p>
        </w:tc>
        <w:tc>
          <w:tcPr>
            <w:tcW w:w="1080" w:type="dxa"/>
            <w:tcBorders>
              <w:top w:val="nil"/>
              <w:left w:val="single" w:sz="4" w:space="0" w:color="auto"/>
              <w:bottom w:val="nil"/>
              <w:right w:val="single" w:sz="4" w:space="0" w:color="auto"/>
            </w:tcBorders>
            <w:shd w:val="clear" w:color="auto" w:fill="auto"/>
            <w:noWrap/>
            <w:vAlign w:val="bottom"/>
            <w:hideMark/>
          </w:tcPr>
          <w:p w14:paraId="3E92238A"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4</w:t>
            </w:r>
          </w:p>
        </w:tc>
        <w:tc>
          <w:tcPr>
            <w:tcW w:w="1530" w:type="dxa"/>
            <w:tcBorders>
              <w:top w:val="nil"/>
              <w:left w:val="nil"/>
              <w:bottom w:val="nil"/>
              <w:right w:val="nil"/>
            </w:tcBorders>
            <w:shd w:val="clear" w:color="auto" w:fill="auto"/>
            <w:noWrap/>
            <w:vAlign w:val="bottom"/>
            <w:hideMark/>
          </w:tcPr>
          <w:p w14:paraId="076A329D"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0.99</w:t>
            </w:r>
          </w:p>
        </w:tc>
        <w:tc>
          <w:tcPr>
            <w:tcW w:w="1170" w:type="dxa"/>
            <w:tcBorders>
              <w:top w:val="nil"/>
              <w:left w:val="single" w:sz="4" w:space="0" w:color="auto"/>
              <w:bottom w:val="nil"/>
              <w:right w:val="single" w:sz="4" w:space="0" w:color="auto"/>
            </w:tcBorders>
            <w:shd w:val="clear" w:color="auto" w:fill="auto"/>
            <w:noWrap/>
            <w:vAlign w:val="bottom"/>
            <w:hideMark/>
          </w:tcPr>
          <w:p w14:paraId="10245D79"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0.36</w:t>
            </w:r>
          </w:p>
        </w:tc>
        <w:tc>
          <w:tcPr>
            <w:tcW w:w="792" w:type="dxa"/>
            <w:tcBorders>
              <w:top w:val="nil"/>
              <w:left w:val="nil"/>
              <w:bottom w:val="nil"/>
              <w:right w:val="nil"/>
            </w:tcBorders>
            <w:shd w:val="clear" w:color="auto" w:fill="auto"/>
            <w:noWrap/>
            <w:vAlign w:val="bottom"/>
            <w:hideMark/>
          </w:tcPr>
          <w:p w14:paraId="5E22936B"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0.66</w:t>
            </w:r>
          </w:p>
        </w:tc>
        <w:tc>
          <w:tcPr>
            <w:tcW w:w="1188" w:type="dxa"/>
            <w:tcBorders>
              <w:top w:val="nil"/>
              <w:left w:val="single" w:sz="4" w:space="0" w:color="auto"/>
              <w:bottom w:val="nil"/>
              <w:right w:val="single" w:sz="4" w:space="0" w:color="auto"/>
            </w:tcBorders>
            <w:shd w:val="clear" w:color="auto" w:fill="auto"/>
            <w:noWrap/>
            <w:vAlign w:val="bottom"/>
            <w:hideMark/>
          </w:tcPr>
          <w:p w14:paraId="6F7E4D01"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0.96</w:t>
            </w:r>
          </w:p>
        </w:tc>
      </w:tr>
      <w:tr w:rsidR="001B1393" w:rsidRPr="001B1393" w14:paraId="45B74BB2" w14:textId="77777777" w:rsidTr="001B1393">
        <w:trPr>
          <w:trHeight w:val="300"/>
        </w:trPr>
        <w:tc>
          <w:tcPr>
            <w:tcW w:w="2335" w:type="dxa"/>
            <w:tcBorders>
              <w:top w:val="nil"/>
              <w:left w:val="single" w:sz="4" w:space="0" w:color="auto"/>
              <w:bottom w:val="nil"/>
              <w:right w:val="nil"/>
            </w:tcBorders>
            <w:shd w:val="clear" w:color="auto" w:fill="auto"/>
            <w:noWrap/>
            <w:vAlign w:val="bottom"/>
            <w:hideMark/>
          </w:tcPr>
          <w:p w14:paraId="1D4BFE1D"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codes</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076064D2"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18088E4E"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1B47FACA" w14:textId="77777777" w:rsidR="001B1393" w:rsidRPr="001B1393" w:rsidRDefault="001B1393" w:rsidP="001B1393">
            <w:pPr>
              <w:spacing w:line="240" w:lineRule="auto"/>
              <w:jc w:val="center"/>
              <w:rPr>
                <w:rFonts w:ascii="Calibri" w:eastAsia="Times New Roman" w:hAnsi="Calibri" w:cs="Times New Roman"/>
                <w:color w:val="000000"/>
                <w:lang w:val="en-US"/>
              </w:rPr>
            </w:pPr>
            <w:r w:rsidRPr="001B1393">
              <w:rPr>
                <w:rFonts w:ascii="Calibri" w:eastAsia="Times New Roman" w:hAnsi="Calibri" w:cs="Times New Roman"/>
                <w:color w:val="000000"/>
                <w:lang w:val="en-US"/>
              </w:rPr>
              <w:t> </w:t>
            </w:r>
          </w:p>
        </w:tc>
        <w:tc>
          <w:tcPr>
            <w:tcW w:w="924" w:type="dxa"/>
            <w:tcBorders>
              <w:top w:val="nil"/>
              <w:left w:val="nil"/>
              <w:bottom w:val="nil"/>
              <w:right w:val="nil"/>
            </w:tcBorders>
            <w:shd w:val="clear" w:color="auto" w:fill="auto"/>
            <w:noWrap/>
            <w:vAlign w:val="bottom"/>
            <w:hideMark/>
          </w:tcPr>
          <w:p w14:paraId="336CD08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296</w:t>
            </w:r>
          </w:p>
        </w:tc>
        <w:tc>
          <w:tcPr>
            <w:tcW w:w="966" w:type="dxa"/>
            <w:tcBorders>
              <w:top w:val="nil"/>
              <w:left w:val="single" w:sz="4" w:space="0" w:color="auto"/>
              <w:bottom w:val="nil"/>
              <w:right w:val="single" w:sz="4" w:space="0" w:color="auto"/>
            </w:tcBorders>
            <w:shd w:val="clear" w:color="auto" w:fill="auto"/>
            <w:noWrap/>
            <w:vAlign w:val="bottom"/>
            <w:hideMark/>
          </w:tcPr>
          <w:p w14:paraId="7089A1C3"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138</w:t>
            </w:r>
          </w:p>
        </w:tc>
        <w:tc>
          <w:tcPr>
            <w:tcW w:w="1080" w:type="dxa"/>
            <w:tcBorders>
              <w:top w:val="nil"/>
              <w:left w:val="nil"/>
              <w:bottom w:val="nil"/>
              <w:right w:val="nil"/>
            </w:tcBorders>
            <w:shd w:val="clear" w:color="auto" w:fill="auto"/>
            <w:noWrap/>
            <w:vAlign w:val="bottom"/>
            <w:hideMark/>
          </w:tcPr>
          <w:p w14:paraId="6B0FAF4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107</w:t>
            </w:r>
          </w:p>
        </w:tc>
        <w:tc>
          <w:tcPr>
            <w:tcW w:w="1080" w:type="dxa"/>
            <w:tcBorders>
              <w:top w:val="nil"/>
              <w:left w:val="single" w:sz="4" w:space="0" w:color="auto"/>
              <w:bottom w:val="nil"/>
              <w:right w:val="single" w:sz="4" w:space="0" w:color="auto"/>
            </w:tcBorders>
            <w:shd w:val="clear" w:color="auto" w:fill="auto"/>
            <w:noWrap/>
            <w:vAlign w:val="bottom"/>
            <w:hideMark/>
          </w:tcPr>
          <w:p w14:paraId="53C4E162"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11</w:t>
            </w:r>
          </w:p>
        </w:tc>
        <w:tc>
          <w:tcPr>
            <w:tcW w:w="1530" w:type="dxa"/>
            <w:tcBorders>
              <w:top w:val="nil"/>
              <w:left w:val="nil"/>
              <w:bottom w:val="nil"/>
              <w:right w:val="nil"/>
            </w:tcBorders>
            <w:shd w:val="clear" w:color="auto" w:fill="auto"/>
            <w:noWrap/>
            <w:vAlign w:val="bottom"/>
            <w:hideMark/>
          </w:tcPr>
          <w:p w14:paraId="4307404C"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0.96</w:t>
            </w:r>
          </w:p>
        </w:tc>
        <w:tc>
          <w:tcPr>
            <w:tcW w:w="1170" w:type="dxa"/>
            <w:tcBorders>
              <w:top w:val="nil"/>
              <w:left w:val="single" w:sz="4" w:space="0" w:color="auto"/>
              <w:bottom w:val="nil"/>
              <w:right w:val="single" w:sz="4" w:space="0" w:color="auto"/>
            </w:tcBorders>
            <w:shd w:val="clear" w:color="auto" w:fill="auto"/>
            <w:noWrap/>
            <w:vAlign w:val="bottom"/>
            <w:hideMark/>
          </w:tcPr>
          <w:p w14:paraId="083A795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0.44</w:t>
            </w:r>
          </w:p>
        </w:tc>
        <w:tc>
          <w:tcPr>
            <w:tcW w:w="792" w:type="dxa"/>
            <w:tcBorders>
              <w:top w:val="nil"/>
              <w:left w:val="nil"/>
              <w:bottom w:val="nil"/>
              <w:right w:val="nil"/>
            </w:tcBorders>
            <w:shd w:val="clear" w:color="auto" w:fill="auto"/>
            <w:noWrap/>
            <w:vAlign w:val="bottom"/>
            <w:hideMark/>
          </w:tcPr>
          <w:p w14:paraId="464D5D9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0.68</w:t>
            </w:r>
          </w:p>
        </w:tc>
        <w:tc>
          <w:tcPr>
            <w:tcW w:w="1188" w:type="dxa"/>
            <w:tcBorders>
              <w:top w:val="nil"/>
              <w:left w:val="single" w:sz="4" w:space="0" w:color="auto"/>
              <w:bottom w:val="nil"/>
              <w:right w:val="single" w:sz="4" w:space="0" w:color="auto"/>
            </w:tcBorders>
            <w:shd w:val="clear" w:color="auto" w:fill="auto"/>
            <w:noWrap/>
            <w:vAlign w:val="bottom"/>
            <w:hideMark/>
          </w:tcPr>
          <w:p w14:paraId="210B332F"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0.91</w:t>
            </w:r>
          </w:p>
        </w:tc>
      </w:tr>
      <w:tr w:rsidR="001B1393" w:rsidRPr="001B1393" w14:paraId="22D7AB48" w14:textId="77777777" w:rsidTr="001B1393">
        <w:trPr>
          <w:trHeight w:val="300"/>
        </w:trPr>
        <w:tc>
          <w:tcPr>
            <w:tcW w:w="2335" w:type="dxa"/>
            <w:tcBorders>
              <w:top w:val="nil"/>
              <w:left w:val="single" w:sz="4" w:space="0" w:color="auto"/>
              <w:bottom w:val="single" w:sz="4" w:space="0" w:color="auto"/>
              <w:right w:val="nil"/>
            </w:tcBorders>
            <w:shd w:val="clear" w:color="auto" w:fill="auto"/>
            <w:noWrap/>
            <w:vAlign w:val="bottom"/>
            <w:hideMark/>
          </w:tcPr>
          <w:p w14:paraId="23DFB94B" w14:textId="77777777" w:rsidR="001B1393" w:rsidRPr="001B1393" w:rsidRDefault="001B1393" w:rsidP="001B1393">
            <w:pPr>
              <w:spacing w:line="240" w:lineRule="auto"/>
              <w:rPr>
                <w:rFonts w:ascii="Calibri" w:eastAsia="Times New Roman" w:hAnsi="Calibri" w:cs="Times New Roman"/>
                <w:color w:val="000000"/>
                <w:lang w:val="en-US"/>
              </w:rPr>
            </w:pPr>
            <w:r w:rsidRPr="001B1393">
              <w:rPr>
                <w:rFonts w:ascii="Calibri" w:eastAsia="Times New Roman" w:hAnsi="Calibri" w:cs="Times New Roman"/>
                <w:color w:val="000000"/>
                <w:lang w:val="en-US"/>
              </w:rPr>
              <w:t>All codes</w:t>
            </w:r>
          </w:p>
        </w:tc>
        <w:tc>
          <w:tcPr>
            <w:tcW w:w="771" w:type="dxa"/>
            <w:tcBorders>
              <w:top w:val="nil"/>
              <w:left w:val="single" w:sz="4" w:space="0" w:color="auto"/>
              <w:bottom w:val="single" w:sz="4" w:space="0" w:color="auto"/>
              <w:right w:val="single" w:sz="4" w:space="0" w:color="auto"/>
            </w:tcBorders>
            <w:shd w:val="clear" w:color="auto" w:fill="auto"/>
            <w:noWrap/>
            <w:vAlign w:val="bottom"/>
            <w:hideMark/>
          </w:tcPr>
          <w:p w14:paraId="58D42C9D"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838" w:type="dxa"/>
            <w:tcBorders>
              <w:top w:val="nil"/>
              <w:left w:val="nil"/>
              <w:bottom w:val="single" w:sz="4" w:space="0" w:color="auto"/>
              <w:right w:val="single" w:sz="4" w:space="0" w:color="auto"/>
            </w:tcBorders>
            <w:shd w:val="clear" w:color="auto" w:fill="auto"/>
            <w:noWrap/>
            <w:vAlign w:val="bottom"/>
            <w:hideMark/>
          </w:tcPr>
          <w:p w14:paraId="5EC06FFB"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1001" w:type="dxa"/>
            <w:tcBorders>
              <w:top w:val="nil"/>
              <w:left w:val="nil"/>
              <w:bottom w:val="single" w:sz="4" w:space="0" w:color="auto"/>
              <w:right w:val="single" w:sz="4" w:space="0" w:color="auto"/>
            </w:tcBorders>
            <w:shd w:val="clear" w:color="auto" w:fill="auto"/>
            <w:noWrap/>
            <w:vAlign w:val="bottom"/>
            <w:hideMark/>
          </w:tcPr>
          <w:p w14:paraId="1794CE12" w14:textId="77777777" w:rsidR="001B1393" w:rsidRPr="001B1393" w:rsidRDefault="001B1393" w:rsidP="001B1393">
            <w:pPr>
              <w:spacing w:line="240" w:lineRule="auto"/>
              <w:jc w:val="center"/>
              <w:rPr>
                <w:rFonts w:ascii="Arial" w:eastAsia="Times New Roman" w:hAnsi="Arial" w:cs="Arial"/>
                <w:color w:val="222222"/>
                <w:sz w:val="20"/>
                <w:szCs w:val="20"/>
                <w:lang w:val="en-US"/>
              </w:rPr>
            </w:pPr>
            <w:r w:rsidRPr="001B1393">
              <w:rPr>
                <w:rFonts w:ascii="Segoe UI Symbol" w:eastAsia="Times New Roman" w:hAnsi="Segoe UI Symbol" w:cs="Segoe UI Symbol"/>
                <w:color w:val="222222"/>
                <w:sz w:val="20"/>
                <w:szCs w:val="20"/>
                <w:lang w:val="en-US"/>
              </w:rPr>
              <w:t>✓</w:t>
            </w:r>
          </w:p>
        </w:tc>
        <w:tc>
          <w:tcPr>
            <w:tcW w:w="924" w:type="dxa"/>
            <w:tcBorders>
              <w:top w:val="nil"/>
              <w:left w:val="nil"/>
              <w:bottom w:val="single" w:sz="4" w:space="0" w:color="auto"/>
              <w:right w:val="nil"/>
            </w:tcBorders>
            <w:shd w:val="clear" w:color="auto" w:fill="auto"/>
            <w:noWrap/>
            <w:vAlign w:val="bottom"/>
            <w:hideMark/>
          </w:tcPr>
          <w:p w14:paraId="42B252D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286</w:t>
            </w:r>
          </w:p>
        </w:tc>
        <w:tc>
          <w:tcPr>
            <w:tcW w:w="966" w:type="dxa"/>
            <w:tcBorders>
              <w:top w:val="nil"/>
              <w:left w:val="single" w:sz="4" w:space="0" w:color="auto"/>
              <w:bottom w:val="single" w:sz="4" w:space="0" w:color="auto"/>
              <w:right w:val="single" w:sz="4" w:space="0" w:color="auto"/>
            </w:tcBorders>
            <w:shd w:val="clear" w:color="auto" w:fill="auto"/>
            <w:noWrap/>
            <w:vAlign w:val="bottom"/>
            <w:hideMark/>
          </w:tcPr>
          <w:p w14:paraId="4E21EFAE"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115</w:t>
            </w:r>
          </w:p>
        </w:tc>
        <w:tc>
          <w:tcPr>
            <w:tcW w:w="1080" w:type="dxa"/>
            <w:tcBorders>
              <w:top w:val="nil"/>
              <w:left w:val="nil"/>
              <w:bottom w:val="single" w:sz="4" w:space="0" w:color="auto"/>
              <w:right w:val="nil"/>
            </w:tcBorders>
            <w:shd w:val="clear" w:color="auto" w:fill="auto"/>
            <w:noWrap/>
            <w:vAlign w:val="bottom"/>
            <w:hideMark/>
          </w:tcPr>
          <w:p w14:paraId="06F4C8AC"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130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7C31585"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21</w:t>
            </w:r>
          </w:p>
        </w:tc>
        <w:tc>
          <w:tcPr>
            <w:tcW w:w="1530" w:type="dxa"/>
            <w:tcBorders>
              <w:top w:val="nil"/>
              <w:left w:val="nil"/>
              <w:bottom w:val="single" w:sz="4" w:space="0" w:color="auto"/>
              <w:right w:val="nil"/>
            </w:tcBorders>
            <w:shd w:val="clear" w:color="auto" w:fill="auto"/>
            <w:noWrap/>
            <w:vAlign w:val="bottom"/>
            <w:hideMark/>
          </w:tcPr>
          <w:p w14:paraId="121D8183"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0.93</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0FE2B2D"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0.53</w:t>
            </w:r>
          </w:p>
        </w:tc>
        <w:tc>
          <w:tcPr>
            <w:tcW w:w="792" w:type="dxa"/>
            <w:tcBorders>
              <w:top w:val="nil"/>
              <w:left w:val="nil"/>
              <w:bottom w:val="single" w:sz="4" w:space="0" w:color="auto"/>
              <w:right w:val="nil"/>
            </w:tcBorders>
            <w:shd w:val="clear" w:color="auto" w:fill="auto"/>
            <w:noWrap/>
            <w:vAlign w:val="bottom"/>
            <w:hideMark/>
          </w:tcPr>
          <w:p w14:paraId="01CB13C0" w14:textId="77777777" w:rsidR="001B1393" w:rsidRPr="001B1393" w:rsidRDefault="001B1393" w:rsidP="001B1393">
            <w:pPr>
              <w:spacing w:line="240" w:lineRule="auto"/>
              <w:jc w:val="right"/>
              <w:rPr>
                <w:rFonts w:ascii="Calibri" w:eastAsia="Times New Roman" w:hAnsi="Calibri" w:cs="Times New Roman"/>
                <w:color w:val="000000"/>
                <w:lang w:val="en-US"/>
              </w:rPr>
            </w:pPr>
            <w:r w:rsidRPr="001B1393">
              <w:rPr>
                <w:rFonts w:ascii="Calibri" w:eastAsia="Times New Roman" w:hAnsi="Calibri" w:cs="Times New Roman"/>
                <w:color w:val="000000"/>
                <w:lang w:val="en-US"/>
              </w:rPr>
              <w:t>0.71</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14:paraId="66C15B47" w14:textId="77777777" w:rsidR="001B1393" w:rsidRPr="001B1393" w:rsidRDefault="001B1393" w:rsidP="001B1393">
            <w:pPr>
              <w:spacing w:line="240" w:lineRule="auto"/>
              <w:jc w:val="right"/>
              <w:rPr>
                <w:rFonts w:ascii="Calibri" w:eastAsia="Times New Roman" w:hAnsi="Calibri" w:cs="Times New Roman"/>
                <w:color w:val="808080"/>
                <w:lang w:val="en-US"/>
              </w:rPr>
            </w:pPr>
            <w:r w:rsidRPr="001B1393">
              <w:rPr>
                <w:rFonts w:ascii="Calibri" w:eastAsia="Times New Roman" w:hAnsi="Calibri" w:cs="Times New Roman"/>
                <w:color w:val="808080"/>
                <w:lang w:val="en-US"/>
              </w:rPr>
              <w:t>0.86</w:t>
            </w:r>
          </w:p>
        </w:tc>
      </w:tr>
    </w:tbl>
    <w:p w14:paraId="64F5B993" w14:textId="7E1F6624" w:rsidR="00B17007" w:rsidRDefault="001B1393" w:rsidP="00E47D3F">
      <w:pPr>
        <w:rPr>
          <w:rFonts w:ascii="Calibri" w:eastAsia="Times New Roman" w:hAnsi="Calibri" w:cs="Times New Roman"/>
          <w:color w:val="000000"/>
          <w:lang w:val="en-US"/>
        </w:rPr>
      </w:pPr>
      <w:r w:rsidRPr="001B1393">
        <w:rPr>
          <w:rFonts w:ascii="Calibri" w:eastAsia="Times New Roman" w:hAnsi="Calibri" w:cs="Times New Roman"/>
          <w:color w:val="000000"/>
          <w:lang w:val="en-US"/>
        </w:rPr>
        <w:t>Based on all admissions 2010-2016 with an endocarditis code reviewed during clinical audit (N=552). Cases of endocarditis which fulfil Duke Definite/Possible criteria counted as true cases (n=307; sum of true positive and false negative).  Cases of endocarditis which do not have an endocarditis code will not be included in this dataset, thus a true measure of sensitivity and negative predictive value were not possible. Data presented as percentage of true cases found during the audit that were correctly identified by coding/administrative data combinations.</w:t>
      </w:r>
    </w:p>
    <w:p w14:paraId="159E7289" w14:textId="77777777" w:rsidR="00B17007" w:rsidRDefault="00B17007">
      <w:pPr>
        <w:spacing w:after="200" w:line="276" w:lineRule="auto"/>
        <w:rPr>
          <w:rFonts w:ascii="Calibri" w:eastAsia="Times New Roman" w:hAnsi="Calibri" w:cs="Times New Roman"/>
          <w:color w:val="000000"/>
          <w:lang w:val="en-US"/>
        </w:rPr>
      </w:pPr>
      <w:r>
        <w:rPr>
          <w:rFonts w:ascii="Calibri" w:eastAsia="Times New Roman" w:hAnsi="Calibri" w:cs="Times New Roman"/>
          <w:color w:val="000000"/>
          <w:lang w:val="en-US"/>
        </w:rPr>
        <w:br w:type="page"/>
      </w:r>
    </w:p>
    <w:p w14:paraId="082256EF" w14:textId="77777777" w:rsidR="00671003" w:rsidRDefault="00671003" w:rsidP="00E47D3F">
      <w:pPr>
        <w:rPr>
          <w:b/>
          <w:bCs/>
        </w:rPr>
        <w:sectPr w:rsidR="00671003" w:rsidSect="001B1393">
          <w:pgSz w:w="16838" w:h="11906" w:orient="landscape"/>
          <w:pgMar w:top="1440" w:right="1440" w:bottom="1440" w:left="1440" w:header="706" w:footer="706" w:gutter="0"/>
          <w:cols w:space="708"/>
          <w:docGrid w:linePitch="360"/>
        </w:sectPr>
      </w:pPr>
    </w:p>
    <w:p w14:paraId="07A5C912" w14:textId="6994AF9F" w:rsidR="001B1393" w:rsidRDefault="00B17007" w:rsidP="00E47D3F">
      <w:r>
        <w:rPr>
          <w:b/>
          <w:bCs/>
        </w:rPr>
        <w:lastRenderedPageBreak/>
        <w:t xml:space="preserve">Figure S4 </w:t>
      </w:r>
      <w:r>
        <w:t>Sensitivity/specificity and positive predictive values for different algorithms to identify Duke definite/possible endocarditis cases from diagnostic codes in Leeds and Oxford</w:t>
      </w:r>
    </w:p>
    <w:p w14:paraId="132C6475" w14:textId="77777777" w:rsidR="00B17007" w:rsidRPr="0017725B" w:rsidRDefault="00B17007" w:rsidP="00B17007">
      <w:pPr>
        <w:rPr>
          <w:rFonts w:cstheme="minorHAnsi"/>
        </w:rPr>
      </w:pPr>
    </w:p>
    <w:p w14:paraId="29169A2C" w14:textId="77777777" w:rsidR="00B17007" w:rsidRPr="0017725B" w:rsidRDefault="00B17007" w:rsidP="00B17007">
      <w:pPr>
        <w:keepNext/>
        <w:rPr>
          <w:rFonts w:cstheme="minorHAnsi"/>
        </w:rPr>
      </w:pPr>
      <w:r w:rsidRPr="0017725B">
        <w:rPr>
          <w:rFonts w:cstheme="minorHAnsi"/>
          <w:noProof/>
          <w:lang w:val="en-US"/>
        </w:rPr>
        <w:drawing>
          <wp:inline distT="0" distB="0" distL="0" distR="0" wp14:anchorId="7485BF13" wp14:editId="4A0041CD">
            <wp:extent cx="5445050" cy="327864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4543" cy="3278335"/>
                    </a:xfrm>
                    <a:prstGeom prst="rect">
                      <a:avLst/>
                    </a:prstGeom>
                    <a:noFill/>
                  </pic:spPr>
                </pic:pic>
              </a:graphicData>
            </a:graphic>
          </wp:inline>
        </w:drawing>
      </w:r>
    </w:p>
    <w:p w14:paraId="63255044" w14:textId="77777777" w:rsidR="00B17007" w:rsidRPr="0017725B" w:rsidRDefault="00B17007" w:rsidP="00B17007">
      <w:pPr>
        <w:keepNext/>
        <w:rPr>
          <w:rFonts w:cstheme="minorHAnsi"/>
        </w:rPr>
      </w:pPr>
      <w:r w:rsidRPr="0017725B">
        <w:rPr>
          <w:rFonts w:cstheme="minorHAnsi"/>
          <w:noProof/>
          <w:lang w:val="en-US"/>
        </w:rPr>
        <w:drawing>
          <wp:inline distT="0" distB="0" distL="0" distR="0" wp14:anchorId="06E91FBB" wp14:editId="3872FCA3">
            <wp:extent cx="5325882" cy="3491109"/>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6228" cy="3491336"/>
                    </a:xfrm>
                    <a:prstGeom prst="rect">
                      <a:avLst/>
                    </a:prstGeom>
                    <a:noFill/>
                  </pic:spPr>
                </pic:pic>
              </a:graphicData>
            </a:graphic>
          </wp:inline>
        </w:drawing>
      </w:r>
    </w:p>
    <w:p w14:paraId="29852914" w14:textId="77777777" w:rsidR="00B17007" w:rsidRDefault="00B17007" w:rsidP="00B17007">
      <w:r w:rsidRPr="0017725B">
        <w:rPr>
          <w:rFonts w:cstheme="minorHAnsi"/>
        </w:rPr>
        <w:t>Note: Sensitivity is upper bound in Oxford providing all true cases have been identified by at least one code.</w:t>
      </w:r>
      <w:r>
        <w:rPr>
          <w:rFonts w:cstheme="minorHAnsi"/>
        </w:rPr>
        <w:t xml:space="preserve"> Different definitions ordered by PPV.</w:t>
      </w:r>
    </w:p>
    <w:p w14:paraId="1347C8F8" w14:textId="1A509DD6" w:rsidR="0034288E" w:rsidRDefault="0034288E">
      <w:pPr>
        <w:spacing w:after="200" w:line="276" w:lineRule="auto"/>
        <w:rPr>
          <w:rFonts w:cstheme="minorHAnsi"/>
        </w:rPr>
      </w:pPr>
      <w:r>
        <w:rPr>
          <w:rFonts w:cstheme="minorHAnsi"/>
        </w:rPr>
        <w:br w:type="page"/>
      </w:r>
    </w:p>
    <w:p w14:paraId="1250AE46" w14:textId="77777777" w:rsidR="0034288E" w:rsidRDefault="0034288E" w:rsidP="00E47D3F">
      <w:pPr>
        <w:rPr>
          <w:b/>
          <w:bCs/>
        </w:rPr>
        <w:sectPr w:rsidR="0034288E" w:rsidSect="00671003">
          <w:pgSz w:w="11906" w:h="16838"/>
          <w:pgMar w:top="1440" w:right="1440" w:bottom="1440" w:left="1440" w:header="706" w:footer="706" w:gutter="0"/>
          <w:cols w:space="708"/>
          <w:docGrid w:linePitch="360"/>
        </w:sectPr>
      </w:pPr>
    </w:p>
    <w:p w14:paraId="21C3E6A6" w14:textId="6DA29C3C" w:rsidR="00B17007" w:rsidRDefault="0034288E" w:rsidP="00E47D3F">
      <w:r>
        <w:rPr>
          <w:b/>
          <w:bCs/>
        </w:rPr>
        <w:lastRenderedPageBreak/>
        <w:t xml:space="preserve">Figure S5 </w:t>
      </w:r>
      <w:r>
        <w:t>Estimated endocarditis incidence in Oxford based on diagnostic coding and administrative information</w:t>
      </w:r>
    </w:p>
    <w:p w14:paraId="0CFD5495" w14:textId="3216AA23" w:rsidR="0034288E" w:rsidRDefault="0034288E" w:rsidP="00E47D3F">
      <w:pPr>
        <w:rPr>
          <w:rFonts w:cstheme="minorHAnsi"/>
        </w:rPr>
      </w:pPr>
      <w:r>
        <w:rPr>
          <w:rFonts w:cstheme="minorHAnsi"/>
          <w:noProof/>
          <w:lang w:val="en-US"/>
        </w:rPr>
        <w:drawing>
          <wp:inline distT="0" distB="0" distL="0" distR="0" wp14:anchorId="42650CBB" wp14:editId="1B85D630">
            <wp:extent cx="8856980" cy="4135755"/>
            <wp:effectExtent l="0" t="0" r="1270" b="0"/>
            <wp:docPr id="4" name="Picture 4" descr="D:\WorkDIR\LOVE\a\8-14\BEI91390\12916_2019_1390_MOESM11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DIR\LOVE\a\8-14\BEI91390\12916_2019_1390_MOESM11_ES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56980" cy="4135755"/>
                    </a:xfrm>
                    <a:prstGeom prst="rect">
                      <a:avLst/>
                    </a:prstGeom>
                    <a:noFill/>
                    <a:ln>
                      <a:noFill/>
                    </a:ln>
                  </pic:spPr>
                </pic:pic>
              </a:graphicData>
            </a:graphic>
          </wp:inline>
        </w:drawing>
      </w:r>
    </w:p>
    <w:p w14:paraId="2A89CCFE" w14:textId="77777777" w:rsidR="0034288E" w:rsidRDefault="0034288E">
      <w:pPr>
        <w:spacing w:after="200" w:line="276" w:lineRule="auto"/>
        <w:rPr>
          <w:rFonts w:cstheme="minorHAnsi"/>
        </w:rPr>
      </w:pPr>
      <w:r>
        <w:rPr>
          <w:rFonts w:cstheme="minorHAnsi"/>
        </w:rPr>
        <w:br w:type="page"/>
      </w:r>
    </w:p>
    <w:p w14:paraId="4B170069" w14:textId="77777777" w:rsidR="0083608B" w:rsidRDefault="0083608B" w:rsidP="00E47D3F">
      <w:pPr>
        <w:rPr>
          <w:b/>
          <w:bCs/>
        </w:rPr>
        <w:sectPr w:rsidR="0083608B" w:rsidSect="0034288E">
          <w:pgSz w:w="16838" w:h="11906" w:orient="landscape"/>
          <w:pgMar w:top="1440" w:right="1440" w:bottom="1440" w:left="1440" w:header="706" w:footer="706" w:gutter="0"/>
          <w:cols w:space="708"/>
          <w:docGrid w:linePitch="360"/>
        </w:sectPr>
      </w:pPr>
    </w:p>
    <w:p w14:paraId="58363185" w14:textId="10EC0F63" w:rsidR="0034288E" w:rsidRDefault="007E25F4" w:rsidP="00E47D3F">
      <w:r>
        <w:rPr>
          <w:b/>
          <w:bCs/>
        </w:rPr>
        <w:lastRenderedPageBreak/>
        <w:t xml:space="preserve">Figure S6 </w:t>
      </w:r>
      <w:r>
        <w:t>Estimated endocarditis cases and causative organism from diagnostic codes compared to clinician cases, Leeds</w:t>
      </w:r>
    </w:p>
    <w:p w14:paraId="1146A6C9" w14:textId="66D2C0FD" w:rsidR="00A82FDA" w:rsidRDefault="007E25F4" w:rsidP="00E47D3F">
      <w:pPr>
        <w:rPr>
          <w:rFonts w:cstheme="minorHAnsi"/>
        </w:rPr>
      </w:pPr>
      <w:r>
        <w:rPr>
          <w:rFonts w:cstheme="minorHAnsi"/>
          <w:noProof/>
          <w:lang w:val="en-US"/>
        </w:rPr>
        <w:drawing>
          <wp:inline distT="0" distB="0" distL="0" distR="0" wp14:anchorId="44E8715A" wp14:editId="5900B071">
            <wp:extent cx="6294755" cy="5730875"/>
            <wp:effectExtent l="0" t="0" r="0" b="3175"/>
            <wp:docPr id="6" name="Picture 6" descr="D:\WorkDIR\LOVE\a\8-14\BEI91390\12916_2019_1390_MOESM12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orkDIR\LOVE\a\8-14\BEI91390\12916_2019_1390_MOESM12_ES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4755" cy="5730875"/>
                    </a:xfrm>
                    <a:prstGeom prst="rect">
                      <a:avLst/>
                    </a:prstGeom>
                    <a:noFill/>
                    <a:ln>
                      <a:noFill/>
                    </a:ln>
                  </pic:spPr>
                </pic:pic>
              </a:graphicData>
            </a:graphic>
          </wp:inline>
        </w:drawing>
      </w:r>
    </w:p>
    <w:p w14:paraId="3E429907" w14:textId="77777777" w:rsidR="00A82FDA" w:rsidRDefault="00A82FDA">
      <w:pPr>
        <w:spacing w:after="200" w:line="276" w:lineRule="auto"/>
        <w:rPr>
          <w:rFonts w:cstheme="minorHAnsi"/>
        </w:rPr>
      </w:pPr>
      <w:r>
        <w:rPr>
          <w:rFonts w:cstheme="minorHAnsi"/>
        </w:rPr>
        <w:br w:type="page"/>
      </w:r>
    </w:p>
    <w:p w14:paraId="52BAE43C" w14:textId="61711264" w:rsidR="007E25F4" w:rsidRDefault="00A82FDA" w:rsidP="00E47D3F">
      <w:r>
        <w:rPr>
          <w:b/>
          <w:bCs/>
        </w:rPr>
        <w:lastRenderedPageBreak/>
        <w:t xml:space="preserve">Figure S7 </w:t>
      </w:r>
      <w:r>
        <w:t xml:space="preserve">Estimated endocarditis cases and causative organism from diagnostic codes and microbiological cultures, Oxford </w:t>
      </w:r>
    </w:p>
    <w:p w14:paraId="49DB6EA1" w14:textId="4CAEE876" w:rsidR="00A82FDA" w:rsidRDefault="00A82FDA" w:rsidP="00E47D3F">
      <w:pPr>
        <w:rPr>
          <w:rFonts w:cstheme="minorHAnsi"/>
        </w:rPr>
      </w:pPr>
      <w:r>
        <w:rPr>
          <w:noProof/>
          <w:lang w:val="en-US"/>
        </w:rPr>
        <w:drawing>
          <wp:inline distT="0" distB="0" distL="0" distR="0" wp14:anchorId="52419404" wp14:editId="0528E16F">
            <wp:extent cx="5730875" cy="4827270"/>
            <wp:effectExtent l="0" t="0" r="3175" b="0"/>
            <wp:docPr id="7" name="Picture 7" descr="D:\WorkDIR\LOVE\a\8-14\BEI91390\12916_2019_1390_MOESM13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orkDIR\LOVE\a\8-14\BEI91390\12916_2019_1390_MOESM13_ES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4827270"/>
                    </a:xfrm>
                    <a:prstGeom prst="rect">
                      <a:avLst/>
                    </a:prstGeom>
                    <a:noFill/>
                    <a:ln>
                      <a:noFill/>
                    </a:ln>
                  </pic:spPr>
                </pic:pic>
              </a:graphicData>
            </a:graphic>
          </wp:inline>
        </w:drawing>
      </w:r>
    </w:p>
    <w:p w14:paraId="6D18D14E" w14:textId="77777777" w:rsidR="00A82FDA" w:rsidRDefault="00A82FDA">
      <w:pPr>
        <w:spacing w:after="200" w:line="276" w:lineRule="auto"/>
        <w:rPr>
          <w:rFonts w:cstheme="minorHAnsi"/>
        </w:rPr>
      </w:pPr>
      <w:r>
        <w:rPr>
          <w:rFonts w:cstheme="minorHAnsi"/>
        </w:rPr>
        <w:br w:type="page"/>
      </w:r>
    </w:p>
    <w:p w14:paraId="53D91657" w14:textId="77777777" w:rsidR="00A82FDA" w:rsidRDefault="00A82FDA" w:rsidP="00E47D3F">
      <w:pPr>
        <w:rPr>
          <w:b/>
          <w:bCs/>
        </w:rPr>
        <w:sectPr w:rsidR="00A82FDA" w:rsidSect="0083608B">
          <w:pgSz w:w="11906" w:h="16838"/>
          <w:pgMar w:top="1440" w:right="1440" w:bottom="1440" w:left="1440" w:header="706" w:footer="706" w:gutter="0"/>
          <w:cols w:space="708"/>
          <w:docGrid w:linePitch="360"/>
        </w:sectPr>
      </w:pPr>
    </w:p>
    <w:p w14:paraId="5FA15E63" w14:textId="1A449371" w:rsidR="00A82FDA" w:rsidRDefault="00A82FDA" w:rsidP="00E47D3F">
      <w:r>
        <w:rPr>
          <w:b/>
          <w:bCs/>
        </w:rPr>
        <w:lastRenderedPageBreak/>
        <w:t xml:space="preserve">Table S6 </w:t>
      </w:r>
      <w:r>
        <w:t>Coded organism vs clinician recorded organism in Leeds Duke definite/possible cases</w:t>
      </w:r>
    </w:p>
    <w:tbl>
      <w:tblPr>
        <w:tblW w:w="13040" w:type="dxa"/>
        <w:tblInd w:w="108" w:type="dxa"/>
        <w:tblLook w:val="04A0" w:firstRow="1" w:lastRow="0" w:firstColumn="1" w:lastColumn="0" w:noHBand="0" w:noVBand="1"/>
      </w:tblPr>
      <w:tblGrid>
        <w:gridCol w:w="2133"/>
        <w:gridCol w:w="1948"/>
        <w:gridCol w:w="2133"/>
        <w:gridCol w:w="1846"/>
        <w:gridCol w:w="960"/>
        <w:gridCol w:w="2100"/>
        <w:gridCol w:w="960"/>
        <w:gridCol w:w="960"/>
      </w:tblGrid>
      <w:tr w:rsidR="00A82FDA" w:rsidRPr="00A82FDA" w14:paraId="5F465AFE" w14:textId="77777777" w:rsidTr="00A82FDA">
        <w:trPr>
          <w:trHeight w:val="300"/>
        </w:trPr>
        <w:tc>
          <w:tcPr>
            <w:tcW w:w="8060" w:type="dxa"/>
            <w:gridSpan w:val="4"/>
            <w:tcBorders>
              <w:top w:val="nil"/>
              <w:left w:val="nil"/>
              <w:bottom w:val="nil"/>
              <w:right w:val="nil"/>
            </w:tcBorders>
            <w:shd w:val="clear" w:color="auto" w:fill="auto"/>
            <w:noWrap/>
            <w:vAlign w:val="bottom"/>
            <w:hideMark/>
          </w:tcPr>
          <w:p w14:paraId="3C22A9F4"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Leeds coded organism vs clinician recorded organism in Duke Definite/Possible cases </w:t>
            </w:r>
          </w:p>
        </w:tc>
        <w:tc>
          <w:tcPr>
            <w:tcW w:w="960" w:type="dxa"/>
            <w:tcBorders>
              <w:top w:val="nil"/>
              <w:left w:val="nil"/>
              <w:bottom w:val="nil"/>
              <w:right w:val="nil"/>
            </w:tcBorders>
            <w:shd w:val="clear" w:color="auto" w:fill="auto"/>
            <w:noWrap/>
            <w:vAlign w:val="bottom"/>
            <w:hideMark/>
          </w:tcPr>
          <w:p w14:paraId="18DEBFD3" w14:textId="77777777" w:rsidR="00A82FDA" w:rsidRPr="00A82FDA" w:rsidRDefault="00A82FDA" w:rsidP="00A82FDA">
            <w:pPr>
              <w:spacing w:line="240" w:lineRule="auto"/>
              <w:rPr>
                <w:rFonts w:ascii="Calibri" w:eastAsia="Times New Roman" w:hAnsi="Calibri" w:cs="Times New Roman"/>
                <w:color w:val="000000"/>
                <w:lang w:val="en-US"/>
              </w:rPr>
            </w:pPr>
          </w:p>
        </w:tc>
        <w:tc>
          <w:tcPr>
            <w:tcW w:w="2100" w:type="dxa"/>
            <w:tcBorders>
              <w:top w:val="nil"/>
              <w:left w:val="nil"/>
              <w:bottom w:val="nil"/>
              <w:right w:val="nil"/>
            </w:tcBorders>
            <w:shd w:val="clear" w:color="auto" w:fill="auto"/>
            <w:noWrap/>
            <w:vAlign w:val="bottom"/>
            <w:hideMark/>
          </w:tcPr>
          <w:p w14:paraId="3471AE63"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083BD04E"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79B2E69F"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76D67EC7" w14:textId="77777777" w:rsidTr="00A82FDA">
        <w:trPr>
          <w:trHeight w:val="300"/>
        </w:trPr>
        <w:tc>
          <w:tcPr>
            <w:tcW w:w="2133" w:type="dxa"/>
            <w:tcBorders>
              <w:top w:val="single" w:sz="4" w:space="0" w:color="auto"/>
              <w:left w:val="single" w:sz="4" w:space="0" w:color="auto"/>
              <w:bottom w:val="nil"/>
              <w:right w:val="nil"/>
            </w:tcBorders>
            <w:shd w:val="clear" w:color="auto" w:fill="auto"/>
            <w:noWrap/>
            <w:vAlign w:val="bottom"/>
            <w:hideMark/>
          </w:tcPr>
          <w:p w14:paraId="291DBE95"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c>
          <w:tcPr>
            <w:tcW w:w="4081" w:type="dxa"/>
            <w:gridSpan w:val="2"/>
            <w:tcBorders>
              <w:top w:val="single" w:sz="4" w:space="0" w:color="auto"/>
              <w:left w:val="single" w:sz="4" w:space="0" w:color="auto"/>
              <w:bottom w:val="nil"/>
              <w:right w:val="nil"/>
            </w:tcBorders>
            <w:shd w:val="clear" w:color="auto" w:fill="auto"/>
            <w:noWrap/>
            <w:vAlign w:val="bottom"/>
            <w:hideMark/>
          </w:tcPr>
          <w:p w14:paraId="75251AB7"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clinician recorded cause (Genus) </w:t>
            </w:r>
          </w:p>
        </w:tc>
        <w:tc>
          <w:tcPr>
            <w:tcW w:w="1846" w:type="dxa"/>
            <w:tcBorders>
              <w:top w:val="single" w:sz="4" w:space="0" w:color="auto"/>
              <w:left w:val="nil"/>
              <w:bottom w:val="nil"/>
              <w:right w:val="nil"/>
            </w:tcBorders>
            <w:shd w:val="clear" w:color="auto" w:fill="auto"/>
            <w:noWrap/>
            <w:vAlign w:val="bottom"/>
            <w:hideMark/>
          </w:tcPr>
          <w:p w14:paraId="2B7ECE5A"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c>
          <w:tcPr>
            <w:tcW w:w="960" w:type="dxa"/>
            <w:tcBorders>
              <w:top w:val="single" w:sz="4" w:space="0" w:color="auto"/>
              <w:left w:val="nil"/>
              <w:bottom w:val="nil"/>
              <w:right w:val="nil"/>
            </w:tcBorders>
            <w:shd w:val="clear" w:color="auto" w:fill="auto"/>
            <w:noWrap/>
            <w:vAlign w:val="bottom"/>
            <w:hideMark/>
          </w:tcPr>
          <w:p w14:paraId="3ABF0D84"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c>
          <w:tcPr>
            <w:tcW w:w="2100" w:type="dxa"/>
            <w:tcBorders>
              <w:top w:val="single" w:sz="4" w:space="0" w:color="auto"/>
              <w:left w:val="nil"/>
              <w:bottom w:val="nil"/>
              <w:right w:val="nil"/>
            </w:tcBorders>
            <w:shd w:val="clear" w:color="auto" w:fill="auto"/>
            <w:noWrap/>
            <w:vAlign w:val="bottom"/>
            <w:hideMark/>
          </w:tcPr>
          <w:p w14:paraId="4E764AFB"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c>
          <w:tcPr>
            <w:tcW w:w="960" w:type="dxa"/>
            <w:tcBorders>
              <w:top w:val="single" w:sz="4" w:space="0" w:color="auto"/>
              <w:left w:val="nil"/>
              <w:bottom w:val="nil"/>
              <w:right w:val="single" w:sz="4" w:space="0" w:color="auto"/>
            </w:tcBorders>
            <w:shd w:val="clear" w:color="auto" w:fill="auto"/>
            <w:noWrap/>
            <w:vAlign w:val="bottom"/>
            <w:hideMark/>
          </w:tcPr>
          <w:p w14:paraId="2B276AB5"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c>
          <w:tcPr>
            <w:tcW w:w="960" w:type="dxa"/>
            <w:tcBorders>
              <w:top w:val="single" w:sz="4" w:space="0" w:color="auto"/>
              <w:left w:val="nil"/>
              <w:bottom w:val="nil"/>
              <w:right w:val="single" w:sz="4" w:space="0" w:color="auto"/>
            </w:tcBorders>
            <w:shd w:val="clear" w:color="auto" w:fill="auto"/>
            <w:noWrap/>
            <w:vAlign w:val="bottom"/>
            <w:hideMark/>
          </w:tcPr>
          <w:p w14:paraId="22356E55"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w:t>
            </w:r>
          </w:p>
        </w:tc>
      </w:tr>
      <w:tr w:rsidR="00A82FDA" w:rsidRPr="00A82FDA" w14:paraId="17E61850" w14:textId="77777777" w:rsidTr="00A82FDA">
        <w:trPr>
          <w:trHeight w:val="300"/>
        </w:trPr>
        <w:tc>
          <w:tcPr>
            <w:tcW w:w="2133" w:type="dxa"/>
            <w:tcBorders>
              <w:top w:val="single" w:sz="4" w:space="0" w:color="auto"/>
              <w:left w:val="single" w:sz="4" w:space="0" w:color="auto"/>
              <w:bottom w:val="single" w:sz="4" w:space="0" w:color="auto"/>
              <w:right w:val="nil"/>
            </w:tcBorders>
            <w:shd w:val="clear" w:color="auto" w:fill="auto"/>
            <w:noWrap/>
            <w:vAlign w:val="bottom"/>
            <w:hideMark/>
          </w:tcPr>
          <w:p w14:paraId="1DCA9893"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organism code </w:t>
            </w:r>
          </w:p>
        </w:tc>
        <w:tc>
          <w:tcPr>
            <w:tcW w:w="19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BF1AF" w14:textId="77777777" w:rsidR="00A82FDA" w:rsidRPr="00A82FDA" w:rsidRDefault="00A82FDA" w:rsidP="00A82FDA">
            <w:pPr>
              <w:spacing w:line="240" w:lineRule="auto"/>
              <w:rPr>
                <w:rFonts w:ascii="Calibri" w:eastAsia="Times New Roman" w:hAnsi="Calibri" w:cs="Times New Roman"/>
                <w:i/>
                <w:iCs/>
                <w:color w:val="000000"/>
                <w:lang w:val="en-US"/>
              </w:rPr>
            </w:pPr>
            <w:r w:rsidRPr="00A82FDA">
              <w:rPr>
                <w:rFonts w:ascii="Calibri" w:eastAsia="Times New Roman" w:hAnsi="Calibri" w:cs="Times New Roman"/>
                <w:i/>
                <w:iCs/>
                <w:color w:val="000000"/>
                <w:lang w:val="en-US"/>
              </w:rPr>
              <w:t>Streptococcus</w:t>
            </w:r>
          </w:p>
        </w:tc>
        <w:tc>
          <w:tcPr>
            <w:tcW w:w="2133" w:type="dxa"/>
            <w:tcBorders>
              <w:top w:val="single" w:sz="4" w:space="0" w:color="auto"/>
              <w:left w:val="nil"/>
              <w:bottom w:val="single" w:sz="4" w:space="0" w:color="auto"/>
              <w:right w:val="single" w:sz="4" w:space="0" w:color="auto"/>
            </w:tcBorders>
            <w:shd w:val="clear" w:color="auto" w:fill="auto"/>
            <w:noWrap/>
            <w:vAlign w:val="bottom"/>
            <w:hideMark/>
          </w:tcPr>
          <w:p w14:paraId="7C83757A" w14:textId="77777777" w:rsidR="00A82FDA" w:rsidRPr="00A82FDA" w:rsidRDefault="00A82FDA" w:rsidP="00A82FDA">
            <w:pPr>
              <w:spacing w:line="240" w:lineRule="auto"/>
              <w:rPr>
                <w:rFonts w:ascii="Calibri" w:eastAsia="Times New Roman" w:hAnsi="Calibri" w:cs="Times New Roman"/>
                <w:i/>
                <w:iCs/>
                <w:color w:val="000000"/>
                <w:lang w:val="en-US"/>
              </w:rPr>
            </w:pPr>
            <w:r w:rsidRPr="00A82FDA">
              <w:rPr>
                <w:rFonts w:ascii="Calibri" w:eastAsia="Times New Roman" w:hAnsi="Calibri" w:cs="Times New Roman"/>
                <w:i/>
                <w:iCs/>
                <w:color w:val="000000"/>
                <w:lang w:val="en-US"/>
              </w:rPr>
              <w:t>Staphylococcus</w:t>
            </w:r>
          </w:p>
        </w:tc>
        <w:tc>
          <w:tcPr>
            <w:tcW w:w="1846" w:type="dxa"/>
            <w:tcBorders>
              <w:top w:val="single" w:sz="4" w:space="0" w:color="auto"/>
              <w:left w:val="nil"/>
              <w:bottom w:val="single" w:sz="4" w:space="0" w:color="auto"/>
              <w:right w:val="single" w:sz="4" w:space="0" w:color="auto"/>
            </w:tcBorders>
            <w:shd w:val="clear" w:color="auto" w:fill="auto"/>
            <w:noWrap/>
            <w:vAlign w:val="bottom"/>
            <w:hideMark/>
          </w:tcPr>
          <w:p w14:paraId="5A3EBE49" w14:textId="77777777" w:rsidR="00A82FDA" w:rsidRPr="00A82FDA" w:rsidRDefault="00A82FDA" w:rsidP="00A82FDA">
            <w:pPr>
              <w:spacing w:line="240" w:lineRule="auto"/>
              <w:rPr>
                <w:rFonts w:ascii="Calibri" w:eastAsia="Times New Roman" w:hAnsi="Calibri" w:cs="Times New Roman"/>
                <w:i/>
                <w:iCs/>
                <w:color w:val="000000"/>
                <w:lang w:val="en-US"/>
              </w:rPr>
            </w:pPr>
            <w:r w:rsidRPr="00A82FDA">
              <w:rPr>
                <w:rFonts w:ascii="Calibri" w:eastAsia="Times New Roman" w:hAnsi="Calibri" w:cs="Times New Roman"/>
                <w:i/>
                <w:iCs/>
                <w:color w:val="000000"/>
                <w:lang w:val="en-US"/>
              </w:rPr>
              <w:t>Enterococcus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16CD36"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Other</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69CB7086"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Polymicrobial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A8B1B3"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None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B604E2"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Total</w:t>
            </w:r>
          </w:p>
        </w:tc>
      </w:tr>
      <w:tr w:rsidR="00A82FDA" w:rsidRPr="00A82FDA" w14:paraId="4CD83CD2" w14:textId="77777777" w:rsidTr="00A82FDA">
        <w:trPr>
          <w:trHeight w:val="300"/>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14:paraId="713F701A" w14:textId="77777777" w:rsidR="00A82FDA" w:rsidRPr="00A82FDA" w:rsidRDefault="00A82FDA" w:rsidP="00A82FDA">
            <w:pPr>
              <w:spacing w:line="240" w:lineRule="auto"/>
              <w:rPr>
                <w:rFonts w:ascii="Calibri" w:eastAsia="Times New Roman" w:hAnsi="Calibri" w:cs="Times New Roman"/>
                <w:i/>
                <w:iCs/>
                <w:color w:val="000000"/>
                <w:lang w:val="en-US"/>
              </w:rPr>
            </w:pPr>
            <w:r w:rsidRPr="00A82FDA">
              <w:rPr>
                <w:rFonts w:ascii="Calibri" w:eastAsia="Times New Roman" w:hAnsi="Calibri" w:cs="Times New Roman"/>
                <w:i/>
                <w:iCs/>
                <w:color w:val="000000"/>
                <w:lang w:val="en-US"/>
              </w:rPr>
              <w:t>Streptococcus</w:t>
            </w:r>
          </w:p>
        </w:tc>
        <w:tc>
          <w:tcPr>
            <w:tcW w:w="1948" w:type="dxa"/>
            <w:tcBorders>
              <w:top w:val="nil"/>
              <w:left w:val="nil"/>
              <w:bottom w:val="single" w:sz="4" w:space="0" w:color="auto"/>
              <w:right w:val="single" w:sz="4" w:space="0" w:color="auto"/>
            </w:tcBorders>
            <w:shd w:val="clear" w:color="auto" w:fill="auto"/>
            <w:noWrap/>
            <w:vAlign w:val="bottom"/>
            <w:hideMark/>
          </w:tcPr>
          <w:p w14:paraId="29BC9ABF"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201</w:t>
            </w:r>
          </w:p>
        </w:tc>
        <w:tc>
          <w:tcPr>
            <w:tcW w:w="2133" w:type="dxa"/>
            <w:tcBorders>
              <w:top w:val="nil"/>
              <w:left w:val="nil"/>
              <w:bottom w:val="single" w:sz="4" w:space="0" w:color="auto"/>
              <w:right w:val="single" w:sz="4" w:space="0" w:color="auto"/>
            </w:tcBorders>
            <w:shd w:val="clear" w:color="auto" w:fill="auto"/>
            <w:noWrap/>
            <w:vAlign w:val="bottom"/>
            <w:hideMark/>
          </w:tcPr>
          <w:p w14:paraId="43894A42"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w:t>
            </w:r>
          </w:p>
        </w:tc>
        <w:tc>
          <w:tcPr>
            <w:tcW w:w="1846" w:type="dxa"/>
            <w:tcBorders>
              <w:top w:val="nil"/>
              <w:left w:val="nil"/>
              <w:bottom w:val="single" w:sz="4" w:space="0" w:color="auto"/>
              <w:right w:val="single" w:sz="4" w:space="0" w:color="auto"/>
            </w:tcBorders>
            <w:shd w:val="clear" w:color="auto" w:fill="auto"/>
            <w:noWrap/>
            <w:vAlign w:val="bottom"/>
            <w:hideMark/>
          </w:tcPr>
          <w:p w14:paraId="04F29AA6"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44</w:t>
            </w:r>
          </w:p>
        </w:tc>
        <w:tc>
          <w:tcPr>
            <w:tcW w:w="960" w:type="dxa"/>
            <w:tcBorders>
              <w:top w:val="nil"/>
              <w:left w:val="nil"/>
              <w:bottom w:val="single" w:sz="4" w:space="0" w:color="auto"/>
              <w:right w:val="single" w:sz="4" w:space="0" w:color="auto"/>
            </w:tcBorders>
            <w:shd w:val="clear" w:color="auto" w:fill="auto"/>
            <w:noWrap/>
            <w:vAlign w:val="bottom"/>
            <w:hideMark/>
          </w:tcPr>
          <w:p w14:paraId="6A238F85"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13</w:t>
            </w:r>
          </w:p>
        </w:tc>
        <w:tc>
          <w:tcPr>
            <w:tcW w:w="2100" w:type="dxa"/>
            <w:tcBorders>
              <w:top w:val="nil"/>
              <w:left w:val="nil"/>
              <w:bottom w:val="single" w:sz="4" w:space="0" w:color="auto"/>
              <w:right w:val="single" w:sz="4" w:space="0" w:color="auto"/>
            </w:tcBorders>
            <w:shd w:val="clear" w:color="auto" w:fill="auto"/>
            <w:noWrap/>
            <w:vAlign w:val="bottom"/>
            <w:hideMark/>
          </w:tcPr>
          <w:p w14:paraId="7145CA83"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1D7704B2"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9FBD2F0"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270</w:t>
            </w:r>
          </w:p>
        </w:tc>
      </w:tr>
      <w:tr w:rsidR="00A82FDA" w:rsidRPr="00A82FDA" w14:paraId="3ABC88E2" w14:textId="77777777" w:rsidTr="00A82FDA">
        <w:trPr>
          <w:trHeight w:val="300"/>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14:paraId="1EA2130B" w14:textId="77777777" w:rsidR="00A82FDA" w:rsidRPr="00A82FDA" w:rsidRDefault="00A82FDA" w:rsidP="00A82FDA">
            <w:pPr>
              <w:spacing w:line="240" w:lineRule="auto"/>
              <w:rPr>
                <w:rFonts w:ascii="Calibri" w:eastAsia="Times New Roman" w:hAnsi="Calibri" w:cs="Times New Roman"/>
                <w:i/>
                <w:iCs/>
                <w:color w:val="000000"/>
                <w:lang w:val="en-US"/>
              </w:rPr>
            </w:pPr>
            <w:r w:rsidRPr="00A82FDA">
              <w:rPr>
                <w:rFonts w:ascii="Calibri" w:eastAsia="Times New Roman" w:hAnsi="Calibri" w:cs="Times New Roman"/>
                <w:i/>
                <w:iCs/>
                <w:color w:val="000000"/>
                <w:lang w:val="en-US"/>
              </w:rPr>
              <w:t>Staphylococcus</w:t>
            </w:r>
          </w:p>
        </w:tc>
        <w:tc>
          <w:tcPr>
            <w:tcW w:w="1948" w:type="dxa"/>
            <w:tcBorders>
              <w:top w:val="nil"/>
              <w:left w:val="nil"/>
              <w:bottom w:val="single" w:sz="4" w:space="0" w:color="auto"/>
              <w:right w:val="single" w:sz="4" w:space="0" w:color="auto"/>
            </w:tcBorders>
            <w:shd w:val="clear" w:color="auto" w:fill="auto"/>
            <w:noWrap/>
            <w:vAlign w:val="bottom"/>
            <w:hideMark/>
          </w:tcPr>
          <w:p w14:paraId="4AC13CCD"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13</w:t>
            </w:r>
          </w:p>
        </w:tc>
        <w:tc>
          <w:tcPr>
            <w:tcW w:w="2133" w:type="dxa"/>
            <w:tcBorders>
              <w:top w:val="nil"/>
              <w:left w:val="nil"/>
              <w:bottom w:val="single" w:sz="4" w:space="0" w:color="auto"/>
              <w:right w:val="single" w:sz="4" w:space="0" w:color="auto"/>
            </w:tcBorders>
            <w:shd w:val="clear" w:color="auto" w:fill="auto"/>
            <w:noWrap/>
            <w:vAlign w:val="bottom"/>
            <w:hideMark/>
          </w:tcPr>
          <w:p w14:paraId="724659F7"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254</w:t>
            </w:r>
          </w:p>
        </w:tc>
        <w:tc>
          <w:tcPr>
            <w:tcW w:w="1846" w:type="dxa"/>
            <w:tcBorders>
              <w:top w:val="nil"/>
              <w:left w:val="nil"/>
              <w:bottom w:val="single" w:sz="4" w:space="0" w:color="auto"/>
              <w:right w:val="single" w:sz="4" w:space="0" w:color="auto"/>
            </w:tcBorders>
            <w:shd w:val="clear" w:color="auto" w:fill="auto"/>
            <w:noWrap/>
            <w:vAlign w:val="bottom"/>
            <w:hideMark/>
          </w:tcPr>
          <w:p w14:paraId="0FF63C3D"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7471AC06"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10</w:t>
            </w:r>
          </w:p>
        </w:tc>
        <w:tc>
          <w:tcPr>
            <w:tcW w:w="2100" w:type="dxa"/>
            <w:tcBorders>
              <w:top w:val="nil"/>
              <w:left w:val="nil"/>
              <w:bottom w:val="single" w:sz="4" w:space="0" w:color="auto"/>
              <w:right w:val="single" w:sz="4" w:space="0" w:color="auto"/>
            </w:tcBorders>
            <w:shd w:val="clear" w:color="auto" w:fill="auto"/>
            <w:noWrap/>
            <w:vAlign w:val="bottom"/>
            <w:hideMark/>
          </w:tcPr>
          <w:p w14:paraId="47E16767"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10*</w:t>
            </w:r>
          </w:p>
        </w:tc>
        <w:tc>
          <w:tcPr>
            <w:tcW w:w="960" w:type="dxa"/>
            <w:tcBorders>
              <w:top w:val="nil"/>
              <w:left w:val="nil"/>
              <w:bottom w:val="single" w:sz="4" w:space="0" w:color="auto"/>
              <w:right w:val="single" w:sz="4" w:space="0" w:color="auto"/>
            </w:tcBorders>
            <w:shd w:val="clear" w:color="auto" w:fill="auto"/>
            <w:noWrap/>
            <w:vAlign w:val="bottom"/>
            <w:hideMark/>
          </w:tcPr>
          <w:p w14:paraId="2D48B2C3"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8FE9C3C"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297</w:t>
            </w:r>
          </w:p>
        </w:tc>
      </w:tr>
      <w:tr w:rsidR="00A82FDA" w:rsidRPr="00A82FDA" w14:paraId="40C30CB3" w14:textId="77777777" w:rsidTr="00A82FDA">
        <w:trPr>
          <w:trHeight w:val="345"/>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14:paraId="6DDC0CD5"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Other</w:t>
            </w:r>
          </w:p>
        </w:tc>
        <w:tc>
          <w:tcPr>
            <w:tcW w:w="1948" w:type="dxa"/>
            <w:tcBorders>
              <w:top w:val="nil"/>
              <w:left w:val="nil"/>
              <w:bottom w:val="single" w:sz="4" w:space="0" w:color="auto"/>
              <w:right w:val="single" w:sz="4" w:space="0" w:color="auto"/>
            </w:tcBorders>
            <w:shd w:val="clear" w:color="auto" w:fill="auto"/>
            <w:noWrap/>
            <w:vAlign w:val="bottom"/>
            <w:hideMark/>
          </w:tcPr>
          <w:p w14:paraId="2DE53334"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6</w:t>
            </w:r>
          </w:p>
        </w:tc>
        <w:tc>
          <w:tcPr>
            <w:tcW w:w="2133" w:type="dxa"/>
            <w:tcBorders>
              <w:top w:val="nil"/>
              <w:left w:val="nil"/>
              <w:bottom w:val="single" w:sz="4" w:space="0" w:color="auto"/>
              <w:right w:val="single" w:sz="4" w:space="0" w:color="auto"/>
            </w:tcBorders>
            <w:shd w:val="clear" w:color="auto" w:fill="auto"/>
            <w:noWrap/>
            <w:vAlign w:val="bottom"/>
            <w:hideMark/>
          </w:tcPr>
          <w:p w14:paraId="4CEA140D"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0</w:t>
            </w:r>
          </w:p>
        </w:tc>
        <w:tc>
          <w:tcPr>
            <w:tcW w:w="1846" w:type="dxa"/>
            <w:tcBorders>
              <w:top w:val="nil"/>
              <w:left w:val="nil"/>
              <w:bottom w:val="single" w:sz="4" w:space="0" w:color="auto"/>
              <w:right w:val="single" w:sz="4" w:space="0" w:color="auto"/>
            </w:tcBorders>
            <w:shd w:val="clear" w:color="auto" w:fill="auto"/>
            <w:noWrap/>
            <w:vAlign w:val="bottom"/>
            <w:hideMark/>
          </w:tcPr>
          <w:p w14:paraId="4B101F79"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16</w:t>
            </w:r>
          </w:p>
        </w:tc>
        <w:tc>
          <w:tcPr>
            <w:tcW w:w="960" w:type="dxa"/>
            <w:tcBorders>
              <w:top w:val="nil"/>
              <w:left w:val="nil"/>
              <w:bottom w:val="single" w:sz="4" w:space="0" w:color="auto"/>
              <w:right w:val="single" w:sz="4" w:space="0" w:color="auto"/>
            </w:tcBorders>
            <w:shd w:val="clear" w:color="auto" w:fill="auto"/>
            <w:noWrap/>
            <w:vAlign w:val="bottom"/>
            <w:hideMark/>
          </w:tcPr>
          <w:p w14:paraId="44943C40"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23</w:t>
            </w:r>
          </w:p>
        </w:tc>
        <w:tc>
          <w:tcPr>
            <w:tcW w:w="2100" w:type="dxa"/>
            <w:tcBorders>
              <w:top w:val="nil"/>
              <w:left w:val="nil"/>
              <w:bottom w:val="single" w:sz="4" w:space="0" w:color="auto"/>
              <w:right w:val="single" w:sz="4" w:space="0" w:color="auto"/>
            </w:tcBorders>
            <w:shd w:val="clear" w:color="auto" w:fill="auto"/>
            <w:noWrap/>
            <w:vAlign w:val="bottom"/>
            <w:hideMark/>
          </w:tcPr>
          <w:p w14:paraId="05D82E2F"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w:t>
            </w:r>
            <w:r w:rsidRPr="00A82FDA">
              <w:rPr>
                <w:rFonts w:ascii="Calibri" w:eastAsia="Times New Roman" w:hAnsi="Calibri" w:cs="Times New Roman"/>
                <w:color w:val="000000"/>
                <w:vertAlign w:val="superscript"/>
                <w:lang w:val="en-US"/>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517066C3"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60232EB0"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47</w:t>
            </w:r>
          </w:p>
        </w:tc>
      </w:tr>
      <w:tr w:rsidR="00A82FDA" w:rsidRPr="00A82FDA" w14:paraId="0EE2E05B" w14:textId="77777777" w:rsidTr="00A82FDA">
        <w:trPr>
          <w:trHeight w:val="345"/>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14:paraId="15CB050C"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None</w:t>
            </w:r>
          </w:p>
        </w:tc>
        <w:tc>
          <w:tcPr>
            <w:tcW w:w="1948" w:type="dxa"/>
            <w:tcBorders>
              <w:top w:val="nil"/>
              <w:left w:val="nil"/>
              <w:bottom w:val="single" w:sz="4" w:space="0" w:color="auto"/>
              <w:right w:val="single" w:sz="4" w:space="0" w:color="auto"/>
            </w:tcBorders>
            <w:shd w:val="clear" w:color="auto" w:fill="auto"/>
            <w:noWrap/>
            <w:vAlign w:val="bottom"/>
            <w:hideMark/>
          </w:tcPr>
          <w:p w14:paraId="288D64EB"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94</w:t>
            </w:r>
          </w:p>
        </w:tc>
        <w:tc>
          <w:tcPr>
            <w:tcW w:w="2133" w:type="dxa"/>
            <w:tcBorders>
              <w:top w:val="nil"/>
              <w:left w:val="nil"/>
              <w:bottom w:val="single" w:sz="4" w:space="0" w:color="auto"/>
              <w:right w:val="single" w:sz="4" w:space="0" w:color="auto"/>
            </w:tcBorders>
            <w:shd w:val="clear" w:color="auto" w:fill="auto"/>
            <w:noWrap/>
            <w:vAlign w:val="bottom"/>
            <w:hideMark/>
          </w:tcPr>
          <w:p w14:paraId="536550C1"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116</w:t>
            </w:r>
          </w:p>
        </w:tc>
        <w:tc>
          <w:tcPr>
            <w:tcW w:w="1846" w:type="dxa"/>
            <w:tcBorders>
              <w:top w:val="nil"/>
              <w:left w:val="nil"/>
              <w:bottom w:val="single" w:sz="4" w:space="0" w:color="auto"/>
              <w:right w:val="single" w:sz="4" w:space="0" w:color="auto"/>
            </w:tcBorders>
            <w:shd w:val="clear" w:color="auto" w:fill="auto"/>
            <w:noWrap/>
            <w:vAlign w:val="bottom"/>
            <w:hideMark/>
          </w:tcPr>
          <w:p w14:paraId="70D7DD98"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35</w:t>
            </w:r>
          </w:p>
        </w:tc>
        <w:tc>
          <w:tcPr>
            <w:tcW w:w="960" w:type="dxa"/>
            <w:tcBorders>
              <w:top w:val="nil"/>
              <w:left w:val="nil"/>
              <w:bottom w:val="single" w:sz="4" w:space="0" w:color="auto"/>
              <w:right w:val="single" w:sz="4" w:space="0" w:color="auto"/>
            </w:tcBorders>
            <w:shd w:val="clear" w:color="auto" w:fill="auto"/>
            <w:noWrap/>
            <w:vAlign w:val="bottom"/>
            <w:hideMark/>
          </w:tcPr>
          <w:p w14:paraId="245CF620"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76</w:t>
            </w:r>
          </w:p>
        </w:tc>
        <w:tc>
          <w:tcPr>
            <w:tcW w:w="2100" w:type="dxa"/>
            <w:tcBorders>
              <w:top w:val="nil"/>
              <w:left w:val="nil"/>
              <w:bottom w:val="single" w:sz="4" w:space="0" w:color="auto"/>
              <w:right w:val="single" w:sz="4" w:space="0" w:color="auto"/>
            </w:tcBorders>
            <w:shd w:val="clear" w:color="auto" w:fill="auto"/>
            <w:noWrap/>
            <w:vAlign w:val="bottom"/>
            <w:hideMark/>
          </w:tcPr>
          <w:p w14:paraId="1D5ADE4D"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10</w:t>
            </w:r>
            <w:r w:rsidRPr="00A82FDA">
              <w:rPr>
                <w:rFonts w:ascii="Calibri" w:eastAsia="Times New Roman" w:hAnsi="Calibri" w:cs="Times New Roman"/>
                <w:color w:val="000000"/>
                <w:vertAlign w:val="superscript"/>
                <w:lang w:val="en-US"/>
              </w:rPr>
              <w:t>#</w:t>
            </w:r>
          </w:p>
        </w:tc>
        <w:tc>
          <w:tcPr>
            <w:tcW w:w="960" w:type="dxa"/>
            <w:tcBorders>
              <w:top w:val="nil"/>
              <w:left w:val="nil"/>
              <w:bottom w:val="single" w:sz="4" w:space="0" w:color="auto"/>
              <w:right w:val="single" w:sz="4" w:space="0" w:color="auto"/>
            </w:tcBorders>
            <w:shd w:val="clear" w:color="auto" w:fill="auto"/>
            <w:noWrap/>
            <w:vAlign w:val="bottom"/>
            <w:hideMark/>
          </w:tcPr>
          <w:p w14:paraId="420EFE0C"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56</w:t>
            </w:r>
          </w:p>
        </w:tc>
        <w:tc>
          <w:tcPr>
            <w:tcW w:w="960" w:type="dxa"/>
            <w:tcBorders>
              <w:top w:val="nil"/>
              <w:left w:val="nil"/>
              <w:bottom w:val="single" w:sz="4" w:space="0" w:color="auto"/>
              <w:right w:val="single" w:sz="4" w:space="0" w:color="auto"/>
            </w:tcBorders>
            <w:shd w:val="clear" w:color="auto" w:fill="auto"/>
            <w:noWrap/>
            <w:vAlign w:val="bottom"/>
            <w:hideMark/>
          </w:tcPr>
          <w:p w14:paraId="5434F68A"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387</w:t>
            </w:r>
          </w:p>
        </w:tc>
      </w:tr>
      <w:tr w:rsidR="00A82FDA" w:rsidRPr="00A82FDA" w14:paraId="77828F99" w14:textId="77777777" w:rsidTr="00A82FDA">
        <w:trPr>
          <w:trHeight w:val="300"/>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14:paraId="30C5BCD4"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Total</w:t>
            </w:r>
          </w:p>
        </w:tc>
        <w:tc>
          <w:tcPr>
            <w:tcW w:w="1948" w:type="dxa"/>
            <w:tcBorders>
              <w:top w:val="nil"/>
              <w:left w:val="nil"/>
              <w:bottom w:val="single" w:sz="4" w:space="0" w:color="auto"/>
              <w:right w:val="single" w:sz="4" w:space="0" w:color="auto"/>
            </w:tcBorders>
            <w:shd w:val="clear" w:color="auto" w:fill="auto"/>
            <w:noWrap/>
            <w:vAlign w:val="bottom"/>
            <w:hideMark/>
          </w:tcPr>
          <w:p w14:paraId="2CE9EC94"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314</w:t>
            </w:r>
          </w:p>
        </w:tc>
        <w:tc>
          <w:tcPr>
            <w:tcW w:w="2133" w:type="dxa"/>
            <w:tcBorders>
              <w:top w:val="nil"/>
              <w:left w:val="nil"/>
              <w:bottom w:val="single" w:sz="4" w:space="0" w:color="auto"/>
              <w:right w:val="single" w:sz="4" w:space="0" w:color="auto"/>
            </w:tcBorders>
            <w:shd w:val="clear" w:color="auto" w:fill="auto"/>
            <w:noWrap/>
            <w:vAlign w:val="bottom"/>
            <w:hideMark/>
          </w:tcPr>
          <w:p w14:paraId="2525C242"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372</w:t>
            </w:r>
          </w:p>
        </w:tc>
        <w:tc>
          <w:tcPr>
            <w:tcW w:w="1846" w:type="dxa"/>
            <w:tcBorders>
              <w:top w:val="nil"/>
              <w:left w:val="nil"/>
              <w:bottom w:val="single" w:sz="4" w:space="0" w:color="auto"/>
              <w:right w:val="single" w:sz="4" w:space="0" w:color="auto"/>
            </w:tcBorders>
            <w:shd w:val="clear" w:color="auto" w:fill="auto"/>
            <w:noWrap/>
            <w:vAlign w:val="bottom"/>
            <w:hideMark/>
          </w:tcPr>
          <w:p w14:paraId="349A254F"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99</w:t>
            </w:r>
          </w:p>
        </w:tc>
        <w:tc>
          <w:tcPr>
            <w:tcW w:w="960" w:type="dxa"/>
            <w:tcBorders>
              <w:top w:val="nil"/>
              <w:left w:val="nil"/>
              <w:bottom w:val="single" w:sz="4" w:space="0" w:color="auto"/>
              <w:right w:val="single" w:sz="4" w:space="0" w:color="auto"/>
            </w:tcBorders>
            <w:shd w:val="clear" w:color="auto" w:fill="auto"/>
            <w:noWrap/>
            <w:vAlign w:val="bottom"/>
            <w:hideMark/>
          </w:tcPr>
          <w:p w14:paraId="18961E8B"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122</w:t>
            </w:r>
          </w:p>
        </w:tc>
        <w:tc>
          <w:tcPr>
            <w:tcW w:w="2100" w:type="dxa"/>
            <w:tcBorders>
              <w:top w:val="nil"/>
              <w:left w:val="nil"/>
              <w:bottom w:val="single" w:sz="4" w:space="0" w:color="auto"/>
              <w:right w:val="single" w:sz="4" w:space="0" w:color="auto"/>
            </w:tcBorders>
            <w:shd w:val="clear" w:color="auto" w:fill="auto"/>
            <w:noWrap/>
            <w:vAlign w:val="bottom"/>
            <w:hideMark/>
          </w:tcPr>
          <w:p w14:paraId="521E81FA"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27</w:t>
            </w:r>
          </w:p>
        </w:tc>
        <w:tc>
          <w:tcPr>
            <w:tcW w:w="960" w:type="dxa"/>
            <w:tcBorders>
              <w:top w:val="nil"/>
              <w:left w:val="nil"/>
              <w:bottom w:val="single" w:sz="4" w:space="0" w:color="auto"/>
              <w:right w:val="single" w:sz="4" w:space="0" w:color="auto"/>
            </w:tcBorders>
            <w:shd w:val="clear" w:color="auto" w:fill="auto"/>
            <w:noWrap/>
            <w:vAlign w:val="bottom"/>
            <w:hideMark/>
          </w:tcPr>
          <w:p w14:paraId="776D3899"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67</w:t>
            </w:r>
          </w:p>
        </w:tc>
        <w:tc>
          <w:tcPr>
            <w:tcW w:w="960" w:type="dxa"/>
            <w:tcBorders>
              <w:top w:val="nil"/>
              <w:left w:val="nil"/>
              <w:bottom w:val="single" w:sz="4" w:space="0" w:color="auto"/>
              <w:right w:val="single" w:sz="4" w:space="0" w:color="auto"/>
            </w:tcBorders>
            <w:shd w:val="clear" w:color="auto" w:fill="auto"/>
            <w:noWrap/>
            <w:vAlign w:val="bottom"/>
            <w:hideMark/>
          </w:tcPr>
          <w:p w14:paraId="34212B30" w14:textId="77777777" w:rsidR="00A82FDA" w:rsidRPr="00A82FDA" w:rsidRDefault="00A82FDA" w:rsidP="00A82FDA">
            <w:pPr>
              <w:spacing w:line="240" w:lineRule="auto"/>
              <w:jc w:val="center"/>
              <w:rPr>
                <w:rFonts w:ascii="Calibri" w:eastAsia="Times New Roman" w:hAnsi="Calibri" w:cs="Times New Roman"/>
                <w:color w:val="000000"/>
                <w:lang w:val="en-US"/>
              </w:rPr>
            </w:pPr>
            <w:r w:rsidRPr="00A82FDA">
              <w:rPr>
                <w:rFonts w:ascii="Calibri" w:eastAsia="Times New Roman" w:hAnsi="Calibri" w:cs="Times New Roman"/>
                <w:color w:val="000000"/>
                <w:lang w:val="en-US"/>
              </w:rPr>
              <w:t>1001</w:t>
            </w:r>
          </w:p>
        </w:tc>
      </w:tr>
      <w:tr w:rsidR="00A82FDA" w:rsidRPr="00A82FDA" w14:paraId="7138D0EE" w14:textId="77777777" w:rsidTr="00A82FDA">
        <w:trPr>
          <w:trHeight w:val="300"/>
        </w:trPr>
        <w:tc>
          <w:tcPr>
            <w:tcW w:w="8060" w:type="dxa"/>
            <w:gridSpan w:val="4"/>
            <w:tcBorders>
              <w:top w:val="nil"/>
              <w:left w:val="nil"/>
              <w:bottom w:val="nil"/>
              <w:right w:val="nil"/>
            </w:tcBorders>
            <w:shd w:val="clear" w:color="auto" w:fill="auto"/>
            <w:noWrap/>
            <w:vAlign w:val="bottom"/>
            <w:hideMark/>
          </w:tcPr>
          <w:p w14:paraId="66CBE581"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  5 mixed</w:t>
            </w:r>
            <w:r w:rsidRPr="00A82FDA">
              <w:rPr>
                <w:rFonts w:ascii="Calibri" w:eastAsia="Times New Roman" w:hAnsi="Calibri" w:cs="Times New Roman"/>
                <w:i/>
                <w:iCs/>
                <w:color w:val="000000"/>
                <w:lang w:val="en-US"/>
              </w:rPr>
              <w:t xml:space="preserve"> Streptococcus</w:t>
            </w:r>
            <w:r w:rsidRPr="00A82FDA">
              <w:rPr>
                <w:rFonts w:ascii="Calibri" w:eastAsia="Times New Roman" w:hAnsi="Calibri" w:cs="Times New Roman"/>
                <w:color w:val="000000"/>
                <w:lang w:val="en-US"/>
              </w:rPr>
              <w:t xml:space="preserve">  and </w:t>
            </w:r>
            <w:r w:rsidRPr="00A82FDA">
              <w:rPr>
                <w:rFonts w:ascii="Calibri" w:eastAsia="Times New Roman" w:hAnsi="Calibri" w:cs="Times New Roman"/>
                <w:i/>
                <w:iCs/>
                <w:color w:val="000000"/>
                <w:lang w:val="en-US"/>
              </w:rPr>
              <w:t>Staphylococcus</w:t>
            </w:r>
            <w:r w:rsidRPr="00A82FDA">
              <w:rPr>
                <w:rFonts w:ascii="Calibri" w:eastAsia="Times New Roman" w:hAnsi="Calibri" w:cs="Times New Roman"/>
                <w:color w:val="000000"/>
                <w:lang w:val="en-US"/>
              </w:rPr>
              <w:t xml:space="preserve">,  1 </w:t>
            </w:r>
            <w:r w:rsidRPr="00A82FDA">
              <w:rPr>
                <w:rFonts w:ascii="Calibri" w:eastAsia="Times New Roman" w:hAnsi="Calibri" w:cs="Times New Roman"/>
                <w:i/>
                <w:iCs/>
                <w:color w:val="000000"/>
                <w:lang w:val="en-US"/>
              </w:rPr>
              <w:t>Enterococcus/Staphylococcus</w:t>
            </w:r>
            <w:r w:rsidRPr="00A82FDA">
              <w:rPr>
                <w:rFonts w:ascii="Calibri" w:eastAsia="Times New Roman" w:hAnsi="Calibri" w:cs="Times New Roman"/>
                <w:color w:val="000000"/>
                <w:lang w:val="en-US"/>
              </w:rPr>
              <w:t xml:space="preserve"> </w:t>
            </w:r>
          </w:p>
        </w:tc>
        <w:tc>
          <w:tcPr>
            <w:tcW w:w="960" w:type="dxa"/>
            <w:tcBorders>
              <w:top w:val="nil"/>
              <w:left w:val="nil"/>
              <w:bottom w:val="nil"/>
              <w:right w:val="nil"/>
            </w:tcBorders>
            <w:shd w:val="clear" w:color="auto" w:fill="auto"/>
            <w:noWrap/>
            <w:vAlign w:val="bottom"/>
            <w:hideMark/>
          </w:tcPr>
          <w:p w14:paraId="373068B2" w14:textId="77777777" w:rsidR="00A82FDA" w:rsidRPr="00A82FDA" w:rsidRDefault="00A82FDA" w:rsidP="00A82FDA">
            <w:pPr>
              <w:spacing w:line="240" w:lineRule="auto"/>
              <w:rPr>
                <w:rFonts w:ascii="Calibri" w:eastAsia="Times New Roman" w:hAnsi="Calibri" w:cs="Times New Roman"/>
                <w:color w:val="000000"/>
                <w:lang w:val="en-US"/>
              </w:rPr>
            </w:pPr>
          </w:p>
        </w:tc>
        <w:tc>
          <w:tcPr>
            <w:tcW w:w="2100" w:type="dxa"/>
            <w:tcBorders>
              <w:top w:val="nil"/>
              <w:left w:val="nil"/>
              <w:bottom w:val="nil"/>
              <w:right w:val="nil"/>
            </w:tcBorders>
            <w:shd w:val="clear" w:color="auto" w:fill="auto"/>
            <w:noWrap/>
            <w:vAlign w:val="bottom"/>
            <w:hideMark/>
          </w:tcPr>
          <w:p w14:paraId="572D3E8B"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7DC53814"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12055273"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5685CF23" w14:textId="77777777" w:rsidTr="00A82FDA">
        <w:trPr>
          <w:trHeight w:val="300"/>
        </w:trPr>
        <w:tc>
          <w:tcPr>
            <w:tcW w:w="8060" w:type="dxa"/>
            <w:gridSpan w:val="4"/>
            <w:tcBorders>
              <w:top w:val="nil"/>
              <w:left w:val="nil"/>
              <w:bottom w:val="nil"/>
              <w:right w:val="nil"/>
            </w:tcBorders>
            <w:shd w:val="clear" w:color="auto" w:fill="auto"/>
            <w:noWrap/>
            <w:vAlign w:val="bottom"/>
            <w:hideMark/>
          </w:tcPr>
          <w:p w14:paraId="2BB41B6B"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5 mixed </w:t>
            </w:r>
            <w:r w:rsidRPr="00A82FDA">
              <w:rPr>
                <w:rFonts w:ascii="Calibri" w:eastAsia="Times New Roman" w:hAnsi="Calibri" w:cs="Times New Roman"/>
                <w:i/>
                <w:iCs/>
                <w:color w:val="000000"/>
                <w:lang w:val="en-US"/>
              </w:rPr>
              <w:t>Staphylococcus</w:t>
            </w:r>
            <w:r w:rsidRPr="00A82FDA">
              <w:rPr>
                <w:rFonts w:ascii="Calibri" w:eastAsia="Times New Roman" w:hAnsi="Calibri" w:cs="Times New Roman"/>
                <w:color w:val="000000"/>
                <w:lang w:val="en-US"/>
              </w:rPr>
              <w:t xml:space="preserve"> and  </w:t>
            </w:r>
            <w:r w:rsidRPr="00A82FDA">
              <w:rPr>
                <w:rFonts w:ascii="Calibri" w:eastAsia="Times New Roman" w:hAnsi="Calibri" w:cs="Times New Roman"/>
                <w:i/>
                <w:iCs/>
                <w:color w:val="000000"/>
                <w:lang w:val="en-US"/>
              </w:rPr>
              <w:t>Streptococcus</w:t>
            </w:r>
            <w:r w:rsidRPr="00A82FDA">
              <w:rPr>
                <w:rFonts w:ascii="Calibri" w:eastAsia="Times New Roman" w:hAnsi="Calibri" w:cs="Times New Roman"/>
                <w:color w:val="000000"/>
                <w:lang w:val="en-US"/>
              </w:rPr>
              <w:t>,  1 Streptococcus and Other,</w:t>
            </w:r>
          </w:p>
        </w:tc>
        <w:tc>
          <w:tcPr>
            <w:tcW w:w="960" w:type="dxa"/>
            <w:tcBorders>
              <w:top w:val="nil"/>
              <w:left w:val="nil"/>
              <w:bottom w:val="nil"/>
              <w:right w:val="nil"/>
            </w:tcBorders>
            <w:shd w:val="clear" w:color="auto" w:fill="auto"/>
            <w:noWrap/>
            <w:vAlign w:val="bottom"/>
            <w:hideMark/>
          </w:tcPr>
          <w:p w14:paraId="378CB382" w14:textId="77777777" w:rsidR="00A82FDA" w:rsidRPr="00A82FDA" w:rsidRDefault="00A82FDA" w:rsidP="00A82FDA">
            <w:pPr>
              <w:spacing w:line="240" w:lineRule="auto"/>
              <w:rPr>
                <w:rFonts w:ascii="Calibri" w:eastAsia="Times New Roman" w:hAnsi="Calibri" w:cs="Times New Roman"/>
                <w:color w:val="000000"/>
                <w:lang w:val="en-US"/>
              </w:rPr>
            </w:pPr>
          </w:p>
        </w:tc>
        <w:tc>
          <w:tcPr>
            <w:tcW w:w="2100" w:type="dxa"/>
            <w:tcBorders>
              <w:top w:val="nil"/>
              <w:left w:val="nil"/>
              <w:bottom w:val="nil"/>
              <w:right w:val="nil"/>
            </w:tcBorders>
            <w:shd w:val="clear" w:color="auto" w:fill="auto"/>
            <w:noWrap/>
            <w:vAlign w:val="bottom"/>
            <w:hideMark/>
          </w:tcPr>
          <w:p w14:paraId="2BCF61B0"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4DE36026"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26EC6906"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7CE848A1" w14:textId="77777777" w:rsidTr="00A82FDA">
        <w:trPr>
          <w:trHeight w:val="300"/>
        </w:trPr>
        <w:tc>
          <w:tcPr>
            <w:tcW w:w="8060" w:type="dxa"/>
            <w:gridSpan w:val="4"/>
            <w:tcBorders>
              <w:top w:val="nil"/>
              <w:left w:val="nil"/>
              <w:bottom w:val="nil"/>
              <w:right w:val="nil"/>
            </w:tcBorders>
            <w:shd w:val="clear" w:color="auto" w:fill="auto"/>
            <w:noWrap/>
            <w:vAlign w:val="bottom"/>
            <w:hideMark/>
          </w:tcPr>
          <w:p w14:paraId="66686840"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3 </w:t>
            </w:r>
            <w:r w:rsidRPr="00A82FDA">
              <w:rPr>
                <w:rFonts w:ascii="Calibri" w:eastAsia="Times New Roman" w:hAnsi="Calibri" w:cs="Times New Roman"/>
                <w:i/>
                <w:iCs/>
                <w:color w:val="000000"/>
                <w:lang w:val="en-US"/>
              </w:rPr>
              <w:t xml:space="preserve">Staphylococcus </w:t>
            </w:r>
            <w:r w:rsidRPr="00A82FDA">
              <w:rPr>
                <w:rFonts w:ascii="Calibri" w:eastAsia="Times New Roman" w:hAnsi="Calibri" w:cs="Times New Roman"/>
                <w:color w:val="000000"/>
                <w:lang w:val="en-US"/>
              </w:rPr>
              <w:t xml:space="preserve">and </w:t>
            </w:r>
            <w:r w:rsidRPr="00A82FDA">
              <w:rPr>
                <w:rFonts w:ascii="Calibri" w:eastAsia="Times New Roman" w:hAnsi="Calibri" w:cs="Times New Roman"/>
                <w:i/>
                <w:iCs/>
                <w:color w:val="000000"/>
                <w:lang w:val="en-US"/>
              </w:rPr>
              <w:t>Enterococcus</w:t>
            </w:r>
            <w:r w:rsidRPr="00A82FDA">
              <w:rPr>
                <w:rFonts w:ascii="Calibri" w:eastAsia="Times New Roman" w:hAnsi="Calibri" w:cs="Times New Roman"/>
                <w:color w:val="000000"/>
                <w:lang w:val="en-US"/>
              </w:rPr>
              <w:t xml:space="preserve"> and 1 </w:t>
            </w:r>
            <w:r w:rsidRPr="00A82FDA">
              <w:rPr>
                <w:rFonts w:ascii="Calibri" w:eastAsia="Times New Roman" w:hAnsi="Calibri" w:cs="Times New Roman"/>
                <w:i/>
                <w:iCs/>
                <w:color w:val="000000"/>
                <w:lang w:val="en-US"/>
              </w:rPr>
              <w:t xml:space="preserve">Staphylococcus </w:t>
            </w:r>
            <w:r w:rsidRPr="00A82FDA">
              <w:rPr>
                <w:rFonts w:ascii="Calibri" w:eastAsia="Times New Roman" w:hAnsi="Calibri" w:cs="Times New Roman"/>
                <w:color w:val="000000"/>
                <w:lang w:val="en-US"/>
              </w:rPr>
              <w:t>and  Other</w:t>
            </w:r>
          </w:p>
        </w:tc>
        <w:tc>
          <w:tcPr>
            <w:tcW w:w="960" w:type="dxa"/>
            <w:tcBorders>
              <w:top w:val="nil"/>
              <w:left w:val="nil"/>
              <w:bottom w:val="nil"/>
              <w:right w:val="nil"/>
            </w:tcBorders>
            <w:shd w:val="clear" w:color="auto" w:fill="auto"/>
            <w:noWrap/>
            <w:vAlign w:val="bottom"/>
            <w:hideMark/>
          </w:tcPr>
          <w:p w14:paraId="4E7446BA" w14:textId="77777777" w:rsidR="00A82FDA" w:rsidRPr="00A82FDA" w:rsidRDefault="00A82FDA" w:rsidP="00A82FDA">
            <w:pPr>
              <w:spacing w:line="240" w:lineRule="auto"/>
              <w:rPr>
                <w:rFonts w:ascii="Calibri" w:eastAsia="Times New Roman" w:hAnsi="Calibri" w:cs="Times New Roman"/>
                <w:color w:val="000000"/>
                <w:lang w:val="en-US"/>
              </w:rPr>
            </w:pPr>
          </w:p>
        </w:tc>
        <w:tc>
          <w:tcPr>
            <w:tcW w:w="2100" w:type="dxa"/>
            <w:tcBorders>
              <w:top w:val="nil"/>
              <w:left w:val="nil"/>
              <w:bottom w:val="nil"/>
              <w:right w:val="nil"/>
            </w:tcBorders>
            <w:shd w:val="clear" w:color="auto" w:fill="auto"/>
            <w:noWrap/>
            <w:vAlign w:val="bottom"/>
            <w:hideMark/>
          </w:tcPr>
          <w:p w14:paraId="5DCA217D"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2E73A309"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254255F4"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49312B5E" w14:textId="77777777" w:rsidTr="00A82FDA">
        <w:trPr>
          <w:trHeight w:val="345"/>
        </w:trPr>
        <w:tc>
          <w:tcPr>
            <w:tcW w:w="4081" w:type="dxa"/>
            <w:gridSpan w:val="2"/>
            <w:tcBorders>
              <w:top w:val="nil"/>
              <w:left w:val="nil"/>
              <w:bottom w:val="nil"/>
              <w:right w:val="nil"/>
            </w:tcBorders>
            <w:shd w:val="clear" w:color="auto" w:fill="auto"/>
            <w:noWrap/>
            <w:vAlign w:val="bottom"/>
            <w:hideMark/>
          </w:tcPr>
          <w:p w14:paraId="76374444"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w:t>
            </w:r>
            <w:r w:rsidRPr="00A82FDA">
              <w:rPr>
                <w:rFonts w:ascii="Calibri" w:eastAsia="Times New Roman" w:hAnsi="Calibri" w:cs="Times New Roman"/>
                <w:color w:val="000000"/>
                <w:vertAlign w:val="superscript"/>
                <w:lang w:val="en-US"/>
              </w:rPr>
              <w:t>+</w:t>
            </w:r>
            <w:r w:rsidRPr="00A82FDA">
              <w:rPr>
                <w:rFonts w:ascii="Calibri" w:eastAsia="Times New Roman" w:hAnsi="Calibri" w:cs="Times New Roman"/>
                <w:color w:val="000000"/>
                <w:lang w:val="en-US"/>
              </w:rPr>
              <w:t xml:space="preserve">   1 mixed </w:t>
            </w:r>
            <w:r w:rsidRPr="00A82FDA">
              <w:rPr>
                <w:rFonts w:ascii="Calibri" w:eastAsia="Times New Roman" w:hAnsi="Calibri" w:cs="Times New Roman"/>
                <w:i/>
                <w:iCs/>
                <w:color w:val="000000"/>
                <w:lang w:val="en-US"/>
              </w:rPr>
              <w:t xml:space="preserve">Staphyloccocus </w:t>
            </w:r>
            <w:r w:rsidRPr="00A82FDA">
              <w:rPr>
                <w:rFonts w:ascii="Calibri" w:eastAsia="Times New Roman" w:hAnsi="Calibri" w:cs="Times New Roman"/>
                <w:color w:val="000000"/>
                <w:lang w:val="en-US"/>
              </w:rPr>
              <w:t xml:space="preserve"> and Other</w:t>
            </w:r>
          </w:p>
        </w:tc>
        <w:tc>
          <w:tcPr>
            <w:tcW w:w="2133" w:type="dxa"/>
            <w:tcBorders>
              <w:top w:val="nil"/>
              <w:left w:val="nil"/>
              <w:bottom w:val="nil"/>
              <w:right w:val="nil"/>
            </w:tcBorders>
            <w:shd w:val="clear" w:color="auto" w:fill="auto"/>
            <w:noWrap/>
            <w:vAlign w:val="bottom"/>
            <w:hideMark/>
          </w:tcPr>
          <w:p w14:paraId="4142E79A" w14:textId="77777777" w:rsidR="00A82FDA" w:rsidRPr="00A82FDA" w:rsidRDefault="00A82FDA" w:rsidP="00A82FDA">
            <w:pPr>
              <w:spacing w:line="240" w:lineRule="auto"/>
              <w:rPr>
                <w:rFonts w:ascii="Calibri" w:eastAsia="Times New Roman" w:hAnsi="Calibri" w:cs="Times New Roman"/>
                <w:color w:val="000000"/>
                <w:lang w:val="en-US"/>
              </w:rPr>
            </w:pPr>
          </w:p>
        </w:tc>
        <w:tc>
          <w:tcPr>
            <w:tcW w:w="1846" w:type="dxa"/>
            <w:tcBorders>
              <w:top w:val="nil"/>
              <w:left w:val="nil"/>
              <w:bottom w:val="nil"/>
              <w:right w:val="nil"/>
            </w:tcBorders>
            <w:shd w:val="clear" w:color="auto" w:fill="auto"/>
            <w:noWrap/>
            <w:vAlign w:val="bottom"/>
            <w:hideMark/>
          </w:tcPr>
          <w:p w14:paraId="3EBBE55F"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495B52F7"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2100" w:type="dxa"/>
            <w:tcBorders>
              <w:top w:val="nil"/>
              <w:left w:val="nil"/>
              <w:bottom w:val="nil"/>
              <w:right w:val="nil"/>
            </w:tcBorders>
            <w:shd w:val="clear" w:color="auto" w:fill="auto"/>
            <w:noWrap/>
            <w:vAlign w:val="bottom"/>
            <w:hideMark/>
          </w:tcPr>
          <w:p w14:paraId="4F8AA552"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14F52198"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1B167FCA"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0754E0B5" w14:textId="77777777" w:rsidTr="00A82FDA">
        <w:trPr>
          <w:trHeight w:val="345"/>
        </w:trPr>
        <w:tc>
          <w:tcPr>
            <w:tcW w:w="8060" w:type="dxa"/>
            <w:gridSpan w:val="4"/>
            <w:tcBorders>
              <w:top w:val="nil"/>
              <w:left w:val="nil"/>
              <w:bottom w:val="nil"/>
              <w:right w:val="nil"/>
            </w:tcBorders>
            <w:shd w:val="clear" w:color="auto" w:fill="auto"/>
            <w:noWrap/>
            <w:vAlign w:val="bottom"/>
            <w:hideMark/>
          </w:tcPr>
          <w:p w14:paraId="7E599DD2"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w:t>
            </w:r>
            <w:r w:rsidRPr="00A82FDA">
              <w:rPr>
                <w:rFonts w:ascii="Calibri" w:eastAsia="Times New Roman" w:hAnsi="Calibri" w:cs="Times New Roman"/>
                <w:color w:val="000000"/>
                <w:vertAlign w:val="superscript"/>
                <w:lang w:val="en-US"/>
              </w:rPr>
              <w:t>#</w:t>
            </w:r>
            <w:r w:rsidRPr="00A82FDA">
              <w:rPr>
                <w:rFonts w:ascii="Calibri" w:eastAsia="Times New Roman" w:hAnsi="Calibri" w:cs="Times New Roman"/>
                <w:color w:val="000000"/>
                <w:lang w:val="en-US"/>
              </w:rPr>
              <w:t xml:space="preserve">   4 mixed </w:t>
            </w:r>
            <w:r w:rsidRPr="00A82FDA">
              <w:rPr>
                <w:rFonts w:ascii="Calibri" w:eastAsia="Times New Roman" w:hAnsi="Calibri" w:cs="Times New Roman"/>
                <w:i/>
                <w:iCs/>
                <w:color w:val="000000"/>
                <w:lang w:val="en-US"/>
              </w:rPr>
              <w:t xml:space="preserve">Streptococcus </w:t>
            </w:r>
            <w:r w:rsidRPr="00A82FDA">
              <w:rPr>
                <w:rFonts w:ascii="Calibri" w:eastAsia="Times New Roman" w:hAnsi="Calibri" w:cs="Times New Roman"/>
                <w:color w:val="000000"/>
                <w:lang w:val="en-US"/>
              </w:rPr>
              <w:t xml:space="preserve">and </w:t>
            </w:r>
            <w:r w:rsidRPr="00A82FDA">
              <w:rPr>
                <w:rFonts w:ascii="Calibri" w:eastAsia="Times New Roman" w:hAnsi="Calibri" w:cs="Times New Roman"/>
                <w:i/>
                <w:iCs/>
                <w:color w:val="000000"/>
                <w:lang w:val="en-US"/>
              </w:rPr>
              <w:t>Staphylococcus</w:t>
            </w:r>
            <w:r w:rsidRPr="00A82FDA">
              <w:rPr>
                <w:rFonts w:ascii="Calibri" w:eastAsia="Times New Roman" w:hAnsi="Calibri" w:cs="Times New Roman"/>
                <w:color w:val="000000"/>
                <w:lang w:val="en-US"/>
              </w:rPr>
              <w:t xml:space="preserve">, 4 mixed </w:t>
            </w:r>
            <w:r w:rsidRPr="00A82FDA">
              <w:rPr>
                <w:rFonts w:ascii="Calibri" w:eastAsia="Times New Roman" w:hAnsi="Calibri" w:cs="Times New Roman"/>
                <w:i/>
                <w:iCs/>
                <w:color w:val="000000"/>
                <w:lang w:val="en-US"/>
              </w:rPr>
              <w:t>Staphylococcus</w:t>
            </w:r>
            <w:r w:rsidRPr="00A82FDA">
              <w:rPr>
                <w:rFonts w:ascii="Calibri" w:eastAsia="Times New Roman" w:hAnsi="Calibri" w:cs="Times New Roman"/>
                <w:color w:val="000000"/>
                <w:lang w:val="en-US"/>
              </w:rPr>
              <w:t xml:space="preserve"> and other, </w:t>
            </w:r>
          </w:p>
        </w:tc>
        <w:tc>
          <w:tcPr>
            <w:tcW w:w="960" w:type="dxa"/>
            <w:tcBorders>
              <w:top w:val="nil"/>
              <w:left w:val="nil"/>
              <w:bottom w:val="nil"/>
              <w:right w:val="nil"/>
            </w:tcBorders>
            <w:shd w:val="clear" w:color="auto" w:fill="auto"/>
            <w:noWrap/>
            <w:vAlign w:val="bottom"/>
            <w:hideMark/>
          </w:tcPr>
          <w:p w14:paraId="4F0877FA" w14:textId="77777777" w:rsidR="00A82FDA" w:rsidRPr="00A82FDA" w:rsidRDefault="00A82FDA" w:rsidP="00A82FDA">
            <w:pPr>
              <w:spacing w:line="240" w:lineRule="auto"/>
              <w:rPr>
                <w:rFonts w:ascii="Calibri" w:eastAsia="Times New Roman" w:hAnsi="Calibri" w:cs="Times New Roman"/>
                <w:color w:val="000000"/>
                <w:lang w:val="en-US"/>
              </w:rPr>
            </w:pPr>
          </w:p>
        </w:tc>
        <w:tc>
          <w:tcPr>
            <w:tcW w:w="2100" w:type="dxa"/>
            <w:tcBorders>
              <w:top w:val="nil"/>
              <w:left w:val="nil"/>
              <w:bottom w:val="nil"/>
              <w:right w:val="nil"/>
            </w:tcBorders>
            <w:shd w:val="clear" w:color="auto" w:fill="auto"/>
            <w:noWrap/>
            <w:vAlign w:val="bottom"/>
            <w:hideMark/>
          </w:tcPr>
          <w:p w14:paraId="12EF80DF"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092FB6B1"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06806950"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34374BDC" w14:textId="77777777" w:rsidTr="00A82FDA">
        <w:trPr>
          <w:trHeight w:val="300"/>
        </w:trPr>
        <w:tc>
          <w:tcPr>
            <w:tcW w:w="6214" w:type="dxa"/>
            <w:gridSpan w:val="3"/>
            <w:tcBorders>
              <w:top w:val="nil"/>
              <w:left w:val="nil"/>
              <w:bottom w:val="nil"/>
              <w:right w:val="nil"/>
            </w:tcBorders>
            <w:shd w:val="clear" w:color="auto" w:fill="auto"/>
            <w:noWrap/>
            <w:vAlign w:val="bottom"/>
            <w:hideMark/>
          </w:tcPr>
          <w:p w14:paraId="5E3D2D89"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 xml:space="preserve">       1 </w:t>
            </w:r>
            <w:r w:rsidRPr="00A82FDA">
              <w:rPr>
                <w:rFonts w:ascii="Calibri" w:eastAsia="Times New Roman" w:hAnsi="Calibri" w:cs="Times New Roman"/>
                <w:i/>
                <w:iCs/>
                <w:color w:val="000000"/>
                <w:lang w:val="en-US"/>
              </w:rPr>
              <w:t xml:space="preserve">Enterococcus </w:t>
            </w:r>
            <w:r w:rsidRPr="00A82FDA">
              <w:rPr>
                <w:rFonts w:ascii="Calibri" w:eastAsia="Times New Roman" w:hAnsi="Calibri" w:cs="Times New Roman"/>
                <w:color w:val="000000"/>
                <w:lang w:val="en-US"/>
              </w:rPr>
              <w:t>and Other, and 1 Other and Other</w:t>
            </w:r>
          </w:p>
        </w:tc>
        <w:tc>
          <w:tcPr>
            <w:tcW w:w="1846" w:type="dxa"/>
            <w:tcBorders>
              <w:top w:val="nil"/>
              <w:left w:val="nil"/>
              <w:bottom w:val="nil"/>
              <w:right w:val="nil"/>
            </w:tcBorders>
            <w:shd w:val="clear" w:color="auto" w:fill="auto"/>
            <w:noWrap/>
            <w:vAlign w:val="bottom"/>
            <w:hideMark/>
          </w:tcPr>
          <w:p w14:paraId="6C08B9EF" w14:textId="77777777" w:rsidR="00A82FDA" w:rsidRPr="00A82FDA" w:rsidRDefault="00A82FDA" w:rsidP="00A82FDA">
            <w:pPr>
              <w:spacing w:line="240" w:lineRule="auto"/>
              <w:rPr>
                <w:rFonts w:ascii="Calibri" w:eastAsia="Times New Roman" w:hAnsi="Calibri" w:cs="Times New Roman"/>
                <w:color w:val="000000"/>
                <w:lang w:val="en-US"/>
              </w:rPr>
            </w:pPr>
          </w:p>
        </w:tc>
        <w:tc>
          <w:tcPr>
            <w:tcW w:w="960" w:type="dxa"/>
            <w:tcBorders>
              <w:top w:val="nil"/>
              <w:left w:val="nil"/>
              <w:bottom w:val="nil"/>
              <w:right w:val="nil"/>
            </w:tcBorders>
            <w:shd w:val="clear" w:color="auto" w:fill="auto"/>
            <w:noWrap/>
            <w:vAlign w:val="bottom"/>
            <w:hideMark/>
          </w:tcPr>
          <w:p w14:paraId="25D1E582"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2100" w:type="dxa"/>
            <w:tcBorders>
              <w:top w:val="nil"/>
              <w:left w:val="nil"/>
              <w:bottom w:val="nil"/>
              <w:right w:val="nil"/>
            </w:tcBorders>
            <w:shd w:val="clear" w:color="auto" w:fill="auto"/>
            <w:noWrap/>
            <w:vAlign w:val="bottom"/>
            <w:hideMark/>
          </w:tcPr>
          <w:p w14:paraId="005E846C"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450ACEB1"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c>
          <w:tcPr>
            <w:tcW w:w="960" w:type="dxa"/>
            <w:tcBorders>
              <w:top w:val="nil"/>
              <w:left w:val="nil"/>
              <w:bottom w:val="nil"/>
              <w:right w:val="nil"/>
            </w:tcBorders>
            <w:shd w:val="clear" w:color="auto" w:fill="auto"/>
            <w:noWrap/>
            <w:vAlign w:val="bottom"/>
            <w:hideMark/>
          </w:tcPr>
          <w:p w14:paraId="4AA843A1" w14:textId="77777777" w:rsidR="00A82FDA" w:rsidRPr="00A82FDA" w:rsidRDefault="00A82FDA" w:rsidP="00A82FDA">
            <w:pPr>
              <w:spacing w:line="240" w:lineRule="auto"/>
              <w:rPr>
                <w:rFonts w:ascii="Times New Roman" w:eastAsia="Times New Roman" w:hAnsi="Times New Roman" w:cs="Times New Roman"/>
                <w:sz w:val="20"/>
                <w:szCs w:val="20"/>
                <w:lang w:val="en-US"/>
              </w:rPr>
            </w:pPr>
          </w:p>
        </w:tc>
      </w:tr>
      <w:tr w:rsidR="00A82FDA" w:rsidRPr="00A82FDA" w14:paraId="0BE639D0" w14:textId="77777777" w:rsidTr="00A82FDA">
        <w:trPr>
          <w:trHeight w:val="1069"/>
        </w:trPr>
        <w:tc>
          <w:tcPr>
            <w:tcW w:w="13040" w:type="dxa"/>
            <w:gridSpan w:val="8"/>
            <w:tcBorders>
              <w:top w:val="nil"/>
              <w:left w:val="nil"/>
              <w:bottom w:val="nil"/>
              <w:right w:val="nil"/>
            </w:tcBorders>
            <w:shd w:val="clear" w:color="auto" w:fill="auto"/>
            <w:vAlign w:val="center"/>
            <w:hideMark/>
          </w:tcPr>
          <w:p w14:paraId="4865FEA1" w14:textId="77777777" w:rsidR="00A82FDA" w:rsidRPr="00A82FDA" w:rsidRDefault="00A82FDA" w:rsidP="00A82FDA">
            <w:pPr>
              <w:spacing w:line="240" w:lineRule="auto"/>
              <w:rPr>
                <w:rFonts w:ascii="Calibri" w:eastAsia="Times New Roman" w:hAnsi="Calibri" w:cs="Times New Roman"/>
                <w:color w:val="000000"/>
                <w:lang w:val="en-US"/>
              </w:rPr>
            </w:pPr>
            <w:r w:rsidRPr="00A82FDA">
              <w:rPr>
                <w:rFonts w:ascii="Calibri" w:eastAsia="Times New Roman" w:hAnsi="Calibri" w:cs="Times New Roman"/>
                <w:color w:val="000000"/>
                <w:lang w:val="en-US"/>
              </w:rPr>
              <w:t>Note: Clinical recorded cause as recorded (genus level only). Of 614 cases where an organism code was given, 455 (74%) agreed exactly to the level of Streptococcus and Staphylococcus spp. (Enterococcus may be coded as Streptococcus given the options available). Of 475 clinician-determined Streptococcal/Staphylococcal cases, 455 (96%) were correctly identified from organism codes.</w:t>
            </w:r>
          </w:p>
        </w:tc>
      </w:tr>
    </w:tbl>
    <w:p w14:paraId="6DF32E4E" w14:textId="1F524F4D" w:rsidR="00286EBD" w:rsidRDefault="00286EBD" w:rsidP="00E47D3F">
      <w:pPr>
        <w:rPr>
          <w:rFonts w:cstheme="minorHAnsi"/>
        </w:rPr>
      </w:pPr>
    </w:p>
    <w:p w14:paraId="33B8F3BF" w14:textId="77777777" w:rsidR="00286EBD" w:rsidRDefault="00286EBD">
      <w:pPr>
        <w:spacing w:after="200" w:line="276" w:lineRule="auto"/>
        <w:rPr>
          <w:rFonts w:cstheme="minorHAnsi"/>
        </w:rPr>
      </w:pPr>
      <w:r>
        <w:rPr>
          <w:rFonts w:cstheme="minorHAnsi"/>
        </w:rPr>
        <w:br w:type="page"/>
      </w:r>
    </w:p>
    <w:p w14:paraId="757186EE" w14:textId="788A8EC4" w:rsidR="00A82FDA" w:rsidRDefault="00286EBD" w:rsidP="00E47D3F">
      <w:r>
        <w:rPr>
          <w:b/>
          <w:bCs/>
        </w:rPr>
        <w:lastRenderedPageBreak/>
        <w:t xml:space="preserve">Table S7 </w:t>
      </w:r>
      <w:r>
        <w:t xml:space="preserve">Coded organism vs microbiology blood culture organism in all admissions with a non-I38 endocarditis code in Oxford </w:t>
      </w:r>
    </w:p>
    <w:tbl>
      <w:tblPr>
        <w:tblW w:w="5000" w:type="pct"/>
        <w:tblLook w:val="04A0" w:firstRow="1" w:lastRow="0" w:firstColumn="1" w:lastColumn="0" w:noHBand="0" w:noVBand="1"/>
      </w:tblPr>
      <w:tblGrid>
        <w:gridCol w:w="1690"/>
        <w:gridCol w:w="2048"/>
        <w:gridCol w:w="1918"/>
        <w:gridCol w:w="1532"/>
        <w:gridCol w:w="1577"/>
        <w:gridCol w:w="1824"/>
        <w:gridCol w:w="738"/>
        <w:gridCol w:w="1430"/>
        <w:gridCol w:w="689"/>
        <w:gridCol w:w="728"/>
      </w:tblGrid>
      <w:tr w:rsidR="00286EBD" w:rsidRPr="00286EBD" w14:paraId="5BD3164F" w14:textId="77777777" w:rsidTr="00286EBD">
        <w:trPr>
          <w:trHeight w:val="300"/>
        </w:trPr>
        <w:tc>
          <w:tcPr>
            <w:tcW w:w="448" w:type="pct"/>
            <w:tcBorders>
              <w:top w:val="single" w:sz="4" w:space="0" w:color="auto"/>
              <w:left w:val="single" w:sz="4" w:space="0" w:color="auto"/>
              <w:bottom w:val="nil"/>
              <w:right w:val="single" w:sz="4" w:space="0" w:color="auto"/>
            </w:tcBorders>
            <w:shd w:val="clear" w:color="auto" w:fill="auto"/>
            <w:noWrap/>
            <w:vAlign w:val="bottom"/>
            <w:hideMark/>
          </w:tcPr>
          <w:p w14:paraId="35E9C807"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1432" w:type="pct"/>
            <w:gridSpan w:val="2"/>
            <w:tcBorders>
              <w:top w:val="single" w:sz="4" w:space="0" w:color="auto"/>
              <w:left w:val="nil"/>
              <w:bottom w:val="single" w:sz="4" w:space="0" w:color="auto"/>
              <w:right w:val="nil"/>
            </w:tcBorders>
            <w:shd w:val="clear" w:color="auto" w:fill="auto"/>
            <w:noWrap/>
            <w:vAlign w:val="bottom"/>
            <w:hideMark/>
          </w:tcPr>
          <w:p w14:paraId="64AB91E7"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microbiology linked blood culture results </w:t>
            </w:r>
          </w:p>
        </w:tc>
        <w:tc>
          <w:tcPr>
            <w:tcW w:w="557" w:type="pct"/>
            <w:tcBorders>
              <w:top w:val="single" w:sz="4" w:space="0" w:color="auto"/>
              <w:left w:val="nil"/>
              <w:bottom w:val="single" w:sz="4" w:space="0" w:color="auto"/>
              <w:right w:val="nil"/>
            </w:tcBorders>
            <w:shd w:val="clear" w:color="auto" w:fill="auto"/>
            <w:noWrap/>
            <w:vAlign w:val="bottom"/>
            <w:hideMark/>
          </w:tcPr>
          <w:p w14:paraId="25093132"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557" w:type="pct"/>
            <w:tcBorders>
              <w:top w:val="single" w:sz="4" w:space="0" w:color="auto"/>
              <w:left w:val="nil"/>
              <w:bottom w:val="single" w:sz="4" w:space="0" w:color="auto"/>
              <w:right w:val="nil"/>
            </w:tcBorders>
            <w:shd w:val="clear" w:color="auto" w:fill="auto"/>
            <w:noWrap/>
            <w:vAlign w:val="bottom"/>
            <w:hideMark/>
          </w:tcPr>
          <w:p w14:paraId="6CB122AE"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676" w:type="pct"/>
            <w:tcBorders>
              <w:top w:val="single" w:sz="4" w:space="0" w:color="auto"/>
              <w:left w:val="nil"/>
              <w:bottom w:val="single" w:sz="4" w:space="0" w:color="auto"/>
              <w:right w:val="nil"/>
            </w:tcBorders>
            <w:shd w:val="clear" w:color="auto" w:fill="auto"/>
            <w:noWrap/>
            <w:vAlign w:val="bottom"/>
            <w:hideMark/>
          </w:tcPr>
          <w:p w14:paraId="628C4D0B"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273" w:type="pct"/>
            <w:tcBorders>
              <w:top w:val="single" w:sz="4" w:space="0" w:color="auto"/>
              <w:left w:val="nil"/>
              <w:bottom w:val="single" w:sz="4" w:space="0" w:color="auto"/>
              <w:right w:val="nil"/>
            </w:tcBorders>
            <w:shd w:val="clear" w:color="auto" w:fill="auto"/>
            <w:noWrap/>
            <w:vAlign w:val="bottom"/>
            <w:hideMark/>
          </w:tcPr>
          <w:p w14:paraId="3B748520"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511" w:type="pct"/>
            <w:tcBorders>
              <w:top w:val="single" w:sz="4" w:space="0" w:color="auto"/>
              <w:left w:val="nil"/>
              <w:bottom w:val="single" w:sz="4" w:space="0" w:color="auto"/>
              <w:right w:val="nil"/>
            </w:tcBorders>
            <w:shd w:val="clear" w:color="auto" w:fill="auto"/>
            <w:noWrap/>
            <w:vAlign w:val="bottom"/>
            <w:hideMark/>
          </w:tcPr>
          <w:p w14:paraId="0023E635"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273" w:type="pct"/>
            <w:tcBorders>
              <w:top w:val="single" w:sz="4" w:space="0" w:color="auto"/>
              <w:left w:val="nil"/>
              <w:bottom w:val="single" w:sz="4" w:space="0" w:color="auto"/>
              <w:right w:val="nil"/>
            </w:tcBorders>
            <w:shd w:val="clear" w:color="auto" w:fill="auto"/>
            <w:noWrap/>
            <w:vAlign w:val="bottom"/>
            <w:hideMark/>
          </w:tcPr>
          <w:p w14:paraId="7C4340F6"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c>
          <w:tcPr>
            <w:tcW w:w="273" w:type="pct"/>
            <w:tcBorders>
              <w:top w:val="single" w:sz="4" w:space="0" w:color="auto"/>
              <w:left w:val="single" w:sz="4" w:space="0" w:color="auto"/>
              <w:bottom w:val="nil"/>
              <w:right w:val="single" w:sz="4" w:space="0" w:color="auto"/>
            </w:tcBorders>
            <w:shd w:val="clear" w:color="auto" w:fill="auto"/>
            <w:noWrap/>
            <w:vAlign w:val="bottom"/>
            <w:hideMark/>
          </w:tcPr>
          <w:p w14:paraId="3B202909"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w:t>
            </w:r>
          </w:p>
        </w:tc>
      </w:tr>
      <w:tr w:rsidR="00286EBD" w:rsidRPr="00286EBD" w14:paraId="619F7E07" w14:textId="77777777" w:rsidTr="00286EBD">
        <w:trPr>
          <w:trHeight w:val="600"/>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4C0BBEF2"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coding organism </w:t>
            </w:r>
          </w:p>
        </w:tc>
        <w:tc>
          <w:tcPr>
            <w:tcW w:w="739" w:type="pct"/>
            <w:tcBorders>
              <w:top w:val="nil"/>
              <w:left w:val="nil"/>
              <w:bottom w:val="single" w:sz="4" w:space="0" w:color="auto"/>
              <w:right w:val="single" w:sz="4" w:space="0" w:color="auto"/>
            </w:tcBorders>
            <w:shd w:val="clear" w:color="auto" w:fill="auto"/>
            <w:vAlign w:val="bottom"/>
            <w:hideMark/>
          </w:tcPr>
          <w:p w14:paraId="79A9397B"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non-oral </w:t>
            </w:r>
            <w:r w:rsidRPr="00286EBD">
              <w:rPr>
                <w:rFonts w:ascii="Calibri" w:eastAsia="Times New Roman" w:hAnsi="Calibri" w:cs="Times New Roman"/>
                <w:i/>
                <w:iCs/>
                <w:color w:val="000000"/>
                <w:lang w:val="en-US"/>
              </w:rPr>
              <w:t>Streptococcus spp.</w:t>
            </w:r>
          </w:p>
        </w:tc>
        <w:tc>
          <w:tcPr>
            <w:tcW w:w="693" w:type="pct"/>
            <w:tcBorders>
              <w:top w:val="nil"/>
              <w:left w:val="nil"/>
              <w:bottom w:val="single" w:sz="4" w:space="0" w:color="auto"/>
              <w:right w:val="single" w:sz="4" w:space="0" w:color="auto"/>
            </w:tcBorders>
            <w:shd w:val="clear" w:color="auto" w:fill="auto"/>
            <w:vAlign w:val="bottom"/>
            <w:hideMark/>
          </w:tcPr>
          <w:p w14:paraId="6C0F0F47"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oral </w:t>
            </w:r>
            <w:r w:rsidRPr="00286EBD">
              <w:rPr>
                <w:rFonts w:ascii="Calibri" w:eastAsia="Times New Roman" w:hAnsi="Calibri" w:cs="Times New Roman"/>
                <w:i/>
                <w:iCs/>
                <w:color w:val="000000"/>
                <w:lang w:val="en-US"/>
              </w:rPr>
              <w:t>Streptococcus spp.</w:t>
            </w:r>
          </w:p>
        </w:tc>
        <w:tc>
          <w:tcPr>
            <w:tcW w:w="557" w:type="pct"/>
            <w:tcBorders>
              <w:top w:val="nil"/>
              <w:left w:val="nil"/>
              <w:bottom w:val="single" w:sz="4" w:space="0" w:color="auto"/>
              <w:right w:val="single" w:sz="4" w:space="0" w:color="auto"/>
            </w:tcBorders>
            <w:shd w:val="clear" w:color="auto" w:fill="auto"/>
            <w:vAlign w:val="bottom"/>
            <w:hideMark/>
          </w:tcPr>
          <w:p w14:paraId="18CA10B4" w14:textId="77777777" w:rsidR="00286EBD" w:rsidRPr="00286EBD" w:rsidRDefault="00286EBD" w:rsidP="00286EBD">
            <w:pPr>
              <w:spacing w:line="240" w:lineRule="auto"/>
              <w:rPr>
                <w:rFonts w:ascii="Calibri" w:eastAsia="Times New Roman" w:hAnsi="Calibri" w:cs="Times New Roman"/>
                <w:i/>
                <w:iCs/>
                <w:color w:val="000000"/>
                <w:lang w:val="en-US"/>
              </w:rPr>
            </w:pPr>
            <w:r w:rsidRPr="00286EBD">
              <w:rPr>
                <w:rFonts w:ascii="Calibri" w:eastAsia="Times New Roman" w:hAnsi="Calibri" w:cs="Times New Roman"/>
                <w:i/>
                <w:iCs/>
                <w:color w:val="000000"/>
                <w:lang w:val="en-US"/>
              </w:rPr>
              <w:t>Enterococcus spp.</w:t>
            </w:r>
          </w:p>
        </w:tc>
        <w:tc>
          <w:tcPr>
            <w:tcW w:w="557" w:type="pct"/>
            <w:tcBorders>
              <w:top w:val="nil"/>
              <w:left w:val="nil"/>
              <w:bottom w:val="single" w:sz="4" w:space="0" w:color="auto"/>
              <w:right w:val="single" w:sz="4" w:space="0" w:color="auto"/>
            </w:tcBorders>
            <w:shd w:val="clear" w:color="auto" w:fill="auto"/>
            <w:vAlign w:val="bottom"/>
            <w:hideMark/>
          </w:tcPr>
          <w:p w14:paraId="1AEF9140" w14:textId="77777777" w:rsidR="00286EBD" w:rsidRPr="00286EBD" w:rsidRDefault="00286EBD" w:rsidP="00286EBD">
            <w:pPr>
              <w:spacing w:line="240" w:lineRule="auto"/>
              <w:rPr>
                <w:rFonts w:ascii="Calibri" w:eastAsia="Times New Roman" w:hAnsi="Calibri" w:cs="Times New Roman"/>
                <w:i/>
                <w:iCs/>
                <w:color w:val="000000"/>
                <w:lang w:val="en-US"/>
              </w:rPr>
            </w:pPr>
            <w:r w:rsidRPr="00286EBD">
              <w:rPr>
                <w:rFonts w:ascii="Calibri" w:eastAsia="Times New Roman" w:hAnsi="Calibri" w:cs="Times New Roman"/>
                <w:i/>
                <w:iCs/>
                <w:color w:val="000000"/>
                <w:lang w:val="en-US"/>
              </w:rPr>
              <w:t>Staphylococcus aureus</w:t>
            </w:r>
          </w:p>
        </w:tc>
        <w:tc>
          <w:tcPr>
            <w:tcW w:w="676" w:type="pct"/>
            <w:tcBorders>
              <w:top w:val="nil"/>
              <w:left w:val="nil"/>
              <w:bottom w:val="single" w:sz="4" w:space="0" w:color="auto"/>
              <w:right w:val="single" w:sz="4" w:space="0" w:color="auto"/>
            </w:tcBorders>
            <w:shd w:val="clear" w:color="auto" w:fill="auto"/>
            <w:vAlign w:val="bottom"/>
            <w:hideMark/>
          </w:tcPr>
          <w:p w14:paraId="73A3FF24" w14:textId="77777777" w:rsidR="00286EBD" w:rsidRPr="00286EBD" w:rsidRDefault="00286EBD" w:rsidP="00286EBD">
            <w:pPr>
              <w:spacing w:line="240" w:lineRule="auto"/>
              <w:rPr>
                <w:rFonts w:ascii="Calibri" w:eastAsia="Times New Roman" w:hAnsi="Calibri" w:cs="Times New Roman"/>
                <w:i/>
                <w:iCs/>
                <w:color w:val="000000"/>
                <w:lang w:val="en-US"/>
              </w:rPr>
            </w:pPr>
            <w:r w:rsidRPr="00286EBD">
              <w:rPr>
                <w:rFonts w:ascii="Calibri" w:eastAsia="Times New Roman" w:hAnsi="Calibri" w:cs="Times New Roman"/>
                <w:i/>
                <w:iCs/>
                <w:color w:val="000000"/>
                <w:lang w:val="en-US"/>
              </w:rPr>
              <w:t>Coagulase-negative Staphylococcus spp.</w:t>
            </w:r>
          </w:p>
        </w:tc>
        <w:tc>
          <w:tcPr>
            <w:tcW w:w="273" w:type="pct"/>
            <w:tcBorders>
              <w:top w:val="nil"/>
              <w:left w:val="nil"/>
              <w:bottom w:val="single" w:sz="4" w:space="0" w:color="auto"/>
              <w:right w:val="single" w:sz="4" w:space="0" w:color="auto"/>
            </w:tcBorders>
            <w:shd w:val="clear" w:color="auto" w:fill="auto"/>
            <w:vAlign w:val="bottom"/>
            <w:hideMark/>
          </w:tcPr>
          <w:p w14:paraId="757FFF70"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Other</w:t>
            </w:r>
          </w:p>
        </w:tc>
        <w:tc>
          <w:tcPr>
            <w:tcW w:w="511" w:type="pct"/>
            <w:tcBorders>
              <w:top w:val="nil"/>
              <w:left w:val="nil"/>
              <w:bottom w:val="single" w:sz="4" w:space="0" w:color="auto"/>
              <w:right w:val="single" w:sz="4" w:space="0" w:color="auto"/>
            </w:tcBorders>
            <w:shd w:val="clear" w:color="auto" w:fill="auto"/>
            <w:vAlign w:val="bottom"/>
            <w:hideMark/>
          </w:tcPr>
          <w:p w14:paraId="4A77532A"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Polymicrobial</w:t>
            </w:r>
          </w:p>
        </w:tc>
        <w:tc>
          <w:tcPr>
            <w:tcW w:w="273" w:type="pct"/>
            <w:tcBorders>
              <w:top w:val="nil"/>
              <w:left w:val="nil"/>
              <w:bottom w:val="single" w:sz="4" w:space="0" w:color="auto"/>
              <w:right w:val="nil"/>
            </w:tcBorders>
            <w:shd w:val="clear" w:color="auto" w:fill="auto"/>
            <w:vAlign w:val="bottom"/>
            <w:hideMark/>
          </w:tcPr>
          <w:p w14:paraId="5EBE4640"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none </w:t>
            </w:r>
          </w:p>
        </w:tc>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4499F6D7"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Total</w:t>
            </w:r>
          </w:p>
        </w:tc>
      </w:tr>
      <w:tr w:rsidR="00286EBD" w:rsidRPr="00286EBD" w14:paraId="7F9D14C8" w14:textId="77777777" w:rsidTr="00286EBD">
        <w:trPr>
          <w:trHeight w:val="300"/>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3EB2D046" w14:textId="77777777" w:rsidR="00286EBD" w:rsidRPr="00286EBD" w:rsidRDefault="00286EBD" w:rsidP="00286EBD">
            <w:pPr>
              <w:spacing w:line="240" w:lineRule="auto"/>
              <w:rPr>
                <w:rFonts w:ascii="Calibri" w:eastAsia="Times New Roman" w:hAnsi="Calibri" w:cs="Times New Roman"/>
                <w:i/>
                <w:iCs/>
                <w:color w:val="000000"/>
                <w:lang w:val="en-US"/>
              </w:rPr>
            </w:pPr>
            <w:r w:rsidRPr="00286EBD">
              <w:rPr>
                <w:rFonts w:ascii="Calibri" w:eastAsia="Times New Roman" w:hAnsi="Calibri" w:cs="Times New Roman"/>
                <w:i/>
                <w:iCs/>
                <w:color w:val="000000"/>
                <w:lang w:val="en-US"/>
              </w:rPr>
              <w:t>Streptococcus</w:t>
            </w:r>
          </w:p>
        </w:tc>
        <w:tc>
          <w:tcPr>
            <w:tcW w:w="739" w:type="pct"/>
            <w:tcBorders>
              <w:top w:val="nil"/>
              <w:left w:val="nil"/>
              <w:bottom w:val="single" w:sz="4" w:space="0" w:color="auto"/>
              <w:right w:val="single" w:sz="4" w:space="0" w:color="auto"/>
            </w:tcBorders>
            <w:shd w:val="clear" w:color="auto" w:fill="auto"/>
            <w:noWrap/>
            <w:vAlign w:val="bottom"/>
            <w:hideMark/>
          </w:tcPr>
          <w:p w14:paraId="6CECDF53"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34</w:t>
            </w:r>
          </w:p>
        </w:tc>
        <w:tc>
          <w:tcPr>
            <w:tcW w:w="693" w:type="pct"/>
            <w:tcBorders>
              <w:top w:val="nil"/>
              <w:left w:val="nil"/>
              <w:bottom w:val="single" w:sz="4" w:space="0" w:color="auto"/>
              <w:right w:val="single" w:sz="4" w:space="0" w:color="auto"/>
            </w:tcBorders>
            <w:shd w:val="clear" w:color="auto" w:fill="auto"/>
            <w:noWrap/>
            <w:vAlign w:val="bottom"/>
            <w:hideMark/>
          </w:tcPr>
          <w:p w14:paraId="56406172"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73</w:t>
            </w:r>
          </w:p>
        </w:tc>
        <w:tc>
          <w:tcPr>
            <w:tcW w:w="557" w:type="pct"/>
            <w:tcBorders>
              <w:top w:val="nil"/>
              <w:left w:val="nil"/>
              <w:bottom w:val="single" w:sz="4" w:space="0" w:color="auto"/>
              <w:right w:val="single" w:sz="4" w:space="0" w:color="auto"/>
            </w:tcBorders>
            <w:shd w:val="clear" w:color="auto" w:fill="auto"/>
            <w:noWrap/>
            <w:vAlign w:val="bottom"/>
            <w:hideMark/>
          </w:tcPr>
          <w:p w14:paraId="7EE73AA3"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15</w:t>
            </w:r>
          </w:p>
        </w:tc>
        <w:tc>
          <w:tcPr>
            <w:tcW w:w="557" w:type="pct"/>
            <w:tcBorders>
              <w:top w:val="nil"/>
              <w:left w:val="nil"/>
              <w:bottom w:val="single" w:sz="4" w:space="0" w:color="auto"/>
              <w:right w:val="single" w:sz="4" w:space="0" w:color="auto"/>
            </w:tcBorders>
            <w:shd w:val="clear" w:color="auto" w:fill="auto"/>
            <w:noWrap/>
            <w:vAlign w:val="bottom"/>
            <w:hideMark/>
          </w:tcPr>
          <w:p w14:paraId="07C1727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0</w:t>
            </w:r>
          </w:p>
        </w:tc>
        <w:tc>
          <w:tcPr>
            <w:tcW w:w="676" w:type="pct"/>
            <w:tcBorders>
              <w:top w:val="nil"/>
              <w:left w:val="nil"/>
              <w:bottom w:val="single" w:sz="4" w:space="0" w:color="auto"/>
              <w:right w:val="single" w:sz="4" w:space="0" w:color="auto"/>
            </w:tcBorders>
            <w:shd w:val="clear" w:color="auto" w:fill="auto"/>
            <w:noWrap/>
            <w:vAlign w:val="bottom"/>
            <w:hideMark/>
          </w:tcPr>
          <w:p w14:paraId="2350B411"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w:t>
            </w:r>
          </w:p>
        </w:tc>
        <w:tc>
          <w:tcPr>
            <w:tcW w:w="273" w:type="pct"/>
            <w:tcBorders>
              <w:top w:val="nil"/>
              <w:left w:val="nil"/>
              <w:bottom w:val="single" w:sz="4" w:space="0" w:color="auto"/>
              <w:right w:val="single" w:sz="4" w:space="0" w:color="auto"/>
            </w:tcBorders>
            <w:shd w:val="clear" w:color="auto" w:fill="auto"/>
            <w:noWrap/>
            <w:vAlign w:val="bottom"/>
            <w:hideMark/>
          </w:tcPr>
          <w:p w14:paraId="6A18C78A"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w:t>
            </w:r>
          </w:p>
        </w:tc>
        <w:tc>
          <w:tcPr>
            <w:tcW w:w="511" w:type="pct"/>
            <w:tcBorders>
              <w:top w:val="nil"/>
              <w:left w:val="nil"/>
              <w:bottom w:val="single" w:sz="4" w:space="0" w:color="auto"/>
              <w:right w:val="single" w:sz="4" w:space="0" w:color="auto"/>
            </w:tcBorders>
            <w:shd w:val="clear" w:color="auto" w:fill="auto"/>
            <w:noWrap/>
            <w:vAlign w:val="bottom"/>
            <w:hideMark/>
          </w:tcPr>
          <w:p w14:paraId="53ABF164"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  1* </w:t>
            </w:r>
          </w:p>
        </w:tc>
        <w:tc>
          <w:tcPr>
            <w:tcW w:w="273" w:type="pct"/>
            <w:tcBorders>
              <w:top w:val="nil"/>
              <w:left w:val="nil"/>
              <w:bottom w:val="single" w:sz="4" w:space="0" w:color="auto"/>
              <w:right w:val="single" w:sz="4" w:space="0" w:color="auto"/>
            </w:tcBorders>
            <w:shd w:val="clear" w:color="auto" w:fill="auto"/>
            <w:noWrap/>
            <w:vAlign w:val="bottom"/>
            <w:hideMark/>
          </w:tcPr>
          <w:p w14:paraId="065877A0"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69</w:t>
            </w:r>
          </w:p>
        </w:tc>
        <w:tc>
          <w:tcPr>
            <w:tcW w:w="273" w:type="pct"/>
            <w:tcBorders>
              <w:top w:val="nil"/>
              <w:left w:val="nil"/>
              <w:bottom w:val="single" w:sz="4" w:space="0" w:color="auto"/>
              <w:right w:val="single" w:sz="4" w:space="0" w:color="auto"/>
            </w:tcBorders>
            <w:shd w:val="clear" w:color="auto" w:fill="auto"/>
            <w:noWrap/>
            <w:vAlign w:val="bottom"/>
            <w:hideMark/>
          </w:tcPr>
          <w:p w14:paraId="0AF1F6FE"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200</w:t>
            </w:r>
          </w:p>
        </w:tc>
      </w:tr>
      <w:tr w:rsidR="00286EBD" w:rsidRPr="00286EBD" w14:paraId="107CF695" w14:textId="77777777" w:rsidTr="00286EBD">
        <w:trPr>
          <w:trHeight w:val="300"/>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48334ACC" w14:textId="77777777" w:rsidR="00286EBD" w:rsidRPr="00286EBD" w:rsidRDefault="00286EBD" w:rsidP="00286EBD">
            <w:pPr>
              <w:spacing w:line="240" w:lineRule="auto"/>
              <w:rPr>
                <w:rFonts w:ascii="Calibri" w:eastAsia="Times New Roman" w:hAnsi="Calibri" w:cs="Times New Roman"/>
                <w:i/>
                <w:iCs/>
                <w:color w:val="000000"/>
                <w:lang w:val="en-US"/>
              </w:rPr>
            </w:pPr>
            <w:r w:rsidRPr="00286EBD">
              <w:rPr>
                <w:rFonts w:ascii="Calibri" w:eastAsia="Times New Roman" w:hAnsi="Calibri" w:cs="Times New Roman"/>
                <w:i/>
                <w:iCs/>
                <w:color w:val="000000"/>
                <w:lang w:val="en-US"/>
              </w:rPr>
              <w:t>Staphylococcus</w:t>
            </w:r>
          </w:p>
        </w:tc>
        <w:tc>
          <w:tcPr>
            <w:tcW w:w="739" w:type="pct"/>
            <w:tcBorders>
              <w:top w:val="nil"/>
              <w:left w:val="nil"/>
              <w:bottom w:val="single" w:sz="4" w:space="0" w:color="auto"/>
              <w:right w:val="single" w:sz="4" w:space="0" w:color="auto"/>
            </w:tcBorders>
            <w:shd w:val="clear" w:color="auto" w:fill="auto"/>
            <w:noWrap/>
            <w:vAlign w:val="bottom"/>
            <w:hideMark/>
          </w:tcPr>
          <w:p w14:paraId="72C93D9C"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w:t>
            </w:r>
          </w:p>
        </w:tc>
        <w:tc>
          <w:tcPr>
            <w:tcW w:w="693" w:type="pct"/>
            <w:tcBorders>
              <w:top w:val="nil"/>
              <w:left w:val="nil"/>
              <w:bottom w:val="single" w:sz="4" w:space="0" w:color="auto"/>
              <w:right w:val="single" w:sz="4" w:space="0" w:color="auto"/>
            </w:tcBorders>
            <w:shd w:val="clear" w:color="auto" w:fill="auto"/>
            <w:noWrap/>
            <w:vAlign w:val="bottom"/>
            <w:hideMark/>
          </w:tcPr>
          <w:p w14:paraId="2D4D912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7</w:t>
            </w:r>
          </w:p>
        </w:tc>
        <w:tc>
          <w:tcPr>
            <w:tcW w:w="557" w:type="pct"/>
            <w:tcBorders>
              <w:top w:val="nil"/>
              <w:left w:val="nil"/>
              <w:bottom w:val="single" w:sz="4" w:space="0" w:color="auto"/>
              <w:right w:val="single" w:sz="4" w:space="0" w:color="auto"/>
            </w:tcBorders>
            <w:shd w:val="clear" w:color="auto" w:fill="auto"/>
            <w:noWrap/>
            <w:vAlign w:val="bottom"/>
            <w:hideMark/>
          </w:tcPr>
          <w:p w14:paraId="13C5FB81"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w:t>
            </w:r>
          </w:p>
        </w:tc>
        <w:tc>
          <w:tcPr>
            <w:tcW w:w="557" w:type="pct"/>
            <w:tcBorders>
              <w:top w:val="nil"/>
              <w:left w:val="nil"/>
              <w:bottom w:val="single" w:sz="4" w:space="0" w:color="auto"/>
              <w:right w:val="single" w:sz="4" w:space="0" w:color="auto"/>
            </w:tcBorders>
            <w:shd w:val="clear" w:color="auto" w:fill="auto"/>
            <w:noWrap/>
            <w:vAlign w:val="bottom"/>
            <w:hideMark/>
          </w:tcPr>
          <w:p w14:paraId="2D4E4D2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98</w:t>
            </w:r>
          </w:p>
        </w:tc>
        <w:tc>
          <w:tcPr>
            <w:tcW w:w="676" w:type="pct"/>
            <w:tcBorders>
              <w:top w:val="nil"/>
              <w:left w:val="nil"/>
              <w:bottom w:val="single" w:sz="4" w:space="0" w:color="auto"/>
              <w:right w:val="single" w:sz="4" w:space="0" w:color="auto"/>
            </w:tcBorders>
            <w:shd w:val="clear" w:color="auto" w:fill="auto"/>
            <w:noWrap/>
            <w:vAlign w:val="bottom"/>
            <w:hideMark/>
          </w:tcPr>
          <w:p w14:paraId="2FF250A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33</w:t>
            </w:r>
          </w:p>
        </w:tc>
        <w:tc>
          <w:tcPr>
            <w:tcW w:w="273" w:type="pct"/>
            <w:tcBorders>
              <w:top w:val="nil"/>
              <w:left w:val="nil"/>
              <w:bottom w:val="single" w:sz="4" w:space="0" w:color="auto"/>
              <w:right w:val="single" w:sz="4" w:space="0" w:color="auto"/>
            </w:tcBorders>
            <w:shd w:val="clear" w:color="auto" w:fill="auto"/>
            <w:noWrap/>
            <w:vAlign w:val="bottom"/>
            <w:hideMark/>
          </w:tcPr>
          <w:p w14:paraId="7E0C995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w:t>
            </w:r>
          </w:p>
        </w:tc>
        <w:tc>
          <w:tcPr>
            <w:tcW w:w="511" w:type="pct"/>
            <w:tcBorders>
              <w:top w:val="nil"/>
              <w:left w:val="nil"/>
              <w:bottom w:val="single" w:sz="4" w:space="0" w:color="auto"/>
              <w:right w:val="single" w:sz="4" w:space="0" w:color="auto"/>
            </w:tcBorders>
            <w:shd w:val="clear" w:color="auto" w:fill="auto"/>
            <w:noWrap/>
            <w:vAlign w:val="bottom"/>
            <w:hideMark/>
          </w:tcPr>
          <w:p w14:paraId="4464734E"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    5**</w:t>
            </w:r>
          </w:p>
        </w:tc>
        <w:tc>
          <w:tcPr>
            <w:tcW w:w="273" w:type="pct"/>
            <w:tcBorders>
              <w:top w:val="nil"/>
              <w:left w:val="nil"/>
              <w:bottom w:val="single" w:sz="4" w:space="0" w:color="auto"/>
              <w:right w:val="single" w:sz="4" w:space="0" w:color="auto"/>
            </w:tcBorders>
            <w:shd w:val="clear" w:color="auto" w:fill="auto"/>
            <w:noWrap/>
            <w:vAlign w:val="bottom"/>
            <w:hideMark/>
          </w:tcPr>
          <w:p w14:paraId="5CA84E2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64</w:t>
            </w:r>
          </w:p>
        </w:tc>
        <w:tc>
          <w:tcPr>
            <w:tcW w:w="273" w:type="pct"/>
            <w:tcBorders>
              <w:top w:val="nil"/>
              <w:left w:val="nil"/>
              <w:bottom w:val="single" w:sz="4" w:space="0" w:color="auto"/>
              <w:right w:val="single" w:sz="4" w:space="0" w:color="auto"/>
            </w:tcBorders>
            <w:shd w:val="clear" w:color="auto" w:fill="auto"/>
            <w:noWrap/>
            <w:vAlign w:val="bottom"/>
            <w:hideMark/>
          </w:tcPr>
          <w:p w14:paraId="3FCC0231"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215</w:t>
            </w:r>
          </w:p>
        </w:tc>
      </w:tr>
      <w:tr w:rsidR="00286EBD" w:rsidRPr="00286EBD" w14:paraId="055185BF" w14:textId="77777777" w:rsidTr="00286EBD">
        <w:trPr>
          <w:trHeight w:val="300"/>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250C715F"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Other</w:t>
            </w:r>
          </w:p>
        </w:tc>
        <w:tc>
          <w:tcPr>
            <w:tcW w:w="739" w:type="pct"/>
            <w:tcBorders>
              <w:top w:val="nil"/>
              <w:left w:val="nil"/>
              <w:bottom w:val="single" w:sz="4" w:space="0" w:color="auto"/>
              <w:right w:val="single" w:sz="4" w:space="0" w:color="auto"/>
            </w:tcBorders>
            <w:shd w:val="clear" w:color="auto" w:fill="auto"/>
            <w:noWrap/>
            <w:vAlign w:val="bottom"/>
            <w:hideMark/>
          </w:tcPr>
          <w:p w14:paraId="696608A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0</w:t>
            </w:r>
          </w:p>
        </w:tc>
        <w:tc>
          <w:tcPr>
            <w:tcW w:w="693" w:type="pct"/>
            <w:tcBorders>
              <w:top w:val="nil"/>
              <w:left w:val="nil"/>
              <w:bottom w:val="single" w:sz="4" w:space="0" w:color="auto"/>
              <w:right w:val="single" w:sz="4" w:space="0" w:color="auto"/>
            </w:tcBorders>
            <w:shd w:val="clear" w:color="auto" w:fill="auto"/>
            <w:noWrap/>
            <w:vAlign w:val="bottom"/>
            <w:hideMark/>
          </w:tcPr>
          <w:p w14:paraId="0A67B369"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0</w:t>
            </w:r>
          </w:p>
        </w:tc>
        <w:tc>
          <w:tcPr>
            <w:tcW w:w="557" w:type="pct"/>
            <w:tcBorders>
              <w:top w:val="nil"/>
              <w:left w:val="nil"/>
              <w:bottom w:val="single" w:sz="4" w:space="0" w:color="auto"/>
              <w:right w:val="single" w:sz="4" w:space="0" w:color="auto"/>
            </w:tcBorders>
            <w:shd w:val="clear" w:color="auto" w:fill="auto"/>
            <w:noWrap/>
            <w:vAlign w:val="bottom"/>
            <w:hideMark/>
          </w:tcPr>
          <w:p w14:paraId="475A7F76"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11</w:t>
            </w:r>
          </w:p>
        </w:tc>
        <w:tc>
          <w:tcPr>
            <w:tcW w:w="557" w:type="pct"/>
            <w:tcBorders>
              <w:top w:val="nil"/>
              <w:left w:val="nil"/>
              <w:bottom w:val="single" w:sz="4" w:space="0" w:color="auto"/>
              <w:right w:val="single" w:sz="4" w:space="0" w:color="auto"/>
            </w:tcBorders>
            <w:shd w:val="clear" w:color="auto" w:fill="auto"/>
            <w:noWrap/>
            <w:vAlign w:val="bottom"/>
            <w:hideMark/>
          </w:tcPr>
          <w:p w14:paraId="75D8B42C"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w:t>
            </w:r>
          </w:p>
        </w:tc>
        <w:tc>
          <w:tcPr>
            <w:tcW w:w="676" w:type="pct"/>
            <w:tcBorders>
              <w:top w:val="nil"/>
              <w:left w:val="nil"/>
              <w:bottom w:val="single" w:sz="4" w:space="0" w:color="auto"/>
              <w:right w:val="single" w:sz="4" w:space="0" w:color="auto"/>
            </w:tcBorders>
            <w:shd w:val="clear" w:color="auto" w:fill="auto"/>
            <w:noWrap/>
            <w:vAlign w:val="bottom"/>
            <w:hideMark/>
          </w:tcPr>
          <w:p w14:paraId="1584E1D1"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w:t>
            </w:r>
          </w:p>
        </w:tc>
        <w:tc>
          <w:tcPr>
            <w:tcW w:w="273" w:type="pct"/>
            <w:tcBorders>
              <w:top w:val="nil"/>
              <w:left w:val="nil"/>
              <w:bottom w:val="single" w:sz="4" w:space="0" w:color="auto"/>
              <w:right w:val="single" w:sz="4" w:space="0" w:color="auto"/>
            </w:tcBorders>
            <w:shd w:val="clear" w:color="auto" w:fill="auto"/>
            <w:noWrap/>
            <w:vAlign w:val="bottom"/>
            <w:hideMark/>
          </w:tcPr>
          <w:p w14:paraId="25D7BCB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w:t>
            </w:r>
          </w:p>
        </w:tc>
        <w:tc>
          <w:tcPr>
            <w:tcW w:w="511" w:type="pct"/>
            <w:tcBorders>
              <w:top w:val="nil"/>
              <w:left w:val="nil"/>
              <w:bottom w:val="single" w:sz="4" w:space="0" w:color="auto"/>
              <w:right w:val="single" w:sz="4" w:space="0" w:color="auto"/>
            </w:tcBorders>
            <w:shd w:val="clear" w:color="auto" w:fill="auto"/>
            <w:noWrap/>
            <w:vAlign w:val="bottom"/>
            <w:hideMark/>
          </w:tcPr>
          <w:p w14:paraId="606F44EB"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0</w:t>
            </w:r>
          </w:p>
        </w:tc>
        <w:tc>
          <w:tcPr>
            <w:tcW w:w="273" w:type="pct"/>
            <w:tcBorders>
              <w:top w:val="nil"/>
              <w:left w:val="nil"/>
              <w:bottom w:val="single" w:sz="4" w:space="0" w:color="auto"/>
              <w:right w:val="single" w:sz="4" w:space="0" w:color="auto"/>
            </w:tcBorders>
            <w:shd w:val="clear" w:color="auto" w:fill="auto"/>
            <w:noWrap/>
            <w:vAlign w:val="bottom"/>
            <w:hideMark/>
          </w:tcPr>
          <w:p w14:paraId="27B3CB0E"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9</w:t>
            </w:r>
          </w:p>
        </w:tc>
        <w:tc>
          <w:tcPr>
            <w:tcW w:w="273" w:type="pct"/>
            <w:tcBorders>
              <w:top w:val="nil"/>
              <w:left w:val="nil"/>
              <w:bottom w:val="single" w:sz="4" w:space="0" w:color="auto"/>
              <w:right w:val="single" w:sz="4" w:space="0" w:color="auto"/>
            </w:tcBorders>
            <w:shd w:val="clear" w:color="auto" w:fill="auto"/>
            <w:noWrap/>
            <w:vAlign w:val="bottom"/>
            <w:hideMark/>
          </w:tcPr>
          <w:p w14:paraId="3781B034"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26</w:t>
            </w:r>
          </w:p>
        </w:tc>
      </w:tr>
      <w:tr w:rsidR="00286EBD" w:rsidRPr="00286EBD" w14:paraId="13079BF4" w14:textId="77777777" w:rsidTr="00286EBD">
        <w:trPr>
          <w:trHeight w:val="345"/>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2384B579"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None</w:t>
            </w:r>
          </w:p>
        </w:tc>
        <w:tc>
          <w:tcPr>
            <w:tcW w:w="739" w:type="pct"/>
            <w:tcBorders>
              <w:top w:val="nil"/>
              <w:left w:val="nil"/>
              <w:bottom w:val="single" w:sz="4" w:space="0" w:color="auto"/>
              <w:right w:val="single" w:sz="4" w:space="0" w:color="auto"/>
            </w:tcBorders>
            <w:shd w:val="clear" w:color="auto" w:fill="auto"/>
            <w:noWrap/>
            <w:vAlign w:val="bottom"/>
            <w:hideMark/>
          </w:tcPr>
          <w:p w14:paraId="3532A891"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23</w:t>
            </w:r>
          </w:p>
        </w:tc>
        <w:tc>
          <w:tcPr>
            <w:tcW w:w="693" w:type="pct"/>
            <w:tcBorders>
              <w:top w:val="nil"/>
              <w:left w:val="nil"/>
              <w:bottom w:val="single" w:sz="4" w:space="0" w:color="auto"/>
              <w:right w:val="single" w:sz="4" w:space="0" w:color="auto"/>
            </w:tcBorders>
            <w:shd w:val="clear" w:color="auto" w:fill="auto"/>
            <w:noWrap/>
            <w:vAlign w:val="bottom"/>
            <w:hideMark/>
          </w:tcPr>
          <w:p w14:paraId="737992B2"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45</w:t>
            </w:r>
          </w:p>
        </w:tc>
        <w:tc>
          <w:tcPr>
            <w:tcW w:w="557" w:type="pct"/>
            <w:tcBorders>
              <w:top w:val="nil"/>
              <w:left w:val="nil"/>
              <w:bottom w:val="single" w:sz="4" w:space="0" w:color="auto"/>
              <w:right w:val="single" w:sz="4" w:space="0" w:color="auto"/>
            </w:tcBorders>
            <w:shd w:val="clear" w:color="auto" w:fill="auto"/>
            <w:noWrap/>
            <w:vAlign w:val="bottom"/>
            <w:hideMark/>
          </w:tcPr>
          <w:p w14:paraId="19FDB692"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35</w:t>
            </w:r>
          </w:p>
        </w:tc>
        <w:tc>
          <w:tcPr>
            <w:tcW w:w="557" w:type="pct"/>
            <w:tcBorders>
              <w:top w:val="nil"/>
              <w:left w:val="nil"/>
              <w:bottom w:val="single" w:sz="4" w:space="0" w:color="auto"/>
              <w:right w:val="single" w:sz="4" w:space="0" w:color="auto"/>
            </w:tcBorders>
            <w:shd w:val="clear" w:color="auto" w:fill="auto"/>
            <w:noWrap/>
            <w:vAlign w:val="bottom"/>
            <w:hideMark/>
          </w:tcPr>
          <w:p w14:paraId="3551B4EA"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22</w:t>
            </w:r>
          </w:p>
        </w:tc>
        <w:tc>
          <w:tcPr>
            <w:tcW w:w="676" w:type="pct"/>
            <w:tcBorders>
              <w:top w:val="nil"/>
              <w:left w:val="nil"/>
              <w:bottom w:val="single" w:sz="4" w:space="0" w:color="auto"/>
              <w:right w:val="single" w:sz="4" w:space="0" w:color="auto"/>
            </w:tcBorders>
            <w:shd w:val="clear" w:color="auto" w:fill="auto"/>
            <w:noWrap/>
            <w:vAlign w:val="bottom"/>
            <w:hideMark/>
          </w:tcPr>
          <w:p w14:paraId="1A963F7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31</w:t>
            </w:r>
          </w:p>
        </w:tc>
        <w:tc>
          <w:tcPr>
            <w:tcW w:w="273" w:type="pct"/>
            <w:tcBorders>
              <w:top w:val="nil"/>
              <w:left w:val="nil"/>
              <w:bottom w:val="single" w:sz="4" w:space="0" w:color="auto"/>
              <w:right w:val="single" w:sz="4" w:space="0" w:color="auto"/>
            </w:tcBorders>
            <w:shd w:val="clear" w:color="auto" w:fill="auto"/>
            <w:noWrap/>
            <w:vAlign w:val="bottom"/>
            <w:hideMark/>
          </w:tcPr>
          <w:p w14:paraId="110E670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47</w:t>
            </w:r>
          </w:p>
        </w:tc>
        <w:tc>
          <w:tcPr>
            <w:tcW w:w="511" w:type="pct"/>
            <w:tcBorders>
              <w:top w:val="nil"/>
              <w:left w:val="nil"/>
              <w:bottom w:val="single" w:sz="4" w:space="0" w:color="auto"/>
              <w:right w:val="single" w:sz="4" w:space="0" w:color="auto"/>
            </w:tcBorders>
            <w:shd w:val="clear" w:color="auto" w:fill="auto"/>
            <w:noWrap/>
            <w:vAlign w:val="bottom"/>
            <w:hideMark/>
          </w:tcPr>
          <w:p w14:paraId="7092DEAA"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 xml:space="preserve">  4</w:t>
            </w:r>
            <w:r w:rsidRPr="00286EBD">
              <w:rPr>
                <w:rFonts w:ascii="Calibri" w:eastAsia="Times New Roman" w:hAnsi="Calibri" w:cs="Times New Roman"/>
                <w:color w:val="000000"/>
                <w:vertAlign w:val="superscript"/>
                <w:lang w:val="en-US"/>
              </w:rPr>
              <w:t xml:space="preserve"># </w:t>
            </w:r>
          </w:p>
        </w:tc>
        <w:tc>
          <w:tcPr>
            <w:tcW w:w="273" w:type="pct"/>
            <w:tcBorders>
              <w:top w:val="nil"/>
              <w:left w:val="nil"/>
              <w:bottom w:val="single" w:sz="4" w:space="0" w:color="auto"/>
              <w:right w:val="single" w:sz="4" w:space="0" w:color="auto"/>
            </w:tcBorders>
            <w:shd w:val="clear" w:color="auto" w:fill="auto"/>
            <w:noWrap/>
            <w:vAlign w:val="bottom"/>
            <w:hideMark/>
          </w:tcPr>
          <w:p w14:paraId="4D751445"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232</w:t>
            </w:r>
          </w:p>
        </w:tc>
        <w:tc>
          <w:tcPr>
            <w:tcW w:w="273" w:type="pct"/>
            <w:tcBorders>
              <w:top w:val="nil"/>
              <w:left w:val="nil"/>
              <w:bottom w:val="single" w:sz="4" w:space="0" w:color="auto"/>
              <w:right w:val="single" w:sz="4" w:space="0" w:color="auto"/>
            </w:tcBorders>
            <w:shd w:val="clear" w:color="auto" w:fill="auto"/>
            <w:noWrap/>
            <w:vAlign w:val="bottom"/>
            <w:hideMark/>
          </w:tcPr>
          <w:p w14:paraId="1F97864B"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439</w:t>
            </w:r>
          </w:p>
        </w:tc>
      </w:tr>
      <w:tr w:rsidR="00286EBD" w:rsidRPr="00286EBD" w14:paraId="4EBD72A4" w14:textId="77777777" w:rsidTr="00286EBD">
        <w:trPr>
          <w:trHeight w:val="300"/>
        </w:trPr>
        <w:tc>
          <w:tcPr>
            <w:tcW w:w="448" w:type="pct"/>
            <w:tcBorders>
              <w:top w:val="nil"/>
              <w:left w:val="single" w:sz="4" w:space="0" w:color="auto"/>
              <w:bottom w:val="single" w:sz="4" w:space="0" w:color="auto"/>
              <w:right w:val="single" w:sz="4" w:space="0" w:color="auto"/>
            </w:tcBorders>
            <w:shd w:val="clear" w:color="auto" w:fill="auto"/>
            <w:noWrap/>
            <w:vAlign w:val="bottom"/>
            <w:hideMark/>
          </w:tcPr>
          <w:p w14:paraId="25F695AA" w14:textId="77777777" w:rsidR="00286EBD" w:rsidRPr="00286EBD" w:rsidRDefault="00286EBD" w:rsidP="00286EBD">
            <w:pPr>
              <w:spacing w:line="240" w:lineRule="auto"/>
              <w:rPr>
                <w:rFonts w:ascii="Calibri" w:eastAsia="Times New Roman" w:hAnsi="Calibri" w:cs="Times New Roman"/>
                <w:color w:val="000000"/>
                <w:lang w:val="en-US"/>
              </w:rPr>
            </w:pPr>
            <w:r w:rsidRPr="00286EBD">
              <w:rPr>
                <w:rFonts w:ascii="Calibri" w:eastAsia="Times New Roman" w:hAnsi="Calibri" w:cs="Times New Roman"/>
                <w:color w:val="000000"/>
                <w:lang w:val="en-US"/>
              </w:rPr>
              <w:t>Total</w:t>
            </w:r>
          </w:p>
        </w:tc>
        <w:tc>
          <w:tcPr>
            <w:tcW w:w="739" w:type="pct"/>
            <w:tcBorders>
              <w:top w:val="nil"/>
              <w:left w:val="nil"/>
              <w:bottom w:val="single" w:sz="4" w:space="0" w:color="auto"/>
              <w:right w:val="single" w:sz="4" w:space="0" w:color="auto"/>
            </w:tcBorders>
            <w:shd w:val="clear" w:color="auto" w:fill="auto"/>
            <w:noWrap/>
            <w:vAlign w:val="bottom"/>
            <w:hideMark/>
          </w:tcPr>
          <w:p w14:paraId="7FD8732B"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58</w:t>
            </w:r>
          </w:p>
        </w:tc>
        <w:tc>
          <w:tcPr>
            <w:tcW w:w="693" w:type="pct"/>
            <w:tcBorders>
              <w:top w:val="nil"/>
              <w:left w:val="nil"/>
              <w:bottom w:val="single" w:sz="4" w:space="0" w:color="auto"/>
              <w:right w:val="single" w:sz="4" w:space="0" w:color="auto"/>
            </w:tcBorders>
            <w:shd w:val="clear" w:color="auto" w:fill="auto"/>
            <w:noWrap/>
            <w:vAlign w:val="bottom"/>
            <w:hideMark/>
          </w:tcPr>
          <w:p w14:paraId="2DC745B6"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125</w:t>
            </w:r>
          </w:p>
        </w:tc>
        <w:tc>
          <w:tcPr>
            <w:tcW w:w="557" w:type="pct"/>
            <w:tcBorders>
              <w:top w:val="nil"/>
              <w:left w:val="nil"/>
              <w:bottom w:val="single" w:sz="4" w:space="0" w:color="auto"/>
              <w:right w:val="single" w:sz="4" w:space="0" w:color="auto"/>
            </w:tcBorders>
            <w:shd w:val="clear" w:color="auto" w:fill="auto"/>
            <w:noWrap/>
            <w:vAlign w:val="bottom"/>
            <w:hideMark/>
          </w:tcPr>
          <w:p w14:paraId="50CA3228"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62</w:t>
            </w:r>
          </w:p>
        </w:tc>
        <w:tc>
          <w:tcPr>
            <w:tcW w:w="557" w:type="pct"/>
            <w:tcBorders>
              <w:top w:val="nil"/>
              <w:left w:val="nil"/>
              <w:bottom w:val="single" w:sz="4" w:space="0" w:color="auto"/>
              <w:right w:val="single" w:sz="4" w:space="0" w:color="auto"/>
            </w:tcBorders>
            <w:shd w:val="clear" w:color="auto" w:fill="auto"/>
            <w:noWrap/>
            <w:vAlign w:val="bottom"/>
            <w:hideMark/>
          </w:tcPr>
          <w:p w14:paraId="77F2F69A"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121</w:t>
            </w:r>
          </w:p>
        </w:tc>
        <w:tc>
          <w:tcPr>
            <w:tcW w:w="676" w:type="pct"/>
            <w:tcBorders>
              <w:top w:val="nil"/>
              <w:left w:val="nil"/>
              <w:bottom w:val="single" w:sz="4" w:space="0" w:color="auto"/>
              <w:right w:val="single" w:sz="4" w:space="0" w:color="auto"/>
            </w:tcBorders>
            <w:shd w:val="clear" w:color="auto" w:fill="auto"/>
            <w:noWrap/>
            <w:vAlign w:val="bottom"/>
            <w:hideMark/>
          </w:tcPr>
          <w:p w14:paraId="3EEB7C7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69</w:t>
            </w:r>
          </w:p>
        </w:tc>
        <w:tc>
          <w:tcPr>
            <w:tcW w:w="273" w:type="pct"/>
            <w:tcBorders>
              <w:top w:val="nil"/>
              <w:left w:val="nil"/>
              <w:bottom w:val="single" w:sz="4" w:space="0" w:color="auto"/>
              <w:right w:val="single" w:sz="4" w:space="0" w:color="auto"/>
            </w:tcBorders>
            <w:shd w:val="clear" w:color="auto" w:fill="auto"/>
            <w:noWrap/>
            <w:vAlign w:val="bottom"/>
            <w:hideMark/>
          </w:tcPr>
          <w:p w14:paraId="6B139BB4"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61</w:t>
            </w:r>
          </w:p>
        </w:tc>
        <w:tc>
          <w:tcPr>
            <w:tcW w:w="511" w:type="pct"/>
            <w:tcBorders>
              <w:top w:val="nil"/>
              <w:left w:val="nil"/>
              <w:bottom w:val="single" w:sz="4" w:space="0" w:color="auto"/>
              <w:right w:val="single" w:sz="4" w:space="0" w:color="auto"/>
            </w:tcBorders>
            <w:shd w:val="clear" w:color="auto" w:fill="auto"/>
            <w:noWrap/>
            <w:vAlign w:val="bottom"/>
            <w:hideMark/>
          </w:tcPr>
          <w:p w14:paraId="6A492F7D"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10</w:t>
            </w:r>
          </w:p>
        </w:tc>
        <w:tc>
          <w:tcPr>
            <w:tcW w:w="273" w:type="pct"/>
            <w:tcBorders>
              <w:top w:val="nil"/>
              <w:left w:val="nil"/>
              <w:bottom w:val="single" w:sz="4" w:space="0" w:color="auto"/>
              <w:right w:val="single" w:sz="4" w:space="0" w:color="auto"/>
            </w:tcBorders>
            <w:shd w:val="clear" w:color="auto" w:fill="auto"/>
            <w:noWrap/>
            <w:vAlign w:val="bottom"/>
            <w:hideMark/>
          </w:tcPr>
          <w:p w14:paraId="14AFCC38"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374</w:t>
            </w:r>
          </w:p>
        </w:tc>
        <w:tc>
          <w:tcPr>
            <w:tcW w:w="273" w:type="pct"/>
            <w:tcBorders>
              <w:top w:val="nil"/>
              <w:left w:val="nil"/>
              <w:bottom w:val="single" w:sz="4" w:space="0" w:color="auto"/>
              <w:right w:val="single" w:sz="4" w:space="0" w:color="auto"/>
            </w:tcBorders>
            <w:shd w:val="clear" w:color="auto" w:fill="auto"/>
            <w:noWrap/>
            <w:vAlign w:val="bottom"/>
            <w:hideMark/>
          </w:tcPr>
          <w:p w14:paraId="373A32D9" w14:textId="77777777" w:rsidR="00286EBD" w:rsidRPr="00286EBD" w:rsidRDefault="00286EBD" w:rsidP="00286EBD">
            <w:pPr>
              <w:spacing w:line="240" w:lineRule="auto"/>
              <w:jc w:val="center"/>
              <w:rPr>
                <w:rFonts w:ascii="Calibri" w:eastAsia="Times New Roman" w:hAnsi="Calibri" w:cs="Times New Roman"/>
                <w:color w:val="000000"/>
                <w:lang w:val="en-US"/>
              </w:rPr>
            </w:pPr>
            <w:r w:rsidRPr="00286EBD">
              <w:rPr>
                <w:rFonts w:ascii="Calibri" w:eastAsia="Times New Roman" w:hAnsi="Calibri" w:cs="Times New Roman"/>
                <w:color w:val="000000"/>
                <w:lang w:val="en-US"/>
              </w:rPr>
              <w:t>880</w:t>
            </w:r>
          </w:p>
        </w:tc>
      </w:tr>
    </w:tbl>
    <w:p w14:paraId="360EF8C1" w14:textId="138E57A3" w:rsidR="00286EBD" w:rsidRPr="00286EBD" w:rsidRDefault="00286EBD" w:rsidP="009F7C10">
      <w:pPr>
        <w:tabs>
          <w:tab w:val="left" w:pos="1617"/>
          <w:tab w:val="left" w:pos="6657"/>
          <w:tab w:val="left" w:pos="8617"/>
          <w:tab w:val="left" w:pos="10577"/>
          <w:tab w:val="left" w:pos="12957"/>
          <w:tab w:val="left" w:pos="13917"/>
          <w:tab w:val="left" w:pos="15717"/>
          <w:tab w:val="left" w:pos="16677"/>
        </w:tabs>
        <w:spacing w:line="240" w:lineRule="auto"/>
        <w:ind w:left="113"/>
        <w:rPr>
          <w:rFonts w:ascii="Times New Roman" w:eastAsia="Times New Roman" w:hAnsi="Times New Roman" w:cs="Times New Roman"/>
          <w:sz w:val="20"/>
          <w:szCs w:val="20"/>
          <w:lang w:val="en-US"/>
        </w:rPr>
      </w:pPr>
      <w:r w:rsidRPr="00286EBD">
        <w:rPr>
          <w:rFonts w:ascii="Calibri" w:eastAsia="Times New Roman" w:hAnsi="Calibri" w:cs="Times New Roman"/>
          <w:color w:val="000000"/>
          <w:lang w:val="en-US"/>
        </w:rPr>
        <w:tab/>
      </w:r>
      <w:r w:rsidRPr="00286EBD">
        <w:rPr>
          <w:rFonts w:ascii="Calibri" w:eastAsia="Times New Roman" w:hAnsi="Calibri" w:cs="Times New Roman"/>
          <w:color w:val="000000"/>
          <w:lang w:val="en-US"/>
        </w:rPr>
        <w:t xml:space="preserve">* 1 mixed </w:t>
      </w:r>
      <w:r w:rsidRPr="00286EBD">
        <w:rPr>
          <w:rFonts w:ascii="Calibri" w:eastAsia="Times New Roman" w:hAnsi="Calibri" w:cs="Times New Roman"/>
          <w:i/>
          <w:iCs/>
          <w:color w:val="000000"/>
          <w:lang w:val="en-US"/>
        </w:rPr>
        <w:t>Enterococcus</w:t>
      </w:r>
      <w:r w:rsidRPr="00286EBD">
        <w:rPr>
          <w:rFonts w:ascii="Calibri" w:eastAsia="Times New Roman" w:hAnsi="Calibri" w:cs="Times New Roman"/>
          <w:color w:val="000000"/>
          <w:lang w:val="en-US"/>
        </w:rPr>
        <w:t xml:space="preserve"> and </w:t>
      </w:r>
      <w:r w:rsidRPr="00286EBD">
        <w:rPr>
          <w:rFonts w:ascii="Calibri" w:eastAsia="Times New Roman" w:hAnsi="Calibri" w:cs="Times New Roman"/>
          <w:i/>
          <w:iCs/>
          <w:color w:val="000000"/>
          <w:lang w:val="en-US"/>
        </w:rPr>
        <w:t>Staphylococus</w:t>
      </w:r>
      <w:r w:rsidRPr="00286EBD">
        <w:rPr>
          <w:rFonts w:ascii="Times New Roman" w:eastAsia="Times New Roman" w:hAnsi="Times New Roman" w:cs="Times New Roman"/>
          <w:sz w:val="20"/>
          <w:szCs w:val="20"/>
          <w:lang w:val="en-US"/>
        </w:rPr>
        <w:tab/>
      </w:r>
      <w:r w:rsidRPr="00286EBD">
        <w:rPr>
          <w:rFonts w:ascii="Times New Roman" w:eastAsia="Times New Roman" w:hAnsi="Times New Roman" w:cs="Times New Roman"/>
          <w:sz w:val="20"/>
          <w:szCs w:val="20"/>
          <w:lang w:val="en-US"/>
        </w:rPr>
        <w:tab/>
      </w:r>
    </w:p>
    <w:p w14:paraId="7769C2C0" w14:textId="56C4B5D8" w:rsidR="00286EBD" w:rsidRPr="00286EBD" w:rsidRDefault="00286EBD" w:rsidP="009F7C10">
      <w:pPr>
        <w:tabs>
          <w:tab w:val="left" w:pos="1617"/>
          <w:tab w:val="left" w:pos="10577"/>
          <w:tab w:val="left" w:pos="12957"/>
          <w:tab w:val="left" w:pos="13917"/>
          <w:tab w:val="left" w:pos="15717"/>
          <w:tab w:val="left" w:pos="16677"/>
        </w:tabs>
        <w:spacing w:line="240" w:lineRule="auto"/>
        <w:ind w:left="113"/>
        <w:rPr>
          <w:rFonts w:ascii="Times New Roman" w:eastAsia="Times New Roman" w:hAnsi="Times New Roman" w:cs="Times New Roman"/>
          <w:sz w:val="20"/>
          <w:szCs w:val="20"/>
          <w:lang w:val="en-US"/>
        </w:rPr>
      </w:pPr>
      <w:r w:rsidRPr="00286EBD">
        <w:rPr>
          <w:rFonts w:ascii="Times New Roman" w:eastAsia="Times New Roman" w:hAnsi="Times New Roman" w:cs="Times New Roman"/>
          <w:sz w:val="20"/>
          <w:szCs w:val="20"/>
          <w:lang w:val="en-US"/>
        </w:rPr>
        <w:tab/>
      </w:r>
      <w:r w:rsidRPr="00286EBD">
        <w:rPr>
          <w:rFonts w:ascii="Calibri" w:eastAsia="Times New Roman" w:hAnsi="Calibri" w:cs="Times New Roman"/>
          <w:color w:val="000000"/>
          <w:lang w:val="en-US"/>
        </w:rPr>
        <w:t xml:space="preserve">* 3 mixed </w:t>
      </w:r>
      <w:r w:rsidRPr="00286EBD">
        <w:rPr>
          <w:rFonts w:ascii="Calibri" w:eastAsia="Times New Roman" w:hAnsi="Calibri" w:cs="Times New Roman"/>
          <w:i/>
          <w:iCs/>
          <w:color w:val="000000"/>
          <w:lang w:val="en-US"/>
        </w:rPr>
        <w:t>Staphylococcus</w:t>
      </w:r>
      <w:r w:rsidRPr="00286EBD">
        <w:rPr>
          <w:rFonts w:ascii="Calibri" w:eastAsia="Times New Roman" w:hAnsi="Calibri" w:cs="Times New Roman"/>
          <w:color w:val="000000"/>
          <w:lang w:val="en-US"/>
        </w:rPr>
        <w:t xml:space="preserve"> and</w:t>
      </w:r>
      <w:r w:rsidRPr="00286EBD">
        <w:rPr>
          <w:rFonts w:ascii="Calibri" w:eastAsia="Times New Roman" w:hAnsi="Calibri" w:cs="Times New Roman"/>
          <w:i/>
          <w:iCs/>
          <w:color w:val="000000"/>
          <w:lang w:val="en-US"/>
        </w:rPr>
        <w:t xml:space="preserve"> Enterococcus </w:t>
      </w:r>
      <w:r w:rsidRPr="00286EBD">
        <w:rPr>
          <w:rFonts w:ascii="Calibri" w:eastAsia="Times New Roman" w:hAnsi="Calibri" w:cs="Times New Roman"/>
          <w:color w:val="000000"/>
          <w:lang w:val="en-US"/>
        </w:rPr>
        <w:t xml:space="preserve">,2 mixed </w:t>
      </w:r>
      <w:r w:rsidRPr="00286EBD">
        <w:rPr>
          <w:rFonts w:ascii="Calibri" w:eastAsia="Times New Roman" w:hAnsi="Calibri" w:cs="Times New Roman"/>
          <w:i/>
          <w:iCs/>
          <w:color w:val="000000"/>
          <w:lang w:val="en-US"/>
        </w:rPr>
        <w:t>Staphylococcus and</w:t>
      </w:r>
      <w:r w:rsidRPr="00286EBD">
        <w:rPr>
          <w:rFonts w:ascii="Calibri" w:eastAsia="Times New Roman" w:hAnsi="Calibri" w:cs="Times New Roman"/>
          <w:color w:val="000000"/>
          <w:lang w:val="en-US"/>
        </w:rPr>
        <w:t xml:space="preserve"> </w:t>
      </w:r>
      <w:r w:rsidRPr="00286EBD">
        <w:rPr>
          <w:rFonts w:ascii="Calibri" w:eastAsia="Times New Roman" w:hAnsi="Calibri" w:cs="Times New Roman"/>
          <w:i/>
          <w:iCs/>
          <w:color w:val="000000"/>
          <w:lang w:val="en-US"/>
        </w:rPr>
        <w:t>Streptococcus</w:t>
      </w:r>
      <w:r w:rsidRPr="00286EBD">
        <w:rPr>
          <w:rFonts w:ascii="Calibri" w:eastAsia="Times New Roman" w:hAnsi="Calibri" w:cs="Times New Roman"/>
          <w:color w:val="000000"/>
          <w:lang w:val="en-US"/>
        </w:rPr>
        <w:t xml:space="preserve"> </w:t>
      </w:r>
      <w:r w:rsidRPr="00286EBD">
        <w:rPr>
          <w:rFonts w:ascii="Times New Roman" w:eastAsia="Times New Roman" w:hAnsi="Times New Roman" w:cs="Times New Roman"/>
          <w:sz w:val="20"/>
          <w:szCs w:val="20"/>
          <w:lang w:val="en-US"/>
        </w:rPr>
        <w:tab/>
      </w:r>
    </w:p>
    <w:p w14:paraId="2F613A42" w14:textId="5381110F" w:rsidR="00286EBD" w:rsidRPr="00286EBD" w:rsidRDefault="00286EBD" w:rsidP="009F7C10">
      <w:pPr>
        <w:tabs>
          <w:tab w:val="left" w:pos="1617"/>
          <w:tab w:val="left" w:pos="10577"/>
          <w:tab w:val="left" w:pos="12957"/>
          <w:tab w:val="left" w:pos="13917"/>
          <w:tab w:val="left" w:pos="15717"/>
          <w:tab w:val="left" w:pos="16677"/>
        </w:tabs>
        <w:spacing w:line="240" w:lineRule="auto"/>
        <w:ind w:left="113"/>
        <w:rPr>
          <w:rFonts w:ascii="Times New Roman" w:eastAsia="Times New Roman" w:hAnsi="Times New Roman" w:cs="Times New Roman"/>
          <w:sz w:val="20"/>
          <w:szCs w:val="20"/>
          <w:lang w:val="en-US"/>
        </w:rPr>
      </w:pPr>
      <w:r w:rsidRPr="00286EBD">
        <w:rPr>
          <w:rFonts w:ascii="Times New Roman" w:eastAsia="Times New Roman" w:hAnsi="Times New Roman" w:cs="Times New Roman"/>
          <w:sz w:val="20"/>
          <w:szCs w:val="20"/>
          <w:lang w:val="en-US"/>
        </w:rPr>
        <w:tab/>
      </w:r>
      <w:r w:rsidRPr="00286EBD">
        <w:rPr>
          <w:rFonts w:ascii="Calibri" w:eastAsia="Times New Roman" w:hAnsi="Calibri" w:cs="Times New Roman"/>
          <w:color w:val="000000"/>
          <w:vertAlign w:val="superscript"/>
          <w:lang w:val="en-US"/>
        </w:rPr>
        <w:t>#</w:t>
      </w:r>
      <w:r w:rsidRPr="00286EBD">
        <w:rPr>
          <w:rFonts w:ascii="Calibri" w:eastAsia="Times New Roman" w:hAnsi="Calibri" w:cs="Times New Roman"/>
          <w:color w:val="000000"/>
          <w:lang w:val="en-US"/>
        </w:rPr>
        <w:t xml:space="preserve">  mixed </w:t>
      </w:r>
      <w:r w:rsidRPr="00286EBD">
        <w:rPr>
          <w:rFonts w:ascii="Calibri" w:eastAsia="Times New Roman" w:hAnsi="Calibri" w:cs="Times New Roman"/>
          <w:i/>
          <w:iCs/>
          <w:color w:val="000000"/>
          <w:lang w:val="en-US"/>
        </w:rPr>
        <w:t>Streptococcus</w:t>
      </w:r>
      <w:r w:rsidRPr="00286EBD">
        <w:rPr>
          <w:rFonts w:ascii="Calibri" w:eastAsia="Times New Roman" w:hAnsi="Calibri" w:cs="Times New Roman"/>
          <w:color w:val="000000"/>
          <w:lang w:val="en-US"/>
        </w:rPr>
        <w:t xml:space="preserve"> and </w:t>
      </w:r>
      <w:r w:rsidRPr="00286EBD">
        <w:rPr>
          <w:rFonts w:ascii="Calibri" w:eastAsia="Times New Roman" w:hAnsi="Calibri" w:cs="Times New Roman"/>
          <w:i/>
          <w:iCs/>
          <w:color w:val="000000"/>
          <w:lang w:val="en-US"/>
        </w:rPr>
        <w:t>Enterococcus</w:t>
      </w:r>
      <w:r w:rsidRPr="00286EBD">
        <w:rPr>
          <w:rFonts w:ascii="Calibri" w:eastAsia="Times New Roman" w:hAnsi="Calibri" w:cs="Times New Roman"/>
          <w:color w:val="000000"/>
          <w:lang w:val="en-US"/>
        </w:rPr>
        <w:t xml:space="preserve">, 3 mixed </w:t>
      </w:r>
      <w:r w:rsidRPr="00286EBD">
        <w:rPr>
          <w:rFonts w:ascii="Calibri" w:eastAsia="Times New Roman" w:hAnsi="Calibri" w:cs="Times New Roman"/>
          <w:i/>
          <w:iCs/>
          <w:color w:val="000000"/>
          <w:lang w:val="en-US"/>
        </w:rPr>
        <w:t>Staphylococcus</w:t>
      </w:r>
      <w:r w:rsidRPr="00286EBD">
        <w:rPr>
          <w:rFonts w:ascii="Calibri" w:eastAsia="Times New Roman" w:hAnsi="Calibri" w:cs="Times New Roman"/>
          <w:color w:val="000000"/>
          <w:lang w:val="en-US"/>
        </w:rPr>
        <w:t xml:space="preserve">, </w:t>
      </w:r>
      <w:r w:rsidRPr="00286EBD">
        <w:rPr>
          <w:rFonts w:ascii="Calibri" w:eastAsia="Times New Roman" w:hAnsi="Calibri" w:cs="Times New Roman"/>
          <w:i/>
          <w:iCs/>
          <w:color w:val="000000"/>
          <w:lang w:val="en-US"/>
        </w:rPr>
        <w:t>Streptococcus</w:t>
      </w:r>
      <w:r w:rsidRPr="00286EBD">
        <w:rPr>
          <w:rFonts w:ascii="Calibri" w:eastAsia="Times New Roman" w:hAnsi="Calibri" w:cs="Times New Roman"/>
          <w:color w:val="000000"/>
          <w:lang w:val="en-US"/>
        </w:rPr>
        <w:t xml:space="preserve"> and Other</w:t>
      </w:r>
    </w:p>
    <w:p w14:paraId="4004CF37" w14:textId="77777777" w:rsidR="00286EBD" w:rsidRPr="00286EBD" w:rsidRDefault="00286EBD" w:rsidP="009F7C10">
      <w:pPr>
        <w:spacing w:line="240" w:lineRule="auto"/>
        <w:ind w:left="113"/>
        <w:rPr>
          <w:rFonts w:ascii="Calibri" w:eastAsia="Times New Roman" w:hAnsi="Calibri" w:cs="Times New Roman"/>
          <w:color w:val="000000"/>
          <w:lang w:val="en-US"/>
        </w:rPr>
      </w:pPr>
      <w:r w:rsidRPr="00286EBD">
        <w:rPr>
          <w:rFonts w:ascii="Calibri" w:eastAsia="Times New Roman" w:hAnsi="Calibri" w:cs="Times New Roman"/>
          <w:color w:val="000000"/>
          <w:lang w:val="en-US"/>
        </w:rPr>
        <w:t>Note: microbiology linked results available to species level. Of 441 cases where an organism code was given, 238 (41%) agreed exactly to the level of Streptococcus and Staphylococcus spp. (Enterococcus may be coded as Streptococcus given the options available). Of 252 microbiology-determined Streptococcal/Staphylococcal cases, 238 (94%) were correctly identified from organism codes.</w:t>
      </w:r>
    </w:p>
    <w:p w14:paraId="786EC256" w14:textId="30EBD93C" w:rsidR="00F84834" w:rsidRDefault="00F84834">
      <w:pPr>
        <w:spacing w:after="200" w:line="276" w:lineRule="auto"/>
        <w:rPr>
          <w:rFonts w:cstheme="minorHAnsi"/>
        </w:rPr>
      </w:pPr>
      <w:r>
        <w:rPr>
          <w:rFonts w:cstheme="minorHAnsi"/>
        </w:rPr>
        <w:br w:type="page"/>
      </w:r>
    </w:p>
    <w:p w14:paraId="7CE3E3D9" w14:textId="77777777" w:rsidR="00F84834" w:rsidRDefault="00F84834" w:rsidP="00E47D3F">
      <w:pPr>
        <w:rPr>
          <w:b/>
          <w:bCs/>
        </w:rPr>
        <w:sectPr w:rsidR="00F84834" w:rsidSect="00A82FDA">
          <w:pgSz w:w="16838" w:h="11906" w:orient="landscape"/>
          <w:pgMar w:top="1440" w:right="1440" w:bottom="1440" w:left="1440" w:header="706" w:footer="706" w:gutter="0"/>
          <w:cols w:space="708"/>
          <w:docGrid w:linePitch="360"/>
        </w:sectPr>
      </w:pPr>
    </w:p>
    <w:p w14:paraId="62F99615" w14:textId="0A8A762A" w:rsidR="00286EBD" w:rsidRDefault="00F84834" w:rsidP="00E47D3F">
      <w:r>
        <w:rPr>
          <w:b/>
          <w:bCs/>
        </w:rPr>
        <w:lastRenderedPageBreak/>
        <w:t xml:space="preserve">Figure S8 </w:t>
      </w:r>
      <w:r>
        <w:t>Coding depth and use of secondary/supplementary organism codes in Leeds and Oxford</w:t>
      </w:r>
    </w:p>
    <w:p w14:paraId="45629AB4" w14:textId="22A762EA" w:rsidR="00F84834" w:rsidRPr="0017725B" w:rsidRDefault="00F84834" w:rsidP="00E47D3F">
      <w:pPr>
        <w:rPr>
          <w:rFonts w:cstheme="minorHAnsi"/>
        </w:rPr>
      </w:pPr>
      <w:bookmarkStart w:id="2" w:name="_GoBack"/>
      <w:r>
        <w:rPr>
          <w:rFonts w:cstheme="minorHAnsi"/>
          <w:noProof/>
          <w:lang w:val="en-US"/>
        </w:rPr>
        <w:drawing>
          <wp:inline distT="0" distB="0" distL="0" distR="0" wp14:anchorId="732AADC9" wp14:editId="5EACB4F7">
            <wp:extent cx="6432550" cy="5730875"/>
            <wp:effectExtent l="0" t="0" r="6350" b="3175"/>
            <wp:docPr id="8" name="Picture 8" descr="D:\WorkDIR\LOVE\a\8-14\BEI91390\12916_2019_1390_MOESM16_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orkDIR\LOVE\a\8-14\BEI91390\12916_2019_1390_MOESM16_ES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2550" cy="5730875"/>
                    </a:xfrm>
                    <a:prstGeom prst="rect">
                      <a:avLst/>
                    </a:prstGeom>
                    <a:noFill/>
                    <a:ln>
                      <a:noFill/>
                    </a:ln>
                  </pic:spPr>
                </pic:pic>
              </a:graphicData>
            </a:graphic>
          </wp:inline>
        </w:drawing>
      </w:r>
      <w:bookmarkEnd w:id="2"/>
    </w:p>
    <w:sectPr w:rsidR="00F84834" w:rsidRPr="0017725B" w:rsidSect="00F84834">
      <w:pgSz w:w="11906" w:h="16838"/>
      <w:pgMar w:top="1440" w:right="1440" w:bottom="1440" w:left="1440" w:header="706" w:footer="70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14CA89" w16cid:durableId="1F79DF63"/>
  <w16cid:commentId w16cid:paraId="550270D6" w16cid:durableId="1F79E19A"/>
  <w16cid:commentId w16cid:paraId="55DAF995" w16cid:durableId="1F79E463"/>
  <w16cid:commentId w16cid:paraId="3CC28A3D" w16cid:durableId="1F79E4C3"/>
  <w16cid:commentId w16cid:paraId="7E86526E" w16cid:durableId="1F7AA8B8"/>
  <w16cid:commentId w16cid:paraId="3A603254" w16cid:durableId="1F7AACC0"/>
  <w16cid:commentId w16cid:paraId="591AB271" w16cid:durableId="1F7AA87F"/>
  <w16cid:commentId w16cid:paraId="6BAE2491" w16cid:durableId="1F7AA95F"/>
  <w16cid:commentId w16cid:paraId="415C6168" w16cid:durableId="1F7AAAE2"/>
  <w16cid:commentId w16cid:paraId="53C605AC" w16cid:durableId="1F7AA9D2"/>
  <w16cid:commentId w16cid:paraId="31AACF4F" w16cid:durableId="1F7AAE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D7F82" w14:textId="77777777" w:rsidR="006F326C" w:rsidRDefault="006F326C">
      <w:pPr>
        <w:spacing w:line="240" w:lineRule="auto"/>
      </w:pPr>
      <w:r>
        <w:separator/>
      </w:r>
    </w:p>
  </w:endnote>
  <w:endnote w:type="continuationSeparator" w:id="0">
    <w:p w14:paraId="02A3BBCD" w14:textId="77777777" w:rsidR="006F326C" w:rsidRDefault="006F32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6BB82" w14:textId="77777777" w:rsidR="006F326C" w:rsidRDefault="006F326C">
      <w:pPr>
        <w:spacing w:line="240" w:lineRule="auto"/>
      </w:pPr>
    </w:p>
  </w:footnote>
  <w:footnote w:type="continuationSeparator" w:id="0">
    <w:p w14:paraId="616BB473" w14:textId="77777777" w:rsidR="006F326C" w:rsidRDefault="006F32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F60"/>
    <w:multiLevelType w:val="hybridMultilevel"/>
    <w:tmpl w:val="65D63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9E7BA8"/>
    <w:multiLevelType w:val="hybridMultilevel"/>
    <w:tmpl w:val="F37A5796"/>
    <w:lvl w:ilvl="0" w:tplc="2DF431F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F36FA"/>
    <w:multiLevelType w:val="hybridMultilevel"/>
    <w:tmpl w:val="C5D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313E7"/>
    <w:multiLevelType w:val="hybridMultilevel"/>
    <w:tmpl w:val="717AF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2B3F"/>
    <w:multiLevelType w:val="hybridMultilevel"/>
    <w:tmpl w:val="5C0A6C48"/>
    <w:lvl w:ilvl="0" w:tplc="7640DF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AD53CC"/>
    <w:multiLevelType w:val="multilevel"/>
    <w:tmpl w:val="029C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061978"/>
    <w:multiLevelType w:val="hybridMultilevel"/>
    <w:tmpl w:val="DBA03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F1D3A"/>
    <w:multiLevelType w:val="hybridMultilevel"/>
    <w:tmpl w:val="EDDC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93D65"/>
    <w:multiLevelType w:val="hybridMultilevel"/>
    <w:tmpl w:val="764CD13E"/>
    <w:lvl w:ilvl="0" w:tplc="D8282096">
      <w:numFmt w:val="bullet"/>
      <w:lvlText w:val="-"/>
      <w:lvlJc w:val="left"/>
      <w:pPr>
        <w:ind w:left="720" w:hanging="360"/>
      </w:pPr>
      <w:rPr>
        <w:rFonts w:ascii="Calibri" w:eastAsia="Times New Roman" w:hAnsi="Calibri"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DD4069"/>
    <w:multiLevelType w:val="hybridMultilevel"/>
    <w:tmpl w:val="25800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9A0945"/>
    <w:multiLevelType w:val="hybridMultilevel"/>
    <w:tmpl w:val="6A0248E6"/>
    <w:lvl w:ilvl="0" w:tplc="E9EEE0A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1C187F"/>
    <w:multiLevelType w:val="hybridMultilevel"/>
    <w:tmpl w:val="74E87CF8"/>
    <w:lvl w:ilvl="0" w:tplc="17E29194">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608D1"/>
    <w:multiLevelType w:val="hybridMultilevel"/>
    <w:tmpl w:val="E45C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A47E8"/>
    <w:multiLevelType w:val="hybridMultilevel"/>
    <w:tmpl w:val="BC12866C"/>
    <w:lvl w:ilvl="0" w:tplc="3CB42A80">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481D9E"/>
    <w:multiLevelType w:val="hybridMultilevel"/>
    <w:tmpl w:val="7174F9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9558F1"/>
    <w:multiLevelType w:val="hybridMultilevel"/>
    <w:tmpl w:val="C846E424"/>
    <w:lvl w:ilvl="0" w:tplc="3432DDC6">
      <w:start w:val="1"/>
      <w:numFmt w:val="bullet"/>
      <w:lvlText w:val="•"/>
      <w:lvlJc w:val="left"/>
      <w:pPr>
        <w:tabs>
          <w:tab w:val="num" w:pos="720"/>
        </w:tabs>
        <w:ind w:left="720" w:hanging="360"/>
      </w:pPr>
      <w:rPr>
        <w:rFonts w:ascii="Arial" w:hAnsi="Arial" w:hint="default"/>
      </w:rPr>
    </w:lvl>
    <w:lvl w:ilvl="1" w:tplc="70FCFEB6">
      <w:start w:val="51"/>
      <w:numFmt w:val="bullet"/>
      <w:lvlText w:val="–"/>
      <w:lvlJc w:val="left"/>
      <w:pPr>
        <w:tabs>
          <w:tab w:val="num" w:pos="1440"/>
        </w:tabs>
        <w:ind w:left="1440" w:hanging="360"/>
      </w:pPr>
      <w:rPr>
        <w:rFonts w:ascii="Arial" w:hAnsi="Arial" w:hint="default"/>
      </w:rPr>
    </w:lvl>
    <w:lvl w:ilvl="2" w:tplc="0FE04C0A">
      <w:start w:val="1"/>
      <w:numFmt w:val="bullet"/>
      <w:lvlText w:val="•"/>
      <w:lvlJc w:val="left"/>
      <w:pPr>
        <w:tabs>
          <w:tab w:val="num" w:pos="2160"/>
        </w:tabs>
        <w:ind w:left="2160" w:hanging="360"/>
      </w:pPr>
      <w:rPr>
        <w:rFonts w:ascii="Arial" w:hAnsi="Arial" w:hint="default"/>
      </w:rPr>
    </w:lvl>
    <w:lvl w:ilvl="3" w:tplc="743E0848" w:tentative="1">
      <w:start w:val="1"/>
      <w:numFmt w:val="bullet"/>
      <w:lvlText w:val="•"/>
      <w:lvlJc w:val="left"/>
      <w:pPr>
        <w:tabs>
          <w:tab w:val="num" w:pos="2880"/>
        </w:tabs>
        <w:ind w:left="2880" w:hanging="360"/>
      </w:pPr>
      <w:rPr>
        <w:rFonts w:ascii="Arial" w:hAnsi="Arial" w:hint="default"/>
      </w:rPr>
    </w:lvl>
    <w:lvl w:ilvl="4" w:tplc="23B08504" w:tentative="1">
      <w:start w:val="1"/>
      <w:numFmt w:val="bullet"/>
      <w:lvlText w:val="•"/>
      <w:lvlJc w:val="left"/>
      <w:pPr>
        <w:tabs>
          <w:tab w:val="num" w:pos="3600"/>
        </w:tabs>
        <w:ind w:left="3600" w:hanging="360"/>
      </w:pPr>
      <w:rPr>
        <w:rFonts w:ascii="Arial" w:hAnsi="Arial" w:hint="default"/>
      </w:rPr>
    </w:lvl>
    <w:lvl w:ilvl="5" w:tplc="4D38D4C6" w:tentative="1">
      <w:start w:val="1"/>
      <w:numFmt w:val="bullet"/>
      <w:lvlText w:val="•"/>
      <w:lvlJc w:val="left"/>
      <w:pPr>
        <w:tabs>
          <w:tab w:val="num" w:pos="4320"/>
        </w:tabs>
        <w:ind w:left="4320" w:hanging="360"/>
      </w:pPr>
      <w:rPr>
        <w:rFonts w:ascii="Arial" w:hAnsi="Arial" w:hint="default"/>
      </w:rPr>
    </w:lvl>
    <w:lvl w:ilvl="6" w:tplc="4628C36E" w:tentative="1">
      <w:start w:val="1"/>
      <w:numFmt w:val="bullet"/>
      <w:lvlText w:val="•"/>
      <w:lvlJc w:val="left"/>
      <w:pPr>
        <w:tabs>
          <w:tab w:val="num" w:pos="5040"/>
        </w:tabs>
        <w:ind w:left="5040" w:hanging="360"/>
      </w:pPr>
      <w:rPr>
        <w:rFonts w:ascii="Arial" w:hAnsi="Arial" w:hint="default"/>
      </w:rPr>
    </w:lvl>
    <w:lvl w:ilvl="7" w:tplc="0416256E" w:tentative="1">
      <w:start w:val="1"/>
      <w:numFmt w:val="bullet"/>
      <w:lvlText w:val="•"/>
      <w:lvlJc w:val="left"/>
      <w:pPr>
        <w:tabs>
          <w:tab w:val="num" w:pos="5760"/>
        </w:tabs>
        <w:ind w:left="5760" w:hanging="360"/>
      </w:pPr>
      <w:rPr>
        <w:rFonts w:ascii="Arial" w:hAnsi="Arial" w:hint="default"/>
      </w:rPr>
    </w:lvl>
    <w:lvl w:ilvl="8" w:tplc="43A6864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D7553B"/>
    <w:multiLevelType w:val="hybridMultilevel"/>
    <w:tmpl w:val="E326E696"/>
    <w:lvl w:ilvl="0" w:tplc="DD7697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C00765"/>
    <w:multiLevelType w:val="hybridMultilevel"/>
    <w:tmpl w:val="A170D3B6"/>
    <w:lvl w:ilvl="0" w:tplc="7D8CCF6C">
      <w:numFmt w:val="bullet"/>
      <w:lvlText w:val="-"/>
      <w:lvlJc w:val="left"/>
      <w:pPr>
        <w:ind w:left="1560" w:hanging="84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F215C6"/>
    <w:multiLevelType w:val="multilevel"/>
    <w:tmpl w:val="0B80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C688A"/>
    <w:multiLevelType w:val="hybridMultilevel"/>
    <w:tmpl w:val="7994BB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B6121F"/>
    <w:multiLevelType w:val="hybridMultilevel"/>
    <w:tmpl w:val="708653EA"/>
    <w:lvl w:ilvl="0" w:tplc="45B6B18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F42B4"/>
    <w:multiLevelType w:val="hybridMultilevel"/>
    <w:tmpl w:val="97483DB8"/>
    <w:lvl w:ilvl="0" w:tplc="7D8CCF6C">
      <w:numFmt w:val="bullet"/>
      <w:lvlText w:val="-"/>
      <w:lvlJc w:val="left"/>
      <w:pPr>
        <w:ind w:left="840" w:hanging="84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01234E"/>
    <w:multiLevelType w:val="hybridMultilevel"/>
    <w:tmpl w:val="086A1B78"/>
    <w:lvl w:ilvl="0" w:tplc="F4A03956">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157C2"/>
    <w:multiLevelType w:val="hybridMultilevel"/>
    <w:tmpl w:val="EEEC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37A69"/>
    <w:multiLevelType w:val="hybridMultilevel"/>
    <w:tmpl w:val="D0C492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E3651C"/>
    <w:multiLevelType w:val="hybridMultilevel"/>
    <w:tmpl w:val="BD8C57CC"/>
    <w:lvl w:ilvl="0" w:tplc="26165BD0">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8C26CB"/>
    <w:multiLevelType w:val="hybridMultilevel"/>
    <w:tmpl w:val="C26C1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36AD0"/>
    <w:multiLevelType w:val="hybridMultilevel"/>
    <w:tmpl w:val="C8C2687C"/>
    <w:lvl w:ilvl="0" w:tplc="BEFE97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565E6C"/>
    <w:multiLevelType w:val="hybridMultilevel"/>
    <w:tmpl w:val="27C64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AC6030"/>
    <w:multiLevelType w:val="hybridMultilevel"/>
    <w:tmpl w:val="BB6C9C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173AE4"/>
    <w:multiLevelType w:val="hybridMultilevel"/>
    <w:tmpl w:val="F67A5C30"/>
    <w:lvl w:ilvl="0" w:tplc="DADCB58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0741D4"/>
    <w:multiLevelType w:val="hybridMultilevel"/>
    <w:tmpl w:val="58924578"/>
    <w:lvl w:ilvl="0" w:tplc="0809000F">
      <w:start w:val="1"/>
      <w:numFmt w:val="decimal"/>
      <w:lvlText w:val="%1."/>
      <w:lvlJc w:val="lef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32" w15:restartNumberingAfterBreak="0">
    <w:nsid w:val="60206E85"/>
    <w:multiLevelType w:val="hybridMultilevel"/>
    <w:tmpl w:val="74EC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DC1419"/>
    <w:multiLevelType w:val="hybridMultilevel"/>
    <w:tmpl w:val="625E15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B065EC"/>
    <w:multiLevelType w:val="hybridMultilevel"/>
    <w:tmpl w:val="70DE4E48"/>
    <w:lvl w:ilvl="0" w:tplc="0958B05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521FC3"/>
    <w:multiLevelType w:val="multilevel"/>
    <w:tmpl w:val="71C4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C3C48"/>
    <w:multiLevelType w:val="hybridMultilevel"/>
    <w:tmpl w:val="C1A44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405D88"/>
    <w:multiLevelType w:val="hybridMultilevel"/>
    <w:tmpl w:val="936C19AA"/>
    <w:lvl w:ilvl="0" w:tplc="B3184796">
      <w:numFmt w:val="bullet"/>
      <w:lvlText w:val="-"/>
      <w:lvlJc w:val="left"/>
      <w:pPr>
        <w:ind w:left="720" w:hanging="360"/>
      </w:pPr>
      <w:rPr>
        <w:rFonts w:ascii="Calibri" w:eastAsia="Times New Roman" w:hAnsi="Calibri" w:cs="Consola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6D13F6"/>
    <w:multiLevelType w:val="hybridMultilevel"/>
    <w:tmpl w:val="973C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8F7E1D"/>
    <w:multiLevelType w:val="hybridMultilevel"/>
    <w:tmpl w:val="405EE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280F5B"/>
    <w:multiLevelType w:val="multilevel"/>
    <w:tmpl w:val="B4CEF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99114A4"/>
    <w:multiLevelType w:val="hybridMultilevel"/>
    <w:tmpl w:val="4552EA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36"/>
  </w:num>
  <w:num w:numId="3">
    <w:abstractNumId w:val="24"/>
  </w:num>
  <w:num w:numId="4">
    <w:abstractNumId w:val="25"/>
  </w:num>
  <w:num w:numId="5">
    <w:abstractNumId w:val="1"/>
  </w:num>
  <w:num w:numId="6">
    <w:abstractNumId w:val="30"/>
  </w:num>
  <w:num w:numId="7">
    <w:abstractNumId w:val="2"/>
  </w:num>
  <w:num w:numId="8">
    <w:abstractNumId w:val="32"/>
  </w:num>
  <w:num w:numId="9">
    <w:abstractNumId w:val="13"/>
  </w:num>
  <w:num w:numId="10">
    <w:abstractNumId w:val="34"/>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21"/>
  </w:num>
  <w:num w:numId="15">
    <w:abstractNumId w:val="17"/>
  </w:num>
  <w:num w:numId="16">
    <w:abstractNumId w:val="39"/>
  </w:num>
  <w:num w:numId="17">
    <w:abstractNumId w:val="5"/>
  </w:num>
  <w:num w:numId="18">
    <w:abstractNumId w:val="15"/>
  </w:num>
  <w:num w:numId="19">
    <w:abstractNumId w:val="6"/>
  </w:num>
  <w:num w:numId="20">
    <w:abstractNumId w:val="7"/>
  </w:num>
  <w:num w:numId="21">
    <w:abstractNumId w:val="26"/>
  </w:num>
  <w:num w:numId="22">
    <w:abstractNumId w:val="3"/>
  </w:num>
  <w:num w:numId="23">
    <w:abstractNumId w:val="8"/>
  </w:num>
  <w:num w:numId="24">
    <w:abstractNumId w:val="35"/>
  </w:num>
  <w:num w:numId="25">
    <w:abstractNumId w:val="27"/>
  </w:num>
  <w:num w:numId="26">
    <w:abstractNumId w:val="37"/>
  </w:num>
  <w:num w:numId="27">
    <w:abstractNumId w:val="11"/>
  </w:num>
  <w:num w:numId="28">
    <w:abstractNumId w:val="41"/>
  </w:num>
  <w:num w:numId="29">
    <w:abstractNumId w:val="22"/>
  </w:num>
  <w:num w:numId="30">
    <w:abstractNumId w:val="18"/>
  </w:num>
  <w:num w:numId="31">
    <w:abstractNumId w:val="33"/>
  </w:num>
  <w:num w:numId="32">
    <w:abstractNumId w:val="28"/>
  </w:num>
  <w:num w:numId="33">
    <w:abstractNumId w:val="20"/>
  </w:num>
  <w:num w:numId="34">
    <w:abstractNumId w:val="9"/>
  </w:num>
  <w:num w:numId="35">
    <w:abstractNumId w:val="29"/>
  </w:num>
  <w:num w:numId="36">
    <w:abstractNumId w:val="38"/>
  </w:num>
  <w:num w:numId="37">
    <w:abstractNumId w:val="23"/>
  </w:num>
  <w:num w:numId="38">
    <w:abstractNumId w:val="19"/>
  </w:num>
  <w:num w:numId="39">
    <w:abstractNumId w:val="4"/>
  </w:num>
  <w:num w:numId="40">
    <w:abstractNumId w:val="14"/>
  </w:num>
  <w:num w:numId="41">
    <w:abstractNumId w:val="1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73378"/>
    <w:rsid w:val="00001506"/>
    <w:rsid w:val="000037E6"/>
    <w:rsid w:val="000050FD"/>
    <w:rsid w:val="00005643"/>
    <w:rsid w:val="000066D7"/>
    <w:rsid w:val="0000695A"/>
    <w:rsid w:val="00007B15"/>
    <w:rsid w:val="000101C5"/>
    <w:rsid w:val="00010652"/>
    <w:rsid w:val="0001248F"/>
    <w:rsid w:val="000125DA"/>
    <w:rsid w:val="0001317C"/>
    <w:rsid w:val="000134A9"/>
    <w:rsid w:val="00013DEB"/>
    <w:rsid w:val="00017D07"/>
    <w:rsid w:val="0002397B"/>
    <w:rsid w:val="00024482"/>
    <w:rsid w:val="00024B1E"/>
    <w:rsid w:val="0002610D"/>
    <w:rsid w:val="0002749C"/>
    <w:rsid w:val="000300C2"/>
    <w:rsid w:val="00031A3D"/>
    <w:rsid w:val="00031CC9"/>
    <w:rsid w:val="00032362"/>
    <w:rsid w:val="00032724"/>
    <w:rsid w:val="00032A8A"/>
    <w:rsid w:val="00034F60"/>
    <w:rsid w:val="00036339"/>
    <w:rsid w:val="000366D8"/>
    <w:rsid w:val="00037A0A"/>
    <w:rsid w:val="00040C95"/>
    <w:rsid w:val="00040D3D"/>
    <w:rsid w:val="00042C71"/>
    <w:rsid w:val="00045097"/>
    <w:rsid w:val="000450F3"/>
    <w:rsid w:val="000457DC"/>
    <w:rsid w:val="00050087"/>
    <w:rsid w:val="00050671"/>
    <w:rsid w:val="00050E33"/>
    <w:rsid w:val="000518B8"/>
    <w:rsid w:val="00053462"/>
    <w:rsid w:val="00053525"/>
    <w:rsid w:val="000552BC"/>
    <w:rsid w:val="000557B5"/>
    <w:rsid w:val="00057142"/>
    <w:rsid w:val="000579C1"/>
    <w:rsid w:val="000609BE"/>
    <w:rsid w:val="00060E83"/>
    <w:rsid w:val="00062436"/>
    <w:rsid w:val="00065379"/>
    <w:rsid w:val="00065969"/>
    <w:rsid w:val="00070613"/>
    <w:rsid w:val="00071D1F"/>
    <w:rsid w:val="00072C5A"/>
    <w:rsid w:val="00072FAC"/>
    <w:rsid w:val="00073FB0"/>
    <w:rsid w:val="000744D6"/>
    <w:rsid w:val="00074895"/>
    <w:rsid w:val="00080382"/>
    <w:rsid w:val="000853EE"/>
    <w:rsid w:val="0008551E"/>
    <w:rsid w:val="00087B44"/>
    <w:rsid w:val="00090321"/>
    <w:rsid w:val="00090381"/>
    <w:rsid w:val="00090EDC"/>
    <w:rsid w:val="00092579"/>
    <w:rsid w:val="000946FE"/>
    <w:rsid w:val="00095BA2"/>
    <w:rsid w:val="000973D2"/>
    <w:rsid w:val="000A0B90"/>
    <w:rsid w:val="000A1449"/>
    <w:rsid w:val="000A4951"/>
    <w:rsid w:val="000A5817"/>
    <w:rsid w:val="000A63DA"/>
    <w:rsid w:val="000A6E91"/>
    <w:rsid w:val="000B4765"/>
    <w:rsid w:val="000B4F0A"/>
    <w:rsid w:val="000C0B05"/>
    <w:rsid w:val="000C0BC0"/>
    <w:rsid w:val="000C0DA5"/>
    <w:rsid w:val="000C77BF"/>
    <w:rsid w:val="000C7B14"/>
    <w:rsid w:val="000D116E"/>
    <w:rsid w:val="000D275E"/>
    <w:rsid w:val="000D2E8D"/>
    <w:rsid w:val="000D4330"/>
    <w:rsid w:val="000D53AE"/>
    <w:rsid w:val="000D6B7A"/>
    <w:rsid w:val="000D7C87"/>
    <w:rsid w:val="000D7CDF"/>
    <w:rsid w:val="000E233E"/>
    <w:rsid w:val="000E38EF"/>
    <w:rsid w:val="000E49BA"/>
    <w:rsid w:val="000E5BE7"/>
    <w:rsid w:val="000E5EFF"/>
    <w:rsid w:val="000E6E61"/>
    <w:rsid w:val="000F0C3F"/>
    <w:rsid w:val="000F105A"/>
    <w:rsid w:val="000F3D69"/>
    <w:rsid w:val="000F3F6F"/>
    <w:rsid w:val="000F527D"/>
    <w:rsid w:val="000F698D"/>
    <w:rsid w:val="000F6B74"/>
    <w:rsid w:val="000F6B80"/>
    <w:rsid w:val="0010203D"/>
    <w:rsid w:val="00103335"/>
    <w:rsid w:val="001049DE"/>
    <w:rsid w:val="00104DAB"/>
    <w:rsid w:val="0010674B"/>
    <w:rsid w:val="00107344"/>
    <w:rsid w:val="00107BF1"/>
    <w:rsid w:val="00107BFE"/>
    <w:rsid w:val="00107C60"/>
    <w:rsid w:val="00107D0B"/>
    <w:rsid w:val="00107DE9"/>
    <w:rsid w:val="00107F36"/>
    <w:rsid w:val="00110D55"/>
    <w:rsid w:val="001112C3"/>
    <w:rsid w:val="00111971"/>
    <w:rsid w:val="00111AB2"/>
    <w:rsid w:val="00111F4C"/>
    <w:rsid w:val="001123A3"/>
    <w:rsid w:val="00113C77"/>
    <w:rsid w:val="00115C01"/>
    <w:rsid w:val="00116398"/>
    <w:rsid w:val="0012032B"/>
    <w:rsid w:val="0012089A"/>
    <w:rsid w:val="00120957"/>
    <w:rsid w:val="00120B65"/>
    <w:rsid w:val="00120F31"/>
    <w:rsid w:val="001218E5"/>
    <w:rsid w:val="00121D69"/>
    <w:rsid w:val="00123A66"/>
    <w:rsid w:val="00124F47"/>
    <w:rsid w:val="00126490"/>
    <w:rsid w:val="00127433"/>
    <w:rsid w:val="001278CE"/>
    <w:rsid w:val="0013126E"/>
    <w:rsid w:val="00133616"/>
    <w:rsid w:val="0013536B"/>
    <w:rsid w:val="001400A7"/>
    <w:rsid w:val="00145E0B"/>
    <w:rsid w:val="00147136"/>
    <w:rsid w:val="0014753B"/>
    <w:rsid w:val="00147599"/>
    <w:rsid w:val="00147CF8"/>
    <w:rsid w:val="00147EEC"/>
    <w:rsid w:val="00150A3E"/>
    <w:rsid w:val="00150AE3"/>
    <w:rsid w:val="001519E7"/>
    <w:rsid w:val="00152194"/>
    <w:rsid w:val="00153CB1"/>
    <w:rsid w:val="00154C9B"/>
    <w:rsid w:val="001558BD"/>
    <w:rsid w:val="0015619A"/>
    <w:rsid w:val="00156502"/>
    <w:rsid w:val="00156AEB"/>
    <w:rsid w:val="00157C36"/>
    <w:rsid w:val="001614B6"/>
    <w:rsid w:val="001617C2"/>
    <w:rsid w:val="00161819"/>
    <w:rsid w:val="00163D03"/>
    <w:rsid w:val="00164E9F"/>
    <w:rsid w:val="00165FAF"/>
    <w:rsid w:val="00167FA6"/>
    <w:rsid w:val="00174190"/>
    <w:rsid w:val="00174E84"/>
    <w:rsid w:val="001756A2"/>
    <w:rsid w:val="0017725B"/>
    <w:rsid w:val="0018058C"/>
    <w:rsid w:val="00181A08"/>
    <w:rsid w:val="001850BD"/>
    <w:rsid w:val="00186833"/>
    <w:rsid w:val="00186F05"/>
    <w:rsid w:val="001908FA"/>
    <w:rsid w:val="00190A97"/>
    <w:rsid w:val="00197E61"/>
    <w:rsid w:val="00197FD6"/>
    <w:rsid w:val="001A3B8D"/>
    <w:rsid w:val="001A4FE1"/>
    <w:rsid w:val="001A5470"/>
    <w:rsid w:val="001A61AA"/>
    <w:rsid w:val="001A73B7"/>
    <w:rsid w:val="001A7569"/>
    <w:rsid w:val="001B1393"/>
    <w:rsid w:val="001B1770"/>
    <w:rsid w:val="001B2B34"/>
    <w:rsid w:val="001B53A0"/>
    <w:rsid w:val="001B53CE"/>
    <w:rsid w:val="001B72B5"/>
    <w:rsid w:val="001C1F7C"/>
    <w:rsid w:val="001C2C3D"/>
    <w:rsid w:val="001C41E8"/>
    <w:rsid w:val="001C4310"/>
    <w:rsid w:val="001C6930"/>
    <w:rsid w:val="001C6F15"/>
    <w:rsid w:val="001C6FA5"/>
    <w:rsid w:val="001C7AC8"/>
    <w:rsid w:val="001C7C39"/>
    <w:rsid w:val="001C7F80"/>
    <w:rsid w:val="001D2789"/>
    <w:rsid w:val="001D2B45"/>
    <w:rsid w:val="001D4264"/>
    <w:rsid w:val="001D4C97"/>
    <w:rsid w:val="001D54CC"/>
    <w:rsid w:val="001D5559"/>
    <w:rsid w:val="001D559A"/>
    <w:rsid w:val="001D6249"/>
    <w:rsid w:val="001D6E07"/>
    <w:rsid w:val="001D6EF9"/>
    <w:rsid w:val="001D7416"/>
    <w:rsid w:val="001D764E"/>
    <w:rsid w:val="001D7E5D"/>
    <w:rsid w:val="001E1144"/>
    <w:rsid w:val="001E3457"/>
    <w:rsid w:val="001E5BFE"/>
    <w:rsid w:val="001E668F"/>
    <w:rsid w:val="001E7225"/>
    <w:rsid w:val="001F4A8F"/>
    <w:rsid w:val="001F54F2"/>
    <w:rsid w:val="001F6B27"/>
    <w:rsid w:val="0020071A"/>
    <w:rsid w:val="002011FC"/>
    <w:rsid w:val="00203221"/>
    <w:rsid w:val="00203AA4"/>
    <w:rsid w:val="0020510E"/>
    <w:rsid w:val="00205500"/>
    <w:rsid w:val="002055A0"/>
    <w:rsid w:val="00205CE9"/>
    <w:rsid w:val="00206B0A"/>
    <w:rsid w:val="0020781E"/>
    <w:rsid w:val="00207EA7"/>
    <w:rsid w:val="00210953"/>
    <w:rsid w:val="0021128D"/>
    <w:rsid w:val="00212611"/>
    <w:rsid w:val="00213D34"/>
    <w:rsid w:val="00214C58"/>
    <w:rsid w:val="00215A72"/>
    <w:rsid w:val="00217268"/>
    <w:rsid w:val="0021752B"/>
    <w:rsid w:val="00217858"/>
    <w:rsid w:val="00220A21"/>
    <w:rsid w:val="00223C87"/>
    <w:rsid w:val="00225379"/>
    <w:rsid w:val="00225FDF"/>
    <w:rsid w:val="0022691E"/>
    <w:rsid w:val="002274F5"/>
    <w:rsid w:val="0023200E"/>
    <w:rsid w:val="002335C3"/>
    <w:rsid w:val="00234928"/>
    <w:rsid w:val="00237ABD"/>
    <w:rsid w:val="00240214"/>
    <w:rsid w:val="0024076E"/>
    <w:rsid w:val="00240814"/>
    <w:rsid w:val="002408E5"/>
    <w:rsid w:val="00240A43"/>
    <w:rsid w:val="002412EE"/>
    <w:rsid w:val="002417DF"/>
    <w:rsid w:val="00241E63"/>
    <w:rsid w:val="00243C97"/>
    <w:rsid w:val="00244833"/>
    <w:rsid w:val="002458E9"/>
    <w:rsid w:val="002459DD"/>
    <w:rsid w:val="00245CD6"/>
    <w:rsid w:val="002475D6"/>
    <w:rsid w:val="0025054E"/>
    <w:rsid w:val="00250F1E"/>
    <w:rsid w:val="00251EE4"/>
    <w:rsid w:val="00255B71"/>
    <w:rsid w:val="002576B7"/>
    <w:rsid w:val="002602CA"/>
    <w:rsid w:val="002621A5"/>
    <w:rsid w:val="00265070"/>
    <w:rsid w:val="00270527"/>
    <w:rsid w:val="00270E89"/>
    <w:rsid w:val="002710C1"/>
    <w:rsid w:val="002712F8"/>
    <w:rsid w:val="00272EFC"/>
    <w:rsid w:val="002747C7"/>
    <w:rsid w:val="002757C8"/>
    <w:rsid w:val="002769B4"/>
    <w:rsid w:val="00276CE0"/>
    <w:rsid w:val="00276D49"/>
    <w:rsid w:val="00277124"/>
    <w:rsid w:val="00277A5B"/>
    <w:rsid w:val="00281680"/>
    <w:rsid w:val="00283639"/>
    <w:rsid w:val="00286EBD"/>
    <w:rsid w:val="00290526"/>
    <w:rsid w:val="00290D58"/>
    <w:rsid w:val="00291749"/>
    <w:rsid w:val="00293B15"/>
    <w:rsid w:val="00295178"/>
    <w:rsid w:val="002966C1"/>
    <w:rsid w:val="00296E5F"/>
    <w:rsid w:val="002A0065"/>
    <w:rsid w:val="002A0EFC"/>
    <w:rsid w:val="002A124F"/>
    <w:rsid w:val="002A16CE"/>
    <w:rsid w:val="002A4308"/>
    <w:rsid w:val="002A4DF8"/>
    <w:rsid w:val="002A5194"/>
    <w:rsid w:val="002A6BA4"/>
    <w:rsid w:val="002B1255"/>
    <w:rsid w:val="002B130D"/>
    <w:rsid w:val="002B2F71"/>
    <w:rsid w:val="002B6B26"/>
    <w:rsid w:val="002C08CE"/>
    <w:rsid w:val="002C092A"/>
    <w:rsid w:val="002C0A66"/>
    <w:rsid w:val="002C1C53"/>
    <w:rsid w:val="002C4127"/>
    <w:rsid w:val="002C6529"/>
    <w:rsid w:val="002D021C"/>
    <w:rsid w:val="002D1513"/>
    <w:rsid w:val="002D317C"/>
    <w:rsid w:val="002D47DC"/>
    <w:rsid w:val="002D4BAD"/>
    <w:rsid w:val="002D53B9"/>
    <w:rsid w:val="002D718D"/>
    <w:rsid w:val="002E004A"/>
    <w:rsid w:val="002E1C47"/>
    <w:rsid w:val="002E22D0"/>
    <w:rsid w:val="002E3DA5"/>
    <w:rsid w:val="002E3E8C"/>
    <w:rsid w:val="002E6482"/>
    <w:rsid w:val="002F0DB4"/>
    <w:rsid w:val="002F0FD0"/>
    <w:rsid w:val="002F10EC"/>
    <w:rsid w:val="002F1D14"/>
    <w:rsid w:val="002F2A98"/>
    <w:rsid w:val="002F3FDF"/>
    <w:rsid w:val="002F42BD"/>
    <w:rsid w:val="002F68F7"/>
    <w:rsid w:val="002F7F85"/>
    <w:rsid w:val="00300238"/>
    <w:rsid w:val="00300A41"/>
    <w:rsid w:val="00301055"/>
    <w:rsid w:val="00301B00"/>
    <w:rsid w:val="003026B0"/>
    <w:rsid w:val="003029CC"/>
    <w:rsid w:val="00302DED"/>
    <w:rsid w:val="0030357C"/>
    <w:rsid w:val="00303813"/>
    <w:rsid w:val="00303BFE"/>
    <w:rsid w:val="003051E4"/>
    <w:rsid w:val="003063F5"/>
    <w:rsid w:val="003102F2"/>
    <w:rsid w:val="00310FE8"/>
    <w:rsid w:val="00311B90"/>
    <w:rsid w:val="00320153"/>
    <w:rsid w:val="00320447"/>
    <w:rsid w:val="003210A7"/>
    <w:rsid w:val="00322511"/>
    <w:rsid w:val="00322933"/>
    <w:rsid w:val="0032343A"/>
    <w:rsid w:val="0032461E"/>
    <w:rsid w:val="0032530D"/>
    <w:rsid w:val="00325C9A"/>
    <w:rsid w:val="0032613D"/>
    <w:rsid w:val="003262D7"/>
    <w:rsid w:val="003264C6"/>
    <w:rsid w:val="0033088A"/>
    <w:rsid w:val="00330EFD"/>
    <w:rsid w:val="00331E73"/>
    <w:rsid w:val="0033270F"/>
    <w:rsid w:val="00332DC9"/>
    <w:rsid w:val="003346E5"/>
    <w:rsid w:val="00335184"/>
    <w:rsid w:val="0033574B"/>
    <w:rsid w:val="00335D71"/>
    <w:rsid w:val="00337117"/>
    <w:rsid w:val="0034006A"/>
    <w:rsid w:val="0034288E"/>
    <w:rsid w:val="00343275"/>
    <w:rsid w:val="00343F5E"/>
    <w:rsid w:val="00347ABA"/>
    <w:rsid w:val="00347BF2"/>
    <w:rsid w:val="00351DEA"/>
    <w:rsid w:val="0035228B"/>
    <w:rsid w:val="003526DA"/>
    <w:rsid w:val="00354514"/>
    <w:rsid w:val="00354869"/>
    <w:rsid w:val="0035537D"/>
    <w:rsid w:val="003562F2"/>
    <w:rsid w:val="00356583"/>
    <w:rsid w:val="00357B2B"/>
    <w:rsid w:val="00360123"/>
    <w:rsid w:val="00361ECA"/>
    <w:rsid w:val="00362027"/>
    <w:rsid w:val="00362D57"/>
    <w:rsid w:val="003641F5"/>
    <w:rsid w:val="0036454C"/>
    <w:rsid w:val="00364C07"/>
    <w:rsid w:val="00365787"/>
    <w:rsid w:val="00365B53"/>
    <w:rsid w:val="00366585"/>
    <w:rsid w:val="00366E30"/>
    <w:rsid w:val="00370152"/>
    <w:rsid w:val="003706AE"/>
    <w:rsid w:val="00371706"/>
    <w:rsid w:val="00371B58"/>
    <w:rsid w:val="00371D44"/>
    <w:rsid w:val="00371D46"/>
    <w:rsid w:val="00374A30"/>
    <w:rsid w:val="00374A5A"/>
    <w:rsid w:val="00374FB9"/>
    <w:rsid w:val="00375E3A"/>
    <w:rsid w:val="00376867"/>
    <w:rsid w:val="00377F40"/>
    <w:rsid w:val="0038225F"/>
    <w:rsid w:val="00382B65"/>
    <w:rsid w:val="0038323D"/>
    <w:rsid w:val="0038417D"/>
    <w:rsid w:val="00384211"/>
    <w:rsid w:val="00384A68"/>
    <w:rsid w:val="0038528A"/>
    <w:rsid w:val="00385672"/>
    <w:rsid w:val="00385C4A"/>
    <w:rsid w:val="00385FFF"/>
    <w:rsid w:val="00386F04"/>
    <w:rsid w:val="0038772C"/>
    <w:rsid w:val="00390A43"/>
    <w:rsid w:val="003911B1"/>
    <w:rsid w:val="00392DDE"/>
    <w:rsid w:val="00396B01"/>
    <w:rsid w:val="0039710A"/>
    <w:rsid w:val="003A054F"/>
    <w:rsid w:val="003A0BEC"/>
    <w:rsid w:val="003A0E1F"/>
    <w:rsid w:val="003A2127"/>
    <w:rsid w:val="003A276E"/>
    <w:rsid w:val="003A33FD"/>
    <w:rsid w:val="003A455D"/>
    <w:rsid w:val="003A4D18"/>
    <w:rsid w:val="003A5F12"/>
    <w:rsid w:val="003A63A2"/>
    <w:rsid w:val="003A7700"/>
    <w:rsid w:val="003B0977"/>
    <w:rsid w:val="003B15C0"/>
    <w:rsid w:val="003B1CA5"/>
    <w:rsid w:val="003B5606"/>
    <w:rsid w:val="003B6E5F"/>
    <w:rsid w:val="003C0997"/>
    <w:rsid w:val="003C2210"/>
    <w:rsid w:val="003C35EE"/>
    <w:rsid w:val="003C429C"/>
    <w:rsid w:val="003C4303"/>
    <w:rsid w:val="003C54C2"/>
    <w:rsid w:val="003C5685"/>
    <w:rsid w:val="003C671B"/>
    <w:rsid w:val="003C6DD7"/>
    <w:rsid w:val="003D0914"/>
    <w:rsid w:val="003D0D35"/>
    <w:rsid w:val="003D1E0D"/>
    <w:rsid w:val="003D2E6F"/>
    <w:rsid w:val="003D35F8"/>
    <w:rsid w:val="003D43D5"/>
    <w:rsid w:val="003D49E2"/>
    <w:rsid w:val="003D4D37"/>
    <w:rsid w:val="003D4D9B"/>
    <w:rsid w:val="003D7AE2"/>
    <w:rsid w:val="003E1F57"/>
    <w:rsid w:val="003E2859"/>
    <w:rsid w:val="003E3913"/>
    <w:rsid w:val="003E4064"/>
    <w:rsid w:val="003E51A7"/>
    <w:rsid w:val="003E592D"/>
    <w:rsid w:val="003E62BA"/>
    <w:rsid w:val="003F0FF2"/>
    <w:rsid w:val="003F4E41"/>
    <w:rsid w:val="003F6D84"/>
    <w:rsid w:val="00400D49"/>
    <w:rsid w:val="00401BAF"/>
    <w:rsid w:val="00402279"/>
    <w:rsid w:val="00402B37"/>
    <w:rsid w:val="0040468A"/>
    <w:rsid w:val="00407DFE"/>
    <w:rsid w:val="00414A58"/>
    <w:rsid w:val="00415860"/>
    <w:rsid w:val="00415DD4"/>
    <w:rsid w:val="00416638"/>
    <w:rsid w:val="0042070D"/>
    <w:rsid w:val="0042116E"/>
    <w:rsid w:val="00421DA6"/>
    <w:rsid w:val="00422888"/>
    <w:rsid w:val="0042578D"/>
    <w:rsid w:val="0042653B"/>
    <w:rsid w:val="00427013"/>
    <w:rsid w:val="00427BF1"/>
    <w:rsid w:val="00432503"/>
    <w:rsid w:val="00435825"/>
    <w:rsid w:val="00440203"/>
    <w:rsid w:val="00440873"/>
    <w:rsid w:val="00440E92"/>
    <w:rsid w:val="00443584"/>
    <w:rsid w:val="00443ED1"/>
    <w:rsid w:val="00444864"/>
    <w:rsid w:val="004504AD"/>
    <w:rsid w:val="00450656"/>
    <w:rsid w:val="00450ECE"/>
    <w:rsid w:val="00451BB3"/>
    <w:rsid w:val="00451C19"/>
    <w:rsid w:val="00453F2A"/>
    <w:rsid w:val="00461AA7"/>
    <w:rsid w:val="00461BFD"/>
    <w:rsid w:val="0046202D"/>
    <w:rsid w:val="004626A8"/>
    <w:rsid w:val="004633D8"/>
    <w:rsid w:val="00464E68"/>
    <w:rsid w:val="00465A3F"/>
    <w:rsid w:val="00465A83"/>
    <w:rsid w:val="00465C5C"/>
    <w:rsid w:val="004674B1"/>
    <w:rsid w:val="00472957"/>
    <w:rsid w:val="00473670"/>
    <w:rsid w:val="004738B1"/>
    <w:rsid w:val="00474C59"/>
    <w:rsid w:val="00475BD7"/>
    <w:rsid w:val="00475CAF"/>
    <w:rsid w:val="0048095B"/>
    <w:rsid w:val="00482595"/>
    <w:rsid w:val="00483429"/>
    <w:rsid w:val="00483C36"/>
    <w:rsid w:val="0048435C"/>
    <w:rsid w:val="004843FC"/>
    <w:rsid w:val="004849A6"/>
    <w:rsid w:val="004860FE"/>
    <w:rsid w:val="00487E7A"/>
    <w:rsid w:val="0049013B"/>
    <w:rsid w:val="00491547"/>
    <w:rsid w:val="004934DE"/>
    <w:rsid w:val="0049530F"/>
    <w:rsid w:val="00496E07"/>
    <w:rsid w:val="00496F73"/>
    <w:rsid w:val="004978D0"/>
    <w:rsid w:val="004A0425"/>
    <w:rsid w:val="004A0B24"/>
    <w:rsid w:val="004A1163"/>
    <w:rsid w:val="004A1A00"/>
    <w:rsid w:val="004A1C6C"/>
    <w:rsid w:val="004A3676"/>
    <w:rsid w:val="004A3F9B"/>
    <w:rsid w:val="004A5AF1"/>
    <w:rsid w:val="004A5C40"/>
    <w:rsid w:val="004A60E6"/>
    <w:rsid w:val="004A6C37"/>
    <w:rsid w:val="004A7AD0"/>
    <w:rsid w:val="004B0438"/>
    <w:rsid w:val="004B1D53"/>
    <w:rsid w:val="004B20AE"/>
    <w:rsid w:val="004B266D"/>
    <w:rsid w:val="004B36CB"/>
    <w:rsid w:val="004B6181"/>
    <w:rsid w:val="004B6CFB"/>
    <w:rsid w:val="004B6EBA"/>
    <w:rsid w:val="004B7858"/>
    <w:rsid w:val="004C0D8A"/>
    <w:rsid w:val="004C4642"/>
    <w:rsid w:val="004C646A"/>
    <w:rsid w:val="004C64BA"/>
    <w:rsid w:val="004C674A"/>
    <w:rsid w:val="004C72F0"/>
    <w:rsid w:val="004C7364"/>
    <w:rsid w:val="004D0355"/>
    <w:rsid w:val="004D1D6C"/>
    <w:rsid w:val="004D267D"/>
    <w:rsid w:val="004D2F31"/>
    <w:rsid w:val="004D341C"/>
    <w:rsid w:val="004D3DCE"/>
    <w:rsid w:val="004D5F39"/>
    <w:rsid w:val="004D75FD"/>
    <w:rsid w:val="004E0858"/>
    <w:rsid w:val="004E15EF"/>
    <w:rsid w:val="004E20A6"/>
    <w:rsid w:val="004E5D33"/>
    <w:rsid w:val="004E6308"/>
    <w:rsid w:val="004E677C"/>
    <w:rsid w:val="004E6DBA"/>
    <w:rsid w:val="004F0158"/>
    <w:rsid w:val="004F0D34"/>
    <w:rsid w:val="004F3CCF"/>
    <w:rsid w:val="004F5B62"/>
    <w:rsid w:val="004F6095"/>
    <w:rsid w:val="004F63B2"/>
    <w:rsid w:val="004F7B97"/>
    <w:rsid w:val="005022DE"/>
    <w:rsid w:val="005027E0"/>
    <w:rsid w:val="00502DAD"/>
    <w:rsid w:val="00506CF7"/>
    <w:rsid w:val="00507AE8"/>
    <w:rsid w:val="005116FA"/>
    <w:rsid w:val="00511B3E"/>
    <w:rsid w:val="00511D94"/>
    <w:rsid w:val="00512ED2"/>
    <w:rsid w:val="00513228"/>
    <w:rsid w:val="0051332C"/>
    <w:rsid w:val="005173B5"/>
    <w:rsid w:val="00521BCB"/>
    <w:rsid w:val="0052570A"/>
    <w:rsid w:val="00526206"/>
    <w:rsid w:val="005263DA"/>
    <w:rsid w:val="00526BCA"/>
    <w:rsid w:val="005279BF"/>
    <w:rsid w:val="00527A8B"/>
    <w:rsid w:val="00530270"/>
    <w:rsid w:val="00530AA3"/>
    <w:rsid w:val="005312DD"/>
    <w:rsid w:val="005331E3"/>
    <w:rsid w:val="005360D9"/>
    <w:rsid w:val="00540C3D"/>
    <w:rsid w:val="005426AC"/>
    <w:rsid w:val="005430C4"/>
    <w:rsid w:val="00544438"/>
    <w:rsid w:val="005458EC"/>
    <w:rsid w:val="00546D81"/>
    <w:rsid w:val="00546DD1"/>
    <w:rsid w:val="00547ADB"/>
    <w:rsid w:val="00553567"/>
    <w:rsid w:val="005538EB"/>
    <w:rsid w:val="005540EF"/>
    <w:rsid w:val="005563DC"/>
    <w:rsid w:val="00556A6E"/>
    <w:rsid w:val="00560195"/>
    <w:rsid w:val="00560EAD"/>
    <w:rsid w:val="00561B0B"/>
    <w:rsid w:val="00565EE6"/>
    <w:rsid w:val="0057144F"/>
    <w:rsid w:val="00571C87"/>
    <w:rsid w:val="00572760"/>
    <w:rsid w:val="00574345"/>
    <w:rsid w:val="00574432"/>
    <w:rsid w:val="0057496F"/>
    <w:rsid w:val="00576A92"/>
    <w:rsid w:val="00577BC0"/>
    <w:rsid w:val="00581AB2"/>
    <w:rsid w:val="00582018"/>
    <w:rsid w:val="00582573"/>
    <w:rsid w:val="00585D61"/>
    <w:rsid w:val="00586460"/>
    <w:rsid w:val="00586A2F"/>
    <w:rsid w:val="00587409"/>
    <w:rsid w:val="005877E2"/>
    <w:rsid w:val="0059039D"/>
    <w:rsid w:val="00592FF8"/>
    <w:rsid w:val="0059379A"/>
    <w:rsid w:val="00594127"/>
    <w:rsid w:val="005A13D8"/>
    <w:rsid w:val="005A2130"/>
    <w:rsid w:val="005A31E2"/>
    <w:rsid w:val="005A6E42"/>
    <w:rsid w:val="005B1031"/>
    <w:rsid w:val="005B1A70"/>
    <w:rsid w:val="005B414C"/>
    <w:rsid w:val="005B4809"/>
    <w:rsid w:val="005B57BB"/>
    <w:rsid w:val="005B663E"/>
    <w:rsid w:val="005C002B"/>
    <w:rsid w:val="005C031D"/>
    <w:rsid w:val="005C34E6"/>
    <w:rsid w:val="005C36FD"/>
    <w:rsid w:val="005C5590"/>
    <w:rsid w:val="005C56EB"/>
    <w:rsid w:val="005C6BB1"/>
    <w:rsid w:val="005D05C5"/>
    <w:rsid w:val="005D0DCB"/>
    <w:rsid w:val="005D4B4B"/>
    <w:rsid w:val="005D5169"/>
    <w:rsid w:val="005E0077"/>
    <w:rsid w:val="005E0120"/>
    <w:rsid w:val="005E1656"/>
    <w:rsid w:val="005E1B22"/>
    <w:rsid w:val="005E2A83"/>
    <w:rsid w:val="005E32AF"/>
    <w:rsid w:val="005E4B43"/>
    <w:rsid w:val="005E6D8F"/>
    <w:rsid w:val="005E7DE7"/>
    <w:rsid w:val="005F17CA"/>
    <w:rsid w:val="005F49B6"/>
    <w:rsid w:val="005F6506"/>
    <w:rsid w:val="005F6F0F"/>
    <w:rsid w:val="00600308"/>
    <w:rsid w:val="006028B0"/>
    <w:rsid w:val="006035C8"/>
    <w:rsid w:val="006067CB"/>
    <w:rsid w:val="00607EA7"/>
    <w:rsid w:val="006116EB"/>
    <w:rsid w:val="006129D7"/>
    <w:rsid w:val="0061411F"/>
    <w:rsid w:val="00614F0B"/>
    <w:rsid w:val="006154E9"/>
    <w:rsid w:val="00617720"/>
    <w:rsid w:val="0061781E"/>
    <w:rsid w:val="006212E8"/>
    <w:rsid w:val="00621D42"/>
    <w:rsid w:val="006241C9"/>
    <w:rsid w:val="00624F4D"/>
    <w:rsid w:val="006250BA"/>
    <w:rsid w:val="00626B3E"/>
    <w:rsid w:val="00630CE4"/>
    <w:rsid w:val="0063101D"/>
    <w:rsid w:val="006323CE"/>
    <w:rsid w:val="0063278C"/>
    <w:rsid w:val="00632EC2"/>
    <w:rsid w:val="006336C3"/>
    <w:rsid w:val="006360BE"/>
    <w:rsid w:val="006363BF"/>
    <w:rsid w:val="00640419"/>
    <w:rsid w:val="0064177D"/>
    <w:rsid w:val="00645037"/>
    <w:rsid w:val="006468BA"/>
    <w:rsid w:val="00646CB4"/>
    <w:rsid w:val="006513BB"/>
    <w:rsid w:val="00654052"/>
    <w:rsid w:val="00654144"/>
    <w:rsid w:val="0065453F"/>
    <w:rsid w:val="006556FD"/>
    <w:rsid w:val="00657C10"/>
    <w:rsid w:val="00663DCA"/>
    <w:rsid w:val="00664012"/>
    <w:rsid w:val="00664141"/>
    <w:rsid w:val="006675E6"/>
    <w:rsid w:val="00671003"/>
    <w:rsid w:val="00676F72"/>
    <w:rsid w:val="006777BA"/>
    <w:rsid w:val="00677A88"/>
    <w:rsid w:val="00677B39"/>
    <w:rsid w:val="00683C42"/>
    <w:rsid w:val="00686979"/>
    <w:rsid w:val="00686E07"/>
    <w:rsid w:val="00690609"/>
    <w:rsid w:val="00692215"/>
    <w:rsid w:val="0069256A"/>
    <w:rsid w:val="00692B86"/>
    <w:rsid w:val="00694253"/>
    <w:rsid w:val="0069682B"/>
    <w:rsid w:val="00697404"/>
    <w:rsid w:val="006A02FF"/>
    <w:rsid w:val="006A5167"/>
    <w:rsid w:val="006A54D3"/>
    <w:rsid w:val="006A7175"/>
    <w:rsid w:val="006B1C95"/>
    <w:rsid w:val="006B2B86"/>
    <w:rsid w:val="006B2FDC"/>
    <w:rsid w:val="006B41A3"/>
    <w:rsid w:val="006B464B"/>
    <w:rsid w:val="006B46E0"/>
    <w:rsid w:val="006B6A36"/>
    <w:rsid w:val="006C302A"/>
    <w:rsid w:val="006C4616"/>
    <w:rsid w:val="006C56DD"/>
    <w:rsid w:val="006C5B04"/>
    <w:rsid w:val="006C6128"/>
    <w:rsid w:val="006C7132"/>
    <w:rsid w:val="006C7D9A"/>
    <w:rsid w:val="006D0C2A"/>
    <w:rsid w:val="006D1F8C"/>
    <w:rsid w:val="006D24BE"/>
    <w:rsid w:val="006D2A7C"/>
    <w:rsid w:val="006D32A8"/>
    <w:rsid w:val="006D4050"/>
    <w:rsid w:val="006D50FE"/>
    <w:rsid w:val="006D5F2B"/>
    <w:rsid w:val="006E2323"/>
    <w:rsid w:val="006E25AC"/>
    <w:rsid w:val="006E4F0F"/>
    <w:rsid w:val="006E69D8"/>
    <w:rsid w:val="006E6CA9"/>
    <w:rsid w:val="006F2171"/>
    <w:rsid w:val="006F24F1"/>
    <w:rsid w:val="006F2945"/>
    <w:rsid w:val="006F326C"/>
    <w:rsid w:val="006F3399"/>
    <w:rsid w:val="006F3791"/>
    <w:rsid w:val="006F3EF9"/>
    <w:rsid w:val="006F4EB6"/>
    <w:rsid w:val="006F4EFA"/>
    <w:rsid w:val="006F7895"/>
    <w:rsid w:val="00700DAC"/>
    <w:rsid w:val="007014E9"/>
    <w:rsid w:val="007020BC"/>
    <w:rsid w:val="00704696"/>
    <w:rsid w:val="00705330"/>
    <w:rsid w:val="007060A2"/>
    <w:rsid w:val="00706213"/>
    <w:rsid w:val="00706F68"/>
    <w:rsid w:val="0071098C"/>
    <w:rsid w:val="007117A8"/>
    <w:rsid w:val="00711BB3"/>
    <w:rsid w:val="007123AA"/>
    <w:rsid w:val="00722049"/>
    <w:rsid w:val="00723C92"/>
    <w:rsid w:val="00724A7C"/>
    <w:rsid w:val="00724D16"/>
    <w:rsid w:val="007256C8"/>
    <w:rsid w:val="007257F3"/>
    <w:rsid w:val="00726DF8"/>
    <w:rsid w:val="0073009A"/>
    <w:rsid w:val="00730A66"/>
    <w:rsid w:val="00731101"/>
    <w:rsid w:val="0073150B"/>
    <w:rsid w:val="00733EA5"/>
    <w:rsid w:val="007346C6"/>
    <w:rsid w:val="00734E41"/>
    <w:rsid w:val="0073567C"/>
    <w:rsid w:val="00735E97"/>
    <w:rsid w:val="00735F45"/>
    <w:rsid w:val="007366E5"/>
    <w:rsid w:val="0073733E"/>
    <w:rsid w:val="00740DBC"/>
    <w:rsid w:val="007414B1"/>
    <w:rsid w:val="0074314A"/>
    <w:rsid w:val="0074407D"/>
    <w:rsid w:val="00744754"/>
    <w:rsid w:val="00746C86"/>
    <w:rsid w:val="00747783"/>
    <w:rsid w:val="00750913"/>
    <w:rsid w:val="00752689"/>
    <w:rsid w:val="00754DC1"/>
    <w:rsid w:val="0075698E"/>
    <w:rsid w:val="007658F1"/>
    <w:rsid w:val="00766A32"/>
    <w:rsid w:val="00766F35"/>
    <w:rsid w:val="007675C8"/>
    <w:rsid w:val="00772E7F"/>
    <w:rsid w:val="00772F7C"/>
    <w:rsid w:val="007731B2"/>
    <w:rsid w:val="0077427F"/>
    <w:rsid w:val="007744AE"/>
    <w:rsid w:val="00775943"/>
    <w:rsid w:val="00777F73"/>
    <w:rsid w:val="00780622"/>
    <w:rsid w:val="007818DF"/>
    <w:rsid w:val="00781BEC"/>
    <w:rsid w:val="00781D18"/>
    <w:rsid w:val="0078202B"/>
    <w:rsid w:val="00782BE7"/>
    <w:rsid w:val="00791F52"/>
    <w:rsid w:val="00792F75"/>
    <w:rsid w:val="00794048"/>
    <w:rsid w:val="00794602"/>
    <w:rsid w:val="00796BE6"/>
    <w:rsid w:val="007972E4"/>
    <w:rsid w:val="007A1CAA"/>
    <w:rsid w:val="007A5BE0"/>
    <w:rsid w:val="007A76CF"/>
    <w:rsid w:val="007B1EC8"/>
    <w:rsid w:val="007B368E"/>
    <w:rsid w:val="007B3AE7"/>
    <w:rsid w:val="007B45C1"/>
    <w:rsid w:val="007B4942"/>
    <w:rsid w:val="007B50D9"/>
    <w:rsid w:val="007B7482"/>
    <w:rsid w:val="007B7ACE"/>
    <w:rsid w:val="007C480F"/>
    <w:rsid w:val="007C4D58"/>
    <w:rsid w:val="007C5A55"/>
    <w:rsid w:val="007D1619"/>
    <w:rsid w:val="007D1BF4"/>
    <w:rsid w:val="007D3519"/>
    <w:rsid w:val="007D49D0"/>
    <w:rsid w:val="007D676F"/>
    <w:rsid w:val="007D745D"/>
    <w:rsid w:val="007E0BC1"/>
    <w:rsid w:val="007E218C"/>
    <w:rsid w:val="007E25F4"/>
    <w:rsid w:val="007E3893"/>
    <w:rsid w:val="007E480A"/>
    <w:rsid w:val="007E705D"/>
    <w:rsid w:val="007E7A85"/>
    <w:rsid w:val="007F0B88"/>
    <w:rsid w:val="007F0F55"/>
    <w:rsid w:val="007F11E0"/>
    <w:rsid w:val="007F1B9C"/>
    <w:rsid w:val="007F1FEA"/>
    <w:rsid w:val="007F2529"/>
    <w:rsid w:val="007F2E60"/>
    <w:rsid w:val="007F4C79"/>
    <w:rsid w:val="007F735B"/>
    <w:rsid w:val="007F7C30"/>
    <w:rsid w:val="00800B73"/>
    <w:rsid w:val="00801567"/>
    <w:rsid w:val="00803435"/>
    <w:rsid w:val="008107FC"/>
    <w:rsid w:val="008108B1"/>
    <w:rsid w:val="00811205"/>
    <w:rsid w:val="00815DCF"/>
    <w:rsid w:val="00815E73"/>
    <w:rsid w:val="0081670C"/>
    <w:rsid w:val="00817D60"/>
    <w:rsid w:val="00817FFD"/>
    <w:rsid w:val="0082157C"/>
    <w:rsid w:val="0082166F"/>
    <w:rsid w:val="00821E77"/>
    <w:rsid w:val="00822651"/>
    <w:rsid w:val="008273C7"/>
    <w:rsid w:val="00830F4E"/>
    <w:rsid w:val="008322E5"/>
    <w:rsid w:val="0083319D"/>
    <w:rsid w:val="0083354F"/>
    <w:rsid w:val="00833BBB"/>
    <w:rsid w:val="00833CAB"/>
    <w:rsid w:val="00835684"/>
    <w:rsid w:val="0083608B"/>
    <w:rsid w:val="008413DB"/>
    <w:rsid w:val="00841B5F"/>
    <w:rsid w:val="00841F6F"/>
    <w:rsid w:val="00844938"/>
    <w:rsid w:val="0084493B"/>
    <w:rsid w:val="008459F3"/>
    <w:rsid w:val="00845E98"/>
    <w:rsid w:val="00847321"/>
    <w:rsid w:val="008474D9"/>
    <w:rsid w:val="00851064"/>
    <w:rsid w:val="00852F56"/>
    <w:rsid w:val="00854330"/>
    <w:rsid w:val="0085534E"/>
    <w:rsid w:val="008557DB"/>
    <w:rsid w:val="00856518"/>
    <w:rsid w:val="00856602"/>
    <w:rsid w:val="00856E9E"/>
    <w:rsid w:val="00857343"/>
    <w:rsid w:val="0086019F"/>
    <w:rsid w:val="00860803"/>
    <w:rsid w:val="00860872"/>
    <w:rsid w:val="00860FE4"/>
    <w:rsid w:val="00862CA3"/>
    <w:rsid w:val="00862F28"/>
    <w:rsid w:val="00863B31"/>
    <w:rsid w:val="00865868"/>
    <w:rsid w:val="00866B55"/>
    <w:rsid w:val="00870F33"/>
    <w:rsid w:val="0087256A"/>
    <w:rsid w:val="00873070"/>
    <w:rsid w:val="008731C0"/>
    <w:rsid w:val="00873882"/>
    <w:rsid w:val="00874291"/>
    <w:rsid w:val="00874EE4"/>
    <w:rsid w:val="008755D9"/>
    <w:rsid w:val="00875CC9"/>
    <w:rsid w:val="00881BA6"/>
    <w:rsid w:val="00882018"/>
    <w:rsid w:val="008822F9"/>
    <w:rsid w:val="00882423"/>
    <w:rsid w:val="00884DE0"/>
    <w:rsid w:val="008865DD"/>
    <w:rsid w:val="00887B97"/>
    <w:rsid w:val="00890362"/>
    <w:rsid w:val="00890BD7"/>
    <w:rsid w:val="00890CF2"/>
    <w:rsid w:val="00896717"/>
    <w:rsid w:val="008A00CE"/>
    <w:rsid w:val="008A097A"/>
    <w:rsid w:val="008A0D26"/>
    <w:rsid w:val="008A20E7"/>
    <w:rsid w:val="008A3D2D"/>
    <w:rsid w:val="008A5BF0"/>
    <w:rsid w:val="008A7AD8"/>
    <w:rsid w:val="008A7F3A"/>
    <w:rsid w:val="008B09E8"/>
    <w:rsid w:val="008B24F2"/>
    <w:rsid w:val="008B3D0B"/>
    <w:rsid w:val="008B5015"/>
    <w:rsid w:val="008B5A81"/>
    <w:rsid w:val="008B6199"/>
    <w:rsid w:val="008C09B8"/>
    <w:rsid w:val="008C0E2C"/>
    <w:rsid w:val="008C207B"/>
    <w:rsid w:val="008C21E4"/>
    <w:rsid w:val="008C3235"/>
    <w:rsid w:val="008C5AC0"/>
    <w:rsid w:val="008D2360"/>
    <w:rsid w:val="008D2A82"/>
    <w:rsid w:val="008E0E7D"/>
    <w:rsid w:val="008E1E11"/>
    <w:rsid w:val="008E6EFA"/>
    <w:rsid w:val="008E75B0"/>
    <w:rsid w:val="008F080C"/>
    <w:rsid w:val="008F1F28"/>
    <w:rsid w:val="008F2BD9"/>
    <w:rsid w:val="008F45C2"/>
    <w:rsid w:val="008F655A"/>
    <w:rsid w:val="008F7722"/>
    <w:rsid w:val="008F7C18"/>
    <w:rsid w:val="00900A7A"/>
    <w:rsid w:val="009043BA"/>
    <w:rsid w:val="00905A17"/>
    <w:rsid w:val="00906306"/>
    <w:rsid w:val="009070F2"/>
    <w:rsid w:val="0091387D"/>
    <w:rsid w:val="00913E3B"/>
    <w:rsid w:val="00914CFF"/>
    <w:rsid w:val="009158F2"/>
    <w:rsid w:val="00916206"/>
    <w:rsid w:val="00916986"/>
    <w:rsid w:val="009214CF"/>
    <w:rsid w:val="0092200D"/>
    <w:rsid w:val="00922115"/>
    <w:rsid w:val="009234B1"/>
    <w:rsid w:val="009241A6"/>
    <w:rsid w:val="009244F1"/>
    <w:rsid w:val="00924ED9"/>
    <w:rsid w:val="009252DA"/>
    <w:rsid w:val="00925A51"/>
    <w:rsid w:val="00926855"/>
    <w:rsid w:val="00926B58"/>
    <w:rsid w:val="0092743C"/>
    <w:rsid w:val="0092799B"/>
    <w:rsid w:val="00927CE8"/>
    <w:rsid w:val="00931039"/>
    <w:rsid w:val="00931605"/>
    <w:rsid w:val="00936BFD"/>
    <w:rsid w:val="00937212"/>
    <w:rsid w:val="00937F8D"/>
    <w:rsid w:val="00940543"/>
    <w:rsid w:val="009428C3"/>
    <w:rsid w:val="00942A80"/>
    <w:rsid w:val="00942CF2"/>
    <w:rsid w:val="00943083"/>
    <w:rsid w:val="009445A7"/>
    <w:rsid w:val="00944FD6"/>
    <w:rsid w:val="0094530E"/>
    <w:rsid w:val="0094662F"/>
    <w:rsid w:val="00946A95"/>
    <w:rsid w:val="0095097A"/>
    <w:rsid w:val="009511C6"/>
    <w:rsid w:val="0095188C"/>
    <w:rsid w:val="00952EEE"/>
    <w:rsid w:val="0095446B"/>
    <w:rsid w:val="009549B1"/>
    <w:rsid w:val="00954AB5"/>
    <w:rsid w:val="00954B26"/>
    <w:rsid w:val="00954BB7"/>
    <w:rsid w:val="00955344"/>
    <w:rsid w:val="00965F61"/>
    <w:rsid w:val="009667A6"/>
    <w:rsid w:val="009674D9"/>
    <w:rsid w:val="009679A8"/>
    <w:rsid w:val="00967EDC"/>
    <w:rsid w:val="009718BE"/>
    <w:rsid w:val="00971A7C"/>
    <w:rsid w:val="00972123"/>
    <w:rsid w:val="00973FD2"/>
    <w:rsid w:val="00975F1C"/>
    <w:rsid w:val="00977E3C"/>
    <w:rsid w:val="00980105"/>
    <w:rsid w:val="0098309D"/>
    <w:rsid w:val="009844BD"/>
    <w:rsid w:val="009848FF"/>
    <w:rsid w:val="00984C4C"/>
    <w:rsid w:val="00986E90"/>
    <w:rsid w:val="00987C8E"/>
    <w:rsid w:val="009900FA"/>
    <w:rsid w:val="00993A5B"/>
    <w:rsid w:val="00994048"/>
    <w:rsid w:val="00995829"/>
    <w:rsid w:val="00995F1F"/>
    <w:rsid w:val="009961D6"/>
    <w:rsid w:val="009A1216"/>
    <w:rsid w:val="009A29AB"/>
    <w:rsid w:val="009A32E9"/>
    <w:rsid w:val="009A6D7F"/>
    <w:rsid w:val="009A7A9D"/>
    <w:rsid w:val="009B24D4"/>
    <w:rsid w:val="009B35E8"/>
    <w:rsid w:val="009B6C78"/>
    <w:rsid w:val="009B7713"/>
    <w:rsid w:val="009C0C3E"/>
    <w:rsid w:val="009C429A"/>
    <w:rsid w:val="009C4C58"/>
    <w:rsid w:val="009C5D2B"/>
    <w:rsid w:val="009C6EED"/>
    <w:rsid w:val="009C7FDA"/>
    <w:rsid w:val="009D0192"/>
    <w:rsid w:val="009D02EB"/>
    <w:rsid w:val="009D2196"/>
    <w:rsid w:val="009D4FE7"/>
    <w:rsid w:val="009E01CF"/>
    <w:rsid w:val="009E12A2"/>
    <w:rsid w:val="009E5455"/>
    <w:rsid w:val="009E65C7"/>
    <w:rsid w:val="009E6A25"/>
    <w:rsid w:val="009F0598"/>
    <w:rsid w:val="009F1AF1"/>
    <w:rsid w:val="009F20AC"/>
    <w:rsid w:val="009F27B2"/>
    <w:rsid w:val="009F28C1"/>
    <w:rsid w:val="009F6E5C"/>
    <w:rsid w:val="00A0101B"/>
    <w:rsid w:val="00A03C2E"/>
    <w:rsid w:val="00A03E7D"/>
    <w:rsid w:val="00A05945"/>
    <w:rsid w:val="00A07C05"/>
    <w:rsid w:val="00A07DAF"/>
    <w:rsid w:val="00A10270"/>
    <w:rsid w:val="00A10421"/>
    <w:rsid w:val="00A1114B"/>
    <w:rsid w:val="00A1188E"/>
    <w:rsid w:val="00A12539"/>
    <w:rsid w:val="00A132D7"/>
    <w:rsid w:val="00A15083"/>
    <w:rsid w:val="00A1683E"/>
    <w:rsid w:val="00A17F14"/>
    <w:rsid w:val="00A21C99"/>
    <w:rsid w:val="00A21FFD"/>
    <w:rsid w:val="00A24E4B"/>
    <w:rsid w:val="00A255EB"/>
    <w:rsid w:val="00A2657A"/>
    <w:rsid w:val="00A265FC"/>
    <w:rsid w:val="00A2773E"/>
    <w:rsid w:val="00A303D9"/>
    <w:rsid w:val="00A30561"/>
    <w:rsid w:val="00A31311"/>
    <w:rsid w:val="00A3171F"/>
    <w:rsid w:val="00A319B9"/>
    <w:rsid w:val="00A33DD9"/>
    <w:rsid w:val="00A34853"/>
    <w:rsid w:val="00A34C7C"/>
    <w:rsid w:val="00A34F6F"/>
    <w:rsid w:val="00A35089"/>
    <w:rsid w:val="00A36A10"/>
    <w:rsid w:val="00A370FF"/>
    <w:rsid w:val="00A4338B"/>
    <w:rsid w:val="00A4410C"/>
    <w:rsid w:val="00A5029F"/>
    <w:rsid w:val="00A5038D"/>
    <w:rsid w:val="00A50447"/>
    <w:rsid w:val="00A518C1"/>
    <w:rsid w:val="00A54EF8"/>
    <w:rsid w:val="00A56BC2"/>
    <w:rsid w:val="00A56D79"/>
    <w:rsid w:val="00A57A5D"/>
    <w:rsid w:val="00A57BD7"/>
    <w:rsid w:val="00A61558"/>
    <w:rsid w:val="00A65C44"/>
    <w:rsid w:val="00A661AA"/>
    <w:rsid w:val="00A6640F"/>
    <w:rsid w:val="00A667DC"/>
    <w:rsid w:val="00A7047E"/>
    <w:rsid w:val="00A70A23"/>
    <w:rsid w:val="00A71455"/>
    <w:rsid w:val="00A72251"/>
    <w:rsid w:val="00A7291E"/>
    <w:rsid w:val="00A72A75"/>
    <w:rsid w:val="00A72FA7"/>
    <w:rsid w:val="00A73541"/>
    <w:rsid w:val="00A7405D"/>
    <w:rsid w:val="00A76010"/>
    <w:rsid w:val="00A7747A"/>
    <w:rsid w:val="00A80324"/>
    <w:rsid w:val="00A82FDA"/>
    <w:rsid w:val="00A85731"/>
    <w:rsid w:val="00A8725D"/>
    <w:rsid w:val="00A91B33"/>
    <w:rsid w:val="00A9229A"/>
    <w:rsid w:val="00A950A2"/>
    <w:rsid w:val="00A95234"/>
    <w:rsid w:val="00A953F4"/>
    <w:rsid w:val="00A956DC"/>
    <w:rsid w:val="00A96497"/>
    <w:rsid w:val="00A968FA"/>
    <w:rsid w:val="00A96911"/>
    <w:rsid w:val="00A97232"/>
    <w:rsid w:val="00A97C7F"/>
    <w:rsid w:val="00AA0D17"/>
    <w:rsid w:val="00AA12CD"/>
    <w:rsid w:val="00AA22D3"/>
    <w:rsid w:val="00AA35D6"/>
    <w:rsid w:val="00AA452A"/>
    <w:rsid w:val="00AA5884"/>
    <w:rsid w:val="00AA7CFD"/>
    <w:rsid w:val="00AB04CC"/>
    <w:rsid w:val="00AB07E0"/>
    <w:rsid w:val="00AB1C13"/>
    <w:rsid w:val="00AB2B08"/>
    <w:rsid w:val="00AB5B93"/>
    <w:rsid w:val="00AB5FFB"/>
    <w:rsid w:val="00AB7ED3"/>
    <w:rsid w:val="00AC278B"/>
    <w:rsid w:val="00AC3EE5"/>
    <w:rsid w:val="00AC426D"/>
    <w:rsid w:val="00AC43D1"/>
    <w:rsid w:val="00AC66C5"/>
    <w:rsid w:val="00AC7DF3"/>
    <w:rsid w:val="00AD089A"/>
    <w:rsid w:val="00AD1AC3"/>
    <w:rsid w:val="00AD22F4"/>
    <w:rsid w:val="00AD3117"/>
    <w:rsid w:val="00AD3333"/>
    <w:rsid w:val="00AD6D2D"/>
    <w:rsid w:val="00AD7794"/>
    <w:rsid w:val="00AE0006"/>
    <w:rsid w:val="00AE3D65"/>
    <w:rsid w:val="00AE4087"/>
    <w:rsid w:val="00AE40DB"/>
    <w:rsid w:val="00AE5E68"/>
    <w:rsid w:val="00AF2B94"/>
    <w:rsid w:val="00AF4AFA"/>
    <w:rsid w:val="00AF650C"/>
    <w:rsid w:val="00B001E5"/>
    <w:rsid w:val="00B0350A"/>
    <w:rsid w:val="00B04403"/>
    <w:rsid w:val="00B04FF4"/>
    <w:rsid w:val="00B05BD8"/>
    <w:rsid w:val="00B05F9E"/>
    <w:rsid w:val="00B101B1"/>
    <w:rsid w:val="00B116FB"/>
    <w:rsid w:val="00B12ABE"/>
    <w:rsid w:val="00B12DB0"/>
    <w:rsid w:val="00B147AC"/>
    <w:rsid w:val="00B17007"/>
    <w:rsid w:val="00B2055D"/>
    <w:rsid w:val="00B21486"/>
    <w:rsid w:val="00B2272C"/>
    <w:rsid w:val="00B22750"/>
    <w:rsid w:val="00B230A4"/>
    <w:rsid w:val="00B26671"/>
    <w:rsid w:val="00B26C19"/>
    <w:rsid w:val="00B3029E"/>
    <w:rsid w:val="00B3054D"/>
    <w:rsid w:val="00B3155C"/>
    <w:rsid w:val="00B32448"/>
    <w:rsid w:val="00B33A83"/>
    <w:rsid w:val="00B35205"/>
    <w:rsid w:val="00B35EE4"/>
    <w:rsid w:val="00B379DB"/>
    <w:rsid w:val="00B40FED"/>
    <w:rsid w:val="00B428F7"/>
    <w:rsid w:val="00B4376A"/>
    <w:rsid w:val="00B44BF0"/>
    <w:rsid w:val="00B46203"/>
    <w:rsid w:val="00B4761A"/>
    <w:rsid w:val="00B47967"/>
    <w:rsid w:val="00B50FB9"/>
    <w:rsid w:val="00B52322"/>
    <w:rsid w:val="00B531C5"/>
    <w:rsid w:val="00B5373B"/>
    <w:rsid w:val="00B54347"/>
    <w:rsid w:val="00B57E78"/>
    <w:rsid w:val="00B60448"/>
    <w:rsid w:val="00B605A0"/>
    <w:rsid w:val="00B61314"/>
    <w:rsid w:val="00B61673"/>
    <w:rsid w:val="00B61736"/>
    <w:rsid w:val="00B61B4D"/>
    <w:rsid w:val="00B64761"/>
    <w:rsid w:val="00B65565"/>
    <w:rsid w:val="00B67680"/>
    <w:rsid w:val="00B67A3B"/>
    <w:rsid w:val="00B70703"/>
    <w:rsid w:val="00B71004"/>
    <w:rsid w:val="00B72250"/>
    <w:rsid w:val="00B7264A"/>
    <w:rsid w:val="00B72ED3"/>
    <w:rsid w:val="00B73378"/>
    <w:rsid w:val="00B76E6B"/>
    <w:rsid w:val="00B77CB6"/>
    <w:rsid w:val="00B77E74"/>
    <w:rsid w:val="00B8325F"/>
    <w:rsid w:val="00B86CBF"/>
    <w:rsid w:val="00B90BD3"/>
    <w:rsid w:val="00B91346"/>
    <w:rsid w:val="00B9148D"/>
    <w:rsid w:val="00B93D40"/>
    <w:rsid w:val="00B94AF1"/>
    <w:rsid w:val="00B972DE"/>
    <w:rsid w:val="00B97A12"/>
    <w:rsid w:val="00BA00CB"/>
    <w:rsid w:val="00BA061D"/>
    <w:rsid w:val="00BA119A"/>
    <w:rsid w:val="00BA15E8"/>
    <w:rsid w:val="00BA1D2F"/>
    <w:rsid w:val="00BA3495"/>
    <w:rsid w:val="00BA4D3A"/>
    <w:rsid w:val="00BA5B76"/>
    <w:rsid w:val="00BA691F"/>
    <w:rsid w:val="00BA6B43"/>
    <w:rsid w:val="00BB0F3C"/>
    <w:rsid w:val="00BB2553"/>
    <w:rsid w:val="00BB4376"/>
    <w:rsid w:val="00BB5A0B"/>
    <w:rsid w:val="00BB5A44"/>
    <w:rsid w:val="00BB60E9"/>
    <w:rsid w:val="00BB683A"/>
    <w:rsid w:val="00BB6ADF"/>
    <w:rsid w:val="00BB6C52"/>
    <w:rsid w:val="00BB6E55"/>
    <w:rsid w:val="00BC0091"/>
    <w:rsid w:val="00BC0C26"/>
    <w:rsid w:val="00BC432F"/>
    <w:rsid w:val="00BC5198"/>
    <w:rsid w:val="00BC5B19"/>
    <w:rsid w:val="00BC5E78"/>
    <w:rsid w:val="00BC765D"/>
    <w:rsid w:val="00BD038E"/>
    <w:rsid w:val="00BD24AA"/>
    <w:rsid w:val="00BD2BC2"/>
    <w:rsid w:val="00BD57D3"/>
    <w:rsid w:val="00BD58C9"/>
    <w:rsid w:val="00BD5E8F"/>
    <w:rsid w:val="00BD7850"/>
    <w:rsid w:val="00BE1584"/>
    <w:rsid w:val="00BE2771"/>
    <w:rsid w:val="00BF56E6"/>
    <w:rsid w:val="00BF5C21"/>
    <w:rsid w:val="00C013F6"/>
    <w:rsid w:val="00C017CC"/>
    <w:rsid w:val="00C02CCC"/>
    <w:rsid w:val="00C035AF"/>
    <w:rsid w:val="00C04B76"/>
    <w:rsid w:val="00C05666"/>
    <w:rsid w:val="00C072F3"/>
    <w:rsid w:val="00C107AB"/>
    <w:rsid w:val="00C14A83"/>
    <w:rsid w:val="00C15EFD"/>
    <w:rsid w:val="00C17428"/>
    <w:rsid w:val="00C1789E"/>
    <w:rsid w:val="00C20026"/>
    <w:rsid w:val="00C200FB"/>
    <w:rsid w:val="00C21D10"/>
    <w:rsid w:val="00C21E60"/>
    <w:rsid w:val="00C21F9F"/>
    <w:rsid w:val="00C222F9"/>
    <w:rsid w:val="00C2309E"/>
    <w:rsid w:val="00C25497"/>
    <w:rsid w:val="00C266B2"/>
    <w:rsid w:val="00C26D5B"/>
    <w:rsid w:val="00C3001D"/>
    <w:rsid w:val="00C30400"/>
    <w:rsid w:val="00C316E6"/>
    <w:rsid w:val="00C31EFD"/>
    <w:rsid w:val="00C340F7"/>
    <w:rsid w:val="00C35064"/>
    <w:rsid w:val="00C35488"/>
    <w:rsid w:val="00C35716"/>
    <w:rsid w:val="00C36B89"/>
    <w:rsid w:val="00C401EF"/>
    <w:rsid w:val="00C4572C"/>
    <w:rsid w:val="00C472B8"/>
    <w:rsid w:val="00C502EF"/>
    <w:rsid w:val="00C50EB9"/>
    <w:rsid w:val="00C52542"/>
    <w:rsid w:val="00C525F2"/>
    <w:rsid w:val="00C533AD"/>
    <w:rsid w:val="00C533DA"/>
    <w:rsid w:val="00C544D9"/>
    <w:rsid w:val="00C56C27"/>
    <w:rsid w:val="00C56E38"/>
    <w:rsid w:val="00C5769C"/>
    <w:rsid w:val="00C60D80"/>
    <w:rsid w:val="00C61212"/>
    <w:rsid w:val="00C61D84"/>
    <w:rsid w:val="00C6227D"/>
    <w:rsid w:val="00C6330A"/>
    <w:rsid w:val="00C63333"/>
    <w:rsid w:val="00C64C28"/>
    <w:rsid w:val="00C7339F"/>
    <w:rsid w:val="00C73734"/>
    <w:rsid w:val="00C747FB"/>
    <w:rsid w:val="00C76001"/>
    <w:rsid w:val="00C77105"/>
    <w:rsid w:val="00C81B12"/>
    <w:rsid w:val="00C82052"/>
    <w:rsid w:val="00C84372"/>
    <w:rsid w:val="00C84BE5"/>
    <w:rsid w:val="00C84F91"/>
    <w:rsid w:val="00C91E00"/>
    <w:rsid w:val="00C921B1"/>
    <w:rsid w:val="00C94A6B"/>
    <w:rsid w:val="00C9760C"/>
    <w:rsid w:val="00C97941"/>
    <w:rsid w:val="00C97AB3"/>
    <w:rsid w:val="00CA02F6"/>
    <w:rsid w:val="00CA1307"/>
    <w:rsid w:val="00CA1406"/>
    <w:rsid w:val="00CA144B"/>
    <w:rsid w:val="00CA3F46"/>
    <w:rsid w:val="00CA4B5E"/>
    <w:rsid w:val="00CB03AC"/>
    <w:rsid w:val="00CB231E"/>
    <w:rsid w:val="00CB29A7"/>
    <w:rsid w:val="00CB36BA"/>
    <w:rsid w:val="00CB3D4A"/>
    <w:rsid w:val="00CB41B9"/>
    <w:rsid w:val="00CB4FAC"/>
    <w:rsid w:val="00CB6137"/>
    <w:rsid w:val="00CB79A2"/>
    <w:rsid w:val="00CC06B3"/>
    <w:rsid w:val="00CC0EA5"/>
    <w:rsid w:val="00CC2E7D"/>
    <w:rsid w:val="00CC4317"/>
    <w:rsid w:val="00CC4866"/>
    <w:rsid w:val="00CC5057"/>
    <w:rsid w:val="00CC51BA"/>
    <w:rsid w:val="00CC55CD"/>
    <w:rsid w:val="00CC594E"/>
    <w:rsid w:val="00CC67D7"/>
    <w:rsid w:val="00CC7013"/>
    <w:rsid w:val="00CD2E61"/>
    <w:rsid w:val="00CD2FF9"/>
    <w:rsid w:val="00CD7074"/>
    <w:rsid w:val="00CE0166"/>
    <w:rsid w:val="00CE1DEE"/>
    <w:rsid w:val="00CE3FEF"/>
    <w:rsid w:val="00CE44D7"/>
    <w:rsid w:val="00CE55A0"/>
    <w:rsid w:val="00CE55B4"/>
    <w:rsid w:val="00CE6542"/>
    <w:rsid w:val="00CF07C3"/>
    <w:rsid w:val="00CF0C87"/>
    <w:rsid w:val="00CF0F8B"/>
    <w:rsid w:val="00CF35F6"/>
    <w:rsid w:val="00CF5428"/>
    <w:rsid w:val="00D0209C"/>
    <w:rsid w:val="00D02242"/>
    <w:rsid w:val="00D02709"/>
    <w:rsid w:val="00D03216"/>
    <w:rsid w:val="00D04427"/>
    <w:rsid w:val="00D05236"/>
    <w:rsid w:val="00D062F1"/>
    <w:rsid w:val="00D074EA"/>
    <w:rsid w:val="00D103DD"/>
    <w:rsid w:val="00D10A7C"/>
    <w:rsid w:val="00D111A4"/>
    <w:rsid w:val="00D114BC"/>
    <w:rsid w:val="00D1162C"/>
    <w:rsid w:val="00D1199A"/>
    <w:rsid w:val="00D1295D"/>
    <w:rsid w:val="00D15DE8"/>
    <w:rsid w:val="00D16570"/>
    <w:rsid w:val="00D20A9A"/>
    <w:rsid w:val="00D20C33"/>
    <w:rsid w:val="00D220DB"/>
    <w:rsid w:val="00D22437"/>
    <w:rsid w:val="00D2275F"/>
    <w:rsid w:val="00D23116"/>
    <w:rsid w:val="00D23B2E"/>
    <w:rsid w:val="00D258D3"/>
    <w:rsid w:val="00D25DE7"/>
    <w:rsid w:val="00D27452"/>
    <w:rsid w:val="00D34AD6"/>
    <w:rsid w:val="00D40A6C"/>
    <w:rsid w:val="00D40DDA"/>
    <w:rsid w:val="00D42BDF"/>
    <w:rsid w:val="00D447C3"/>
    <w:rsid w:val="00D449A0"/>
    <w:rsid w:val="00D45AA7"/>
    <w:rsid w:val="00D461F1"/>
    <w:rsid w:val="00D4645F"/>
    <w:rsid w:val="00D5089A"/>
    <w:rsid w:val="00D51A91"/>
    <w:rsid w:val="00D5227B"/>
    <w:rsid w:val="00D52F64"/>
    <w:rsid w:val="00D5333B"/>
    <w:rsid w:val="00D5395C"/>
    <w:rsid w:val="00D54707"/>
    <w:rsid w:val="00D5597B"/>
    <w:rsid w:val="00D55CF6"/>
    <w:rsid w:val="00D610D2"/>
    <w:rsid w:val="00D6476D"/>
    <w:rsid w:val="00D66173"/>
    <w:rsid w:val="00D72EF0"/>
    <w:rsid w:val="00D75AE0"/>
    <w:rsid w:val="00D76504"/>
    <w:rsid w:val="00D7669E"/>
    <w:rsid w:val="00D76BE5"/>
    <w:rsid w:val="00D808B5"/>
    <w:rsid w:val="00D81AD5"/>
    <w:rsid w:val="00D82CF3"/>
    <w:rsid w:val="00D8523B"/>
    <w:rsid w:val="00D85CD4"/>
    <w:rsid w:val="00D90886"/>
    <w:rsid w:val="00D91526"/>
    <w:rsid w:val="00D926FC"/>
    <w:rsid w:val="00D93F7C"/>
    <w:rsid w:val="00D95C82"/>
    <w:rsid w:val="00DA0279"/>
    <w:rsid w:val="00DA2120"/>
    <w:rsid w:val="00DA2CB2"/>
    <w:rsid w:val="00DA39CE"/>
    <w:rsid w:val="00DA6C62"/>
    <w:rsid w:val="00DB0091"/>
    <w:rsid w:val="00DB1D49"/>
    <w:rsid w:val="00DB21FC"/>
    <w:rsid w:val="00DB28EE"/>
    <w:rsid w:val="00DB44DB"/>
    <w:rsid w:val="00DB547D"/>
    <w:rsid w:val="00DB70C1"/>
    <w:rsid w:val="00DB75F9"/>
    <w:rsid w:val="00DB762B"/>
    <w:rsid w:val="00DC51ED"/>
    <w:rsid w:val="00DC7D73"/>
    <w:rsid w:val="00DC7D8E"/>
    <w:rsid w:val="00DD3151"/>
    <w:rsid w:val="00DD4277"/>
    <w:rsid w:val="00DD4CA6"/>
    <w:rsid w:val="00DD724A"/>
    <w:rsid w:val="00DE1428"/>
    <w:rsid w:val="00DE1ADB"/>
    <w:rsid w:val="00DE1C35"/>
    <w:rsid w:val="00DE2AED"/>
    <w:rsid w:val="00DE2E58"/>
    <w:rsid w:val="00DE2FD4"/>
    <w:rsid w:val="00DE3333"/>
    <w:rsid w:val="00DE476F"/>
    <w:rsid w:val="00DE5700"/>
    <w:rsid w:val="00DE709F"/>
    <w:rsid w:val="00DF2561"/>
    <w:rsid w:val="00DF3569"/>
    <w:rsid w:val="00E00589"/>
    <w:rsid w:val="00E0058E"/>
    <w:rsid w:val="00E00D0F"/>
    <w:rsid w:val="00E0146B"/>
    <w:rsid w:val="00E01C7D"/>
    <w:rsid w:val="00E02A41"/>
    <w:rsid w:val="00E07124"/>
    <w:rsid w:val="00E11064"/>
    <w:rsid w:val="00E11859"/>
    <w:rsid w:val="00E1233E"/>
    <w:rsid w:val="00E131B6"/>
    <w:rsid w:val="00E13DFB"/>
    <w:rsid w:val="00E144E3"/>
    <w:rsid w:val="00E167B3"/>
    <w:rsid w:val="00E1740B"/>
    <w:rsid w:val="00E202A2"/>
    <w:rsid w:val="00E212BD"/>
    <w:rsid w:val="00E222AE"/>
    <w:rsid w:val="00E223A4"/>
    <w:rsid w:val="00E22EFA"/>
    <w:rsid w:val="00E23E35"/>
    <w:rsid w:val="00E249CE"/>
    <w:rsid w:val="00E30F61"/>
    <w:rsid w:val="00E32FDC"/>
    <w:rsid w:val="00E33E82"/>
    <w:rsid w:val="00E35AC4"/>
    <w:rsid w:val="00E3640C"/>
    <w:rsid w:val="00E36B9E"/>
    <w:rsid w:val="00E441BE"/>
    <w:rsid w:val="00E456C8"/>
    <w:rsid w:val="00E45FAD"/>
    <w:rsid w:val="00E46C8B"/>
    <w:rsid w:val="00E47D3F"/>
    <w:rsid w:val="00E50049"/>
    <w:rsid w:val="00E51030"/>
    <w:rsid w:val="00E52C28"/>
    <w:rsid w:val="00E53A3E"/>
    <w:rsid w:val="00E54108"/>
    <w:rsid w:val="00E557BB"/>
    <w:rsid w:val="00E571B5"/>
    <w:rsid w:val="00E62AD2"/>
    <w:rsid w:val="00E63975"/>
    <w:rsid w:val="00E64592"/>
    <w:rsid w:val="00E64EEC"/>
    <w:rsid w:val="00E65C8B"/>
    <w:rsid w:val="00E662D5"/>
    <w:rsid w:val="00E704C8"/>
    <w:rsid w:val="00E719FB"/>
    <w:rsid w:val="00E754DE"/>
    <w:rsid w:val="00E77530"/>
    <w:rsid w:val="00E814D8"/>
    <w:rsid w:val="00E816A5"/>
    <w:rsid w:val="00E824A3"/>
    <w:rsid w:val="00E825B0"/>
    <w:rsid w:val="00E82C95"/>
    <w:rsid w:val="00E83F6B"/>
    <w:rsid w:val="00E85586"/>
    <w:rsid w:val="00E85E93"/>
    <w:rsid w:val="00E870E7"/>
    <w:rsid w:val="00E9034C"/>
    <w:rsid w:val="00E90A09"/>
    <w:rsid w:val="00E912EC"/>
    <w:rsid w:val="00E9171E"/>
    <w:rsid w:val="00E91B00"/>
    <w:rsid w:val="00E9255D"/>
    <w:rsid w:val="00E960B2"/>
    <w:rsid w:val="00E96359"/>
    <w:rsid w:val="00E96888"/>
    <w:rsid w:val="00E96F6A"/>
    <w:rsid w:val="00E973E3"/>
    <w:rsid w:val="00EA187E"/>
    <w:rsid w:val="00EA2EE5"/>
    <w:rsid w:val="00EA3930"/>
    <w:rsid w:val="00EA4C43"/>
    <w:rsid w:val="00EA5017"/>
    <w:rsid w:val="00EA510A"/>
    <w:rsid w:val="00EA6B22"/>
    <w:rsid w:val="00EA7253"/>
    <w:rsid w:val="00EB1D08"/>
    <w:rsid w:val="00EB2120"/>
    <w:rsid w:val="00EB3595"/>
    <w:rsid w:val="00EC0142"/>
    <w:rsid w:val="00EC124A"/>
    <w:rsid w:val="00EC16AC"/>
    <w:rsid w:val="00EC26C2"/>
    <w:rsid w:val="00EC505B"/>
    <w:rsid w:val="00EC5434"/>
    <w:rsid w:val="00EC547B"/>
    <w:rsid w:val="00EC58CE"/>
    <w:rsid w:val="00EC69FF"/>
    <w:rsid w:val="00EC7694"/>
    <w:rsid w:val="00ED1F9B"/>
    <w:rsid w:val="00ED200F"/>
    <w:rsid w:val="00ED43E6"/>
    <w:rsid w:val="00ED68D0"/>
    <w:rsid w:val="00ED7109"/>
    <w:rsid w:val="00ED717A"/>
    <w:rsid w:val="00ED7AA2"/>
    <w:rsid w:val="00EE0A3A"/>
    <w:rsid w:val="00EE15FF"/>
    <w:rsid w:val="00EE37AF"/>
    <w:rsid w:val="00EE3DC5"/>
    <w:rsid w:val="00EE6B51"/>
    <w:rsid w:val="00EF05DB"/>
    <w:rsid w:val="00EF306F"/>
    <w:rsid w:val="00EF35E3"/>
    <w:rsid w:val="00EF4251"/>
    <w:rsid w:val="00EF4D5C"/>
    <w:rsid w:val="00EF59B6"/>
    <w:rsid w:val="00F00D8C"/>
    <w:rsid w:val="00F00E7A"/>
    <w:rsid w:val="00F018EC"/>
    <w:rsid w:val="00F03971"/>
    <w:rsid w:val="00F03A75"/>
    <w:rsid w:val="00F04AC9"/>
    <w:rsid w:val="00F05E1B"/>
    <w:rsid w:val="00F07DF4"/>
    <w:rsid w:val="00F10003"/>
    <w:rsid w:val="00F10B36"/>
    <w:rsid w:val="00F12A19"/>
    <w:rsid w:val="00F1305D"/>
    <w:rsid w:val="00F13D31"/>
    <w:rsid w:val="00F15DB0"/>
    <w:rsid w:val="00F1658B"/>
    <w:rsid w:val="00F16F87"/>
    <w:rsid w:val="00F17DC8"/>
    <w:rsid w:val="00F2039F"/>
    <w:rsid w:val="00F2237B"/>
    <w:rsid w:val="00F244DC"/>
    <w:rsid w:val="00F25918"/>
    <w:rsid w:val="00F25A37"/>
    <w:rsid w:val="00F25B72"/>
    <w:rsid w:val="00F2696D"/>
    <w:rsid w:val="00F26B18"/>
    <w:rsid w:val="00F26F03"/>
    <w:rsid w:val="00F27560"/>
    <w:rsid w:val="00F3319F"/>
    <w:rsid w:val="00F3347F"/>
    <w:rsid w:val="00F33C12"/>
    <w:rsid w:val="00F34158"/>
    <w:rsid w:val="00F346BA"/>
    <w:rsid w:val="00F353B3"/>
    <w:rsid w:val="00F404F7"/>
    <w:rsid w:val="00F40F9E"/>
    <w:rsid w:val="00F43CAA"/>
    <w:rsid w:val="00F44491"/>
    <w:rsid w:val="00F445C7"/>
    <w:rsid w:val="00F45E0B"/>
    <w:rsid w:val="00F46125"/>
    <w:rsid w:val="00F47ECC"/>
    <w:rsid w:val="00F50269"/>
    <w:rsid w:val="00F52534"/>
    <w:rsid w:val="00F53E09"/>
    <w:rsid w:val="00F56C9C"/>
    <w:rsid w:val="00F5797E"/>
    <w:rsid w:val="00F61462"/>
    <w:rsid w:val="00F62DB6"/>
    <w:rsid w:val="00F67754"/>
    <w:rsid w:val="00F70060"/>
    <w:rsid w:val="00F715C6"/>
    <w:rsid w:val="00F76BFE"/>
    <w:rsid w:val="00F76E65"/>
    <w:rsid w:val="00F81B34"/>
    <w:rsid w:val="00F827E3"/>
    <w:rsid w:val="00F84834"/>
    <w:rsid w:val="00F84F81"/>
    <w:rsid w:val="00F85F7D"/>
    <w:rsid w:val="00F8785A"/>
    <w:rsid w:val="00F87B1F"/>
    <w:rsid w:val="00F87E08"/>
    <w:rsid w:val="00F90315"/>
    <w:rsid w:val="00F90646"/>
    <w:rsid w:val="00F90746"/>
    <w:rsid w:val="00F917EC"/>
    <w:rsid w:val="00F94175"/>
    <w:rsid w:val="00F943E9"/>
    <w:rsid w:val="00F95FAB"/>
    <w:rsid w:val="00F96EE7"/>
    <w:rsid w:val="00F97A57"/>
    <w:rsid w:val="00FA03BB"/>
    <w:rsid w:val="00FA05CA"/>
    <w:rsid w:val="00FA0754"/>
    <w:rsid w:val="00FA2D8E"/>
    <w:rsid w:val="00FA31DC"/>
    <w:rsid w:val="00FA4845"/>
    <w:rsid w:val="00FA647D"/>
    <w:rsid w:val="00FA6993"/>
    <w:rsid w:val="00FB0648"/>
    <w:rsid w:val="00FB0B51"/>
    <w:rsid w:val="00FB16C0"/>
    <w:rsid w:val="00FB2F25"/>
    <w:rsid w:val="00FB62C2"/>
    <w:rsid w:val="00FC036F"/>
    <w:rsid w:val="00FC2C6B"/>
    <w:rsid w:val="00FC3F28"/>
    <w:rsid w:val="00FC6793"/>
    <w:rsid w:val="00FC7D33"/>
    <w:rsid w:val="00FD06D8"/>
    <w:rsid w:val="00FD2194"/>
    <w:rsid w:val="00FD21F0"/>
    <w:rsid w:val="00FD47DE"/>
    <w:rsid w:val="00FD4B0B"/>
    <w:rsid w:val="00FD4B42"/>
    <w:rsid w:val="00FD4C2D"/>
    <w:rsid w:val="00FD5A15"/>
    <w:rsid w:val="00FD5D2F"/>
    <w:rsid w:val="00FD695A"/>
    <w:rsid w:val="00FD6B00"/>
    <w:rsid w:val="00FE1555"/>
    <w:rsid w:val="00FE2823"/>
    <w:rsid w:val="00FE33D3"/>
    <w:rsid w:val="00FE6AA4"/>
    <w:rsid w:val="00FF0885"/>
    <w:rsid w:val="00FF40BB"/>
    <w:rsid w:val="00FF43F8"/>
    <w:rsid w:val="00FF4E83"/>
    <w:rsid w:val="00FF622B"/>
    <w:rsid w:val="00FF660C"/>
    <w:rsid w:val="00FF6D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AD668"/>
  <w15:docId w15:val="{6D8DC961-A06A-4E61-A3BF-AEE6804F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CE8"/>
    <w:pPr>
      <w:spacing w:after="0" w:line="360" w:lineRule="auto"/>
    </w:pPr>
  </w:style>
  <w:style w:type="paragraph" w:styleId="Heading1">
    <w:name w:val="heading 1"/>
    <w:basedOn w:val="Normal"/>
    <w:next w:val="Normal"/>
    <w:link w:val="Heading1Char"/>
    <w:qFormat/>
    <w:rsid w:val="00B73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3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7337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7337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E5E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3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733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733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733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E5EF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B733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33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733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7337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B73378"/>
    <w:rPr>
      <w:i/>
      <w:iCs/>
      <w:color w:val="808080" w:themeColor="text1" w:themeTint="7F"/>
    </w:rPr>
  </w:style>
  <w:style w:type="paragraph" w:styleId="BalloonText">
    <w:name w:val="Balloon Text"/>
    <w:basedOn w:val="Normal"/>
    <w:link w:val="BalloonTextChar"/>
    <w:uiPriority w:val="99"/>
    <w:semiHidden/>
    <w:unhideWhenUsed/>
    <w:rsid w:val="00B733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378"/>
    <w:rPr>
      <w:rFonts w:ascii="Tahoma" w:hAnsi="Tahoma" w:cs="Tahoma"/>
      <w:sz w:val="16"/>
      <w:szCs w:val="16"/>
    </w:rPr>
  </w:style>
  <w:style w:type="paragraph" w:styleId="Bibliography">
    <w:name w:val="Bibliography"/>
    <w:basedOn w:val="Normal"/>
    <w:next w:val="Normal"/>
    <w:uiPriority w:val="37"/>
    <w:unhideWhenUsed/>
    <w:rsid w:val="00B73378"/>
  </w:style>
  <w:style w:type="paragraph" w:styleId="EndnoteText">
    <w:name w:val="endnote text"/>
    <w:basedOn w:val="Normal"/>
    <w:link w:val="EndnoteTextChar"/>
    <w:uiPriority w:val="99"/>
    <w:semiHidden/>
    <w:unhideWhenUsed/>
    <w:rsid w:val="00B73378"/>
    <w:pPr>
      <w:spacing w:line="240" w:lineRule="auto"/>
    </w:pPr>
    <w:rPr>
      <w:sz w:val="20"/>
      <w:szCs w:val="20"/>
    </w:rPr>
  </w:style>
  <w:style w:type="character" w:customStyle="1" w:styleId="EndnoteTextChar">
    <w:name w:val="Endnote Text Char"/>
    <w:basedOn w:val="DefaultParagraphFont"/>
    <w:link w:val="EndnoteText"/>
    <w:uiPriority w:val="99"/>
    <w:semiHidden/>
    <w:rsid w:val="00B73378"/>
    <w:rPr>
      <w:sz w:val="20"/>
      <w:szCs w:val="20"/>
    </w:rPr>
  </w:style>
  <w:style w:type="character" w:styleId="EndnoteReference">
    <w:name w:val="endnote reference"/>
    <w:basedOn w:val="DefaultParagraphFont"/>
    <w:uiPriority w:val="99"/>
    <w:semiHidden/>
    <w:unhideWhenUsed/>
    <w:rsid w:val="00B73378"/>
    <w:rPr>
      <w:vertAlign w:val="superscript"/>
    </w:rPr>
  </w:style>
  <w:style w:type="paragraph" w:styleId="ListParagraph">
    <w:name w:val="List Paragraph"/>
    <w:basedOn w:val="Normal"/>
    <w:uiPriority w:val="34"/>
    <w:qFormat/>
    <w:rsid w:val="00B73378"/>
    <w:pPr>
      <w:ind w:left="720"/>
      <w:contextualSpacing/>
    </w:pPr>
  </w:style>
  <w:style w:type="paragraph" w:styleId="Caption">
    <w:name w:val="caption"/>
    <w:basedOn w:val="Normal"/>
    <w:next w:val="Normal"/>
    <w:uiPriority w:val="35"/>
    <w:unhideWhenUsed/>
    <w:qFormat/>
    <w:rsid w:val="00B73378"/>
    <w:pPr>
      <w:spacing w:line="240" w:lineRule="auto"/>
    </w:pPr>
    <w:rPr>
      <w:b/>
      <w:bCs/>
      <w:color w:val="4F81BD" w:themeColor="accent1"/>
      <w:sz w:val="18"/>
      <w:szCs w:val="18"/>
    </w:rPr>
  </w:style>
  <w:style w:type="paragraph" w:styleId="NormalWeb">
    <w:name w:val="Normal (Web)"/>
    <w:basedOn w:val="Normal"/>
    <w:uiPriority w:val="99"/>
    <w:semiHidden/>
    <w:unhideWhenUsed/>
    <w:rsid w:val="00B7337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73378"/>
    <w:pPr>
      <w:tabs>
        <w:tab w:val="center" w:pos="4513"/>
        <w:tab w:val="right" w:pos="9026"/>
      </w:tabs>
      <w:spacing w:line="240" w:lineRule="auto"/>
    </w:pPr>
  </w:style>
  <w:style w:type="character" w:customStyle="1" w:styleId="HeaderChar">
    <w:name w:val="Header Char"/>
    <w:basedOn w:val="DefaultParagraphFont"/>
    <w:link w:val="Header"/>
    <w:uiPriority w:val="99"/>
    <w:rsid w:val="00B73378"/>
  </w:style>
  <w:style w:type="paragraph" w:styleId="Footer">
    <w:name w:val="footer"/>
    <w:basedOn w:val="Normal"/>
    <w:link w:val="FooterChar"/>
    <w:uiPriority w:val="99"/>
    <w:unhideWhenUsed/>
    <w:rsid w:val="00B73378"/>
    <w:pPr>
      <w:tabs>
        <w:tab w:val="center" w:pos="4513"/>
        <w:tab w:val="right" w:pos="9026"/>
      </w:tabs>
      <w:spacing w:line="240" w:lineRule="auto"/>
    </w:pPr>
  </w:style>
  <w:style w:type="character" w:customStyle="1" w:styleId="FooterChar">
    <w:name w:val="Footer Char"/>
    <w:basedOn w:val="DefaultParagraphFont"/>
    <w:link w:val="Footer"/>
    <w:uiPriority w:val="99"/>
    <w:rsid w:val="00B73378"/>
  </w:style>
  <w:style w:type="paragraph" w:styleId="FootnoteText">
    <w:name w:val="footnote text"/>
    <w:basedOn w:val="Normal"/>
    <w:link w:val="FootnoteTextChar"/>
    <w:uiPriority w:val="99"/>
    <w:semiHidden/>
    <w:unhideWhenUsed/>
    <w:rsid w:val="00B73378"/>
    <w:pPr>
      <w:spacing w:line="240" w:lineRule="auto"/>
    </w:pPr>
    <w:rPr>
      <w:sz w:val="20"/>
      <w:szCs w:val="20"/>
    </w:rPr>
  </w:style>
  <w:style w:type="character" w:customStyle="1" w:styleId="FootnoteTextChar">
    <w:name w:val="Footnote Text Char"/>
    <w:basedOn w:val="DefaultParagraphFont"/>
    <w:link w:val="FootnoteText"/>
    <w:uiPriority w:val="99"/>
    <w:semiHidden/>
    <w:rsid w:val="00B73378"/>
    <w:rPr>
      <w:sz w:val="20"/>
      <w:szCs w:val="20"/>
    </w:rPr>
  </w:style>
  <w:style w:type="character" w:styleId="FootnoteReference">
    <w:name w:val="footnote reference"/>
    <w:basedOn w:val="DefaultParagraphFont"/>
    <w:uiPriority w:val="99"/>
    <w:semiHidden/>
    <w:unhideWhenUsed/>
    <w:rsid w:val="00B73378"/>
    <w:rPr>
      <w:vertAlign w:val="superscript"/>
    </w:rPr>
  </w:style>
  <w:style w:type="paragraph" w:styleId="TableofFigures">
    <w:name w:val="table of figures"/>
    <w:basedOn w:val="Normal"/>
    <w:next w:val="Normal"/>
    <w:uiPriority w:val="99"/>
    <w:unhideWhenUsed/>
    <w:rsid w:val="00B73378"/>
  </w:style>
  <w:style w:type="character" w:styleId="Hyperlink">
    <w:name w:val="Hyperlink"/>
    <w:basedOn w:val="DefaultParagraphFont"/>
    <w:uiPriority w:val="99"/>
    <w:unhideWhenUsed/>
    <w:rsid w:val="00B73378"/>
    <w:rPr>
      <w:color w:val="0000FF" w:themeColor="hyperlink"/>
      <w:u w:val="single"/>
    </w:rPr>
  </w:style>
  <w:style w:type="table" w:styleId="TableGrid">
    <w:name w:val="Table Grid"/>
    <w:basedOn w:val="TableNormal"/>
    <w:uiPriority w:val="59"/>
    <w:rsid w:val="00B73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3378"/>
    <w:rPr>
      <w:color w:val="800080"/>
      <w:u w:val="single"/>
    </w:rPr>
  </w:style>
  <w:style w:type="paragraph" w:customStyle="1" w:styleId="xl66">
    <w:name w:val="xl66"/>
    <w:basedOn w:val="Normal"/>
    <w:rsid w:val="00B73378"/>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table" w:styleId="LightList-Accent2">
    <w:name w:val="Light List Accent 2"/>
    <w:basedOn w:val="TableNormal"/>
    <w:uiPriority w:val="61"/>
    <w:rsid w:val="00B7337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Strong">
    <w:name w:val="Strong"/>
    <w:basedOn w:val="DefaultParagraphFont"/>
    <w:uiPriority w:val="22"/>
    <w:qFormat/>
    <w:rsid w:val="00B73378"/>
    <w:rPr>
      <w:b/>
      <w:bCs/>
    </w:rPr>
  </w:style>
  <w:style w:type="character" w:styleId="CommentReference">
    <w:name w:val="annotation reference"/>
    <w:basedOn w:val="DefaultParagraphFont"/>
    <w:uiPriority w:val="99"/>
    <w:semiHidden/>
    <w:unhideWhenUsed/>
    <w:rsid w:val="00B73378"/>
    <w:rPr>
      <w:sz w:val="16"/>
      <w:szCs w:val="16"/>
    </w:rPr>
  </w:style>
  <w:style w:type="paragraph" w:styleId="CommentText">
    <w:name w:val="annotation text"/>
    <w:basedOn w:val="Normal"/>
    <w:link w:val="CommentTextChar"/>
    <w:uiPriority w:val="99"/>
    <w:unhideWhenUsed/>
    <w:rsid w:val="00B73378"/>
    <w:pPr>
      <w:spacing w:line="240" w:lineRule="auto"/>
    </w:pPr>
    <w:rPr>
      <w:sz w:val="20"/>
      <w:szCs w:val="20"/>
    </w:rPr>
  </w:style>
  <w:style w:type="character" w:customStyle="1" w:styleId="CommentTextChar">
    <w:name w:val="Comment Text Char"/>
    <w:basedOn w:val="DefaultParagraphFont"/>
    <w:link w:val="CommentText"/>
    <w:uiPriority w:val="99"/>
    <w:rsid w:val="00B73378"/>
    <w:rPr>
      <w:sz w:val="20"/>
      <w:szCs w:val="20"/>
    </w:rPr>
  </w:style>
  <w:style w:type="paragraph" w:styleId="CommentSubject">
    <w:name w:val="annotation subject"/>
    <w:basedOn w:val="CommentText"/>
    <w:next w:val="CommentText"/>
    <w:link w:val="CommentSubjectChar"/>
    <w:uiPriority w:val="99"/>
    <w:semiHidden/>
    <w:unhideWhenUsed/>
    <w:rsid w:val="00B73378"/>
    <w:rPr>
      <w:b/>
      <w:bCs/>
    </w:rPr>
  </w:style>
  <w:style w:type="character" w:customStyle="1" w:styleId="CommentSubjectChar">
    <w:name w:val="Comment Subject Char"/>
    <w:basedOn w:val="CommentTextChar"/>
    <w:link w:val="CommentSubject"/>
    <w:uiPriority w:val="99"/>
    <w:semiHidden/>
    <w:rsid w:val="00B73378"/>
    <w:rPr>
      <w:b/>
      <w:bCs/>
      <w:sz w:val="20"/>
      <w:szCs w:val="20"/>
    </w:rPr>
  </w:style>
  <w:style w:type="paragraph" w:styleId="Revision">
    <w:name w:val="Revision"/>
    <w:hidden/>
    <w:uiPriority w:val="99"/>
    <w:semiHidden/>
    <w:rsid w:val="00B73378"/>
    <w:pPr>
      <w:spacing w:after="0" w:line="240" w:lineRule="auto"/>
    </w:pPr>
  </w:style>
  <w:style w:type="character" w:styleId="Emphasis">
    <w:name w:val="Emphasis"/>
    <w:basedOn w:val="DefaultParagraphFont"/>
    <w:uiPriority w:val="20"/>
    <w:qFormat/>
    <w:rsid w:val="00B73378"/>
    <w:rPr>
      <w:b/>
      <w:bCs/>
      <w:i w:val="0"/>
      <w:iCs w:val="0"/>
    </w:rPr>
  </w:style>
  <w:style w:type="character" w:customStyle="1" w:styleId="st1">
    <w:name w:val="st1"/>
    <w:basedOn w:val="DefaultParagraphFont"/>
    <w:rsid w:val="00B73378"/>
  </w:style>
  <w:style w:type="paragraph" w:customStyle="1" w:styleId="EndNoteBibliographyTitle">
    <w:name w:val="EndNote Bibliography Title"/>
    <w:basedOn w:val="Normal"/>
    <w:link w:val="EndNoteBibliographyTitleChar"/>
    <w:rsid w:val="00B73378"/>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73378"/>
    <w:rPr>
      <w:rFonts w:ascii="Calibri" w:hAnsi="Calibri" w:cs="Calibri"/>
      <w:noProof/>
      <w:lang w:val="en-US"/>
    </w:rPr>
  </w:style>
  <w:style w:type="paragraph" w:customStyle="1" w:styleId="EndNoteBibliography">
    <w:name w:val="EndNote Bibliography"/>
    <w:basedOn w:val="Normal"/>
    <w:link w:val="EndNoteBibliographyChar"/>
    <w:rsid w:val="00B7337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73378"/>
    <w:rPr>
      <w:rFonts w:ascii="Calibri" w:hAnsi="Calibri" w:cs="Calibri"/>
      <w:noProof/>
      <w:lang w:val="en-US"/>
    </w:rPr>
  </w:style>
  <w:style w:type="paragraph" w:customStyle="1" w:styleId="EndNoteCategoryHeading">
    <w:name w:val="EndNote Category Heading"/>
    <w:basedOn w:val="Normal"/>
    <w:link w:val="EndNoteCategoryHeadingChar"/>
    <w:rsid w:val="00B73378"/>
    <w:pPr>
      <w:spacing w:before="120" w:after="120"/>
    </w:pPr>
    <w:rPr>
      <w:b/>
      <w:noProof/>
      <w:lang w:val="en-US"/>
    </w:rPr>
  </w:style>
  <w:style w:type="character" w:customStyle="1" w:styleId="EndNoteCategoryHeadingChar">
    <w:name w:val="EndNote Category Heading Char"/>
    <w:basedOn w:val="DefaultParagraphFont"/>
    <w:link w:val="EndNoteCategoryHeading"/>
    <w:rsid w:val="00B73378"/>
    <w:rPr>
      <w:b/>
      <w:noProof/>
      <w:lang w:val="en-US"/>
    </w:rPr>
  </w:style>
  <w:style w:type="character" w:customStyle="1" w:styleId="citation">
    <w:name w:val="citation"/>
    <w:basedOn w:val="DefaultParagraphFont"/>
    <w:rsid w:val="00B73378"/>
  </w:style>
  <w:style w:type="character" w:customStyle="1" w:styleId="ref-journal">
    <w:name w:val="ref-journal"/>
    <w:basedOn w:val="DefaultParagraphFont"/>
    <w:rsid w:val="00B73378"/>
  </w:style>
  <w:style w:type="character" w:customStyle="1" w:styleId="ref-vol">
    <w:name w:val="ref-vol"/>
    <w:basedOn w:val="DefaultParagraphFont"/>
    <w:rsid w:val="00B73378"/>
  </w:style>
  <w:style w:type="paragraph" w:styleId="PlainText">
    <w:name w:val="Plain Text"/>
    <w:basedOn w:val="Normal"/>
    <w:link w:val="PlainTextChar"/>
    <w:uiPriority w:val="99"/>
    <w:semiHidden/>
    <w:unhideWhenUsed/>
    <w:rsid w:val="00B73378"/>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B73378"/>
    <w:rPr>
      <w:rFonts w:ascii="Calibri" w:hAnsi="Calibri"/>
      <w:szCs w:val="21"/>
    </w:rPr>
  </w:style>
  <w:style w:type="character" w:customStyle="1" w:styleId="apple-converted-space">
    <w:name w:val="apple-converted-space"/>
    <w:basedOn w:val="DefaultParagraphFont"/>
    <w:rsid w:val="00954BB7"/>
  </w:style>
  <w:style w:type="character" w:customStyle="1" w:styleId="label">
    <w:name w:val="label"/>
    <w:basedOn w:val="DefaultParagraphFont"/>
    <w:rsid w:val="000E5EFF"/>
  </w:style>
  <w:style w:type="paragraph" w:styleId="z-TopofForm">
    <w:name w:val="HTML Top of Form"/>
    <w:basedOn w:val="Normal"/>
    <w:next w:val="Normal"/>
    <w:link w:val="z-TopofFormChar"/>
    <w:hidden/>
    <w:uiPriority w:val="99"/>
    <w:semiHidden/>
    <w:unhideWhenUsed/>
    <w:rsid w:val="00EF35E3"/>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F35E3"/>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F35E3"/>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F35E3"/>
    <w:rPr>
      <w:rFonts w:ascii="Arial" w:eastAsia="Times New Roman" w:hAnsi="Arial" w:cs="Arial"/>
      <w:vanish/>
      <w:sz w:val="16"/>
      <w:szCs w:val="16"/>
      <w:lang w:eastAsia="en-GB"/>
    </w:rPr>
  </w:style>
  <w:style w:type="character" w:customStyle="1" w:styleId="content-section">
    <w:name w:val="content-section"/>
    <w:basedOn w:val="DefaultParagraphFont"/>
    <w:rsid w:val="00EF35E3"/>
  </w:style>
  <w:style w:type="paragraph" w:customStyle="1" w:styleId="Default">
    <w:name w:val="Default"/>
    <w:rsid w:val="00365B5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Firstparagraphstyle">
    <w:name w:val="First paragraph style"/>
    <w:basedOn w:val="Normal"/>
    <w:next w:val="Normal"/>
    <w:rsid w:val="00365B53"/>
    <w:pPr>
      <w:spacing w:line="48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9445A7"/>
    <w:pPr>
      <w:spacing w:line="276" w:lineRule="auto"/>
      <w:outlineLvl w:val="9"/>
    </w:pPr>
    <w:rPr>
      <w:lang w:val="en-US" w:eastAsia="ja-JP"/>
    </w:rPr>
  </w:style>
  <w:style w:type="paragraph" w:styleId="TOC1">
    <w:name w:val="toc 1"/>
    <w:basedOn w:val="Normal"/>
    <w:next w:val="Normal"/>
    <w:autoRedefine/>
    <w:uiPriority w:val="39"/>
    <w:unhideWhenUsed/>
    <w:rsid w:val="009445A7"/>
    <w:pPr>
      <w:spacing w:after="100"/>
    </w:pPr>
  </w:style>
  <w:style w:type="paragraph" w:customStyle="1" w:styleId="msonormal0">
    <w:name w:val="msonormal"/>
    <w:basedOn w:val="Normal"/>
    <w:rsid w:val="00CC06B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0">
    <w:name w:val="font0"/>
    <w:basedOn w:val="Normal"/>
    <w:rsid w:val="00CC06B3"/>
    <w:pPr>
      <w:spacing w:before="100" w:beforeAutospacing="1" w:after="100" w:afterAutospacing="1" w:line="240" w:lineRule="auto"/>
    </w:pPr>
    <w:rPr>
      <w:rFonts w:ascii="Calibri" w:eastAsia="Times New Roman" w:hAnsi="Calibri" w:cs="Times New Roman"/>
      <w:color w:val="000000"/>
      <w:lang w:val="en-US"/>
    </w:rPr>
  </w:style>
  <w:style w:type="paragraph" w:customStyle="1" w:styleId="font5">
    <w:name w:val="font5"/>
    <w:basedOn w:val="Normal"/>
    <w:rsid w:val="00CC06B3"/>
    <w:pPr>
      <w:spacing w:before="100" w:beforeAutospacing="1" w:after="100" w:afterAutospacing="1" w:line="240" w:lineRule="auto"/>
    </w:pPr>
    <w:rPr>
      <w:rFonts w:ascii="Calibri" w:eastAsia="Times New Roman" w:hAnsi="Calibri" w:cs="Times New Roman"/>
      <w:b/>
      <w:bCs/>
      <w:color w:val="000000"/>
      <w:lang w:val="en-US"/>
    </w:rPr>
  </w:style>
  <w:style w:type="paragraph" w:customStyle="1" w:styleId="font6">
    <w:name w:val="font6"/>
    <w:basedOn w:val="Normal"/>
    <w:rsid w:val="00CC06B3"/>
    <w:pPr>
      <w:spacing w:before="100" w:beforeAutospacing="1" w:after="100" w:afterAutospacing="1" w:line="240" w:lineRule="auto"/>
    </w:pPr>
    <w:rPr>
      <w:rFonts w:ascii="Calibri" w:eastAsia="Times New Roman" w:hAnsi="Calibri" w:cs="Times New Roman"/>
      <w:color w:val="000000"/>
      <w:lang w:val="en-US"/>
    </w:rPr>
  </w:style>
  <w:style w:type="paragraph" w:customStyle="1" w:styleId="font7">
    <w:name w:val="font7"/>
    <w:basedOn w:val="Normal"/>
    <w:rsid w:val="00CC06B3"/>
    <w:pPr>
      <w:spacing w:before="100" w:beforeAutospacing="1" w:after="100" w:afterAutospacing="1" w:line="240" w:lineRule="auto"/>
    </w:pPr>
    <w:rPr>
      <w:rFonts w:ascii="Calibri" w:eastAsia="Times New Roman" w:hAnsi="Calibri" w:cs="Times New Roman"/>
      <w:color w:val="000000"/>
      <w:lang w:val="en-US"/>
    </w:rPr>
  </w:style>
  <w:style w:type="paragraph" w:customStyle="1" w:styleId="xl63">
    <w:name w:val="xl63"/>
    <w:basedOn w:val="Normal"/>
    <w:rsid w:val="00CC06B3"/>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4">
    <w:name w:val="xl64"/>
    <w:basedOn w:val="Normal"/>
    <w:rsid w:val="00CC06B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CC06B3"/>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CC06B3"/>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68">
    <w:name w:val="xl68"/>
    <w:basedOn w:val="Normal"/>
    <w:rsid w:val="00CC06B3"/>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69">
    <w:name w:val="xl69"/>
    <w:basedOn w:val="Normal"/>
    <w:rsid w:val="00CC06B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CC06B3"/>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1">
    <w:name w:val="xl71"/>
    <w:basedOn w:val="Normal"/>
    <w:rsid w:val="00CC06B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2">
    <w:name w:val="xl72"/>
    <w:basedOn w:val="Normal"/>
    <w:rsid w:val="00CC06B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CC06B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CC06B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u w:val="single"/>
      <w:lang w:val="en-US"/>
    </w:rPr>
  </w:style>
  <w:style w:type="paragraph" w:customStyle="1" w:styleId="xl75">
    <w:name w:val="xl75"/>
    <w:basedOn w:val="Normal"/>
    <w:rsid w:val="00CC06B3"/>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CC06B3"/>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CC06B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8">
    <w:name w:val="xl78"/>
    <w:basedOn w:val="Normal"/>
    <w:rsid w:val="00CC06B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CC06B3"/>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CC06B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CC06B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2">
    <w:name w:val="xl82"/>
    <w:basedOn w:val="Normal"/>
    <w:rsid w:val="00CC06B3"/>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284">
      <w:marLeft w:val="0"/>
      <w:marRight w:val="0"/>
      <w:marTop w:val="0"/>
      <w:marBottom w:val="0"/>
      <w:divBdr>
        <w:top w:val="none" w:sz="0" w:space="0" w:color="auto"/>
        <w:left w:val="none" w:sz="0" w:space="0" w:color="auto"/>
        <w:bottom w:val="none" w:sz="0" w:space="0" w:color="auto"/>
        <w:right w:val="none" w:sz="0" w:space="0" w:color="auto"/>
      </w:divBdr>
    </w:div>
    <w:div w:id="20252491">
      <w:bodyDiv w:val="1"/>
      <w:marLeft w:val="0"/>
      <w:marRight w:val="0"/>
      <w:marTop w:val="0"/>
      <w:marBottom w:val="0"/>
      <w:divBdr>
        <w:top w:val="none" w:sz="0" w:space="0" w:color="auto"/>
        <w:left w:val="none" w:sz="0" w:space="0" w:color="auto"/>
        <w:bottom w:val="none" w:sz="0" w:space="0" w:color="auto"/>
        <w:right w:val="none" w:sz="0" w:space="0" w:color="auto"/>
      </w:divBdr>
    </w:div>
    <w:div w:id="28262396">
      <w:bodyDiv w:val="1"/>
      <w:marLeft w:val="0"/>
      <w:marRight w:val="0"/>
      <w:marTop w:val="0"/>
      <w:marBottom w:val="0"/>
      <w:divBdr>
        <w:top w:val="none" w:sz="0" w:space="0" w:color="auto"/>
        <w:left w:val="none" w:sz="0" w:space="0" w:color="auto"/>
        <w:bottom w:val="none" w:sz="0" w:space="0" w:color="auto"/>
        <w:right w:val="none" w:sz="0" w:space="0" w:color="auto"/>
      </w:divBdr>
    </w:div>
    <w:div w:id="37439409">
      <w:bodyDiv w:val="1"/>
      <w:marLeft w:val="0"/>
      <w:marRight w:val="0"/>
      <w:marTop w:val="0"/>
      <w:marBottom w:val="0"/>
      <w:divBdr>
        <w:top w:val="none" w:sz="0" w:space="0" w:color="auto"/>
        <w:left w:val="none" w:sz="0" w:space="0" w:color="auto"/>
        <w:bottom w:val="none" w:sz="0" w:space="0" w:color="auto"/>
        <w:right w:val="none" w:sz="0" w:space="0" w:color="auto"/>
      </w:divBdr>
    </w:div>
    <w:div w:id="75520457">
      <w:marLeft w:val="0"/>
      <w:marRight w:val="75"/>
      <w:marTop w:val="0"/>
      <w:marBottom w:val="0"/>
      <w:divBdr>
        <w:top w:val="none" w:sz="0" w:space="0" w:color="auto"/>
        <w:left w:val="none" w:sz="0" w:space="0" w:color="auto"/>
        <w:bottom w:val="none" w:sz="0" w:space="0" w:color="auto"/>
        <w:right w:val="none" w:sz="0" w:space="0" w:color="auto"/>
      </w:divBdr>
      <w:divsChild>
        <w:div w:id="1313098661">
          <w:marLeft w:val="0"/>
          <w:marRight w:val="0"/>
          <w:marTop w:val="0"/>
          <w:marBottom w:val="0"/>
          <w:divBdr>
            <w:top w:val="none" w:sz="0" w:space="0" w:color="auto"/>
            <w:left w:val="none" w:sz="0" w:space="0" w:color="auto"/>
            <w:bottom w:val="none" w:sz="0" w:space="0" w:color="auto"/>
            <w:right w:val="none" w:sz="0" w:space="0" w:color="auto"/>
          </w:divBdr>
        </w:div>
      </w:divsChild>
    </w:div>
    <w:div w:id="90587983">
      <w:marLeft w:val="0"/>
      <w:marRight w:val="0"/>
      <w:marTop w:val="0"/>
      <w:marBottom w:val="0"/>
      <w:divBdr>
        <w:top w:val="none" w:sz="0" w:space="0" w:color="auto"/>
        <w:left w:val="none" w:sz="0" w:space="0" w:color="auto"/>
        <w:bottom w:val="none" w:sz="0" w:space="0" w:color="auto"/>
        <w:right w:val="none" w:sz="0" w:space="0" w:color="auto"/>
      </w:divBdr>
    </w:div>
    <w:div w:id="99418349">
      <w:bodyDiv w:val="1"/>
      <w:marLeft w:val="0"/>
      <w:marRight w:val="0"/>
      <w:marTop w:val="0"/>
      <w:marBottom w:val="0"/>
      <w:divBdr>
        <w:top w:val="none" w:sz="0" w:space="0" w:color="auto"/>
        <w:left w:val="none" w:sz="0" w:space="0" w:color="auto"/>
        <w:bottom w:val="none" w:sz="0" w:space="0" w:color="auto"/>
        <w:right w:val="none" w:sz="0" w:space="0" w:color="auto"/>
      </w:divBdr>
      <w:divsChild>
        <w:div w:id="1710834366">
          <w:marLeft w:val="0"/>
          <w:marRight w:val="0"/>
          <w:marTop w:val="0"/>
          <w:marBottom w:val="0"/>
          <w:divBdr>
            <w:top w:val="none" w:sz="0" w:space="0" w:color="auto"/>
            <w:left w:val="none" w:sz="0" w:space="0" w:color="auto"/>
            <w:bottom w:val="none" w:sz="0" w:space="0" w:color="auto"/>
            <w:right w:val="none" w:sz="0" w:space="0" w:color="auto"/>
          </w:divBdr>
          <w:divsChild>
            <w:div w:id="70854044">
              <w:marLeft w:val="0"/>
              <w:marRight w:val="0"/>
              <w:marTop w:val="0"/>
              <w:marBottom w:val="0"/>
              <w:divBdr>
                <w:top w:val="none" w:sz="0" w:space="0" w:color="auto"/>
                <w:left w:val="none" w:sz="0" w:space="0" w:color="auto"/>
                <w:bottom w:val="none" w:sz="0" w:space="0" w:color="auto"/>
                <w:right w:val="none" w:sz="0" w:space="0" w:color="auto"/>
              </w:divBdr>
              <w:divsChild>
                <w:div w:id="38827456">
                  <w:marLeft w:val="0"/>
                  <w:marRight w:val="0"/>
                  <w:marTop w:val="0"/>
                  <w:marBottom w:val="0"/>
                  <w:divBdr>
                    <w:top w:val="none" w:sz="0" w:space="0" w:color="auto"/>
                    <w:left w:val="none" w:sz="0" w:space="0" w:color="auto"/>
                    <w:bottom w:val="none" w:sz="0" w:space="0" w:color="auto"/>
                    <w:right w:val="none" w:sz="0" w:space="0" w:color="auto"/>
                  </w:divBdr>
                  <w:divsChild>
                    <w:div w:id="3764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4828">
      <w:bodyDiv w:val="1"/>
      <w:marLeft w:val="0"/>
      <w:marRight w:val="0"/>
      <w:marTop w:val="0"/>
      <w:marBottom w:val="0"/>
      <w:divBdr>
        <w:top w:val="none" w:sz="0" w:space="0" w:color="auto"/>
        <w:left w:val="none" w:sz="0" w:space="0" w:color="auto"/>
        <w:bottom w:val="none" w:sz="0" w:space="0" w:color="auto"/>
        <w:right w:val="none" w:sz="0" w:space="0" w:color="auto"/>
      </w:divBdr>
    </w:div>
    <w:div w:id="126826303">
      <w:marLeft w:val="0"/>
      <w:marRight w:val="75"/>
      <w:marTop w:val="0"/>
      <w:marBottom w:val="0"/>
      <w:divBdr>
        <w:top w:val="none" w:sz="0" w:space="0" w:color="auto"/>
        <w:left w:val="none" w:sz="0" w:space="0" w:color="auto"/>
        <w:bottom w:val="none" w:sz="0" w:space="0" w:color="auto"/>
        <w:right w:val="none" w:sz="0" w:space="0" w:color="auto"/>
      </w:divBdr>
      <w:divsChild>
        <w:div w:id="1089159983">
          <w:marLeft w:val="0"/>
          <w:marRight w:val="0"/>
          <w:marTop w:val="0"/>
          <w:marBottom w:val="0"/>
          <w:divBdr>
            <w:top w:val="none" w:sz="0" w:space="0" w:color="auto"/>
            <w:left w:val="none" w:sz="0" w:space="0" w:color="auto"/>
            <w:bottom w:val="none" w:sz="0" w:space="0" w:color="auto"/>
            <w:right w:val="none" w:sz="0" w:space="0" w:color="auto"/>
          </w:divBdr>
        </w:div>
      </w:divsChild>
    </w:div>
    <w:div w:id="167911819">
      <w:bodyDiv w:val="1"/>
      <w:marLeft w:val="0"/>
      <w:marRight w:val="0"/>
      <w:marTop w:val="0"/>
      <w:marBottom w:val="0"/>
      <w:divBdr>
        <w:top w:val="none" w:sz="0" w:space="0" w:color="auto"/>
        <w:left w:val="none" w:sz="0" w:space="0" w:color="auto"/>
        <w:bottom w:val="none" w:sz="0" w:space="0" w:color="auto"/>
        <w:right w:val="none" w:sz="0" w:space="0" w:color="auto"/>
      </w:divBdr>
    </w:div>
    <w:div w:id="177935884">
      <w:marLeft w:val="0"/>
      <w:marRight w:val="75"/>
      <w:marTop w:val="0"/>
      <w:marBottom w:val="0"/>
      <w:divBdr>
        <w:top w:val="none" w:sz="0" w:space="0" w:color="auto"/>
        <w:left w:val="none" w:sz="0" w:space="0" w:color="auto"/>
        <w:bottom w:val="none" w:sz="0" w:space="0" w:color="auto"/>
        <w:right w:val="none" w:sz="0" w:space="0" w:color="auto"/>
      </w:divBdr>
      <w:divsChild>
        <w:div w:id="1906259919">
          <w:marLeft w:val="0"/>
          <w:marRight w:val="0"/>
          <w:marTop w:val="0"/>
          <w:marBottom w:val="0"/>
          <w:divBdr>
            <w:top w:val="none" w:sz="0" w:space="0" w:color="auto"/>
            <w:left w:val="none" w:sz="0" w:space="0" w:color="auto"/>
            <w:bottom w:val="none" w:sz="0" w:space="0" w:color="auto"/>
            <w:right w:val="none" w:sz="0" w:space="0" w:color="auto"/>
          </w:divBdr>
        </w:div>
      </w:divsChild>
    </w:div>
    <w:div w:id="180973989">
      <w:marLeft w:val="0"/>
      <w:marRight w:val="0"/>
      <w:marTop w:val="0"/>
      <w:marBottom w:val="0"/>
      <w:divBdr>
        <w:top w:val="none" w:sz="0" w:space="0" w:color="auto"/>
        <w:left w:val="none" w:sz="0" w:space="0" w:color="auto"/>
        <w:bottom w:val="none" w:sz="0" w:space="0" w:color="auto"/>
        <w:right w:val="none" w:sz="0" w:space="0" w:color="auto"/>
      </w:divBdr>
    </w:div>
    <w:div w:id="190149341">
      <w:marLeft w:val="0"/>
      <w:marRight w:val="0"/>
      <w:marTop w:val="0"/>
      <w:marBottom w:val="0"/>
      <w:divBdr>
        <w:top w:val="none" w:sz="0" w:space="0" w:color="auto"/>
        <w:left w:val="none" w:sz="0" w:space="0" w:color="auto"/>
        <w:bottom w:val="none" w:sz="0" w:space="0" w:color="auto"/>
        <w:right w:val="none" w:sz="0" w:space="0" w:color="auto"/>
      </w:divBdr>
    </w:div>
    <w:div w:id="196939968">
      <w:marLeft w:val="0"/>
      <w:marRight w:val="0"/>
      <w:marTop w:val="0"/>
      <w:marBottom w:val="0"/>
      <w:divBdr>
        <w:top w:val="none" w:sz="0" w:space="0" w:color="auto"/>
        <w:left w:val="none" w:sz="0" w:space="0" w:color="auto"/>
        <w:bottom w:val="none" w:sz="0" w:space="0" w:color="auto"/>
        <w:right w:val="none" w:sz="0" w:space="0" w:color="auto"/>
      </w:divBdr>
    </w:div>
    <w:div w:id="202600865">
      <w:bodyDiv w:val="1"/>
      <w:marLeft w:val="0"/>
      <w:marRight w:val="0"/>
      <w:marTop w:val="0"/>
      <w:marBottom w:val="0"/>
      <w:divBdr>
        <w:top w:val="none" w:sz="0" w:space="0" w:color="auto"/>
        <w:left w:val="none" w:sz="0" w:space="0" w:color="auto"/>
        <w:bottom w:val="none" w:sz="0" w:space="0" w:color="auto"/>
        <w:right w:val="none" w:sz="0" w:space="0" w:color="auto"/>
      </w:divBdr>
    </w:div>
    <w:div w:id="212615810">
      <w:bodyDiv w:val="1"/>
      <w:marLeft w:val="0"/>
      <w:marRight w:val="0"/>
      <w:marTop w:val="0"/>
      <w:marBottom w:val="0"/>
      <w:divBdr>
        <w:top w:val="none" w:sz="0" w:space="0" w:color="auto"/>
        <w:left w:val="none" w:sz="0" w:space="0" w:color="auto"/>
        <w:bottom w:val="none" w:sz="0" w:space="0" w:color="auto"/>
        <w:right w:val="none" w:sz="0" w:space="0" w:color="auto"/>
      </w:divBdr>
    </w:div>
    <w:div w:id="213590292">
      <w:bodyDiv w:val="1"/>
      <w:marLeft w:val="0"/>
      <w:marRight w:val="0"/>
      <w:marTop w:val="0"/>
      <w:marBottom w:val="0"/>
      <w:divBdr>
        <w:top w:val="none" w:sz="0" w:space="0" w:color="auto"/>
        <w:left w:val="none" w:sz="0" w:space="0" w:color="auto"/>
        <w:bottom w:val="none" w:sz="0" w:space="0" w:color="auto"/>
        <w:right w:val="none" w:sz="0" w:space="0" w:color="auto"/>
      </w:divBdr>
    </w:div>
    <w:div w:id="217862685">
      <w:marLeft w:val="0"/>
      <w:marRight w:val="0"/>
      <w:marTop w:val="0"/>
      <w:marBottom w:val="0"/>
      <w:divBdr>
        <w:top w:val="none" w:sz="0" w:space="0" w:color="auto"/>
        <w:left w:val="none" w:sz="0" w:space="0" w:color="auto"/>
        <w:bottom w:val="none" w:sz="0" w:space="0" w:color="auto"/>
        <w:right w:val="none" w:sz="0" w:space="0" w:color="auto"/>
      </w:divBdr>
    </w:div>
    <w:div w:id="220752166">
      <w:marLeft w:val="0"/>
      <w:marRight w:val="0"/>
      <w:marTop w:val="0"/>
      <w:marBottom w:val="0"/>
      <w:divBdr>
        <w:top w:val="none" w:sz="0" w:space="0" w:color="auto"/>
        <w:left w:val="none" w:sz="0" w:space="0" w:color="auto"/>
        <w:bottom w:val="none" w:sz="0" w:space="0" w:color="auto"/>
        <w:right w:val="none" w:sz="0" w:space="0" w:color="auto"/>
      </w:divBdr>
    </w:div>
    <w:div w:id="225915420">
      <w:bodyDiv w:val="1"/>
      <w:marLeft w:val="0"/>
      <w:marRight w:val="0"/>
      <w:marTop w:val="0"/>
      <w:marBottom w:val="0"/>
      <w:divBdr>
        <w:top w:val="none" w:sz="0" w:space="0" w:color="auto"/>
        <w:left w:val="none" w:sz="0" w:space="0" w:color="auto"/>
        <w:bottom w:val="none" w:sz="0" w:space="0" w:color="auto"/>
        <w:right w:val="none" w:sz="0" w:space="0" w:color="auto"/>
      </w:divBdr>
    </w:div>
    <w:div w:id="239949872">
      <w:marLeft w:val="0"/>
      <w:marRight w:val="75"/>
      <w:marTop w:val="0"/>
      <w:marBottom w:val="0"/>
      <w:divBdr>
        <w:top w:val="none" w:sz="0" w:space="0" w:color="auto"/>
        <w:left w:val="none" w:sz="0" w:space="0" w:color="auto"/>
        <w:bottom w:val="none" w:sz="0" w:space="0" w:color="auto"/>
        <w:right w:val="none" w:sz="0" w:space="0" w:color="auto"/>
      </w:divBdr>
      <w:divsChild>
        <w:div w:id="846333402">
          <w:marLeft w:val="0"/>
          <w:marRight w:val="0"/>
          <w:marTop w:val="0"/>
          <w:marBottom w:val="0"/>
          <w:divBdr>
            <w:top w:val="none" w:sz="0" w:space="0" w:color="auto"/>
            <w:left w:val="none" w:sz="0" w:space="0" w:color="auto"/>
            <w:bottom w:val="none" w:sz="0" w:space="0" w:color="auto"/>
            <w:right w:val="none" w:sz="0" w:space="0" w:color="auto"/>
          </w:divBdr>
        </w:div>
      </w:divsChild>
    </w:div>
    <w:div w:id="240650838">
      <w:marLeft w:val="0"/>
      <w:marRight w:val="75"/>
      <w:marTop w:val="0"/>
      <w:marBottom w:val="0"/>
      <w:divBdr>
        <w:top w:val="none" w:sz="0" w:space="0" w:color="auto"/>
        <w:left w:val="none" w:sz="0" w:space="0" w:color="auto"/>
        <w:bottom w:val="none" w:sz="0" w:space="0" w:color="auto"/>
        <w:right w:val="none" w:sz="0" w:space="0" w:color="auto"/>
      </w:divBdr>
      <w:divsChild>
        <w:div w:id="332876712">
          <w:marLeft w:val="0"/>
          <w:marRight w:val="0"/>
          <w:marTop w:val="0"/>
          <w:marBottom w:val="0"/>
          <w:divBdr>
            <w:top w:val="none" w:sz="0" w:space="0" w:color="auto"/>
            <w:left w:val="none" w:sz="0" w:space="0" w:color="auto"/>
            <w:bottom w:val="none" w:sz="0" w:space="0" w:color="auto"/>
            <w:right w:val="none" w:sz="0" w:space="0" w:color="auto"/>
          </w:divBdr>
        </w:div>
      </w:divsChild>
    </w:div>
    <w:div w:id="250551287">
      <w:marLeft w:val="0"/>
      <w:marRight w:val="75"/>
      <w:marTop w:val="0"/>
      <w:marBottom w:val="0"/>
      <w:divBdr>
        <w:top w:val="none" w:sz="0" w:space="0" w:color="auto"/>
        <w:left w:val="none" w:sz="0" w:space="0" w:color="auto"/>
        <w:bottom w:val="none" w:sz="0" w:space="0" w:color="auto"/>
        <w:right w:val="none" w:sz="0" w:space="0" w:color="auto"/>
      </w:divBdr>
      <w:divsChild>
        <w:div w:id="1662810154">
          <w:marLeft w:val="0"/>
          <w:marRight w:val="0"/>
          <w:marTop w:val="0"/>
          <w:marBottom w:val="0"/>
          <w:divBdr>
            <w:top w:val="none" w:sz="0" w:space="0" w:color="auto"/>
            <w:left w:val="none" w:sz="0" w:space="0" w:color="auto"/>
            <w:bottom w:val="none" w:sz="0" w:space="0" w:color="auto"/>
            <w:right w:val="none" w:sz="0" w:space="0" w:color="auto"/>
          </w:divBdr>
        </w:div>
      </w:divsChild>
    </w:div>
    <w:div w:id="253051588">
      <w:marLeft w:val="0"/>
      <w:marRight w:val="75"/>
      <w:marTop w:val="0"/>
      <w:marBottom w:val="0"/>
      <w:divBdr>
        <w:top w:val="none" w:sz="0" w:space="0" w:color="auto"/>
        <w:left w:val="none" w:sz="0" w:space="0" w:color="auto"/>
        <w:bottom w:val="none" w:sz="0" w:space="0" w:color="auto"/>
        <w:right w:val="none" w:sz="0" w:space="0" w:color="auto"/>
      </w:divBdr>
      <w:divsChild>
        <w:div w:id="1096250650">
          <w:marLeft w:val="0"/>
          <w:marRight w:val="0"/>
          <w:marTop w:val="0"/>
          <w:marBottom w:val="0"/>
          <w:divBdr>
            <w:top w:val="none" w:sz="0" w:space="0" w:color="auto"/>
            <w:left w:val="none" w:sz="0" w:space="0" w:color="auto"/>
            <w:bottom w:val="none" w:sz="0" w:space="0" w:color="auto"/>
            <w:right w:val="none" w:sz="0" w:space="0" w:color="auto"/>
          </w:divBdr>
        </w:div>
      </w:divsChild>
    </w:div>
    <w:div w:id="257443913">
      <w:bodyDiv w:val="1"/>
      <w:marLeft w:val="0"/>
      <w:marRight w:val="0"/>
      <w:marTop w:val="0"/>
      <w:marBottom w:val="0"/>
      <w:divBdr>
        <w:top w:val="none" w:sz="0" w:space="0" w:color="auto"/>
        <w:left w:val="none" w:sz="0" w:space="0" w:color="auto"/>
        <w:bottom w:val="none" w:sz="0" w:space="0" w:color="auto"/>
        <w:right w:val="none" w:sz="0" w:space="0" w:color="auto"/>
      </w:divBdr>
    </w:div>
    <w:div w:id="260842735">
      <w:marLeft w:val="0"/>
      <w:marRight w:val="0"/>
      <w:marTop w:val="0"/>
      <w:marBottom w:val="0"/>
      <w:divBdr>
        <w:top w:val="none" w:sz="0" w:space="0" w:color="auto"/>
        <w:left w:val="none" w:sz="0" w:space="0" w:color="auto"/>
        <w:bottom w:val="none" w:sz="0" w:space="0" w:color="auto"/>
        <w:right w:val="none" w:sz="0" w:space="0" w:color="auto"/>
      </w:divBdr>
    </w:div>
    <w:div w:id="266233201">
      <w:marLeft w:val="0"/>
      <w:marRight w:val="0"/>
      <w:marTop w:val="0"/>
      <w:marBottom w:val="0"/>
      <w:divBdr>
        <w:top w:val="none" w:sz="0" w:space="0" w:color="auto"/>
        <w:left w:val="none" w:sz="0" w:space="0" w:color="auto"/>
        <w:bottom w:val="none" w:sz="0" w:space="0" w:color="auto"/>
        <w:right w:val="none" w:sz="0" w:space="0" w:color="auto"/>
      </w:divBdr>
    </w:div>
    <w:div w:id="288753628">
      <w:marLeft w:val="0"/>
      <w:marRight w:val="0"/>
      <w:marTop w:val="0"/>
      <w:marBottom w:val="0"/>
      <w:divBdr>
        <w:top w:val="none" w:sz="0" w:space="0" w:color="auto"/>
        <w:left w:val="none" w:sz="0" w:space="0" w:color="auto"/>
        <w:bottom w:val="none" w:sz="0" w:space="0" w:color="auto"/>
        <w:right w:val="none" w:sz="0" w:space="0" w:color="auto"/>
      </w:divBdr>
    </w:div>
    <w:div w:id="304358570">
      <w:marLeft w:val="0"/>
      <w:marRight w:val="0"/>
      <w:marTop w:val="0"/>
      <w:marBottom w:val="0"/>
      <w:divBdr>
        <w:top w:val="none" w:sz="0" w:space="0" w:color="auto"/>
        <w:left w:val="none" w:sz="0" w:space="0" w:color="auto"/>
        <w:bottom w:val="none" w:sz="0" w:space="0" w:color="auto"/>
        <w:right w:val="none" w:sz="0" w:space="0" w:color="auto"/>
      </w:divBdr>
    </w:div>
    <w:div w:id="305206155">
      <w:marLeft w:val="0"/>
      <w:marRight w:val="75"/>
      <w:marTop w:val="0"/>
      <w:marBottom w:val="0"/>
      <w:divBdr>
        <w:top w:val="none" w:sz="0" w:space="0" w:color="auto"/>
        <w:left w:val="none" w:sz="0" w:space="0" w:color="auto"/>
        <w:bottom w:val="none" w:sz="0" w:space="0" w:color="auto"/>
        <w:right w:val="none" w:sz="0" w:space="0" w:color="auto"/>
      </w:divBdr>
      <w:divsChild>
        <w:div w:id="840310887">
          <w:marLeft w:val="0"/>
          <w:marRight w:val="0"/>
          <w:marTop w:val="0"/>
          <w:marBottom w:val="0"/>
          <w:divBdr>
            <w:top w:val="none" w:sz="0" w:space="0" w:color="auto"/>
            <w:left w:val="none" w:sz="0" w:space="0" w:color="auto"/>
            <w:bottom w:val="none" w:sz="0" w:space="0" w:color="auto"/>
            <w:right w:val="none" w:sz="0" w:space="0" w:color="auto"/>
          </w:divBdr>
        </w:div>
      </w:divsChild>
    </w:div>
    <w:div w:id="318509073">
      <w:marLeft w:val="0"/>
      <w:marRight w:val="75"/>
      <w:marTop w:val="0"/>
      <w:marBottom w:val="0"/>
      <w:divBdr>
        <w:top w:val="none" w:sz="0" w:space="0" w:color="auto"/>
        <w:left w:val="none" w:sz="0" w:space="0" w:color="auto"/>
        <w:bottom w:val="none" w:sz="0" w:space="0" w:color="auto"/>
        <w:right w:val="none" w:sz="0" w:space="0" w:color="auto"/>
      </w:divBdr>
      <w:divsChild>
        <w:div w:id="1066756090">
          <w:marLeft w:val="0"/>
          <w:marRight w:val="0"/>
          <w:marTop w:val="0"/>
          <w:marBottom w:val="0"/>
          <w:divBdr>
            <w:top w:val="none" w:sz="0" w:space="0" w:color="auto"/>
            <w:left w:val="none" w:sz="0" w:space="0" w:color="auto"/>
            <w:bottom w:val="none" w:sz="0" w:space="0" w:color="auto"/>
            <w:right w:val="none" w:sz="0" w:space="0" w:color="auto"/>
          </w:divBdr>
        </w:div>
      </w:divsChild>
    </w:div>
    <w:div w:id="328798396">
      <w:bodyDiv w:val="1"/>
      <w:marLeft w:val="0"/>
      <w:marRight w:val="0"/>
      <w:marTop w:val="0"/>
      <w:marBottom w:val="0"/>
      <w:divBdr>
        <w:top w:val="none" w:sz="0" w:space="0" w:color="auto"/>
        <w:left w:val="none" w:sz="0" w:space="0" w:color="auto"/>
        <w:bottom w:val="none" w:sz="0" w:space="0" w:color="auto"/>
        <w:right w:val="none" w:sz="0" w:space="0" w:color="auto"/>
      </w:divBdr>
    </w:div>
    <w:div w:id="329715466">
      <w:marLeft w:val="0"/>
      <w:marRight w:val="0"/>
      <w:marTop w:val="0"/>
      <w:marBottom w:val="0"/>
      <w:divBdr>
        <w:top w:val="none" w:sz="0" w:space="0" w:color="auto"/>
        <w:left w:val="none" w:sz="0" w:space="0" w:color="auto"/>
        <w:bottom w:val="none" w:sz="0" w:space="0" w:color="auto"/>
        <w:right w:val="none" w:sz="0" w:space="0" w:color="auto"/>
      </w:divBdr>
    </w:div>
    <w:div w:id="330182597">
      <w:bodyDiv w:val="1"/>
      <w:marLeft w:val="0"/>
      <w:marRight w:val="0"/>
      <w:marTop w:val="0"/>
      <w:marBottom w:val="0"/>
      <w:divBdr>
        <w:top w:val="none" w:sz="0" w:space="0" w:color="auto"/>
        <w:left w:val="none" w:sz="0" w:space="0" w:color="auto"/>
        <w:bottom w:val="none" w:sz="0" w:space="0" w:color="auto"/>
        <w:right w:val="none" w:sz="0" w:space="0" w:color="auto"/>
      </w:divBdr>
    </w:div>
    <w:div w:id="355081964">
      <w:marLeft w:val="0"/>
      <w:marRight w:val="0"/>
      <w:marTop w:val="0"/>
      <w:marBottom w:val="0"/>
      <w:divBdr>
        <w:top w:val="none" w:sz="0" w:space="0" w:color="auto"/>
        <w:left w:val="none" w:sz="0" w:space="0" w:color="auto"/>
        <w:bottom w:val="none" w:sz="0" w:space="0" w:color="auto"/>
        <w:right w:val="none" w:sz="0" w:space="0" w:color="auto"/>
      </w:divBdr>
    </w:div>
    <w:div w:id="371225946">
      <w:marLeft w:val="0"/>
      <w:marRight w:val="0"/>
      <w:marTop w:val="0"/>
      <w:marBottom w:val="0"/>
      <w:divBdr>
        <w:top w:val="none" w:sz="0" w:space="0" w:color="auto"/>
        <w:left w:val="none" w:sz="0" w:space="0" w:color="auto"/>
        <w:bottom w:val="none" w:sz="0" w:space="0" w:color="auto"/>
        <w:right w:val="none" w:sz="0" w:space="0" w:color="auto"/>
      </w:divBdr>
    </w:div>
    <w:div w:id="380330285">
      <w:marLeft w:val="0"/>
      <w:marRight w:val="0"/>
      <w:marTop w:val="0"/>
      <w:marBottom w:val="0"/>
      <w:divBdr>
        <w:top w:val="none" w:sz="0" w:space="0" w:color="auto"/>
        <w:left w:val="none" w:sz="0" w:space="0" w:color="auto"/>
        <w:bottom w:val="none" w:sz="0" w:space="0" w:color="auto"/>
        <w:right w:val="none" w:sz="0" w:space="0" w:color="auto"/>
      </w:divBdr>
    </w:div>
    <w:div w:id="393698510">
      <w:marLeft w:val="0"/>
      <w:marRight w:val="75"/>
      <w:marTop w:val="0"/>
      <w:marBottom w:val="0"/>
      <w:divBdr>
        <w:top w:val="none" w:sz="0" w:space="0" w:color="auto"/>
        <w:left w:val="none" w:sz="0" w:space="0" w:color="auto"/>
        <w:bottom w:val="none" w:sz="0" w:space="0" w:color="auto"/>
        <w:right w:val="none" w:sz="0" w:space="0" w:color="auto"/>
      </w:divBdr>
      <w:divsChild>
        <w:div w:id="774590630">
          <w:marLeft w:val="0"/>
          <w:marRight w:val="0"/>
          <w:marTop w:val="0"/>
          <w:marBottom w:val="0"/>
          <w:divBdr>
            <w:top w:val="none" w:sz="0" w:space="0" w:color="auto"/>
            <w:left w:val="none" w:sz="0" w:space="0" w:color="auto"/>
            <w:bottom w:val="none" w:sz="0" w:space="0" w:color="auto"/>
            <w:right w:val="none" w:sz="0" w:space="0" w:color="auto"/>
          </w:divBdr>
        </w:div>
      </w:divsChild>
    </w:div>
    <w:div w:id="394165063">
      <w:marLeft w:val="0"/>
      <w:marRight w:val="75"/>
      <w:marTop w:val="0"/>
      <w:marBottom w:val="0"/>
      <w:divBdr>
        <w:top w:val="none" w:sz="0" w:space="0" w:color="auto"/>
        <w:left w:val="none" w:sz="0" w:space="0" w:color="auto"/>
        <w:bottom w:val="none" w:sz="0" w:space="0" w:color="auto"/>
        <w:right w:val="none" w:sz="0" w:space="0" w:color="auto"/>
      </w:divBdr>
      <w:divsChild>
        <w:div w:id="181819796">
          <w:marLeft w:val="0"/>
          <w:marRight w:val="0"/>
          <w:marTop w:val="0"/>
          <w:marBottom w:val="0"/>
          <w:divBdr>
            <w:top w:val="none" w:sz="0" w:space="0" w:color="auto"/>
            <w:left w:val="none" w:sz="0" w:space="0" w:color="auto"/>
            <w:bottom w:val="none" w:sz="0" w:space="0" w:color="auto"/>
            <w:right w:val="none" w:sz="0" w:space="0" w:color="auto"/>
          </w:divBdr>
        </w:div>
      </w:divsChild>
    </w:div>
    <w:div w:id="399211164">
      <w:marLeft w:val="0"/>
      <w:marRight w:val="0"/>
      <w:marTop w:val="0"/>
      <w:marBottom w:val="0"/>
      <w:divBdr>
        <w:top w:val="none" w:sz="0" w:space="0" w:color="auto"/>
        <w:left w:val="none" w:sz="0" w:space="0" w:color="auto"/>
        <w:bottom w:val="none" w:sz="0" w:space="0" w:color="auto"/>
        <w:right w:val="none" w:sz="0" w:space="0" w:color="auto"/>
      </w:divBdr>
    </w:div>
    <w:div w:id="400837413">
      <w:marLeft w:val="0"/>
      <w:marRight w:val="0"/>
      <w:marTop w:val="0"/>
      <w:marBottom w:val="0"/>
      <w:divBdr>
        <w:top w:val="none" w:sz="0" w:space="0" w:color="auto"/>
        <w:left w:val="none" w:sz="0" w:space="0" w:color="auto"/>
        <w:bottom w:val="none" w:sz="0" w:space="0" w:color="auto"/>
        <w:right w:val="none" w:sz="0" w:space="0" w:color="auto"/>
      </w:divBdr>
    </w:div>
    <w:div w:id="423378337">
      <w:marLeft w:val="0"/>
      <w:marRight w:val="0"/>
      <w:marTop w:val="0"/>
      <w:marBottom w:val="0"/>
      <w:divBdr>
        <w:top w:val="none" w:sz="0" w:space="0" w:color="auto"/>
        <w:left w:val="none" w:sz="0" w:space="0" w:color="auto"/>
        <w:bottom w:val="none" w:sz="0" w:space="0" w:color="auto"/>
        <w:right w:val="none" w:sz="0" w:space="0" w:color="auto"/>
      </w:divBdr>
    </w:div>
    <w:div w:id="436868549">
      <w:bodyDiv w:val="1"/>
      <w:marLeft w:val="0"/>
      <w:marRight w:val="0"/>
      <w:marTop w:val="0"/>
      <w:marBottom w:val="0"/>
      <w:divBdr>
        <w:top w:val="none" w:sz="0" w:space="0" w:color="auto"/>
        <w:left w:val="none" w:sz="0" w:space="0" w:color="auto"/>
        <w:bottom w:val="none" w:sz="0" w:space="0" w:color="auto"/>
        <w:right w:val="none" w:sz="0" w:space="0" w:color="auto"/>
      </w:divBdr>
    </w:div>
    <w:div w:id="462888903">
      <w:bodyDiv w:val="1"/>
      <w:marLeft w:val="0"/>
      <w:marRight w:val="0"/>
      <w:marTop w:val="0"/>
      <w:marBottom w:val="0"/>
      <w:divBdr>
        <w:top w:val="none" w:sz="0" w:space="0" w:color="auto"/>
        <w:left w:val="none" w:sz="0" w:space="0" w:color="auto"/>
        <w:bottom w:val="none" w:sz="0" w:space="0" w:color="auto"/>
        <w:right w:val="none" w:sz="0" w:space="0" w:color="auto"/>
      </w:divBdr>
    </w:div>
    <w:div w:id="483007843">
      <w:marLeft w:val="0"/>
      <w:marRight w:val="75"/>
      <w:marTop w:val="0"/>
      <w:marBottom w:val="0"/>
      <w:divBdr>
        <w:top w:val="none" w:sz="0" w:space="0" w:color="auto"/>
        <w:left w:val="none" w:sz="0" w:space="0" w:color="auto"/>
        <w:bottom w:val="none" w:sz="0" w:space="0" w:color="auto"/>
        <w:right w:val="none" w:sz="0" w:space="0" w:color="auto"/>
      </w:divBdr>
      <w:divsChild>
        <w:div w:id="1680961484">
          <w:marLeft w:val="0"/>
          <w:marRight w:val="0"/>
          <w:marTop w:val="0"/>
          <w:marBottom w:val="0"/>
          <w:divBdr>
            <w:top w:val="none" w:sz="0" w:space="0" w:color="auto"/>
            <w:left w:val="none" w:sz="0" w:space="0" w:color="auto"/>
            <w:bottom w:val="none" w:sz="0" w:space="0" w:color="auto"/>
            <w:right w:val="none" w:sz="0" w:space="0" w:color="auto"/>
          </w:divBdr>
        </w:div>
      </w:divsChild>
    </w:div>
    <w:div w:id="489104570">
      <w:bodyDiv w:val="1"/>
      <w:marLeft w:val="0"/>
      <w:marRight w:val="0"/>
      <w:marTop w:val="0"/>
      <w:marBottom w:val="0"/>
      <w:divBdr>
        <w:top w:val="none" w:sz="0" w:space="0" w:color="auto"/>
        <w:left w:val="none" w:sz="0" w:space="0" w:color="auto"/>
        <w:bottom w:val="none" w:sz="0" w:space="0" w:color="auto"/>
        <w:right w:val="none" w:sz="0" w:space="0" w:color="auto"/>
      </w:divBdr>
    </w:div>
    <w:div w:id="516390494">
      <w:bodyDiv w:val="1"/>
      <w:marLeft w:val="0"/>
      <w:marRight w:val="0"/>
      <w:marTop w:val="0"/>
      <w:marBottom w:val="0"/>
      <w:divBdr>
        <w:top w:val="none" w:sz="0" w:space="0" w:color="auto"/>
        <w:left w:val="none" w:sz="0" w:space="0" w:color="auto"/>
        <w:bottom w:val="none" w:sz="0" w:space="0" w:color="auto"/>
        <w:right w:val="none" w:sz="0" w:space="0" w:color="auto"/>
      </w:divBdr>
    </w:div>
    <w:div w:id="518739692">
      <w:marLeft w:val="0"/>
      <w:marRight w:val="0"/>
      <w:marTop w:val="0"/>
      <w:marBottom w:val="0"/>
      <w:divBdr>
        <w:top w:val="none" w:sz="0" w:space="0" w:color="auto"/>
        <w:left w:val="none" w:sz="0" w:space="0" w:color="auto"/>
        <w:bottom w:val="none" w:sz="0" w:space="0" w:color="auto"/>
        <w:right w:val="none" w:sz="0" w:space="0" w:color="auto"/>
      </w:divBdr>
    </w:div>
    <w:div w:id="521820878">
      <w:marLeft w:val="0"/>
      <w:marRight w:val="75"/>
      <w:marTop w:val="0"/>
      <w:marBottom w:val="0"/>
      <w:divBdr>
        <w:top w:val="none" w:sz="0" w:space="0" w:color="auto"/>
        <w:left w:val="none" w:sz="0" w:space="0" w:color="auto"/>
        <w:bottom w:val="none" w:sz="0" w:space="0" w:color="auto"/>
        <w:right w:val="none" w:sz="0" w:space="0" w:color="auto"/>
      </w:divBdr>
      <w:divsChild>
        <w:div w:id="75980754">
          <w:marLeft w:val="0"/>
          <w:marRight w:val="0"/>
          <w:marTop w:val="0"/>
          <w:marBottom w:val="0"/>
          <w:divBdr>
            <w:top w:val="none" w:sz="0" w:space="0" w:color="auto"/>
            <w:left w:val="none" w:sz="0" w:space="0" w:color="auto"/>
            <w:bottom w:val="none" w:sz="0" w:space="0" w:color="auto"/>
            <w:right w:val="none" w:sz="0" w:space="0" w:color="auto"/>
          </w:divBdr>
        </w:div>
      </w:divsChild>
    </w:div>
    <w:div w:id="541988933">
      <w:bodyDiv w:val="1"/>
      <w:marLeft w:val="0"/>
      <w:marRight w:val="0"/>
      <w:marTop w:val="0"/>
      <w:marBottom w:val="0"/>
      <w:divBdr>
        <w:top w:val="none" w:sz="0" w:space="0" w:color="auto"/>
        <w:left w:val="none" w:sz="0" w:space="0" w:color="auto"/>
        <w:bottom w:val="none" w:sz="0" w:space="0" w:color="auto"/>
        <w:right w:val="none" w:sz="0" w:space="0" w:color="auto"/>
      </w:divBdr>
    </w:div>
    <w:div w:id="544176716">
      <w:marLeft w:val="0"/>
      <w:marRight w:val="0"/>
      <w:marTop w:val="0"/>
      <w:marBottom w:val="0"/>
      <w:divBdr>
        <w:top w:val="none" w:sz="0" w:space="0" w:color="auto"/>
        <w:left w:val="none" w:sz="0" w:space="0" w:color="auto"/>
        <w:bottom w:val="none" w:sz="0" w:space="0" w:color="auto"/>
        <w:right w:val="none" w:sz="0" w:space="0" w:color="auto"/>
      </w:divBdr>
    </w:div>
    <w:div w:id="549537345">
      <w:marLeft w:val="0"/>
      <w:marRight w:val="75"/>
      <w:marTop w:val="0"/>
      <w:marBottom w:val="0"/>
      <w:divBdr>
        <w:top w:val="none" w:sz="0" w:space="0" w:color="auto"/>
        <w:left w:val="none" w:sz="0" w:space="0" w:color="auto"/>
        <w:bottom w:val="none" w:sz="0" w:space="0" w:color="auto"/>
        <w:right w:val="none" w:sz="0" w:space="0" w:color="auto"/>
      </w:divBdr>
      <w:divsChild>
        <w:div w:id="414136338">
          <w:marLeft w:val="0"/>
          <w:marRight w:val="0"/>
          <w:marTop w:val="0"/>
          <w:marBottom w:val="0"/>
          <w:divBdr>
            <w:top w:val="none" w:sz="0" w:space="0" w:color="auto"/>
            <w:left w:val="none" w:sz="0" w:space="0" w:color="auto"/>
            <w:bottom w:val="none" w:sz="0" w:space="0" w:color="auto"/>
            <w:right w:val="none" w:sz="0" w:space="0" w:color="auto"/>
          </w:divBdr>
        </w:div>
      </w:divsChild>
    </w:div>
    <w:div w:id="584263128">
      <w:bodyDiv w:val="1"/>
      <w:marLeft w:val="0"/>
      <w:marRight w:val="0"/>
      <w:marTop w:val="0"/>
      <w:marBottom w:val="0"/>
      <w:divBdr>
        <w:top w:val="none" w:sz="0" w:space="0" w:color="auto"/>
        <w:left w:val="none" w:sz="0" w:space="0" w:color="auto"/>
        <w:bottom w:val="none" w:sz="0" w:space="0" w:color="auto"/>
        <w:right w:val="none" w:sz="0" w:space="0" w:color="auto"/>
      </w:divBdr>
    </w:div>
    <w:div w:id="588122000">
      <w:marLeft w:val="0"/>
      <w:marRight w:val="0"/>
      <w:marTop w:val="0"/>
      <w:marBottom w:val="0"/>
      <w:divBdr>
        <w:top w:val="none" w:sz="0" w:space="0" w:color="auto"/>
        <w:left w:val="none" w:sz="0" w:space="0" w:color="auto"/>
        <w:bottom w:val="none" w:sz="0" w:space="0" w:color="auto"/>
        <w:right w:val="none" w:sz="0" w:space="0" w:color="auto"/>
      </w:divBdr>
    </w:div>
    <w:div w:id="590745043">
      <w:marLeft w:val="0"/>
      <w:marRight w:val="0"/>
      <w:marTop w:val="0"/>
      <w:marBottom w:val="0"/>
      <w:divBdr>
        <w:top w:val="none" w:sz="0" w:space="0" w:color="auto"/>
        <w:left w:val="none" w:sz="0" w:space="0" w:color="auto"/>
        <w:bottom w:val="none" w:sz="0" w:space="0" w:color="auto"/>
        <w:right w:val="none" w:sz="0" w:space="0" w:color="auto"/>
      </w:divBdr>
    </w:div>
    <w:div w:id="595329222">
      <w:bodyDiv w:val="1"/>
      <w:marLeft w:val="0"/>
      <w:marRight w:val="0"/>
      <w:marTop w:val="0"/>
      <w:marBottom w:val="0"/>
      <w:divBdr>
        <w:top w:val="none" w:sz="0" w:space="0" w:color="auto"/>
        <w:left w:val="none" w:sz="0" w:space="0" w:color="auto"/>
        <w:bottom w:val="none" w:sz="0" w:space="0" w:color="auto"/>
        <w:right w:val="none" w:sz="0" w:space="0" w:color="auto"/>
      </w:divBdr>
    </w:div>
    <w:div w:id="597523167">
      <w:bodyDiv w:val="1"/>
      <w:marLeft w:val="0"/>
      <w:marRight w:val="0"/>
      <w:marTop w:val="0"/>
      <w:marBottom w:val="0"/>
      <w:divBdr>
        <w:top w:val="none" w:sz="0" w:space="0" w:color="auto"/>
        <w:left w:val="none" w:sz="0" w:space="0" w:color="auto"/>
        <w:bottom w:val="none" w:sz="0" w:space="0" w:color="auto"/>
        <w:right w:val="none" w:sz="0" w:space="0" w:color="auto"/>
      </w:divBdr>
    </w:div>
    <w:div w:id="606617184">
      <w:bodyDiv w:val="1"/>
      <w:marLeft w:val="0"/>
      <w:marRight w:val="0"/>
      <w:marTop w:val="0"/>
      <w:marBottom w:val="0"/>
      <w:divBdr>
        <w:top w:val="none" w:sz="0" w:space="0" w:color="auto"/>
        <w:left w:val="none" w:sz="0" w:space="0" w:color="auto"/>
        <w:bottom w:val="none" w:sz="0" w:space="0" w:color="auto"/>
        <w:right w:val="none" w:sz="0" w:space="0" w:color="auto"/>
      </w:divBdr>
    </w:div>
    <w:div w:id="629945984">
      <w:bodyDiv w:val="1"/>
      <w:marLeft w:val="0"/>
      <w:marRight w:val="0"/>
      <w:marTop w:val="0"/>
      <w:marBottom w:val="0"/>
      <w:divBdr>
        <w:top w:val="none" w:sz="0" w:space="0" w:color="auto"/>
        <w:left w:val="none" w:sz="0" w:space="0" w:color="auto"/>
        <w:bottom w:val="none" w:sz="0" w:space="0" w:color="auto"/>
        <w:right w:val="none" w:sz="0" w:space="0" w:color="auto"/>
      </w:divBdr>
    </w:div>
    <w:div w:id="644820152">
      <w:marLeft w:val="0"/>
      <w:marRight w:val="75"/>
      <w:marTop w:val="0"/>
      <w:marBottom w:val="0"/>
      <w:divBdr>
        <w:top w:val="none" w:sz="0" w:space="0" w:color="auto"/>
        <w:left w:val="none" w:sz="0" w:space="0" w:color="auto"/>
        <w:bottom w:val="none" w:sz="0" w:space="0" w:color="auto"/>
        <w:right w:val="none" w:sz="0" w:space="0" w:color="auto"/>
      </w:divBdr>
      <w:divsChild>
        <w:div w:id="1605188423">
          <w:marLeft w:val="0"/>
          <w:marRight w:val="0"/>
          <w:marTop w:val="0"/>
          <w:marBottom w:val="0"/>
          <w:divBdr>
            <w:top w:val="none" w:sz="0" w:space="0" w:color="auto"/>
            <w:left w:val="none" w:sz="0" w:space="0" w:color="auto"/>
            <w:bottom w:val="none" w:sz="0" w:space="0" w:color="auto"/>
            <w:right w:val="none" w:sz="0" w:space="0" w:color="auto"/>
          </w:divBdr>
        </w:div>
      </w:divsChild>
    </w:div>
    <w:div w:id="645668425">
      <w:marLeft w:val="0"/>
      <w:marRight w:val="0"/>
      <w:marTop w:val="0"/>
      <w:marBottom w:val="0"/>
      <w:divBdr>
        <w:top w:val="none" w:sz="0" w:space="0" w:color="auto"/>
        <w:left w:val="none" w:sz="0" w:space="0" w:color="auto"/>
        <w:bottom w:val="none" w:sz="0" w:space="0" w:color="auto"/>
        <w:right w:val="none" w:sz="0" w:space="0" w:color="auto"/>
      </w:divBdr>
    </w:div>
    <w:div w:id="647393600">
      <w:bodyDiv w:val="1"/>
      <w:marLeft w:val="0"/>
      <w:marRight w:val="0"/>
      <w:marTop w:val="0"/>
      <w:marBottom w:val="0"/>
      <w:divBdr>
        <w:top w:val="none" w:sz="0" w:space="0" w:color="auto"/>
        <w:left w:val="none" w:sz="0" w:space="0" w:color="auto"/>
        <w:bottom w:val="none" w:sz="0" w:space="0" w:color="auto"/>
        <w:right w:val="none" w:sz="0" w:space="0" w:color="auto"/>
      </w:divBdr>
    </w:div>
    <w:div w:id="647855896">
      <w:bodyDiv w:val="1"/>
      <w:marLeft w:val="0"/>
      <w:marRight w:val="0"/>
      <w:marTop w:val="0"/>
      <w:marBottom w:val="0"/>
      <w:divBdr>
        <w:top w:val="none" w:sz="0" w:space="0" w:color="auto"/>
        <w:left w:val="none" w:sz="0" w:space="0" w:color="auto"/>
        <w:bottom w:val="none" w:sz="0" w:space="0" w:color="auto"/>
        <w:right w:val="none" w:sz="0" w:space="0" w:color="auto"/>
      </w:divBdr>
    </w:div>
    <w:div w:id="652872443">
      <w:marLeft w:val="0"/>
      <w:marRight w:val="0"/>
      <w:marTop w:val="0"/>
      <w:marBottom w:val="0"/>
      <w:divBdr>
        <w:top w:val="none" w:sz="0" w:space="0" w:color="auto"/>
        <w:left w:val="none" w:sz="0" w:space="0" w:color="auto"/>
        <w:bottom w:val="none" w:sz="0" w:space="0" w:color="auto"/>
        <w:right w:val="none" w:sz="0" w:space="0" w:color="auto"/>
      </w:divBdr>
      <w:divsChild>
        <w:div w:id="791903505">
          <w:marLeft w:val="0"/>
          <w:marRight w:val="0"/>
          <w:marTop w:val="0"/>
          <w:marBottom w:val="0"/>
          <w:divBdr>
            <w:top w:val="none" w:sz="0" w:space="0" w:color="auto"/>
            <w:left w:val="none" w:sz="0" w:space="0" w:color="auto"/>
            <w:bottom w:val="none" w:sz="0" w:space="0" w:color="auto"/>
            <w:right w:val="none" w:sz="0" w:space="0" w:color="auto"/>
          </w:divBdr>
        </w:div>
      </w:divsChild>
    </w:div>
    <w:div w:id="662008298">
      <w:bodyDiv w:val="1"/>
      <w:marLeft w:val="0"/>
      <w:marRight w:val="0"/>
      <w:marTop w:val="0"/>
      <w:marBottom w:val="0"/>
      <w:divBdr>
        <w:top w:val="none" w:sz="0" w:space="0" w:color="auto"/>
        <w:left w:val="none" w:sz="0" w:space="0" w:color="auto"/>
        <w:bottom w:val="none" w:sz="0" w:space="0" w:color="auto"/>
        <w:right w:val="none" w:sz="0" w:space="0" w:color="auto"/>
      </w:divBdr>
    </w:div>
    <w:div w:id="677735636">
      <w:bodyDiv w:val="1"/>
      <w:marLeft w:val="0"/>
      <w:marRight w:val="0"/>
      <w:marTop w:val="0"/>
      <w:marBottom w:val="0"/>
      <w:divBdr>
        <w:top w:val="none" w:sz="0" w:space="0" w:color="auto"/>
        <w:left w:val="none" w:sz="0" w:space="0" w:color="auto"/>
        <w:bottom w:val="none" w:sz="0" w:space="0" w:color="auto"/>
        <w:right w:val="none" w:sz="0" w:space="0" w:color="auto"/>
      </w:divBdr>
    </w:div>
    <w:div w:id="684746792">
      <w:marLeft w:val="0"/>
      <w:marRight w:val="0"/>
      <w:marTop w:val="0"/>
      <w:marBottom w:val="0"/>
      <w:divBdr>
        <w:top w:val="none" w:sz="0" w:space="0" w:color="auto"/>
        <w:left w:val="none" w:sz="0" w:space="0" w:color="auto"/>
        <w:bottom w:val="none" w:sz="0" w:space="0" w:color="auto"/>
        <w:right w:val="none" w:sz="0" w:space="0" w:color="auto"/>
      </w:divBdr>
    </w:div>
    <w:div w:id="687871376">
      <w:bodyDiv w:val="1"/>
      <w:marLeft w:val="0"/>
      <w:marRight w:val="0"/>
      <w:marTop w:val="0"/>
      <w:marBottom w:val="0"/>
      <w:divBdr>
        <w:top w:val="none" w:sz="0" w:space="0" w:color="auto"/>
        <w:left w:val="none" w:sz="0" w:space="0" w:color="auto"/>
        <w:bottom w:val="none" w:sz="0" w:space="0" w:color="auto"/>
        <w:right w:val="none" w:sz="0" w:space="0" w:color="auto"/>
      </w:divBdr>
    </w:div>
    <w:div w:id="688290934">
      <w:bodyDiv w:val="1"/>
      <w:marLeft w:val="0"/>
      <w:marRight w:val="0"/>
      <w:marTop w:val="0"/>
      <w:marBottom w:val="0"/>
      <w:divBdr>
        <w:top w:val="none" w:sz="0" w:space="0" w:color="auto"/>
        <w:left w:val="none" w:sz="0" w:space="0" w:color="auto"/>
        <w:bottom w:val="none" w:sz="0" w:space="0" w:color="auto"/>
        <w:right w:val="none" w:sz="0" w:space="0" w:color="auto"/>
      </w:divBdr>
    </w:div>
    <w:div w:id="691879356">
      <w:bodyDiv w:val="1"/>
      <w:marLeft w:val="0"/>
      <w:marRight w:val="0"/>
      <w:marTop w:val="0"/>
      <w:marBottom w:val="0"/>
      <w:divBdr>
        <w:top w:val="none" w:sz="0" w:space="0" w:color="auto"/>
        <w:left w:val="none" w:sz="0" w:space="0" w:color="auto"/>
        <w:bottom w:val="none" w:sz="0" w:space="0" w:color="auto"/>
        <w:right w:val="none" w:sz="0" w:space="0" w:color="auto"/>
      </w:divBdr>
    </w:div>
    <w:div w:id="705956242">
      <w:marLeft w:val="0"/>
      <w:marRight w:val="0"/>
      <w:marTop w:val="0"/>
      <w:marBottom w:val="0"/>
      <w:divBdr>
        <w:top w:val="none" w:sz="0" w:space="0" w:color="auto"/>
        <w:left w:val="none" w:sz="0" w:space="0" w:color="auto"/>
        <w:bottom w:val="none" w:sz="0" w:space="0" w:color="auto"/>
        <w:right w:val="none" w:sz="0" w:space="0" w:color="auto"/>
      </w:divBdr>
    </w:div>
    <w:div w:id="709066696">
      <w:marLeft w:val="0"/>
      <w:marRight w:val="0"/>
      <w:marTop w:val="0"/>
      <w:marBottom w:val="0"/>
      <w:divBdr>
        <w:top w:val="none" w:sz="0" w:space="0" w:color="auto"/>
        <w:left w:val="none" w:sz="0" w:space="0" w:color="auto"/>
        <w:bottom w:val="none" w:sz="0" w:space="0" w:color="auto"/>
        <w:right w:val="none" w:sz="0" w:space="0" w:color="auto"/>
      </w:divBdr>
    </w:div>
    <w:div w:id="718742870">
      <w:bodyDiv w:val="1"/>
      <w:marLeft w:val="0"/>
      <w:marRight w:val="0"/>
      <w:marTop w:val="0"/>
      <w:marBottom w:val="0"/>
      <w:divBdr>
        <w:top w:val="none" w:sz="0" w:space="0" w:color="auto"/>
        <w:left w:val="none" w:sz="0" w:space="0" w:color="auto"/>
        <w:bottom w:val="none" w:sz="0" w:space="0" w:color="auto"/>
        <w:right w:val="none" w:sz="0" w:space="0" w:color="auto"/>
      </w:divBdr>
    </w:div>
    <w:div w:id="721289687">
      <w:bodyDiv w:val="1"/>
      <w:marLeft w:val="0"/>
      <w:marRight w:val="0"/>
      <w:marTop w:val="0"/>
      <w:marBottom w:val="0"/>
      <w:divBdr>
        <w:top w:val="none" w:sz="0" w:space="0" w:color="auto"/>
        <w:left w:val="none" w:sz="0" w:space="0" w:color="auto"/>
        <w:bottom w:val="none" w:sz="0" w:space="0" w:color="auto"/>
        <w:right w:val="none" w:sz="0" w:space="0" w:color="auto"/>
      </w:divBdr>
    </w:div>
    <w:div w:id="724333740">
      <w:marLeft w:val="0"/>
      <w:marRight w:val="75"/>
      <w:marTop w:val="0"/>
      <w:marBottom w:val="0"/>
      <w:divBdr>
        <w:top w:val="none" w:sz="0" w:space="0" w:color="auto"/>
        <w:left w:val="none" w:sz="0" w:space="0" w:color="auto"/>
        <w:bottom w:val="none" w:sz="0" w:space="0" w:color="auto"/>
        <w:right w:val="none" w:sz="0" w:space="0" w:color="auto"/>
      </w:divBdr>
      <w:divsChild>
        <w:div w:id="1089501133">
          <w:marLeft w:val="0"/>
          <w:marRight w:val="0"/>
          <w:marTop w:val="0"/>
          <w:marBottom w:val="0"/>
          <w:divBdr>
            <w:top w:val="none" w:sz="0" w:space="0" w:color="auto"/>
            <w:left w:val="none" w:sz="0" w:space="0" w:color="auto"/>
            <w:bottom w:val="none" w:sz="0" w:space="0" w:color="auto"/>
            <w:right w:val="none" w:sz="0" w:space="0" w:color="auto"/>
          </w:divBdr>
        </w:div>
      </w:divsChild>
    </w:div>
    <w:div w:id="726152221">
      <w:marLeft w:val="0"/>
      <w:marRight w:val="0"/>
      <w:marTop w:val="0"/>
      <w:marBottom w:val="0"/>
      <w:divBdr>
        <w:top w:val="none" w:sz="0" w:space="0" w:color="auto"/>
        <w:left w:val="none" w:sz="0" w:space="0" w:color="auto"/>
        <w:bottom w:val="none" w:sz="0" w:space="0" w:color="auto"/>
        <w:right w:val="none" w:sz="0" w:space="0" w:color="auto"/>
      </w:divBdr>
    </w:div>
    <w:div w:id="729577928">
      <w:marLeft w:val="0"/>
      <w:marRight w:val="0"/>
      <w:marTop w:val="0"/>
      <w:marBottom w:val="0"/>
      <w:divBdr>
        <w:top w:val="none" w:sz="0" w:space="0" w:color="auto"/>
        <w:left w:val="none" w:sz="0" w:space="0" w:color="auto"/>
        <w:bottom w:val="none" w:sz="0" w:space="0" w:color="auto"/>
        <w:right w:val="none" w:sz="0" w:space="0" w:color="auto"/>
      </w:divBdr>
      <w:divsChild>
        <w:div w:id="369689031">
          <w:marLeft w:val="0"/>
          <w:marRight w:val="0"/>
          <w:marTop w:val="0"/>
          <w:marBottom w:val="0"/>
          <w:divBdr>
            <w:top w:val="none" w:sz="0" w:space="0" w:color="auto"/>
            <w:left w:val="none" w:sz="0" w:space="0" w:color="auto"/>
            <w:bottom w:val="none" w:sz="0" w:space="0" w:color="auto"/>
            <w:right w:val="none" w:sz="0" w:space="0" w:color="auto"/>
          </w:divBdr>
        </w:div>
      </w:divsChild>
    </w:div>
    <w:div w:id="760490577">
      <w:bodyDiv w:val="1"/>
      <w:marLeft w:val="0"/>
      <w:marRight w:val="0"/>
      <w:marTop w:val="0"/>
      <w:marBottom w:val="0"/>
      <w:divBdr>
        <w:top w:val="none" w:sz="0" w:space="0" w:color="auto"/>
        <w:left w:val="none" w:sz="0" w:space="0" w:color="auto"/>
        <w:bottom w:val="none" w:sz="0" w:space="0" w:color="auto"/>
        <w:right w:val="none" w:sz="0" w:space="0" w:color="auto"/>
      </w:divBdr>
    </w:div>
    <w:div w:id="762840811">
      <w:bodyDiv w:val="1"/>
      <w:marLeft w:val="0"/>
      <w:marRight w:val="0"/>
      <w:marTop w:val="0"/>
      <w:marBottom w:val="0"/>
      <w:divBdr>
        <w:top w:val="none" w:sz="0" w:space="0" w:color="auto"/>
        <w:left w:val="none" w:sz="0" w:space="0" w:color="auto"/>
        <w:bottom w:val="none" w:sz="0" w:space="0" w:color="auto"/>
        <w:right w:val="none" w:sz="0" w:space="0" w:color="auto"/>
      </w:divBdr>
    </w:div>
    <w:div w:id="769158703">
      <w:bodyDiv w:val="1"/>
      <w:marLeft w:val="0"/>
      <w:marRight w:val="0"/>
      <w:marTop w:val="0"/>
      <w:marBottom w:val="0"/>
      <w:divBdr>
        <w:top w:val="none" w:sz="0" w:space="0" w:color="auto"/>
        <w:left w:val="none" w:sz="0" w:space="0" w:color="auto"/>
        <w:bottom w:val="none" w:sz="0" w:space="0" w:color="auto"/>
        <w:right w:val="none" w:sz="0" w:space="0" w:color="auto"/>
      </w:divBdr>
    </w:div>
    <w:div w:id="780806015">
      <w:marLeft w:val="0"/>
      <w:marRight w:val="0"/>
      <w:marTop w:val="0"/>
      <w:marBottom w:val="0"/>
      <w:divBdr>
        <w:top w:val="none" w:sz="0" w:space="0" w:color="auto"/>
        <w:left w:val="none" w:sz="0" w:space="0" w:color="auto"/>
        <w:bottom w:val="none" w:sz="0" w:space="0" w:color="auto"/>
        <w:right w:val="none" w:sz="0" w:space="0" w:color="auto"/>
      </w:divBdr>
    </w:div>
    <w:div w:id="794062444">
      <w:bodyDiv w:val="1"/>
      <w:marLeft w:val="0"/>
      <w:marRight w:val="0"/>
      <w:marTop w:val="0"/>
      <w:marBottom w:val="0"/>
      <w:divBdr>
        <w:top w:val="none" w:sz="0" w:space="0" w:color="auto"/>
        <w:left w:val="none" w:sz="0" w:space="0" w:color="auto"/>
        <w:bottom w:val="none" w:sz="0" w:space="0" w:color="auto"/>
        <w:right w:val="none" w:sz="0" w:space="0" w:color="auto"/>
      </w:divBdr>
    </w:div>
    <w:div w:id="799684318">
      <w:bodyDiv w:val="1"/>
      <w:marLeft w:val="0"/>
      <w:marRight w:val="0"/>
      <w:marTop w:val="0"/>
      <w:marBottom w:val="0"/>
      <w:divBdr>
        <w:top w:val="none" w:sz="0" w:space="0" w:color="auto"/>
        <w:left w:val="none" w:sz="0" w:space="0" w:color="auto"/>
        <w:bottom w:val="none" w:sz="0" w:space="0" w:color="auto"/>
        <w:right w:val="none" w:sz="0" w:space="0" w:color="auto"/>
      </w:divBdr>
    </w:div>
    <w:div w:id="810251800">
      <w:bodyDiv w:val="1"/>
      <w:marLeft w:val="0"/>
      <w:marRight w:val="0"/>
      <w:marTop w:val="0"/>
      <w:marBottom w:val="0"/>
      <w:divBdr>
        <w:top w:val="none" w:sz="0" w:space="0" w:color="auto"/>
        <w:left w:val="none" w:sz="0" w:space="0" w:color="auto"/>
        <w:bottom w:val="none" w:sz="0" w:space="0" w:color="auto"/>
        <w:right w:val="none" w:sz="0" w:space="0" w:color="auto"/>
      </w:divBdr>
    </w:div>
    <w:div w:id="819881501">
      <w:marLeft w:val="0"/>
      <w:marRight w:val="75"/>
      <w:marTop w:val="0"/>
      <w:marBottom w:val="0"/>
      <w:divBdr>
        <w:top w:val="none" w:sz="0" w:space="0" w:color="auto"/>
        <w:left w:val="none" w:sz="0" w:space="0" w:color="auto"/>
        <w:bottom w:val="none" w:sz="0" w:space="0" w:color="auto"/>
        <w:right w:val="none" w:sz="0" w:space="0" w:color="auto"/>
      </w:divBdr>
      <w:divsChild>
        <w:div w:id="987787206">
          <w:marLeft w:val="0"/>
          <w:marRight w:val="0"/>
          <w:marTop w:val="0"/>
          <w:marBottom w:val="0"/>
          <w:divBdr>
            <w:top w:val="none" w:sz="0" w:space="0" w:color="auto"/>
            <w:left w:val="none" w:sz="0" w:space="0" w:color="auto"/>
            <w:bottom w:val="none" w:sz="0" w:space="0" w:color="auto"/>
            <w:right w:val="none" w:sz="0" w:space="0" w:color="auto"/>
          </w:divBdr>
        </w:div>
      </w:divsChild>
    </w:div>
    <w:div w:id="828060933">
      <w:marLeft w:val="0"/>
      <w:marRight w:val="0"/>
      <w:marTop w:val="0"/>
      <w:marBottom w:val="0"/>
      <w:divBdr>
        <w:top w:val="none" w:sz="0" w:space="0" w:color="auto"/>
        <w:left w:val="none" w:sz="0" w:space="0" w:color="auto"/>
        <w:bottom w:val="none" w:sz="0" w:space="0" w:color="auto"/>
        <w:right w:val="none" w:sz="0" w:space="0" w:color="auto"/>
      </w:divBdr>
      <w:divsChild>
        <w:div w:id="35936624">
          <w:marLeft w:val="0"/>
          <w:marRight w:val="0"/>
          <w:marTop w:val="0"/>
          <w:marBottom w:val="0"/>
          <w:divBdr>
            <w:top w:val="none" w:sz="0" w:space="0" w:color="auto"/>
            <w:left w:val="none" w:sz="0" w:space="0" w:color="auto"/>
            <w:bottom w:val="none" w:sz="0" w:space="0" w:color="auto"/>
            <w:right w:val="none" w:sz="0" w:space="0" w:color="auto"/>
          </w:divBdr>
        </w:div>
      </w:divsChild>
    </w:div>
    <w:div w:id="829754335">
      <w:marLeft w:val="0"/>
      <w:marRight w:val="0"/>
      <w:marTop w:val="0"/>
      <w:marBottom w:val="0"/>
      <w:divBdr>
        <w:top w:val="none" w:sz="0" w:space="0" w:color="auto"/>
        <w:left w:val="none" w:sz="0" w:space="0" w:color="auto"/>
        <w:bottom w:val="none" w:sz="0" w:space="0" w:color="auto"/>
        <w:right w:val="none" w:sz="0" w:space="0" w:color="auto"/>
      </w:divBdr>
    </w:div>
    <w:div w:id="879631330">
      <w:bodyDiv w:val="1"/>
      <w:marLeft w:val="0"/>
      <w:marRight w:val="0"/>
      <w:marTop w:val="0"/>
      <w:marBottom w:val="0"/>
      <w:divBdr>
        <w:top w:val="none" w:sz="0" w:space="0" w:color="auto"/>
        <w:left w:val="none" w:sz="0" w:space="0" w:color="auto"/>
        <w:bottom w:val="none" w:sz="0" w:space="0" w:color="auto"/>
        <w:right w:val="none" w:sz="0" w:space="0" w:color="auto"/>
      </w:divBdr>
    </w:div>
    <w:div w:id="886719758">
      <w:bodyDiv w:val="1"/>
      <w:marLeft w:val="0"/>
      <w:marRight w:val="0"/>
      <w:marTop w:val="0"/>
      <w:marBottom w:val="0"/>
      <w:divBdr>
        <w:top w:val="none" w:sz="0" w:space="0" w:color="auto"/>
        <w:left w:val="none" w:sz="0" w:space="0" w:color="auto"/>
        <w:bottom w:val="none" w:sz="0" w:space="0" w:color="auto"/>
        <w:right w:val="none" w:sz="0" w:space="0" w:color="auto"/>
      </w:divBdr>
    </w:div>
    <w:div w:id="910039380">
      <w:bodyDiv w:val="1"/>
      <w:marLeft w:val="0"/>
      <w:marRight w:val="0"/>
      <w:marTop w:val="0"/>
      <w:marBottom w:val="0"/>
      <w:divBdr>
        <w:top w:val="none" w:sz="0" w:space="0" w:color="auto"/>
        <w:left w:val="none" w:sz="0" w:space="0" w:color="auto"/>
        <w:bottom w:val="none" w:sz="0" w:space="0" w:color="auto"/>
        <w:right w:val="none" w:sz="0" w:space="0" w:color="auto"/>
      </w:divBdr>
    </w:div>
    <w:div w:id="941374000">
      <w:marLeft w:val="0"/>
      <w:marRight w:val="75"/>
      <w:marTop w:val="0"/>
      <w:marBottom w:val="0"/>
      <w:divBdr>
        <w:top w:val="none" w:sz="0" w:space="0" w:color="auto"/>
        <w:left w:val="none" w:sz="0" w:space="0" w:color="auto"/>
        <w:bottom w:val="none" w:sz="0" w:space="0" w:color="auto"/>
        <w:right w:val="none" w:sz="0" w:space="0" w:color="auto"/>
      </w:divBdr>
      <w:divsChild>
        <w:div w:id="1161460663">
          <w:marLeft w:val="0"/>
          <w:marRight w:val="0"/>
          <w:marTop w:val="0"/>
          <w:marBottom w:val="0"/>
          <w:divBdr>
            <w:top w:val="none" w:sz="0" w:space="0" w:color="auto"/>
            <w:left w:val="none" w:sz="0" w:space="0" w:color="auto"/>
            <w:bottom w:val="none" w:sz="0" w:space="0" w:color="auto"/>
            <w:right w:val="none" w:sz="0" w:space="0" w:color="auto"/>
          </w:divBdr>
        </w:div>
      </w:divsChild>
    </w:div>
    <w:div w:id="946889906">
      <w:marLeft w:val="0"/>
      <w:marRight w:val="75"/>
      <w:marTop w:val="0"/>
      <w:marBottom w:val="0"/>
      <w:divBdr>
        <w:top w:val="none" w:sz="0" w:space="0" w:color="auto"/>
        <w:left w:val="none" w:sz="0" w:space="0" w:color="auto"/>
        <w:bottom w:val="none" w:sz="0" w:space="0" w:color="auto"/>
        <w:right w:val="none" w:sz="0" w:space="0" w:color="auto"/>
      </w:divBdr>
      <w:divsChild>
        <w:div w:id="1380472282">
          <w:marLeft w:val="0"/>
          <w:marRight w:val="0"/>
          <w:marTop w:val="0"/>
          <w:marBottom w:val="0"/>
          <w:divBdr>
            <w:top w:val="none" w:sz="0" w:space="0" w:color="auto"/>
            <w:left w:val="none" w:sz="0" w:space="0" w:color="auto"/>
            <w:bottom w:val="none" w:sz="0" w:space="0" w:color="auto"/>
            <w:right w:val="none" w:sz="0" w:space="0" w:color="auto"/>
          </w:divBdr>
        </w:div>
      </w:divsChild>
    </w:div>
    <w:div w:id="960840164">
      <w:bodyDiv w:val="1"/>
      <w:marLeft w:val="0"/>
      <w:marRight w:val="0"/>
      <w:marTop w:val="0"/>
      <w:marBottom w:val="0"/>
      <w:divBdr>
        <w:top w:val="none" w:sz="0" w:space="0" w:color="auto"/>
        <w:left w:val="none" w:sz="0" w:space="0" w:color="auto"/>
        <w:bottom w:val="none" w:sz="0" w:space="0" w:color="auto"/>
        <w:right w:val="none" w:sz="0" w:space="0" w:color="auto"/>
      </w:divBdr>
    </w:div>
    <w:div w:id="981622613">
      <w:bodyDiv w:val="1"/>
      <w:marLeft w:val="0"/>
      <w:marRight w:val="0"/>
      <w:marTop w:val="0"/>
      <w:marBottom w:val="0"/>
      <w:divBdr>
        <w:top w:val="none" w:sz="0" w:space="0" w:color="auto"/>
        <w:left w:val="none" w:sz="0" w:space="0" w:color="auto"/>
        <w:bottom w:val="none" w:sz="0" w:space="0" w:color="auto"/>
        <w:right w:val="none" w:sz="0" w:space="0" w:color="auto"/>
      </w:divBdr>
    </w:div>
    <w:div w:id="986784104">
      <w:marLeft w:val="0"/>
      <w:marRight w:val="75"/>
      <w:marTop w:val="0"/>
      <w:marBottom w:val="0"/>
      <w:divBdr>
        <w:top w:val="none" w:sz="0" w:space="0" w:color="auto"/>
        <w:left w:val="none" w:sz="0" w:space="0" w:color="auto"/>
        <w:bottom w:val="none" w:sz="0" w:space="0" w:color="auto"/>
        <w:right w:val="none" w:sz="0" w:space="0" w:color="auto"/>
      </w:divBdr>
      <w:divsChild>
        <w:div w:id="1534266107">
          <w:marLeft w:val="0"/>
          <w:marRight w:val="0"/>
          <w:marTop w:val="0"/>
          <w:marBottom w:val="0"/>
          <w:divBdr>
            <w:top w:val="none" w:sz="0" w:space="0" w:color="auto"/>
            <w:left w:val="none" w:sz="0" w:space="0" w:color="auto"/>
            <w:bottom w:val="none" w:sz="0" w:space="0" w:color="auto"/>
            <w:right w:val="none" w:sz="0" w:space="0" w:color="auto"/>
          </w:divBdr>
        </w:div>
      </w:divsChild>
    </w:div>
    <w:div w:id="997655833">
      <w:marLeft w:val="0"/>
      <w:marRight w:val="75"/>
      <w:marTop w:val="0"/>
      <w:marBottom w:val="0"/>
      <w:divBdr>
        <w:top w:val="none" w:sz="0" w:space="0" w:color="auto"/>
        <w:left w:val="none" w:sz="0" w:space="0" w:color="auto"/>
        <w:bottom w:val="none" w:sz="0" w:space="0" w:color="auto"/>
        <w:right w:val="none" w:sz="0" w:space="0" w:color="auto"/>
      </w:divBdr>
      <w:divsChild>
        <w:div w:id="970791232">
          <w:marLeft w:val="0"/>
          <w:marRight w:val="0"/>
          <w:marTop w:val="0"/>
          <w:marBottom w:val="0"/>
          <w:divBdr>
            <w:top w:val="none" w:sz="0" w:space="0" w:color="auto"/>
            <w:left w:val="none" w:sz="0" w:space="0" w:color="auto"/>
            <w:bottom w:val="none" w:sz="0" w:space="0" w:color="auto"/>
            <w:right w:val="none" w:sz="0" w:space="0" w:color="auto"/>
          </w:divBdr>
        </w:div>
      </w:divsChild>
    </w:div>
    <w:div w:id="1013531895">
      <w:bodyDiv w:val="1"/>
      <w:marLeft w:val="0"/>
      <w:marRight w:val="0"/>
      <w:marTop w:val="0"/>
      <w:marBottom w:val="0"/>
      <w:divBdr>
        <w:top w:val="none" w:sz="0" w:space="0" w:color="auto"/>
        <w:left w:val="none" w:sz="0" w:space="0" w:color="auto"/>
        <w:bottom w:val="none" w:sz="0" w:space="0" w:color="auto"/>
        <w:right w:val="none" w:sz="0" w:space="0" w:color="auto"/>
      </w:divBdr>
      <w:divsChild>
        <w:div w:id="485240240">
          <w:marLeft w:val="0"/>
          <w:marRight w:val="0"/>
          <w:marTop w:val="0"/>
          <w:marBottom w:val="0"/>
          <w:divBdr>
            <w:top w:val="none" w:sz="0" w:space="0" w:color="auto"/>
            <w:left w:val="none" w:sz="0" w:space="0" w:color="auto"/>
            <w:bottom w:val="none" w:sz="0" w:space="0" w:color="auto"/>
            <w:right w:val="none" w:sz="0" w:space="0" w:color="auto"/>
          </w:divBdr>
          <w:divsChild>
            <w:div w:id="301542741">
              <w:marLeft w:val="0"/>
              <w:marRight w:val="0"/>
              <w:marTop w:val="0"/>
              <w:marBottom w:val="0"/>
              <w:divBdr>
                <w:top w:val="none" w:sz="0" w:space="0" w:color="auto"/>
                <w:left w:val="none" w:sz="0" w:space="0" w:color="auto"/>
                <w:bottom w:val="none" w:sz="0" w:space="0" w:color="auto"/>
                <w:right w:val="none" w:sz="0" w:space="0" w:color="auto"/>
              </w:divBdr>
              <w:divsChild>
                <w:div w:id="180559345">
                  <w:marLeft w:val="0"/>
                  <w:marRight w:val="0"/>
                  <w:marTop w:val="0"/>
                  <w:marBottom w:val="0"/>
                  <w:divBdr>
                    <w:top w:val="none" w:sz="0" w:space="0" w:color="auto"/>
                    <w:left w:val="none" w:sz="0" w:space="0" w:color="auto"/>
                    <w:bottom w:val="none" w:sz="0" w:space="0" w:color="auto"/>
                    <w:right w:val="none" w:sz="0" w:space="0" w:color="auto"/>
                  </w:divBdr>
                  <w:divsChild>
                    <w:div w:id="1664968965">
                      <w:marLeft w:val="0"/>
                      <w:marRight w:val="75"/>
                      <w:marTop w:val="0"/>
                      <w:marBottom w:val="0"/>
                      <w:divBdr>
                        <w:top w:val="none" w:sz="0" w:space="0" w:color="auto"/>
                        <w:left w:val="none" w:sz="0" w:space="0" w:color="auto"/>
                        <w:bottom w:val="none" w:sz="0" w:space="0" w:color="auto"/>
                        <w:right w:val="none" w:sz="0" w:space="0" w:color="auto"/>
                      </w:divBdr>
                    </w:div>
                    <w:div w:id="2052267784">
                      <w:marLeft w:val="0"/>
                      <w:marRight w:val="0"/>
                      <w:marTop w:val="0"/>
                      <w:marBottom w:val="180"/>
                      <w:divBdr>
                        <w:top w:val="none" w:sz="0" w:space="0" w:color="auto"/>
                        <w:left w:val="none" w:sz="0" w:space="0" w:color="auto"/>
                        <w:bottom w:val="none" w:sz="0" w:space="0" w:color="auto"/>
                        <w:right w:val="none" w:sz="0" w:space="0" w:color="auto"/>
                      </w:divBdr>
                    </w:div>
                  </w:divsChild>
                </w:div>
                <w:div w:id="1171990476">
                  <w:marLeft w:val="0"/>
                  <w:marRight w:val="0"/>
                  <w:marTop w:val="0"/>
                  <w:marBottom w:val="0"/>
                  <w:divBdr>
                    <w:top w:val="none" w:sz="0" w:space="0" w:color="auto"/>
                    <w:left w:val="none" w:sz="0" w:space="0" w:color="auto"/>
                    <w:bottom w:val="none" w:sz="0" w:space="0" w:color="auto"/>
                    <w:right w:val="none" w:sz="0" w:space="0" w:color="auto"/>
                  </w:divBdr>
                </w:div>
                <w:div w:id="401175070">
                  <w:marLeft w:val="0"/>
                  <w:marRight w:val="0"/>
                  <w:marTop w:val="0"/>
                  <w:marBottom w:val="0"/>
                  <w:divBdr>
                    <w:top w:val="none" w:sz="0" w:space="0" w:color="auto"/>
                    <w:left w:val="none" w:sz="0" w:space="0" w:color="auto"/>
                    <w:bottom w:val="none" w:sz="0" w:space="0" w:color="auto"/>
                    <w:right w:val="none" w:sz="0" w:space="0" w:color="auto"/>
                  </w:divBdr>
                  <w:divsChild>
                    <w:div w:id="313992637">
                      <w:marLeft w:val="0"/>
                      <w:marRight w:val="0"/>
                      <w:marTop w:val="0"/>
                      <w:marBottom w:val="0"/>
                      <w:divBdr>
                        <w:top w:val="none" w:sz="0" w:space="0" w:color="auto"/>
                        <w:left w:val="none" w:sz="0" w:space="0" w:color="auto"/>
                        <w:bottom w:val="none" w:sz="0" w:space="0" w:color="auto"/>
                        <w:right w:val="none" w:sz="0" w:space="0" w:color="auto"/>
                      </w:divBdr>
                      <w:divsChild>
                        <w:div w:id="1340735495">
                          <w:marLeft w:val="0"/>
                          <w:marRight w:val="0"/>
                          <w:marTop w:val="0"/>
                          <w:marBottom w:val="0"/>
                          <w:divBdr>
                            <w:top w:val="none" w:sz="0" w:space="0" w:color="auto"/>
                            <w:left w:val="none" w:sz="0" w:space="0" w:color="auto"/>
                            <w:bottom w:val="none" w:sz="0" w:space="0" w:color="auto"/>
                            <w:right w:val="none" w:sz="0" w:space="0" w:color="auto"/>
                          </w:divBdr>
                        </w:div>
                      </w:divsChild>
                    </w:div>
                    <w:div w:id="621770407">
                      <w:marLeft w:val="0"/>
                      <w:marRight w:val="0"/>
                      <w:marTop w:val="0"/>
                      <w:marBottom w:val="0"/>
                      <w:divBdr>
                        <w:top w:val="none" w:sz="0" w:space="0" w:color="auto"/>
                        <w:left w:val="none" w:sz="0" w:space="0" w:color="auto"/>
                        <w:bottom w:val="none" w:sz="0" w:space="0" w:color="auto"/>
                        <w:right w:val="none" w:sz="0" w:space="0" w:color="auto"/>
                      </w:divBdr>
                      <w:divsChild>
                        <w:div w:id="13628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430987">
      <w:bodyDiv w:val="1"/>
      <w:marLeft w:val="0"/>
      <w:marRight w:val="0"/>
      <w:marTop w:val="0"/>
      <w:marBottom w:val="0"/>
      <w:divBdr>
        <w:top w:val="none" w:sz="0" w:space="0" w:color="auto"/>
        <w:left w:val="none" w:sz="0" w:space="0" w:color="auto"/>
        <w:bottom w:val="none" w:sz="0" w:space="0" w:color="auto"/>
        <w:right w:val="none" w:sz="0" w:space="0" w:color="auto"/>
      </w:divBdr>
    </w:div>
    <w:div w:id="1020202968">
      <w:marLeft w:val="0"/>
      <w:marRight w:val="0"/>
      <w:marTop w:val="0"/>
      <w:marBottom w:val="0"/>
      <w:divBdr>
        <w:top w:val="none" w:sz="0" w:space="0" w:color="auto"/>
        <w:left w:val="none" w:sz="0" w:space="0" w:color="auto"/>
        <w:bottom w:val="none" w:sz="0" w:space="0" w:color="auto"/>
        <w:right w:val="none" w:sz="0" w:space="0" w:color="auto"/>
      </w:divBdr>
      <w:divsChild>
        <w:div w:id="1853105580">
          <w:marLeft w:val="0"/>
          <w:marRight w:val="0"/>
          <w:marTop w:val="0"/>
          <w:marBottom w:val="0"/>
          <w:divBdr>
            <w:top w:val="none" w:sz="0" w:space="0" w:color="auto"/>
            <w:left w:val="none" w:sz="0" w:space="0" w:color="auto"/>
            <w:bottom w:val="none" w:sz="0" w:space="0" w:color="auto"/>
            <w:right w:val="none" w:sz="0" w:space="0" w:color="auto"/>
          </w:divBdr>
        </w:div>
      </w:divsChild>
    </w:div>
    <w:div w:id="1030033436">
      <w:marLeft w:val="0"/>
      <w:marRight w:val="75"/>
      <w:marTop w:val="0"/>
      <w:marBottom w:val="0"/>
      <w:divBdr>
        <w:top w:val="none" w:sz="0" w:space="0" w:color="auto"/>
        <w:left w:val="none" w:sz="0" w:space="0" w:color="auto"/>
        <w:bottom w:val="none" w:sz="0" w:space="0" w:color="auto"/>
        <w:right w:val="none" w:sz="0" w:space="0" w:color="auto"/>
      </w:divBdr>
      <w:divsChild>
        <w:div w:id="1424181481">
          <w:marLeft w:val="0"/>
          <w:marRight w:val="0"/>
          <w:marTop w:val="0"/>
          <w:marBottom w:val="0"/>
          <w:divBdr>
            <w:top w:val="none" w:sz="0" w:space="0" w:color="auto"/>
            <w:left w:val="none" w:sz="0" w:space="0" w:color="auto"/>
            <w:bottom w:val="none" w:sz="0" w:space="0" w:color="auto"/>
            <w:right w:val="none" w:sz="0" w:space="0" w:color="auto"/>
          </w:divBdr>
        </w:div>
      </w:divsChild>
    </w:div>
    <w:div w:id="1030692343">
      <w:bodyDiv w:val="1"/>
      <w:marLeft w:val="0"/>
      <w:marRight w:val="0"/>
      <w:marTop w:val="0"/>
      <w:marBottom w:val="0"/>
      <w:divBdr>
        <w:top w:val="none" w:sz="0" w:space="0" w:color="auto"/>
        <w:left w:val="none" w:sz="0" w:space="0" w:color="auto"/>
        <w:bottom w:val="none" w:sz="0" w:space="0" w:color="auto"/>
        <w:right w:val="none" w:sz="0" w:space="0" w:color="auto"/>
      </w:divBdr>
    </w:div>
    <w:div w:id="1033458339">
      <w:marLeft w:val="0"/>
      <w:marRight w:val="0"/>
      <w:marTop w:val="0"/>
      <w:marBottom w:val="0"/>
      <w:divBdr>
        <w:top w:val="none" w:sz="0" w:space="0" w:color="auto"/>
        <w:left w:val="none" w:sz="0" w:space="0" w:color="auto"/>
        <w:bottom w:val="none" w:sz="0" w:space="0" w:color="auto"/>
        <w:right w:val="none" w:sz="0" w:space="0" w:color="auto"/>
      </w:divBdr>
    </w:div>
    <w:div w:id="1082147135">
      <w:marLeft w:val="0"/>
      <w:marRight w:val="75"/>
      <w:marTop w:val="0"/>
      <w:marBottom w:val="0"/>
      <w:divBdr>
        <w:top w:val="none" w:sz="0" w:space="0" w:color="auto"/>
        <w:left w:val="none" w:sz="0" w:space="0" w:color="auto"/>
        <w:bottom w:val="none" w:sz="0" w:space="0" w:color="auto"/>
        <w:right w:val="none" w:sz="0" w:space="0" w:color="auto"/>
      </w:divBdr>
      <w:divsChild>
        <w:div w:id="26103762">
          <w:marLeft w:val="0"/>
          <w:marRight w:val="0"/>
          <w:marTop w:val="0"/>
          <w:marBottom w:val="0"/>
          <w:divBdr>
            <w:top w:val="none" w:sz="0" w:space="0" w:color="auto"/>
            <w:left w:val="none" w:sz="0" w:space="0" w:color="auto"/>
            <w:bottom w:val="none" w:sz="0" w:space="0" w:color="auto"/>
            <w:right w:val="none" w:sz="0" w:space="0" w:color="auto"/>
          </w:divBdr>
        </w:div>
      </w:divsChild>
    </w:div>
    <w:div w:id="1109819316">
      <w:marLeft w:val="0"/>
      <w:marRight w:val="0"/>
      <w:marTop w:val="0"/>
      <w:marBottom w:val="0"/>
      <w:divBdr>
        <w:top w:val="none" w:sz="0" w:space="0" w:color="auto"/>
        <w:left w:val="none" w:sz="0" w:space="0" w:color="auto"/>
        <w:bottom w:val="none" w:sz="0" w:space="0" w:color="auto"/>
        <w:right w:val="none" w:sz="0" w:space="0" w:color="auto"/>
      </w:divBdr>
    </w:div>
    <w:div w:id="1114132049">
      <w:marLeft w:val="0"/>
      <w:marRight w:val="75"/>
      <w:marTop w:val="0"/>
      <w:marBottom w:val="0"/>
      <w:divBdr>
        <w:top w:val="none" w:sz="0" w:space="0" w:color="auto"/>
        <w:left w:val="none" w:sz="0" w:space="0" w:color="auto"/>
        <w:bottom w:val="none" w:sz="0" w:space="0" w:color="auto"/>
        <w:right w:val="none" w:sz="0" w:space="0" w:color="auto"/>
      </w:divBdr>
      <w:divsChild>
        <w:div w:id="721102052">
          <w:marLeft w:val="0"/>
          <w:marRight w:val="0"/>
          <w:marTop w:val="0"/>
          <w:marBottom w:val="0"/>
          <w:divBdr>
            <w:top w:val="none" w:sz="0" w:space="0" w:color="auto"/>
            <w:left w:val="none" w:sz="0" w:space="0" w:color="auto"/>
            <w:bottom w:val="none" w:sz="0" w:space="0" w:color="auto"/>
            <w:right w:val="none" w:sz="0" w:space="0" w:color="auto"/>
          </w:divBdr>
        </w:div>
      </w:divsChild>
    </w:div>
    <w:div w:id="1121655419">
      <w:marLeft w:val="0"/>
      <w:marRight w:val="0"/>
      <w:marTop w:val="0"/>
      <w:marBottom w:val="0"/>
      <w:divBdr>
        <w:top w:val="none" w:sz="0" w:space="0" w:color="auto"/>
        <w:left w:val="none" w:sz="0" w:space="0" w:color="auto"/>
        <w:bottom w:val="none" w:sz="0" w:space="0" w:color="auto"/>
        <w:right w:val="none" w:sz="0" w:space="0" w:color="auto"/>
      </w:divBdr>
    </w:div>
    <w:div w:id="1136139528">
      <w:bodyDiv w:val="1"/>
      <w:marLeft w:val="0"/>
      <w:marRight w:val="0"/>
      <w:marTop w:val="0"/>
      <w:marBottom w:val="0"/>
      <w:divBdr>
        <w:top w:val="none" w:sz="0" w:space="0" w:color="auto"/>
        <w:left w:val="none" w:sz="0" w:space="0" w:color="auto"/>
        <w:bottom w:val="none" w:sz="0" w:space="0" w:color="auto"/>
        <w:right w:val="none" w:sz="0" w:space="0" w:color="auto"/>
      </w:divBdr>
    </w:div>
    <w:div w:id="1145584687">
      <w:marLeft w:val="0"/>
      <w:marRight w:val="0"/>
      <w:marTop w:val="0"/>
      <w:marBottom w:val="0"/>
      <w:divBdr>
        <w:top w:val="none" w:sz="0" w:space="0" w:color="auto"/>
        <w:left w:val="none" w:sz="0" w:space="0" w:color="auto"/>
        <w:bottom w:val="none" w:sz="0" w:space="0" w:color="auto"/>
        <w:right w:val="none" w:sz="0" w:space="0" w:color="auto"/>
      </w:divBdr>
    </w:div>
    <w:div w:id="1158880156">
      <w:marLeft w:val="0"/>
      <w:marRight w:val="0"/>
      <w:marTop w:val="0"/>
      <w:marBottom w:val="0"/>
      <w:divBdr>
        <w:top w:val="none" w:sz="0" w:space="0" w:color="auto"/>
        <w:left w:val="none" w:sz="0" w:space="0" w:color="auto"/>
        <w:bottom w:val="none" w:sz="0" w:space="0" w:color="auto"/>
        <w:right w:val="none" w:sz="0" w:space="0" w:color="auto"/>
      </w:divBdr>
    </w:div>
    <w:div w:id="1160196506">
      <w:bodyDiv w:val="1"/>
      <w:marLeft w:val="0"/>
      <w:marRight w:val="0"/>
      <w:marTop w:val="0"/>
      <w:marBottom w:val="0"/>
      <w:divBdr>
        <w:top w:val="none" w:sz="0" w:space="0" w:color="auto"/>
        <w:left w:val="none" w:sz="0" w:space="0" w:color="auto"/>
        <w:bottom w:val="none" w:sz="0" w:space="0" w:color="auto"/>
        <w:right w:val="none" w:sz="0" w:space="0" w:color="auto"/>
      </w:divBdr>
    </w:div>
    <w:div w:id="1163662509">
      <w:bodyDiv w:val="1"/>
      <w:marLeft w:val="0"/>
      <w:marRight w:val="0"/>
      <w:marTop w:val="0"/>
      <w:marBottom w:val="0"/>
      <w:divBdr>
        <w:top w:val="none" w:sz="0" w:space="0" w:color="auto"/>
        <w:left w:val="none" w:sz="0" w:space="0" w:color="auto"/>
        <w:bottom w:val="none" w:sz="0" w:space="0" w:color="auto"/>
        <w:right w:val="none" w:sz="0" w:space="0" w:color="auto"/>
      </w:divBdr>
    </w:div>
    <w:div w:id="1215310620">
      <w:marLeft w:val="0"/>
      <w:marRight w:val="0"/>
      <w:marTop w:val="0"/>
      <w:marBottom w:val="0"/>
      <w:divBdr>
        <w:top w:val="none" w:sz="0" w:space="0" w:color="auto"/>
        <w:left w:val="none" w:sz="0" w:space="0" w:color="auto"/>
        <w:bottom w:val="none" w:sz="0" w:space="0" w:color="auto"/>
        <w:right w:val="none" w:sz="0" w:space="0" w:color="auto"/>
      </w:divBdr>
    </w:div>
    <w:div w:id="1218585294">
      <w:marLeft w:val="0"/>
      <w:marRight w:val="0"/>
      <w:marTop w:val="0"/>
      <w:marBottom w:val="0"/>
      <w:divBdr>
        <w:top w:val="none" w:sz="0" w:space="0" w:color="auto"/>
        <w:left w:val="none" w:sz="0" w:space="0" w:color="auto"/>
        <w:bottom w:val="none" w:sz="0" w:space="0" w:color="auto"/>
        <w:right w:val="none" w:sz="0" w:space="0" w:color="auto"/>
      </w:divBdr>
    </w:div>
    <w:div w:id="1230312638">
      <w:marLeft w:val="0"/>
      <w:marRight w:val="75"/>
      <w:marTop w:val="0"/>
      <w:marBottom w:val="0"/>
      <w:divBdr>
        <w:top w:val="none" w:sz="0" w:space="0" w:color="auto"/>
        <w:left w:val="none" w:sz="0" w:space="0" w:color="auto"/>
        <w:bottom w:val="none" w:sz="0" w:space="0" w:color="auto"/>
        <w:right w:val="none" w:sz="0" w:space="0" w:color="auto"/>
      </w:divBdr>
      <w:divsChild>
        <w:div w:id="72632500">
          <w:marLeft w:val="0"/>
          <w:marRight w:val="0"/>
          <w:marTop w:val="0"/>
          <w:marBottom w:val="0"/>
          <w:divBdr>
            <w:top w:val="none" w:sz="0" w:space="0" w:color="auto"/>
            <w:left w:val="none" w:sz="0" w:space="0" w:color="auto"/>
            <w:bottom w:val="none" w:sz="0" w:space="0" w:color="auto"/>
            <w:right w:val="none" w:sz="0" w:space="0" w:color="auto"/>
          </w:divBdr>
        </w:div>
      </w:divsChild>
    </w:div>
    <w:div w:id="1237285215">
      <w:bodyDiv w:val="1"/>
      <w:marLeft w:val="0"/>
      <w:marRight w:val="0"/>
      <w:marTop w:val="0"/>
      <w:marBottom w:val="0"/>
      <w:divBdr>
        <w:top w:val="none" w:sz="0" w:space="0" w:color="auto"/>
        <w:left w:val="none" w:sz="0" w:space="0" w:color="auto"/>
        <w:bottom w:val="none" w:sz="0" w:space="0" w:color="auto"/>
        <w:right w:val="none" w:sz="0" w:space="0" w:color="auto"/>
      </w:divBdr>
    </w:div>
    <w:div w:id="1257713988">
      <w:marLeft w:val="0"/>
      <w:marRight w:val="75"/>
      <w:marTop w:val="0"/>
      <w:marBottom w:val="0"/>
      <w:divBdr>
        <w:top w:val="none" w:sz="0" w:space="0" w:color="auto"/>
        <w:left w:val="none" w:sz="0" w:space="0" w:color="auto"/>
        <w:bottom w:val="none" w:sz="0" w:space="0" w:color="auto"/>
        <w:right w:val="none" w:sz="0" w:space="0" w:color="auto"/>
      </w:divBdr>
      <w:divsChild>
        <w:div w:id="1099641388">
          <w:marLeft w:val="0"/>
          <w:marRight w:val="0"/>
          <w:marTop w:val="0"/>
          <w:marBottom w:val="0"/>
          <w:divBdr>
            <w:top w:val="none" w:sz="0" w:space="0" w:color="auto"/>
            <w:left w:val="none" w:sz="0" w:space="0" w:color="auto"/>
            <w:bottom w:val="none" w:sz="0" w:space="0" w:color="auto"/>
            <w:right w:val="none" w:sz="0" w:space="0" w:color="auto"/>
          </w:divBdr>
        </w:div>
      </w:divsChild>
    </w:div>
    <w:div w:id="1263537920">
      <w:marLeft w:val="0"/>
      <w:marRight w:val="0"/>
      <w:marTop w:val="0"/>
      <w:marBottom w:val="0"/>
      <w:divBdr>
        <w:top w:val="none" w:sz="0" w:space="0" w:color="auto"/>
        <w:left w:val="none" w:sz="0" w:space="0" w:color="auto"/>
        <w:bottom w:val="none" w:sz="0" w:space="0" w:color="auto"/>
        <w:right w:val="none" w:sz="0" w:space="0" w:color="auto"/>
      </w:divBdr>
    </w:div>
    <w:div w:id="1273591616">
      <w:marLeft w:val="0"/>
      <w:marRight w:val="75"/>
      <w:marTop w:val="0"/>
      <w:marBottom w:val="0"/>
      <w:divBdr>
        <w:top w:val="none" w:sz="0" w:space="0" w:color="auto"/>
        <w:left w:val="none" w:sz="0" w:space="0" w:color="auto"/>
        <w:bottom w:val="none" w:sz="0" w:space="0" w:color="auto"/>
        <w:right w:val="none" w:sz="0" w:space="0" w:color="auto"/>
      </w:divBdr>
      <w:divsChild>
        <w:div w:id="2146771018">
          <w:marLeft w:val="0"/>
          <w:marRight w:val="0"/>
          <w:marTop w:val="0"/>
          <w:marBottom w:val="0"/>
          <w:divBdr>
            <w:top w:val="none" w:sz="0" w:space="0" w:color="auto"/>
            <w:left w:val="none" w:sz="0" w:space="0" w:color="auto"/>
            <w:bottom w:val="none" w:sz="0" w:space="0" w:color="auto"/>
            <w:right w:val="none" w:sz="0" w:space="0" w:color="auto"/>
          </w:divBdr>
        </w:div>
      </w:divsChild>
    </w:div>
    <w:div w:id="1285967591">
      <w:marLeft w:val="0"/>
      <w:marRight w:val="0"/>
      <w:marTop w:val="0"/>
      <w:marBottom w:val="0"/>
      <w:divBdr>
        <w:top w:val="none" w:sz="0" w:space="0" w:color="auto"/>
        <w:left w:val="none" w:sz="0" w:space="0" w:color="auto"/>
        <w:bottom w:val="none" w:sz="0" w:space="0" w:color="auto"/>
        <w:right w:val="none" w:sz="0" w:space="0" w:color="auto"/>
      </w:divBdr>
    </w:div>
    <w:div w:id="1295988469">
      <w:bodyDiv w:val="1"/>
      <w:marLeft w:val="0"/>
      <w:marRight w:val="0"/>
      <w:marTop w:val="0"/>
      <w:marBottom w:val="0"/>
      <w:divBdr>
        <w:top w:val="none" w:sz="0" w:space="0" w:color="auto"/>
        <w:left w:val="none" w:sz="0" w:space="0" w:color="auto"/>
        <w:bottom w:val="none" w:sz="0" w:space="0" w:color="auto"/>
        <w:right w:val="none" w:sz="0" w:space="0" w:color="auto"/>
      </w:divBdr>
    </w:div>
    <w:div w:id="1301695509">
      <w:marLeft w:val="0"/>
      <w:marRight w:val="0"/>
      <w:marTop w:val="0"/>
      <w:marBottom w:val="0"/>
      <w:divBdr>
        <w:top w:val="none" w:sz="0" w:space="0" w:color="auto"/>
        <w:left w:val="none" w:sz="0" w:space="0" w:color="auto"/>
        <w:bottom w:val="none" w:sz="0" w:space="0" w:color="auto"/>
        <w:right w:val="none" w:sz="0" w:space="0" w:color="auto"/>
      </w:divBdr>
    </w:div>
    <w:div w:id="1357191545">
      <w:marLeft w:val="0"/>
      <w:marRight w:val="75"/>
      <w:marTop w:val="0"/>
      <w:marBottom w:val="0"/>
      <w:divBdr>
        <w:top w:val="none" w:sz="0" w:space="0" w:color="auto"/>
        <w:left w:val="none" w:sz="0" w:space="0" w:color="auto"/>
        <w:bottom w:val="none" w:sz="0" w:space="0" w:color="auto"/>
        <w:right w:val="none" w:sz="0" w:space="0" w:color="auto"/>
      </w:divBdr>
      <w:divsChild>
        <w:div w:id="915827264">
          <w:marLeft w:val="0"/>
          <w:marRight w:val="0"/>
          <w:marTop w:val="0"/>
          <w:marBottom w:val="0"/>
          <w:divBdr>
            <w:top w:val="none" w:sz="0" w:space="0" w:color="auto"/>
            <w:left w:val="none" w:sz="0" w:space="0" w:color="auto"/>
            <w:bottom w:val="none" w:sz="0" w:space="0" w:color="auto"/>
            <w:right w:val="none" w:sz="0" w:space="0" w:color="auto"/>
          </w:divBdr>
        </w:div>
      </w:divsChild>
    </w:div>
    <w:div w:id="1361393032">
      <w:marLeft w:val="0"/>
      <w:marRight w:val="0"/>
      <w:marTop w:val="0"/>
      <w:marBottom w:val="0"/>
      <w:divBdr>
        <w:top w:val="none" w:sz="0" w:space="0" w:color="auto"/>
        <w:left w:val="none" w:sz="0" w:space="0" w:color="auto"/>
        <w:bottom w:val="none" w:sz="0" w:space="0" w:color="auto"/>
        <w:right w:val="none" w:sz="0" w:space="0" w:color="auto"/>
      </w:divBdr>
    </w:div>
    <w:div w:id="1376274054">
      <w:bodyDiv w:val="1"/>
      <w:marLeft w:val="0"/>
      <w:marRight w:val="0"/>
      <w:marTop w:val="0"/>
      <w:marBottom w:val="0"/>
      <w:divBdr>
        <w:top w:val="none" w:sz="0" w:space="0" w:color="auto"/>
        <w:left w:val="none" w:sz="0" w:space="0" w:color="auto"/>
        <w:bottom w:val="none" w:sz="0" w:space="0" w:color="auto"/>
        <w:right w:val="none" w:sz="0" w:space="0" w:color="auto"/>
      </w:divBdr>
    </w:div>
    <w:div w:id="1382824398">
      <w:marLeft w:val="0"/>
      <w:marRight w:val="0"/>
      <w:marTop w:val="0"/>
      <w:marBottom w:val="0"/>
      <w:divBdr>
        <w:top w:val="none" w:sz="0" w:space="0" w:color="auto"/>
        <w:left w:val="none" w:sz="0" w:space="0" w:color="auto"/>
        <w:bottom w:val="none" w:sz="0" w:space="0" w:color="auto"/>
        <w:right w:val="none" w:sz="0" w:space="0" w:color="auto"/>
      </w:divBdr>
    </w:div>
    <w:div w:id="1401900353">
      <w:bodyDiv w:val="1"/>
      <w:marLeft w:val="0"/>
      <w:marRight w:val="0"/>
      <w:marTop w:val="0"/>
      <w:marBottom w:val="0"/>
      <w:divBdr>
        <w:top w:val="none" w:sz="0" w:space="0" w:color="auto"/>
        <w:left w:val="none" w:sz="0" w:space="0" w:color="auto"/>
        <w:bottom w:val="none" w:sz="0" w:space="0" w:color="auto"/>
        <w:right w:val="none" w:sz="0" w:space="0" w:color="auto"/>
      </w:divBdr>
    </w:div>
    <w:div w:id="1411385571">
      <w:marLeft w:val="0"/>
      <w:marRight w:val="0"/>
      <w:marTop w:val="0"/>
      <w:marBottom w:val="0"/>
      <w:divBdr>
        <w:top w:val="none" w:sz="0" w:space="0" w:color="auto"/>
        <w:left w:val="none" w:sz="0" w:space="0" w:color="auto"/>
        <w:bottom w:val="none" w:sz="0" w:space="0" w:color="auto"/>
        <w:right w:val="none" w:sz="0" w:space="0" w:color="auto"/>
      </w:divBdr>
    </w:div>
    <w:div w:id="1412311022">
      <w:marLeft w:val="0"/>
      <w:marRight w:val="75"/>
      <w:marTop w:val="0"/>
      <w:marBottom w:val="0"/>
      <w:divBdr>
        <w:top w:val="none" w:sz="0" w:space="0" w:color="auto"/>
        <w:left w:val="none" w:sz="0" w:space="0" w:color="auto"/>
        <w:bottom w:val="none" w:sz="0" w:space="0" w:color="auto"/>
        <w:right w:val="none" w:sz="0" w:space="0" w:color="auto"/>
      </w:divBdr>
      <w:divsChild>
        <w:div w:id="192961668">
          <w:marLeft w:val="0"/>
          <w:marRight w:val="0"/>
          <w:marTop w:val="0"/>
          <w:marBottom w:val="0"/>
          <w:divBdr>
            <w:top w:val="none" w:sz="0" w:space="0" w:color="auto"/>
            <w:left w:val="none" w:sz="0" w:space="0" w:color="auto"/>
            <w:bottom w:val="none" w:sz="0" w:space="0" w:color="auto"/>
            <w:right w:val="none" w:sz="0" w:space="0" w:color="auto"/>
          </w:divBdr>
        </w:div>
      </w:divsChild>
    </w:div>
    <w:div w:id="1419133047">
      <w:marLeft w:val="0"/>
      <w:marRight w:val="0"/>
      <w:marTop w:val="0"/>
      <w:marBottom w:val="0"/>
      <w:divBdr>
        <w:top w:val="none" w:sz="0" w:space="0" w:color="auto"/>
        <w:left w:val="none" w:sz="0" w:space="0" w:color="auto"/>
        <w:bottom w:val="none" w:sz="0" w:space="0" w:color="auto"/>
        <w:right w:val="none" w:sz="0" w:space="0" w:color="auto"/>
      </w:divBdr>
    </w:div>
    <w:div w:id="1422724617">
      <w:marLeft w:val="0"/>
      <w:marRight w:val="0"/>
      <w:marTop w:val="0"/>
      <w:marBottom w:val="0"/>
      <w:divBdr>
        <w:top w:val="none" w:sz="0" w:space="0" w:color="auto"/>
        <w:left w:val="none" w:sz="0" w:space="0" w:color="auto"/>
        <w:bottom w:val="none" w:sz="0" w:space="0" w:color="auto"/>
        <w:right w:val="none" w:sz="0" w:space="0" w:color="auto"/>
      </w:divBdr>
    </w:div>
    <w:div w:id="1453287604">
      <w:bodyDiv w:val="1"/>
      <w:marLeft w:val="0"/>
      <w:marRight w:val="0"/>
      <w:marTop w:val="0"/>
      <w:marBottom w:val="0"/>
      <w:divBdr>
        <w:top w:val="none" w:sz="0" w:space="0" w:color="auto"/>
        <w:left w:val="none" w:sz="0" w:space="0" w:color="auto"/>
        <w:bottom w:val="none" w:sz="0" w:space="0" w:color="auto"/>
        <w:right w:val="none" w:sz="0" w:space="0" w:color="auto"/>
      </w:divBdr>
    </w:div>
    <w:div w:id="1457487492">
      <w:marLeft w:val="0"/>
      <w:marRight w:val="75"/>
      <w:marTop w:val="0"/>
      <w:marBottom w:val="0"/>
      <w:divBdr>
        <w:top w:val="none" w:sz="0" w:space="0" w:color="auto"/>
        <w:left w:val="none" w:sz="0" w:space="0" w:color="auto"/>
        <w:bottom w:val="none" w:sz="0" w:space="0" w:color="auto"/>
        <w:right w:val="none" w:sz="0" w:space="0" w:color="auto"/>
      </w:divBdr>
      <w:divsChild>
        <w:div w:id="1179388314">
          <w:marLeft w:val="0"/>
          <w:marRight w:val="0"/>
          <w:marTop w:val="0"/>
          <w:marBottom w:val="0"/>
          <w:divBdr>
            <w:top w:val="none" w:sz="0" w:space="0" w:color="auto"/>
            <w:left w:val="none" w:sz="0" w:space="0" w:color="auto"/>
            <w:bottom w:val="none" w:sz="0" w:space="0" w:color="auto"/>
            <w:right w:val="none" w:sz="0" w:space="0" w:color="auto"/>
          </w:divBdr>
        </w:div>
      </w:divsChild>
    </w:div>
    <w:div w:id="1465539515">
      <w:bodyDiv w:val="1"/>
      <w:marLeft w:val="0"/>
      <w:marRight w:val="0"/>
      <w:marTop w:val="0"/>
      <w:marBottom w:val="0"/>
      <w:divBdr>
        <w:top w:val="none" w:sz="0" w:space="0" w:color="auto"/>
        <w:left w:val="none" w:sz="0" w:space="0" w:color="auto"/>
        <w:bottom w:val="none" w:sz="0" w:space="0" w:color="auto"/>
        <w:right w:val="none" w:sz="0" w:space="0" w:color="auto"/>
      </w:divBdr>
    </w:div>
    <w:div w:id="1470132105">
      <w:bodyDiv w:val="1"/>
      <w:marLeft w:val="0"/>
      <w:marRight w:val="0"/>
      <w:marTop w:val="0"/>
      <w:marBottom w:val="0"/>
      <w:divBdr>
        <w:top w:val="none" w:sz="0" w:space="0" w:color="auto"/>
        <w:left w:val="none" w:sz="0" w:space="0" w:color="auto"/>
        <w:bottom w:val="none" w:sz="0" w:space="0" w:color="auto"/>
        <w:right w:val="none" w:sz="0" w:space="0" w:color="auto"/>
      </w:divBdr>
    </w:div>
    <w:div w:id="1470826636">
      <w:marLeft w:val="0"/>
      <w:marRight w:val="0"/>
      <w:marTop w:val="0"/>
      <w:marBottom w:val="0"/>
      <w:divBdr>
        <w:top w:val="none" w:sz="0" w:space="0" w:color="auto"/>
        <w:left w:val="none" w:sz="0" w:space="0" w:color="auto"/>
        <w:bottom w:val="none" w:sz="0" w:space="0" w:color="auto"/>
        <w:right w:val="none" w:sz="0" w:space="0" w:color="auto"/>
      </w:divBdr>
    </w:div>
    <w:div w:id="1479416379">
      <w:marLeft w:val="0"/>
      <w:marRight w:val="75"/>
      <w:marTop w:val="0"/>
      <w:marBottom w:val="0"/>
      <w:divBdr>
        <w:top w:val="none" w:sz="0" w:space="0" w:color="auto"/>
        <w:left w:val="none" w:sz="0" w:space="0" w:color="auto"/>
        <w:bottom w:val="none" w:sz="0" w:space="0" w:color="auto"/>
        <w:right w:val="none" w:sz="0" w:space="0" w:color="auto"/>
      </w:divBdr>
      <w:divsChild>
        <w:div w:id="352920227">
          <w:marLeft w:val="0"/>
          <w:marRight w:val="0"/>
          <w:marTop w:val="0"/>
          <w:marBottom w:val="0"/>
          <w:divBdr>
            <w:top w:val="none" w:sz="0" w:space="0" w:color="auto"/>
            <w:left w:val="none" w:sz="0" w:space="0" w:color="auto"/>
            <w:bottom w:val="none" w:sz="0" w:space="0" w:color="auto"/>
            <w:right w:val="none" w:sz="0" w:space="0" w:color="auto"/>
          </w:divBdr>
        </w:div>
      </w:divsChild>
    </w:div>
    <w:div w:id="1484472790">
      <w:bodyDiv w:val="1"/>
      <w:marLeft w:val="0"/>
      <w:marRight w:val="0"/>
      <w:marTop w:val="0"/>
      <w:marBottom w:val="0"/>
      <w:divBdr>
        <w:top w:val="none" w:sz="0" w:space="0" w:color="auto"/>
        <w:left w:val="none" w:sz="0" w:space="0" w:color="auto"/>
        <w:bottom w:val="none" w:sz="0" w:space="0" w:color="auto"/>
        <w:right w:val="none" w:sz="0" w:space="0" w:color="auto"/>
      </w:divBdr>
    </w:div>
    <w:div w:id="1496990010">
      <w:bodyDiv w:val="1"/>
      <w:marLeft w:val="0"/>
      <w:marRight w:val="0"/>
      <w:marTop w:val="0"/>
      <w:marBottom w:val="0"/>
      <w:divBdr>
        <w:top w:val="none" w:sz="0" w:space="0" w:color="auto"/>
        <w:left w:val="none" w:sz="0" w:space="0" w:color="auto"/>
        <w:bottom w:val="none" w:sz="0" w:space="0" w:color="auto"/>
        <w:right w:val="none" w:sz="0" w:space="0" w:color="auto"/>
      </w:divBdr>
    </w:div>
    <w:div w:id="1519074649">
      <w:bodyDiv w:val="1"/>
      <w:marLeft w:val="0"/>
      <w:marRight w:val="0"/>
      <w:marTop w:val="0"/>
      <w:marBottom w:val="0"/>
      <w:divBdr>
        <w:top w:val="none" w:sz="0" w:space="0" w:color="auto"/>
        <w:left w:val="none" w:sz="0" w:space="0" w:color="auto"/>
        <w:bottom w:val="none" w:sz="0" w:space="0" w:color="auto"/>
        <w:right w:val="none" w:sz="0" w:space="0" w:color="auto"/>
      </w:divBdr>
    </w:div>
    <w:div w:id="1532961664">
      <w:bodyDiv w:val="1"/>
      <w:marLeft w:val="0"/>
      <w:marRight w:val="0"/>
      <w:marTop w:val="0"/>
      <w:marBottom w:val="0"/>
      <w:divBdr>
        <w:top w:val="none" w:sz="0" w:space="0" w:color="auto"/>
        <w:left w:val="none" w:sz="0" w:space="0" w:color="auto"/>
        <w:bottom w:val="none" w:sz="0" w:space="0" w:color="auto"/>
        <w:right w:val="none" w:sz="0" w:space="0" w:color="auto"/>
      </w:divBdr>
      <w:divsChild>
        <w:div w:id="2111119911">
          <w:marLeft w:val="0"/>
          <w:marRight w:val="0"/>
          <w:marTop w:val="0"/>
          <w:marBottom w:val="0"/>
          <w:divBdr>
            <w:top w:val="none" w:sz="0" w:space="0" w:color="auto"/>
            <w:left w:val="none" w:sz="0" w:space="0" w:color="auto"/>
            <w:bottom w:val="none" w:sz="0" w:space="0" w:color="auto"/>
            <w:right w:val="none" w:sz="0" w:space="0" w:color="auto"/>
          </w:divBdr>
          <w:divsChild>
            <w:div w:id="1835795543">
              <w:marLeft w:val="0"/>
              <w:marRight w:val="0"/>
              <w:marTop w:val="0"/>
              <w:marBottom w:val="0"/>
              <w:divBdr>
                <w:top w:val="none" w:sz="0" w:space="0" w:color="auto"/>
                <w:left w:val="none" w:sz="0" w:space="0" w:color="auto"/>
                <w:bottom w:val="none" w:sz="0" w:space="0" w:color="auto"/>
                <w:right w:val="none" w:sz="0" w:space="0" w:color="auto"/>
              </w:divBdr>
            </w:div>
          </w:divsChild>
        </w:div>
        <w:div w:id="2065369238">
          <w:marLeft w:val="0"/>
          <w:marRight w:val="0"/>
          <w:marTop w:val="0"/>
          <w:marBottom w:val="0"/>
          <w:divBdr>
            <w:top w:val="none" w:sz="0" w:space="0" w:color="auto"/>
            <w:left w:val="none" w:sz="0" w:space="0" w:color="auto"/>
            <w:bottom w:val="none" w:sz="0" w:space="0" w:color="auto"/>
            <w:right w:val="none" w:sz="0" w:space="0" w:color="auto"/>
          </w:divBdr>
          <w:divsChild>
            <w:div w:id="1128620422">
              <w:marLeft w:val="0"/>
              <w:marRight w:val="0"/>
              <w:marTop w:val="0"/>
              <w:marBottom w:val="0"/>
              <w:divBdr>
                <w:top w:val="none" w:sz="0" w:space="0" w:color="auto"/>
                <w:left w:val="none" w:sz="0" w:space="0" w:color="auto"/>
                <w:bottom w:val="none" w:sz="0" w:space="0" w:color="auto"/>
                <w:right w:val="none" w:sz="0" w:space="0" w:color="auto"/>
              </w:divBdr>
            </w:div>
          </w:divsChild>
        </w:div>
        <w:div w:id="981153712">
          <w:marLeft w:val="0"/>
          <w:marRight w:val="0"/>
          <w:marTop w:val="0"/>
          <w:marBottom w:val="0"/>
          <w:divBdr>
            <w:top w:val="none" w:sz="0" w:space="0" w:color="auto"/>
            <w:left w:val="none" w:sz="0" w:space="0" w:color="auto"/>
            <w:bottom w:val="none" w:sz="0" w:space="0" w:color="auto"/>
            <w:right w:val="none" w:sz="0" w:space="0" w:color="auto"/>
          </w:divBdr>
          <w:divsChild>
            <w:div w:id="1570729336">
              <w:marLeft w:val="0"/>
              <w:marRight w:val="0"/>
              <w:marTop w:val="0"/>
              <w:marBottom w:val="0"/>
              <w:divBdr>
                <w:top w:val="none" w:sz="0" w:space="0" w:color="auto"/>
                <w:left w:val="none" w:sz="0" w:space="0" w:color="auto"/>
                <w:bottom w:val="none" w:sz="0" w:space="0" w:color="auto"/>
                <w:right w:val="none" w:sz="0" w:space="0" w:color="auto"/>
              </w:divBdr>
            </w:div>
          </w:divsChild>
        </w:div>
        <w:div w:id="741567309">
          <w:marLeft w:val="0"/>
          <w:marRight w:val="0"/>
          <w:marTop w:val="0"/>
          <w:marBottom w:val="0"/>
          <w:divBdr>
            <w:top w:val="none" w:sz="0" w:space="0" w:color="auto"/>
            <w:left w:val="none" w:sz="0" w:space="0" w:color="auto"/>
            <w:bottom w:val="none" w:sz="0" w:space="0" w:color="auto"/>
            <w:right w:val="none" w:sz="0" w:space="0" w:color="auto"/>
          </w:divBdr>
          <w:divsChild>
            <w:div w:id="1622027989">
              <w:marLeft w:val="0"/>
              <w:marRight w:val="0"/>
              <w:marTop w:val="0"/>
              <w:marBottom w:val="0"/>
              <w:divBdr>
                <w:top w:val="none" w:sz="0" w:space="0" w:color="auto"/>
                <w:left w:val="none" w:sz="0" w:space="0" w:color="auto"/>
                <w:bottom w:val="none" w:sz="0" w:space="0" w:color="auto"/>
                <w:right w:val="none" w:sz="0" w:space="0" w:color="auto"/>
              </w:divBdr>
            </w:div>
          </w:divsChild>
        </w:div>
        <w:div w:id="729688571">
          <w:marLeft w:val="0"/>
          <w:marRight w:val="0"/>
          <w:marTop w:val="0"/>
          <w:marBottom w:val="0"/>
          <w:divBdr>
            <w:top w:val="none" w:sz="0" w:space="0" w:color="auto"/>
            <w:left w:val="none" w:sz="0" w:space="0" w:color="auto"/>
            <w:bottom w:val="none" w:sz="0" w:space="0" w:color="auto"/>
            <w:right w:val="none" w:sz="0" w:space="0" w:color="auto"/>
          </w:divBdr>
          <w:divsChild>
            <w:div w:id="2119252377">
              <w:marLeft w:val="0"/>
              <w:marRight w:val="0"/>
              <w:marTop w:val="0"/>
              <w:marBottom w:val="0"/>
              <w:divBdr>
                <w:top w:val="none" w:sz="0" w:space="0" w:color="auto"/>
                <w:left w:val="none" w:sz="0" w:space="0" w:color="auto"/>
                <w:bottom w:val="none" w:sz="0" w:space="0" w:color="auto"/>
                <w:right w:val="none" w:sz="0" w:space="0" w:color="auto"/>
              </w:divBdr>
            </w:div>
          </w:divsChild>
        </w:div>
        <w:div w:id="1641037509">
          <w:marLeft w:val="0"/>
          <w:marRight w:val="0"/>
          <w:marTop w:val="0"/>
          <w:marBottom w:val="0"/>
          <w:divBdr>
            <w:top w:val="none" w:sz="0" w:space="0" w:color="auto"/>
            <w:left w:val="none" w:sz="0" w:space="0" w:color="auto"/>
            <w:bottom w:val="none" w:sz="0" w:space="0" w:color="auto"/>
            <w:right w:val="none" w:sz="0" w:space="0" w:color="auto"/>
          </w:divBdr>
          <w:divsChild>
            <w:div w:id="328412306">
              <w:marLeft w:val="0"/>
              <w:marRight w:val="0"/>
              <w:marTop w:val="0"/>
              <w:marBottom w:val="0"/>
              <w:divBdr>
                <w:top w:val="none" w:sz="0" w:space="0" w:color="auto"/>
                <w:left w:val="none" w:sz="0" w:space="0" w:color="auto"/>
                <w:bottom w:val="none" w:sz="0" w:space="0" w:color="auto"/>
                <w:right w:val="none" w:sz="0" w:space="0" w:color="auto"/>
              </w:divBdr>
            </w:div>
          </w:divsChild>
        </w:div>
        <w:div w:id="2008050094">
          <w:marLeft w:val="0"/>
          <w:marRight w:val="0"/>
          <w:marTop w:val="0"/>
          <w:marBottom w:val="0"/>
          <w:divBdr>
            <w:top w:val="none" w:sz="0" w:space="0" w:color="auto"/>
            <w:left w:val="none" w:sz="0" w:space="0" w:color="auto"/>
            <w:bottom w:val="none" w:sz="0" w:space="0" w:color="auto"/>
            <w:right w:val="none" w:sz="0" w:space="0" w:color="auto"/>
          </w:divBdr>
          <w:divsChild>
            <w:div w:id="681779335">
              <w:marLeft w:val="0"/>
              <w:marRight w:val="0"/>
              <w:marTop w:val="0"/>
              <w:marBottom w:val="0"/>
              <w:divBdr>
                <w:top w:val="none" w:sz="0" w:space="0" w:color="auto"/>
                <w:left w:val="none" w:sz="0" w:space="0" w:color="auto"/>
                <w:bottom w:val="none" w:sz="0" w:space="0" w:color="auto"/>
                <w:right w:val="none" w:sz="0" w:space="0" w:color="auto"/>
              </w:divBdr>
            </w:div>
          </w:divsChild>
        </w:div>
        <w:div w:id="928540984">
          <w:marLeft w:val="0"/>
          <w:marRight w:val="0"/>
          <w:marTop w:val="0"/>
          <w:marBottom w:val="0"/>
          <w:divBdr>
            <w:top w:val="none" w:sz="0" w:space="0" w:color="auto"/>
            <w:left w:val="none" w:sz="0" w:space="0" w:color="auto"/>
            <w:bottom w:val="none" w:sz="0" w:space="0" w:color="auto"/>
            <w:right w:val="none" w:sz="0" w:space="0" w:color="auto"/>
          </w:divBdr>
          <w:divsChild>
            <w:div w:id="1609964260">
              <w:marLeft w:val="0"/>
              <w:marRight w:val="0"/>
              <w:marTop w:val="0"/>
              <w:marBottom w:val="0"/>
              <w:divBdr>
                <w:top w:val="none" w:sz="0" w:space="0" w:color="auto"/>
                <w:left w:val="none" w:sz="0" w:space="0" w:color="auto"/>
                <w:bottom w:val="none" w:sz="0" w:space="0" w:color="auto"/>
                <w:right w:val="none" w:sz="0" w:space="0" w:color="auto"/>
              </w:divBdr>
            </w:div>
          </w:divsChild>
        </w:div>
        <w:div w:id="502087465">
          <w:marLeft w:val="0"/>
          <w:marRight w:val="0"/>
          <w:marTop w:val="0"/>
          <w:marBottom w:val="0"/>
          <w:divBdr>
            <w:top w:val="none" w:sz="0" w:space="0" w:color="auto"/>
            <w:left w:val="none" w:sz="0" w:space="0" w:color="auto"/>
            <w:bottom w:val="none" w:sz="0" w:space="0" w:color="auto"/>
            <w:right w:val="none" w:sz="0" w:space="0" w:color="auto"/>
          </w:divBdr>
          <w:divsChild>
            <w:div w:id="765419504">
              <w:marLeft w:val="0"/>
              <w:marRight w:val="0"/>
              <w:marTop w:val="0"/>
              <w:marBottom w:val="0"/>
              <w:divBdr>
                <w:top w:val="none" w:sz="0" w:space="0" w:color="auto"/>
                <w:left w:val="none" w:sz="0" w:space="0" w:color="auto"/>
                <w:bottom w:val="none" w:sz="0" w:space="0" w:color="auto"/>
                <w:right w:val="none" w:sz="0" w:space="0" w:color="auto"/>
              </w:divBdr>
            </w:div>
          </w:divsChild>
        </w:div>
        <w:div w:id="1777870936">
          <w:marLeft w:val="0"/>
          <w:marRight w:val="0"/>
          <w:marTop w:val="0"/>
          <w:marBottom w:val="0"/>
          <w:divBdr>
            <w:top w:val="none" w:sz="0" w:space="0" w:color="auto"/>
            <w:left w:val="none" w:sz="0" w:space="0" w:color="auto"/>
            <w:bottom w:val="none" w:sz="0" w:space="0" w:color="auto"/>
            <w:right w:val="none" w:sz="0" w:space="0" w:color="auto"/>
          </w:divBdr>
          <w:divsChild>
            <w:div w:id="723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9607">
      <w:bodyDiv w:val="1"/>
      <w:marLeft w:val="0"/>
      <w:marRight w:val="0"/>
      <w:marTop w:val="0"/>
      <w:marBottom w:val="0"/>
      <w:divBdr>
        <w:top w:val="none" w:sz="0" w:space="0" w:color="auto"/>
        <w:left w:val="none" w:sz="0" w:space="0" w:color="auto"/>
        <w:bottom w:val="none" w:sz="0" w:space="0" w:color="auto"/>
        <w:right w:val="none" w:sz="0" w:space="0" w:color="auto"/>
      </w:divBdr>
    </w:div>
    <w:div w:id="1547335887">
      <w:marLeft w:val="0"/>
      <w:marRight w:val="0"/>
      <w:marTop w:val="0"/>
      <w:marBottom w:val="0"/>
      <w:divBdr>
        <w:top w:val="none" w:sz="0" w:space="0" w:color="auto"/>
        <w:left w:val="none" w:sz="0" w:space="0" w:color="auto"/>
        <w:bottom w:val="none" w:sz="0" w:space="0" w:color="auto"/>
        <w:right w:val="none" w:sz="0" w:space="0" w:color="auto"/>
      </w:divBdr>
    </w:div>
    <w:div w:id="1556892615">
      <w:bodyDiv w:val="1"/>
      <w:marLeft w:val="0"/>
      <w:marRight w:val="0"/>
      <w:marTop w:val="0"/>
      <w:marBottom w:val="0"/>
      <w:divBdr>
        <w:top w:val="none" w:sz="0" w:space="0" w:color="auto"/>
        <w:left w:val="none" w:sz="0" w:space="0" w:color="auto"/>
        <w:bottom w:val="none" w:sz="0" w:space="0" w:color="auto"/>
        <w:right w:val="none" w:sz="0" w:space="0" w:color="auto"/>
      </w:divBdr>
    </w:div>
    <w:div w:id="1558860608">
      <w:bodyDiv w:val="1"/>
      <w:marLeft w:val="0"/>
      <w:marRight w:val="0"/>
      <w:marTop w:val="0"/>
      <w:marBottom w:val="0"/>
      <w:divBdr>
        <w:top w:val="none" w:sz="0" w:space="0" w:color="auto"/>
        <w:left w:val="none" w:sz="0" w:space="0" w:color="auto"/>
        <w:bottom w:val="none" w:sz="0" w:space="0" w:color="auto"/>
        <w:right w:val="none" w:sz="0" w:space="0" w:color="auto"/>
      </w:divBdr>
    </w:div>
    <w:div w:id="1576209129">
      <w:bodyDiv w:val="1"/>
      <w:marLeft w:val="0"/>
      <w:marRight w:val="0"/>
      <w:marTop w:val="0"/>
      <w:marBottom w:val="0"/>
      <w:divBdr>
        <w:top w:val="none" w:sz="0" w:space="0" w:color="auto"/>
        <w:left w:val="none" w:sz="0" w:space="0" w:color="auto"/>
        <w:bottom w:val="none" w:sz="0" w:space="0" w:color="auto"/>
        <w:right w:val="none" w:sz="0" w:space="0" w:color="auto"/>
      </w:divBdr>
    </w:div>
    <w:div w:id="1607693245">
      <w:marLeft w:val="0"/>
      <w:marRight w:val="75"/>
      <w:marTop w:val="0"/>
      <w:marBottom w:val="0"/>
      <w:divBdr>
        <w:top w:val="none" w:sz="0" w:space="0" w:color="auto"/>
        <w:left w:val="none" w:sz="0" w:space="0" w:color="auto"/>
        <w:bottom w:val="none" w:sz="0" w:space="0" w:color="auto"/>
        <w:right w:val="none" w:sz="0" w:space="0" w:color="auto"/>
      </w:divBdr>
      <w:divsChild>
        <w:div w:id="1287277235">
          <w:marLeft w:val="0"/>
          <w:marRight w:val="0"/>
          <w:marTop w:val="0"/>
          <w:marBottom w:val="0"/>
          <w:divBdr>
            <w:top w:val="none" w:sz="0" w:space="0" w:color="auto"/>
            <w:left w:val="none" w:sz="0" w:space="0" w:color="auto"/>
            <w:bottom w:val="none" w:sz="0" w:space="0" w:color="auto"/>
            <w:right w:val="none" w:sz="0" w:space="0" w:color="auto"/>
          </w:divBdr>
        </w:div>
      </w:divsChild>
    </w:div>
    <w:div w:id="1621181031">
      <w:marLeft w:val="0"/>
      <w:marRight w:val="0"/>
      <w:marTop w:val="0"/>
      <w:marBottom w:val="0"/>
      <w:divBdr>
        <w:top w:val="none" w:sz="0" w:space="0" w:color="auto"/>
        <w:left w:val="none" w:sz="0" w:space="0" w:color="auto"/>
        <w:bottom w:val="none" w:sz="0" w:space="0" w:color="auto"/>
        <w:right w:val="none" w:sz="0" w:space="0" w:color="auto"/>
      </w:divBdr>
    </w:div>
    <w:div w:id="1640648953">
      <w:bodyDiv w:val="1"/>
      <w:marLeft w:val="0"/>
      <w:marRight w:val="0"/>
      <w:marTop w:val="0"/>
      <w:marBottom w:val="0"/>
      <w:divBdr>
        <w:top w:val="none" w:sz="0" w:space="0" w:color="auto"/>
        <w:left w:val="none" w:sz="0" w:space="0" w:color="auto"/>
        <w:bottom w:val="none" w:sz="0" w:space="0" w:color="auto"/>
        <w:right w:val="none" w:sz="0" w:space="0" w:color="auto"/>
      </w:divBdr>
    </w:div>
    <w:div w:id="1644308386">
      <w:bodyDiv w:val="1"/>
      <w:marLeft w:val="0"/>
      <w:marRight w:val="0"/>
      <w:marTop w:val="0"/>
      <w:marBottom w:val="0"/>
      <w:divBdr>
        <w:top w:val="none" w:sz="0" w:space="0" w:color="auto"/>
        <w:left w:val="none" w:sz="0" w:space="0" w:color="auto"/>
        <w:bottom w:val="none" w:sz="0" w:space="0" w:color="auto"/>
        <w:right w:val="none" w:sz="0" w:space="0" w:color="auto"/>
      </w:divBdr>
    </w:div>
    <w:div w:id="1654262592">
      <w:marLeft w:val="0"/>
      <w:marRight w:val="75"/>
      <w:marTop w:val="0"/>
      <w:marBottom w:val="0"/>
      <w:divBdr>
        <w:top w:val="none" w:sz="0" w:space="0" w:color="auto"/>
        <w:left w:val="none" w:sz="0" w:space="0" w:color="auto"/>
        <w:bottom w:val="none" w:sz="0" w:space="0" w:color="auto"/>
        <w:right w:val="none" w:sz="0" w:space="0" w:color="auto"/>
      </w:divBdr>
      <w:divsChild>
        <w:div w:id="1716738033">
          <w:marLeft w:val="0"/>
          <w:marRight w:val="0"/>
          <w:marTop w:val="0"/>
          <w:marBottom w:val="0"/>
          <w:divBdr>
            <w:top w:val="none" w:sz="0" w:space="0" w:color="auto"/>
            <w:left w:val="none" w:sz="0" w:space="0" w:color="auto"/>
            <w:bottom w:val="none" w:sz="0" w:space="0" w:color="auto"/>
            <w:right w:val="none" w:sz="0" w:space="0" w:color="auto"/>
          </w:divBdr>
        </w:div>
      </w:divsChild>
    </w:div>
    <w:div w:id="1658873379">
      <w:marLeft w:val="0"/>
      <w:marRight w:val="0"/>
      <w:marTop w:val="0"/>
      <w:marBottom w:val="0"/>
      <w:divBdr>
        <w:top w:val="none" w:sz="0" w:space="0" w:color="auto"/>
        <w:left w:val="none" w:sz="0" w:space="0" w:color="auto"/>
        <w:bottom w:val="none" w:sz="0" w:space="0" w:color="auto"/>
        <w:right w:val="none" w:sz="0" w:space="0" w:color="auto"/>
      </w:divBdr>
    </w:div>
    <w:div w:id="1700010425">
      <w:bodyDiv w:val="1"/>
      <w:marLeft w:val="0"/>
      <w:marRight w:val="0"/>
      <w:marTop w:val="0"/>
      <w:marBottom w:val="0"/>
      <w:divBdr>
        <w:top w:val="none" w:sz="0" w:space="0" w:color="auto"/>
        <w:left w:val="none" w:sz="0" w:space="0" w:color="auto"/>
        <w:bottom w:val="none" w:sz="0" w:space="0" w:color="auto"/>
        <w:right w:val="none" w:sz="0" w:space="0" w:color="auto"/>
      </w:divBdr>
    </w:div>
    <w:div w:id="1725830023">
      <w:marLeft w:val="0"/>
      <w:marRight w:val="75"/>
      <w:marTop w:val="0"/>
      <w:marBottom w:val="0"/>
      <w:divBdr>
        <w:top w:val="none" w:sz="0" w:space="0" w:color="auto"/>
        <w:left w:val="none" w:sz="0" w:space="0" w:color="auto"/>
        <w:bottom w:val="none" w:sz="0" w:space="0" w:color="auto"/>
        <w:right w:val="none" w:sz="0" w:space="0" w:color="auto"/>
      </w:divBdr>
      <w:divsChild>
        <w:div w:id="1104157490">
          <w:marLeft w:val="0"/>
          <w:marRight w:val="0"/>
          <w:marTop w:val="0"/>
          <w:marBottom w:val="0"/>
          <w:divBdr>
            <w:top w:val="none" w:sz="0" w:space="0" w:color="auto"/>
            <w:left w:val="none" w:sz="0" w:space="0" w:color="auto"/>
            <w:bottom w:val="none" w:sz="0" w:space="0" w:color="auto"/>
            <w:right w:val="none" w:sz="0" w:space="0" w:color="auto"/>
          </w:divBdr>
        </w:div>
      </w:divsChild>
    </w:div>
    <w:div w:id="1730225549">
      <w:bodyDiv w:val="1"/>
      <w:marLeft w:val="0"/>
      <w:marRight w:val="0"/>
      <w:marTop w:val="0"/>
      <w:marBottom w:val="0"/>
      <w:divBdr>
        <w:top w:val="none" w:sz="0" w:space="0" w:color="auto"/>
        <w:left w:val="none" w:sz="0" w:space="0" w:color="auto"/>
        <w:bottom w:val="none" w:sz="0" w:space="0" w:color="auto"/>
        <w:right w:val="none" w:sz="0" w:space="0" w:color="auto"/>
      </w:divBdr>
    </w:div>
    <w:div w:id="1764453291">
      <w:bodyDiv w:val="1"/>
      <w:marLeft w:val="0"/>
      <w:marRight w:val="0"/>
      <w:marTop w:val="0"/>
      <w:marBottom w:val="0"/>
      <w:divBdr>
        <w:top w:val="none" w:sz="0" w:space="0" w:color="auto"/>
        <w:left w:val="none" w:sz="0" w:space="0" w:color="auto"/>
        <w:bottom w:val="none" w:sz="0" w:space="0" w:color="auto"/>
        <w:right w:val="none" w:sz="0" w:space="0" w:color="auto"/>
      </w:divBdr>
    </w:div>
    <w:div w:id="1768503546">
      <w:bodyDiv w:val="1"/>
      <w:marLeft w:val="0"/>
      <w:marRight w:val="0"/>
      <w:marTop w:val="0"/>
      <w:marBottom w:val="0"/>
      <w:divBdr>
        <w:top w:val="none" w:sz="0" w:space="0" w:color="auto"/>
        <w:left w:val="none" w:sz="0" w:space="0" w:color="auto"/>
        <w:bottom w:val="none" w:sz="0" w:space="0" w:color="auto"/>
        <w:right w:val="none" w:sz="0" w:space="0" w:color="auto"/>
      </w:divBdr>
      <w:divsChild>
        <w:div w:id="931621090">
          <w:marLeft w:val="0"/>
          <w:marRight w:val="0"/>
          <w:marTop w:val="0"/>
          <w:marBottom w:val="0"/>
          <w:divBdr>
            <w:top w:val="none" w:sz="0" w:space="0" w:color="auto"/>
            <w:left w:val="none" w:sz="0" w:space="0" w:color="auto"/>
            <w:bottom w:val="none" w:sz="0" w:space="0" w:color="auto"/>
            <w:right w:val="none" w:sz="0" w:space="0" w:color="auto"/>
          </w:divBdr>
        </w:div>
        <w:div w:id="1312179613">
          <w:marLeft w:val="0"/>
          <w:marRight w:val="0"/>
          <w:marTop w:val="0"/>
          <w:marBottom w:val="0"/>
          <w:divBdr>
            <w:top w:val="none" w:sz="0" w:space="0" w:color="auto"/>
            <w:left w:val="none" w:sz="0" w:space="0" w:color="auto"/>
            <w:bottom w:val="none" w:sz="0" w:space="0" w:color="auto"/>
            <w:right w:val="none" w:sz="0" w:space="0" w:color="auto"/>
          </w:divBdr>
        </w:div>
        <w:div w:id="772475311">
          <w:marLeft w:val="0"/>
          <w:marRight w:val="0"/>
          <w:marTop w:val="0"/>
          <w:marBottom w:val="0"/>
          <w:divBdr>
            <w:top w:val="none" w:sz="0" w:space="0" w:color="auto"/>
            <w:left w:val="none" w:sz="0" w:space="0" w:color="auto"/>
            <w:bottom w:val="none" w:sz="0" w:space="0" w:color="auto"/>
            <w:right w:val="none" w:sz="0" w:space="0" w:color="auto"/>
          </w:divBdr>
        </w:div>
        <w:div w:id="291134760">
          <w:marLeft w:val="0"/>
          <w:marRight w:val="0"/>
          <w:marTop w:val="0"/>
          <w:marBottom w:val="0"/>
          <w:divBdr>
            <w:top w:val="none" w:sz="0" w:space="0" w:color="auto"/>
            <w:left w:val="none" w:sz="0" w:space="0" w:color="auto"/>
            <w:bottom w:val="none" w:sz="0" w:space="0" w:color="auto"/>
            <w:right w:val="none" w:sz="0" w:space="0" w:color="auto"/>
          </w:divBdr>
        </w:div>
        <w:div w:id="2086762132">
          <w:marLeft w:val="0"/>
          <w:marRight w:val="0"/>
          <w:marTop w:val="0"/>
          <w:marBottom w:val="0"/>
          <w:divBdr>
            <w:top w:val="none" w:sz="0" w:space="0" w:color="auto"/>
            <w:left w:val="none" w:sz="0" w:space="0" w:color="auto"/>
            <w:bottom w:val="none" w:sz="0" w:space="0" w:color="auto"/>
            <w:right w:val="none" w:sz="0" w:space="0" w:color="auto"/>
          </w:divBdr>
        </w:div>
        <w:div w:id="797601979">
          <w:marLeft w:val="0"/>
          <w:marRight w:val="0"/>
          <w:marTop w:val="0"/>
          <w:marBottom w:val="0"/>
          <w:divBdr>
            <w:top w:val="none" w:sz="0" w:space="0" w:color="auto"/>
            <w:left w:val="none" w:sz="0" w:space="0" w:color="auto"/>
            <w:bottom w:val="none" w:sz="0" w:space="0" w:color="auto"/>
            <w:right w:val="none" w:sz="0" w:space="0" w:color="auto"/>
          </w:divBdr>
        </w:div>
        <w:div w:id="1706907159">
          <w:marLeft w:val="0"/>
          <w:marRight w:val="0"/>
          <w:marTop w:val="0"/>
          <w:marBottom w:val="0"/>
          <w:divBdr>
            <w:top w:val="none" w:sz="0" w:space="0" w:color="auto"/>
            <w:left w:val="none" w:sz="0" w:space="0" w:color="auto"/>
            <w:bottom w:val="none" w:sz="0" w:space="0" w:color="auto"/>
            <w:right w:val="none" w:sz="0" w:space="0" w:color="auto"/>
          </w:divBdr>
        </w:div>
        <w:div w:id="1286428788">
          <w:marLeft w:val="0"/>
          <w:marRight w:val="0"/>
          <w:marTop w:val="0"/>
          <w:marBottom w:val="0"/>
          <w:divBdr>
            <w:top w:val="none" w:sz="0" w:space="0" w:color="auto"/>
            <w:left w:val="none" w:sz="0" w:space="0" w:color="auto"/>
            <w:bottom w:val="none" w:sz="0" w:space="0" w:color="auto"/>
            <w:right w:val="none" w:sz="0" w:space="0" w:color="auto"/>
          </w:divBdr>
        </w:div>
        <w:div w:id="2078629669">
          <w:marLeft w:val="0"/>
          <w:marRight w:val="0"/>
          <w:marTop w:val="0"/>
          <w:marBottom w:val="0"/>
          <w:divBdr>
            <w:top w:val="none" w:sz="0" w:space="0" w:color="auto"/>
            <w:left w:val="none" w:sz="0" w:space="0" w:color="auto"/>
            <w:bottom w:val="none" w:sz="0" w:space="0" w:color="auto"/>
            <w:right w:val="none" w:sz="0" w:space="0" w:color="auto"/>
          </w:divBdr>
        </w:div>
        <w:div w:id="937368943">
          <w:marLeft w:val="0"/>
          <w:marRight w:val="0"/>
          <w:marTop w:val="0"/>
          <w:marBottom w:val="0"/>
          <w:divBdr>
            <w:top w:val="none" w:sz="0" w:space="0" w:color="auto"/>
            <w:left w:val="none" w:sz="0" w:space="0" w:color="auto"/>
            <w:bottom w:val="none" w:sz="0" w:space="0" w:color="auto"/>
            <w:right w:val="none" w:sz="0" w:space="0" w:color="auto"/>
          </w:divBdr>
        </w:div>
        <w:div w:id="1307858014">
          <w:marLeft w:val="0"/>
          <w:marRight w:val="0"/>
          <w:marTop w:val="0"/>
          <w:marBottom w:val="0"/>
          <w:divBdr>
            <w:top w:val="none" w:sz="0" w:space="0" w:color="auto"/>
            <w:left w:val="none" w:sz="0" w:space="0" w:color="auto"/>
            <w:bottom w:val="none" w:sz="0" w:space="0" w:color="auto"/>
            <w:right w:val="none" w:sz="0" w:space="0" w:color="auto"/>
          </w:divBdr>
        </w:div>
        <w:div w:id="916288983">
          <w:marLeft w:val="0"/>
          <w:marRight w:val="0"/>
          <w:marTop w:val="0"/>
          <w:marBottom w:val="0"/>
          <w:divBdr>
            <w:top w:val="none" w:sz="0" w:space="0" w:color="auto"/>
            <w:left w:val="none" w:sz="0" w:space="0" w:color="auto"/>
            <w:bottom w:val="none" w:sz="0" w:space="0" w:color="auto"/>
            <w:right w:val="none" w:sz="0" w:space="0" w:color="auto"/>
          </w:divBdr>
        </w:div>
        <w:div w:id="1498154719">
          <w:marLeft w:val="0"/>
          <w:marRight w:val="0"/>
          <w:marTop w:val="0"/>
          <w:marBottom w:val="0"/>
          <w:divBdr>
            <w:top w:val="none" w:sz="0" w:space="0" w:color="auto"/>
            <w:left w:val="none" w:sz="0" w:space="0" w:color="auto"/>
            <w:bottom w:val="none" w:sz="0" w:space="0" w:color="auto"/>
            <w:right w:val="none" w:sz="0" w:space="0" w:color="auto"/>
          </w:divBdr>
        </w:div>
        <w:div w:id="486868099">
          <w:marLeft w:val="0"/>
          <w:marRight w:val="0"/>
          <w:marTop w:val="0"/>
          <w:marBottom w:val="0"/>
          <w:divBdr>
            <w:top w:val="none" w:sz="0" w:space="0" w:color="auto"/>
            <w:left w:val="none" w:sz="0" w:space="0" w:color="auto"/>
            <w:bottom w:val="none" w:sz="0" w:space="0" w:color="auto"/>
            <w:right w:val="none" w:sz="0" w:space="0" w:color="auto"/>
          </w:divBdr>
        </w:div>
        <w:div w:id="439951495">
          <w:marLeft w:val="0"/>
          <w:marRight w:val="0"/>
          <w:marTop w:val="0"/>
          <w:marBottom w:val="0"/>
          <w:divBdr>
            <w:top w:val="none" w:sz="0" w:space="0" w:color="auto"/>
            <w:left w:val="none" w:sz="0" w:space="0" w:color="auto"/>
            <w:bottom w:val="none" w:sz="0" w:space="0" w:color="auto"/>
            <w:right w:val="none" w:sz="0" w:space="0" w:color="auto"/>
          </w:divBdr>
        </w:div>
        <w:div w:id="247085894">
          <w:marLeft w:val="0"/>
          <w:marRight w:val="0"/>
          <w:marTop w:val="0"/>
          <w:marBottom w:val="0"/>
          <w:divBdr>
            <w:top w:val="none" w:sz="0" w:space="0" w:color="auto"/>
            <w:left w:val="none" w:sz="0" w:space="0" w:color="auto"/>
            <w:bottom w:val="none" w:sz="0" w:space="0" w:color="auto"/>
            <w:right w:val="none" w:sz="0" w:space="0" w:color="auto"/>
          </w:divBdr>
          <w:divsChild>
            <w:div w:id="2033023272">
              <w:marLeft w:val="0"/>
              <w:marRight w:val="0"/>
              <w:marTop w:val="0"/>
              <w:marBottom w:val="0"/>
              <w:divBdr>
                <w:top w:val="none" w:sz="0" w:space="0" w:color="auto"/>
                <w:left w:val="none" w:sz="0" w:space="0" w:color="auto"/>
                <w:bottom w:val="none" w:sz="0" w:space="0" w:color="auto"/>
                <w:right w:val="none" w:sz="0" w:space="0" w:color="auto"/>
              </w:divBdr>
            </w:div>
          </w:divsChild>
        </w:div>
        <w:div w:id="2004162003">
          <w:marLeft w:val="0"/>
          <w:marRight w:val="0"/>
          <w:marTop w:val="0"/>
          <w:marBottom w:val="0"/>
          <w:divBdr>
            <w:top w:val="none" w:sz="0" w:space="0" w:color="auto"/>
            <w:left w:val="none" w:sz="0" w:space="0" w:color="auto"/>
            <w:bottom w:val="none" w:sz="0" w:space="0" w:color="auto"/>
            <w:right w:val="none" w:sz="0" w:space="0" w:color="auto"/>
          </w:divBdr>
        </w:div>
        <w:div w:id="1543595242">
          <w:marLeft w:val="0"/>
          <w:marRight w:val="0"/>
          <w:marTop w:val="0"/>
          <w:marBottom w:val="0"/>
          <w:divBdr>
            <w:top w:val="none" w:sz="0" w:space="0" w:color="auto"/>
            <w:left w:val="none" w:sz="0" w:space="0" w:color="auto"/>
            <w:bottom w:val="none" w:sz="0" w:space="0" w:color="auto"/>
            <w:right w:val="none" w:sz="0" w:space="0" w:color="auto"/>
          </w:divBdr>
        </w:div>
        <w:div w:id="2057965227">
          <w:marLeft w:val="0"/>
          <w:marRight w:val="0"/>
          <w:marTop w:val="0"/>
          <w:marBottom w:val="0"/>
          <w:divBdr>
            <w:top w:val="none" w:sz="0" w:space="0" w:color="auto"/>
            <w:left w:val="none" w:sz="0" w:space="0" w:color="auto"/>
            <w:bottom w:val="none" w:sz="0" w:space="0" w:color="auto"/>
            <w:right w:val="none" w:sz="0" w:space="0" w:color="auto"/>
          </w:divBdr>
        </w:div>
        <w:div w:id="1148861910">
          <w:marLeft w:val="0"/>
          <w:marRight w:val="0"/>
          <w:marTop w:val="0"/>
          <w:marBottom w:val="0"/>
          <w:divBdr>
            <w:top w:val="none" w:sz="0" w:space="0" w:color="auto"/>
            <w:left w:val="none" w:sz="0" w:space="0" w:color="auto"/>
            <w:bottom w:val="none" w:sz="0" w:space="0" w:color="auto"/>
            <w:right w:val="none" w:sz="0" w:space="0" w:color="auto"/>
          </w:divBdr>
        </w:div>
        <w:div w:id="1675499779">
          <w:marLeft w:val="0"/>
          <w:marRight w:val="0"/>
          <w:marTop w:val="0"/>
          <w:marBottom w:val="0"/>
          <w:divBdr>
            <w:top w:val="none" w:sz="0" w:space="0" w:color="auto"/>
            <w:left w:val="none" w:sz="0" w:space="0" w:color="auto"/>
            <w:bottom w:val="none" w:sz="0" w:space="0" w:color="auto"/>
            <w:right w:val="none" w:sz="0" w:space="0" w:color="auto"/>
          </w:divBdr>
        </w:div>
        <w:div w:id="343872335">
          <w:marLeft w:val="0"/>
          <w:marRight w:val="0"/>
          <w:marTop w:val="0"/>
          <w:marBottom w:val="0"/>
          <w:divBdr>
            <w:top w:val="none" w:sz="0" w:space="0" w:color="auto"/>
            <w:left w:val="none" w:sz="0" w:space="0" w:color="auto"/>
            <w:bottom w:val="none" w:sz="0" w:space="0" w:color="auto"/>
            <w:right w:val="none" w:sz="0" w:space="0" w:color="auto"/>
          </w:divBdr>
        </w:div>
        <w:div w:id="1414468922">
          <w:marLeft w:val="0"/>
          <w:marRight w:val="0"/>
          <w:marTop w:val="0"/>
          <w:marBottom w:val="0"/>
          <w:divBdr>
            <w:top w:val="none" w:sz="0" w:space="0" w:color="auto"/>
            <w:left w:val="none" w:sz="0" w:space="0" w:color="auto"/>
            <w:bottom w:val="none" w:sz="0" w:space="0" w:color="auto"/>
            <w:right w:val="none" w:sz="0" w:space="0" w:color="auto"/>
          </w:divBdr>
        </w:div>
      </w:divsChild>
    </w:div>
    <w:div w:id="1769034353">
      <w:marLeft w:val="0"/>
      <w:marRight w:val="0"/>
      <w:marTop w:val="0"/>
      <w:marBottom w:val="0"/>
      <w:divBdr>
        <w:top w:val="none" w:sz="0" w:space="0" w:color="auto"/>
        <w:left w:val="none" w:sz="0" w:space="0" w:color="auto"/>
        <w:bottom w:val="none" w:sz="0" w:space="0" w:color="auto"/>
        <w:right w:val="none" w:sz="0" w:space="0" w:color="auto"/>
      </w:divBdr>
    </w:div>
    <w:div w:id="1774594977">
      <w:marLeft w:val="0"/>
      <w:marRight w:val="75"/>
      <w:marTop w:val="0"/>
      <w:marBottom w:val="0"/>
      <w:divBdr>
        <w:top w:val="none" w:sz="0" w:space="0" w:color="auto"/>
        <w:left w:val="none" w:sz="0" w:space="0" w:color="auto"/>
        <w:bottom w:val="none" w:sz="0" w:space="0" w:color="auto"/>
        <w:right w:val="none" w:sz="0" w:space="0" w:color="auto"/>
      </w:divBdr>
      <w:divsChild>
        <w:div w:id="192809447">
          <w:marLeft w:val="0"/>
          <w:marRight w:val="0"/>
          <w:marTop w:val="0"/>
          <w:marBottom w:val="0"/>
          <w:divBdr>
            <w:top w:val="none" w:sz="0" w:space="0" w:color="auto"/>
            <w:left w:val="none" w:sz="0" w:space="0" w:color="auto"/>
            <w:bottom w:val="none" w:sz="0" w:space="0" w:color="auto"/>
            <w:right w:val="none" w:sz="0" w:space="0" w:color="auto"/>
          </w:divBdr>
        </w:div>
      </w:divsChild>
    </w:div>
    <w:div w:id="1775443348">
      <w:marLeft w:val="0"/>
      <w:marRight w:val="0"/>
      <w:marTop w:val="0"/>
      <w:marBottom w:val="0"/>
      <w:divBdr>
        <w:top w:val="none" w:sz="0" w:space="0" w:color="auto"/>
        <w:left w:val="none" w:sz="0" w:space="0" w:color="auto"/>
        <w:bottom w:val="none" w:sz="0" w:space="0" w:color="auto"/>
        <w:right w:val="none" w:sz="0" w:space="0" w:color="auto"/>
      </w:divBdr>
    </w:div>
    <w:div w:id="1790054370">
      <w:marLeft w:val="0"/>
      <w:marRight w:val="0"/>
      <w:marTop w:val="0"/>
      <w:marBottom w:val="0"/>
      <w:divBdr>
        <w:top w:val="none" w:sz="0" w:space="0" w:color="auto"/>
        <w:left w:val="none" w:sz="0" w:space="0" w:color="auto"/>
        <w:bottom w:val="none" w:sz="0" w:space="0" w:color="auto"/>
        <w:right w:val="none" w:sz="0" w:space="0" w:color="auto"/>
      </w:divBdr>
    </w:div>
    <w:div w:id="1796675186">
      <w:marLeft w:val="0"/>
      <w:marRight w:val="0"/>
      <w:marTop w:val="0"/>
      <w:marBottom w:val="0"/>
      <w:divBdr>
        <w:top w:val="none" w:sz="0" w:space="0" w:color="auto"/>
        <w:left w:val="none" w:sz="0" w:space="0" w:color="auto"/>
        <w:bottom w:val="none" w:sz="0" w:space="0" w:color="auto"/>
        <w:right w:val="none" w:sz="0" w:space="0" w:color="auto"/>
      </w:divBdr>
    </w:div>
    <w:div w:id="1798328129">
      <w:bodyDiv w:val="1"/>
      <w:marLeft w:val="0"/>
      <w:marRight w:val="0"/>
      <w:marTop w:val="0"/>
      <w:marBottom w:val="0"/>
      <w:divBdr>
        <w:top w:val="none" w:sz="0" w:space="0" w:color="auto"/>
        <w:left w:val="none" w:sz="0" w:space="0" w:color="auto"/>
        <w:bottom w:val="none" w:sz="0" w:space="0" w:color="auto"/>
        <w:right w:val="none" w:sz="0" w:space="0" w:color="auto"/>
      </w:divBdr>
    </w:div>
    <w:div w:id="1798521285">
      <w:bodyDiv w:val="1"/>
      <w:marLeft w:val="0"/>
      <w:marRight w:val="0"/>
      <w:marTop w:val="0"/>
      <w:marBottom w:val="0"/>
      <w:divBdr>
        <w:top w:val="none" w:sz="0" w:space="0" w:color="auto"/>
        <w:left w:val="none" w:sz="0" w:space="0" w:color="auto"/>
        <w:bottom w:val="none" w:sz="0" w:space="0" w:color="auto"/>
        <w:right w:val="none" w:sz="0" w:space="0" w:color="auto"/>
      </w:divBdr>
    </w:div>
    <w:div w:id="1801991212">
      <w:marLeft w:val="0"/>
      <w:marRight w:val="75"/>
      <w:marTop w:val="0"/>
      <w:marBottom w:val="0"/>
      <w:divBdr>
        <w:top w:val="none" w:sz="0" w:space="0" w:color="auto"/>
        <w:left w:val="none" w:sz="0" w:space="0" w:color="auto"/>
        <w:bottom w:val="none" w:sz="0" w:space="0" w:color="auto"/>
        <w:right w:val="none" w:sz="0" w:space="0" w:color="auto"/>
      </w:divBdr>
      <w:divsChild>
        <w:div w:id="1900169177">
          <w:marLeft w:val="0"/>
          <w:marRight w:val="0"/>
          <w:marTop w:val="0"/>
          <w:marBottom w:val="0"/>
          <w:divBdr>
            <w:top w:val="none" w:sz="0" w:space="0" w:color="auto"/>
            <w:left w:val="none" w:sz="0" w:space="0" w:color="auto"/>
            <w:bottom w:val="none" w:sz="0" w:space="0" w:color="auto"/>
            <w:right w:val="none" w:sz="0" w:space="0" w:color="auto"/>
          </w:divBdr>
        </w:div>
      </w:divsChild>
    </w:div>
    <w:div w:id="1825730907">
      <w:marLeft w:val="0"/>
      <w:marRight w:val="0"/>
      <w:marTop w:val="0"/>
      <w:marBottom w:val="0"/>
      <w:divBdr>
        <w:top w:val="none" w:sz="0" w:space="0" w:color="auto"/>
        <w:left w:val="none" w:sz="0" w:space="0" w:color="auto"/>
        <w:bottom w:val="none" w:sz="0" w:space="0" w:color="auto"/>
        <w:right w:val="none" w:sz="0" w:space="0" w:color="auto"/>
      </w:divBdr>
    </w:div>
    <w:div w:id="1843088054">
      <w:bodyDiv w:val="1"/>
      <w:marLeft w:val="0"/>
      <w:marRight w:val="0"/>
      <w:marTop w:val="0"/>
      <w:marBottom w:val="0"/>
      <w:divBdr>
        <w:top w:val="none" w:sz="0" w:space="0" w:color="auto"/>
        <w:left w:val="none" w:sz="0" w:space="0" w:color="auto"/>
        <w:bottom w:val="none" w:sz="0" w:space="0" w:color="auto"/>
        <w:right w:val="none" w:sz="0" w:space="0" w:color="auto"/>
      </w:divBdr>
    </w:div>
    <w:div w:id="1879469758">
      <w:marLeft w:val="0"/>
      <w:marRight w:val="75"/>
      <w:marTop w:val="0"/>
      <w:marBottom w:val="0"/>
      <w:divBdr>
        <w:top w:val="none" w:sz="0" w:space="0" w:color="auto"/>
        <w:left w:val="none" w:sz="0" w:space="0" w:color="auto"/>
        <w:bottom w:val="none" w:sz="0" w:space="0" w:color="auto"/>
        <w:right w:val="none" w:sz="0" w:space="0" w:color="auto"/>
      </w:divBdr>
      <w:divsChild>
        <w:div w:id="1806464688">
          <w:marLeft w:val="0"/>
          <w:marRight w:val="0"/>
          <w:marTop w:val="0"/>
          <w:marBottom w:val="0"/>
          <w:divBdr>
            <w:top w:val="none" w:sz="0" w:space="0" w:color="auto"/>
            <w:left w:val="none" w:sz="0" w:space="0" w:color="auto"/>
            <w:bottom w:val="none" w:sz="0" w:space="0" w:color="auto"/>
            <w:right w:val="none" w:sz="0" w:space="0" w:color="auto"/>
          </w:divBdr>
        </w:div>
      </w:divsChild>
    </w:div>
    <w:div w:id="1880779571">
      <w:marLeft w:val="0"/>
      <w:marRight w:val="0"/>
      <w:marTop w:val="0"/>
      <w:marBottom w:val="0"/>
      <w:divBdr>
        <w:top w:val="none" w:sz="0" w:space="0" w:color="auto"/>
        <w:left w:val="none" w:sz="0" w:space="0" w:color="auto"/>
        <w:bottom w:val="none" w:sz="0" w:space="0" w:color="auto"/>
        <w:right w:val="none" w:sz="0" w:space="0" w:color="auto"/>
      </w:divBdr>
    </w:div>
    <w:div w:id="1899895361">
      <w:marLeft w:val="0"/>
      <w:marRight w:val="75"/>
      <w:marTop w:val="0"/>
      <w:marBottom w:val="0"/>
      <w:divBdr>
        <w:top w:val="none" w:sz="0" w:space="0" w:color="auto"/>
        <w:left w:val="none" w:sz="0" w:space="0" w:color="auto"/>
        <w:bottom w:val="none" w:sz="0" w:space="0" w:color="auto"/>
        <w:right w:val="none" w:sz="0" w:space="0" w:color="auto"/>
      </w:divBdr>
      <w:divsChild>
        <w:div w:id="1497188213">
          <w:marLeft w:val="0"/>
          <w:marRight w:val="0"/>
          <w:marTop w:val="0"/>
          <w:marBottom w:val="0"/>
          <w:divBdr>
            <w:top w:val="none" w:sz="0" w:space="0" w:color="auto"/>
            <w:left w:val="none" w:sz="0" w:space="0" w:color="auto"/>
            <w:bottom w:val="none" w:sz="0" w:space="0" w:color="auto"/>
            <w:right w:val="none" w:sz="0" w:space="0" w:color="auto"/>
          </w:divBdr>
        </w:div>
      </w:divsChild>
    </w:div>
    <w:div w:id="1902279828">
      <w:bodyDiv w:val="1"/>
      <w:marLeft w:val="0"/>
      <w:marRight w:val="0"/>
      <w:marTop w:val="0"/>
      <w:marBottom w:val="0"/>
      <w:divBdr>
        <w:top w:val="none" w:sz="0" w:space="0" w:color="auto"/>
        <w:left w:val="none" w:sz="0" w:space="0" w:color="auto"/>
        <w:bottom w:val="none" w:sz="0" w:space="0" w:color="auto"/>
        <w:right w:val="none" w:sz="0" w:space="0" w:color="auto"/>
      </w:divBdr>
    </w:div>
    <w:div w:id="1905292999">
      <w:bodyDiv w:val="1"/>
      <w:marLeft w:val="0"/>
      <w:marRight w:val="0"/>
      <w:marTop w:val="0"/>
      <w:marBottom w:val="0"/>
      <w:divBdr>
        <w:top w:val="none" w:sz="0" w:space="0" w:color="auto"/>
        <w:left w:val="none" w:sz="0" w:space="0" w:color="auto"/>
        <w:bottom w:val="none" w:sz="0" w:space="0" w:color="auto"/>
        <w:right w:val="none" w:sz="0" w:space="0" w:color="auto"/>
      </w:divBdr>
      <w:divsChild>
        <w:div w:id="1561093659">
          <w:marLeft w:val="0"/>
          <w:marRight w:val="0"/>
          <w:marTop w:val="0"/>
          <w:marBottom w:val="0"/>
          <w:divBdr>
            <w:top w:val="none" w:sz="0" w:space="0" w:color="auto"/>
            <w:left w:val="none" w:sz="0" w:space="0" w:color="auto"/>
            <w:bottom w:val="none" w:sz="0" w:space="0" w:color="auto"/>
            <w:right w:val="none" w:sz="0" w:space="0" w:color="auto"/>
          </w:divBdr>
        </w:div>
        <w:div w:id="762145989">
          <w:marLeft w:val="0"/>
          <w:marRight w:val="0"/>
          <w:marTop w:val="0"/>
          <w:marBottom w:val="0"/>
          <w:divBdr>
            <w:top w:val="none" w:sz="0" w:space="0" w:color="auto"/>
            <w:left w:val="none" w:sz="0" w:space="0" w:color="auto"/>
            <w:bottom w:val="none" w:sz="0" w:space="0" w:color="auto"/>
            <w:right w:val="none" w:sz="0" w:space="0" w:color="auto"/>
          </w:divBdr>
        </w:div>
        <w:div w:id="2021540422">
          <w:marLeft w:val="0"/>
          <w:marRight w:val="0"/>
          <w:marTop w:val="0"/>
          <w:marBottom w:val="0"/>
          <w:divBdr>
            <w:top w:val="none" w:sz="0" w:space="0" w:color="auto"/>
            <w:left w:val="none" w:sz="0" w:space="0" w:color="auto"/>
            <w:bottom w:val="none" w:sz="0" w:space="0" w:color="auto"/>
            <w:right w:val="none" w:sz="0" w:space="0" w:color="auto"/>
          </w:divBdr>
        </w:div>
        <w:div w:id="143082020">
          <w:marLeft w:val="0"/>
          <w:marRight w:val="0"/>
          <w:marTop w:val="0"/>
          <w:marBottom w:val="0"/>
          <w:divBdr>
            <w:top w:val="none" w:sz="0" w:space="0" w:color="auto"/>
            <w:left w:val="none" w:sz="0" w:space="0" w:color="auto"/>
            <w:bottom w:val="none" w:sz="0" w:space="0" w:color="auto"/>
            <w:right w:val="none" w:sz="0" w:space="0" w:color="auto"/>
          </w:divBdr>
        </w:div>
        <w:div w:id="1898928597">
          <w:marLeft w:val="0"/>
          <w:marRight w:val="0"/>
          <w:marTop w:val="0"/>
          <w:marBottom w:val="0"/>
          <w:divBdr>
            <w:top w:val="none" w:sz="0" w:space="0" w:color="auto"/>
            <w:left w:val="none" w:sz="0" w:space="0" w:color="auto"/>
            <w:bottom w:val="none" w:sz="0" w:space="0" w:color="auto"/>
            <w:right w:val="none" w:sz="0" w:space="0" w:color="auto"/>
          </w:divBdr>
        </w:div>
        <w:div w:id="1952589653">
          <w:marLeft w:val="0"/>
          <w:marRight w:val="0"/>
          <w:marTop w:val="0"/>
          <w:marBottom w:val="0"/>
          <w:divBdr>
            <w:top w:val="none" w:sz="0" w:space="0" w:color="auto"/>
            <w:left w:val="none" w:sz="0" w:space="0" w:color="auto"/>
            <w:bottom w:val="none" w:sz="0" w:space="0" w:color="auto"/>
            <w:right w:val="none" w:sz="0" w:space="0" w:color="auto"/>
          </w:divBdr>
        </w:div>
        <w:div w:id="1813518576">
          <w:marLeft w:val="0"/>
          <w:marRight w:val="0"/>
          <w:marTop w:val="0"/>
          <w:marBottom w:val="0"/>
          <w:divBdr>
            <w:top w:val="none" w:sz="0" w:space="0" w:color="auto"/>
            <w:left w:val="none" w:sz="0" w:space="0" w:color="auto"/>
            <w:bottom w:val="none" w:sz="0" w:space="0" w:color="auto"/>
            <w:right w:val="none" w:sz="0" w:space="0" w:color="auto"/>
          </w:divBdr>
        </w:div>
        <w:div w:id="1039091162">
          <w:marLeft w:val="0"/>
          <w:marRight w:val="0"/>
          <w:marTop w:val="0"/>
          <w:marBottom w:val="0"/>
          <w:divBdr>
            <w:top w:val="none" w:sz="0" w:space="0" w:color="auto"/>
            <w:left w:val="none" w:sz="0" w:space="0" w:color="auto"/>
            <w:bottom w:val="none" w:sz="0" w:space="0" w:color="auto"/>
            <w:right w:val="none" w:sz="0" w:space="0" w:color="auto"/>
          </w:divBdr>
        </w:div>
        <w:div w:id="1331526092">
          <w:marLeft w:val="0"/>
          <w:marRight w:val="0"/>
          <w:marTop w:val="0"/>
          <w:marBottom w:val="0"/>
          <w:divBdr>
            <w:top w:val="none" w:sz="0" w:space="0" w:color="auto"/>
            <w:left w:val="none" w:sz="0" w:space="0" w:color="auto"/>
            <w:bottom w:val="none" w:sz="0" w:space="0" w:color="auto"/>
            <w:right w:val="none" w:sz="0" w:space="0" w:color="auto"/>
          </w:divBdr>
        </w:div>
        <w:div w:id="717052134">
          <w:marLeft w:val="0"/>
          <w:marRight w:val="0"/>
          <w:marTop w:val="0"/>
          <w:marBottom w:val="0"/>
          <w:divBdr>
            <w:top w:val="none" w:sz="0" w:space="0" w:color="auto"/>
            <w:left w:val="none" w:sz="0" w:space="0" w:color="auto"/>
            <w:bottom w:val="none" w:sz="0" w:space="0" w:color="auto"/>
            <w:right w:val="none" w:sz="0" w:space="0" w:color="auto"/>
          </w:divBdr>
        </w:div>
        <w:div w:id="483200731">
          <w:marLeft w:val="0"/>
          <w:marRight w:val="0"/>
          <w:marTop w:val="0"/>
          <w:marBottom w:val="0"/>
          <w:divBdr>
            <w:top w:val="none" w:sz="0" w:space="0" w:color="auto"/>
            <w:left w:val="none" w:sz="0" w:space="0" w:color="auto"/>
            <w:bottom w:val="none" w:sz="0" w:space="0" w:color="auto"/>
            <w:right w:val="none" w:sz="0" w:space="0" w:color="auto"/>
          </w:divBdr>
        </w:div>
        <w:div w:id="1780565502">
          <w:marLeft w:val="0"/>
          <w:marRight w:val="0"/>
          <w:marTop w:val="0"/>
          <w:marBottom w:val="0"/>
          <w:divBdr>
            <w:top w:val="none" w:sz="0" w:space="0" w:color="auto"/>
            <w:left w:val="none" w:sz="0" w:space="0" w:color="auto"/>
            <w:bottom w:val="none" w:sz="0" w:space="0" w:color="auto"/>
            <w:right w:val="none" w:sz="0" w:space="0" w:color="auto"/>
          </w:divBdr>
        </w:div>
        <w:div w:id="901478728">
          <w:marLeft w:val="0"/>
          <w:marRight w:val="0"/>
          <w:marTop w:val="0"/>
          <w:marBottom w:val="0"/>
          <w:divBdr>
            <w:top w:val="none" w:sz="0" w:space="0" w:color="auto"/>
            <w:left w:val="none" w:sz="0" w:space="0" w:color="auto"/>
            <w:bottom w:val="none" w:sz="0" w:space="0" w:color="auto"/>
            <w:right w:val="none" w:sz="0" w:space="0" w:color="auto"/>
          </w:divBdr>
        </w:div>
        <w:div w:id="1944414165">
          <w:marLeft w:val="0"/>
          <w:marRight w:val="0"/>
          <w:marTop w:val="0"/>
          <w:marBottom w:val="0"/>
          <w:divBdr>
            <w:top w:val="none" w:sz="0" w:space="0" w:color="auto"/>
            <w:left w:val="none" w:sz="0" w:space="0" w:color="auto"/>
            <w:bottom w:val="none" w:sz="0" w:space="0" w:color="auto"/>
            <w:right w:val="none" w:sz="0" w:space="0" w:color="auto"/>
          </w:divBdr>
        </w:div>
        <w:div w:id="62259314">
          <w:marLeft w:val="0"/>
          <w:marRight w:val="0"/>
          <w:marTop w:val="0"/>
          <w:marBottom w:val="0"/>
          <w:divBdr>
            <w:top w:val="none" w:sz="0" w:space="0" w:color="auto"/>
            <w:left w:val="none" w:sz="0" w:space="0" w:color="auto"/>
            <w:bottom w:val="none" w:sz="0" w:space="0" w:color="auto"/>
            <w:right w:val="none" w:sz="0" w:space="0" w:color="auto"/>
          </w:divBdr>
        </w:div>
        <w:div w:id="544368256">
          <w:marLeft w:val="0"/>
          <w:marRight w:val="0"/>
          <w:marTop w:val="0"/>
          <w:marBottom w:val="0"/>
          <w:divBdr>
            <w:top w:val="none" w:sz="0" w:space="0" w:color="auto"/>
            <w:left w:val="none" w:sz="0" w:space="0" w:color="auto"/>
            <w:bottom w:val="none" w:sz="0" w:space="0" w:color="auto"/>
            <w:right w:val="none" w:sz="0" w:space="0" w:color="auto"/>
          </w:divBdr>
        </w:div>
      </w:divsChild>
    </w:div>
    <w:div w:id="1916355251">
      <w:marLeft w:val="0"/>
      <w:marRight w:val="0"/>
      <w:marTop w:val="0"/>
      <w:marBottom w:val="0"/>
      <w:divBdr>
        <w:top w:val="none" w:sz="0" w:space="0" w:color="auto"/>
        <w:left w:val="none" w:sz="0" w:space="0" w:color="auto"/>
        <w:bottom w:val="none" w:sz="0" w:space="0" w:color="auto"/>
        <w:right w:val="none" w:sz="0" w:space="0" w:color="auto"/>
      </w:divBdr>
    </w:div>
    <w:div w:id="1937248275">
      <w:marLeft w:val="0"/>
      <w:marRight w:val="0"/>
      <w:marTop w:val="0"/>
      <w:marBottom w:val="0"/>
      <w:divBdr>
        <w:top w:val="none" w:sz="0" w:space="0" w:color="auto"/>
        <w:left w:val="none" w:sz="0" w:space="0" w:color="auto"/>
        <w:bottom w:val="none" w:sz="0" w:space="0" w:color="auto"/>
        <w:right w:val="none" w:sz="0" w:space="0" w:color="auto"/>
      </w:divBdr>
    </w:div>
    <w:div w:id="1951087087">
      <w:bodyDiv w:val="1"/>
      <w:marLeft w:val="0"/>
      <w:marRight w:val="0"/>
      <w:marTop w:val="0"/>
      <w:marBottom w:val="0"/>
      <w:divBdr>
        <w:top w:val="none" w:sz="0" w:space="0" w:color="auto"/>
        <w:left w:val="none" w:sz="0" w:space="0" w:color="auto"/>
        <w:bottom w:val="none" w:sz="0" w:space="0" w:color="auto"/>
        <w:right w:val="none" w:sz="0" w:space="0" w:color="auto"/>
      </w:divBdr>
    </w:div>
    <w:div w:id="1975478823">
      <w:bodyDiv w:val="1"/>
      <w:marLeft w:val="0"/>
      <w:marRight w:val="0"/>
      <w:marTop w:val="0"/>
      <w:marBottom w:val="0"/>
      <w:divBdr>
        <w:top w:val="none" w:sz="0" w:space="0" w:color="auto"/>
        <w:left w:val="none" w:sz="0" w:space="0" w:color="auto"/>
        <w:bottom w:val="none" w:sz="0" w:space="0" w:color="auto"/>
        <w:right w:val="none" w:sz="0" w:space="0" w:color="auto"/>
      </w:divBdr>
    </w:div>
    <w:div w:id="1977253034">
      <w:bodyDiv w:val="1"/>
      <w:marLeft w:val="0"/>
      <w:marRight w:val="0"/>
      <w:marTop w:val="0"/>
      <w:marBottom w:val="0"/>
      <w:divBdr>
        <w:top w:val="none" w:sz="0" w:space="0" w:color="auto"/>
        <w:left w:val="none" w:sz="0" w:space="0" w:color="auto"/>
        <w:bottom w:val="none" w:sz="0" w:space="0" w:color="auto"/>
        <w:right w:val="none" w:sz="0" w:space="0" w:color="auto"/>
      </w:divBdr>
    </w:div>
    <w:div w:id="1990597507">
      <w:marLeft w:val="0"/>
      <w:marRight w:val="75"/>
      <w:marTop w:val="0"/>
      <w:marBottom w:val="0"/>
      <w:divBdr>
        <w:top w:val="none" w:sz="0" w:space="0" w:color="auto"/>
        <w:left w:val="none" w:sz="0" w:space="0" w:color="auto"/>
        <w:bottom w:val="none" w:sz="0" w:space="0" w:color="auto"/>
        <w:right w:val="none" w:sz="0" w:space="0" w:color="auto"/>
      </w:divBdr>
      <w:divsChild>
        <w:div w:id="1125386747">
          <w:marLeft w:val="0"/>
          <w:marRight w:val="0"/>
          <w:marTop w:val="0"/>
          <w:marBottom w:val="0"/>
          <w:divBdr>
            <w:top w:val="none" w:sz="0" w:space="0" w:color="auto"/>
            <w:left w:val="none" w:sz="0" w:space="0" w:color="auto"/>
            <w:bottom w:val="none" w:sz="0" w:space="0" w:color="auto"/>
            <w:right w:val="none" w:sz="0" w:space="0" w:color="auto"/>
          </w:divBdr>
        </w:div>
      </w:divsChild>
    </w:div>
    <w:div w:id="2012946649">
      <w:bodyDiv w:val="1"/>
      <w:marLeft w:val="0"/>
      <w:marRight w:val="0"/>
      <w:marTop w:val="0"/>
      <w:marBottom w:val="0"/>
      <w:divBdr>
        <w:top w:val="none" w:sz="0" w:space="0" w:color="auto"/>
        <w:left w:val="none" w:sz="0" w:space="0" w:color="auto"/>
        <w:bottom w:val="none" w:sz="0" w:space="0" w:color="auto"/>
        <w:right w:val="none" w:sz="0" w:space="0" w:color="auto"/>
      </w:divBdr>
    </w:div>
    <w:div w:id="2018922506">
      <w:marLeft w:val="0"/>
      <w:marRight w:val="0"/>
      <w:marTop w:val="0"/>
      <w:marBottom w:val="0"/>
      <w:divBdr>
        <w:top w:val="none" w:sz="0" w:space="0" w:color="auto"/>
        <w:left w:val="none" w:sz="0" w:space="0" w:color="auto"/>
        <w:bottom w:val="none" w:sz="0" w:space="0" w:color="auto"/>
        <w:right w:val="none" w:sz="0" w:space="0" w:color="auto"/>
      </w:divBdr>
    </w:div>
    <w:div w:id="2020765664">
      <w:bodyDiv w:val="1"/>
      <w:marLeft w:val="0"/>
      <w:marRight w:val="0"/>
      <w:marTop w:val="0"/>
      <w:marBottom w:val="0"/>
      <w:divBdr>
        <w:top w:val="none" w:sz="0" w:space="0" w:color="auto"/>
        <w:left w:val="none" w:sz="0" w:space="0" w:color="auto"/>
        <w:bottom w:val="none" w:sz="0" w:space="0" w:color="auto"/>
        <w:right w:val="none" w:sz="0" w:space="0" w:color="auto"/>
      </w:divBdr>
    </w:div>
    <w:div w:id="2021278250">
      <w:bodyDiv w:val="1"/>
      <w:marLeft w:val="0"/>
      <w:marRight w:val="0"/>
      <w:marTop w:val="0"/>
      <w:marBottom w:val="0"/>
      <w:divBdr>
        <w:top w:val="none" w:sz="0" w:space="0" w:color="auto"/>
        <w:left w:val="none" w:sz="0" w:space="0" w:color="auto"/>
        <w:bottom w:val="none" w:sz="0" w:space="0" w:color="auto"/>
        <w:right w:val="none" w:sz="0" w:space="0" w:color="auto"/>
      </w:divBdr>
    </w:div>
    <w:div w:id="2027319252">
      <w:bodyDiv w:val="1"/>
      <w:marLeft w:val="0"/>
      <w:marRight w:val="0"/>
      <w:marTop w:val="0"/>
      <w:marBottom w:val="0"/>
      <w:divBdr>
        <w:top w:val="none" w:sz="0" w:space="0" w:color="auto"/>
        <w:left w:val="none" w:sz="0" w:space="0" w:color="auto"/>
        <w:bottom w:val="none" w:sz="0" w:space="0" w:color="auto"/>
        <w:right w:val="none" w:sz="0" w:space="0" w:color="auto"/>
      </w:divBdr>
    </w:div>
    <w:div w:id="2029598227">
      <w:bodyDiv w:val="1"/>
      <w:marLeft w:val="0"/>
      <w:marRight w:val="0"/>
      <w:marTop w:val="0"/>
      <w:marBottom w:val="0"/>
      <w:divBdr>
        <w:top w:val="none" w:sz="0" w:space="0" w:color="auto"/>
        <w:left w:val="none" w:sz="0" w:space="0" w:color="auto"/>
        <w:bottom w:val="none" w:sz="0" w:space="0" w:color="auto"/>
        <w:right w:val="none" w:sz="0" w:space="0" w:color="auto"/>
      </w:divBdr>
    </w:div>
    <w:div w:id="2047369762">
      <w:bodyDiv w:val="1"/>
      <w:marLeft w:val="0"/>
      <w:marRight w:val="0"/>
      <w:marTop w:val="0"/>
      <w:marBottom w:val="0"/>
      <w:divBdr>
        <w:top w:val="none" w:sz="0" w:space="0" w:color="auto"/>
        <w:left w:val="none" w:sz="0" w:space="0" w:color="auto"/>
        <w:bottom w:val="none" w:sz="0" w:space="0" w:color="auto"/>
        <w:right w:val="none" w:sz="0" w:space="0" w:color="auto"/>
      </w:divBdr>
    </w:div>
    <w:div w:id="2059697850">
      <w:marLeft w:val="0"/>
      <w:marRight w:val="0"/>
      <w:marTop w:val="0"/>
      <w:marBottom w:val="0"/>
      <w:divBdr>
        <w:top w:val="none" w:sz="0" w:space="0" w:color="auto"/>
        <w:left w:val="none" w:sz="0" w:space="0" w:color="auto"/>
        <w:bottom w:val="none" w:sz="0" w:space="0" w:color="auto"/>
        <w:right w:val="none" w:sz="0" w:space="0" w:color="auto"/>
      </w:divBdr>
    </w:div>
    <w:div w:id="2075421071">
      <w:marLeft w:val="0"/>
      <w:marRight w:val="0"/>
      <w:marTop w:val="0"/>
      <w:marBottom w:val="0"/>
      <w:divBdr>
        <w:top w:val="none" w:sz="0" w:space="0" w:color="auto"/>
        <w:left w:val="none" w:sz="0" w:space="0" w:color="auto"/>
        <w:bottom w:val="none" w:sz="0" w:space="0" w:color="auto"/>
        <w:right w:val="none" w:sz="0" w:space="0" w:color="auto"/>
      </w:divBdr>
    </w:div>
    <w:div w:id="2091534528">
      <w:bodyDiv w:val="1"/>
      <w:marLeft w:val="0"/>
      <w:marRight w:val="0"/>
      <w:marTop w:val="0"/>
      <w:marBottom w:val="0"/>
      <w:divBdr>
        <w:top w:val="none" w:sz="0" w:space="0" w:color="auto"/>
        <w:left w:val="none" w:sz="0" w:space="0" w:color="auto"/>
        <w:bottom w:val="none" w:sz="0" w:space="0" w:color="auto"/>
        <w:right w:val="none" w:sz="0" w:space="0" w:color="auto"/>
      </w:divBdr>
    </w:div>
    <w:div w:id="2107069120">
      <w:bodyDiv w:val="1"/>
      <w:marLeft w:val="0"/>
      <w:marRight w:val="0"/>
      <w:marTop w:val="0"/>
      <w:marBottom w:val="0"/>
      <w:divBdr>
        <w:top w:val="none" w:sz="0" w:space="0" w:color="auto"/>
        <w:left w:val="none" w:sz="0" w:space="0" w:color="auto"/>
        <w:bottom w:val="none" w:sz="0" w:space="0" w:color="auto"/>
        <w:right w:val="none" w:sz="0" w:space="0" w:color="auto"/>
      </w:divBdr>
      <w:divsChild>
        <w:div w:id="809829718">
          <w:marLeft w:val="75"/>
          <w:marRight w:val="0"/>
          <w:marTop w:val="0"/>
          <w:marBottom w:val="0"/>
          <w:divBdr>
            <w:top w:val="none" w:sz="0" w:space="0" w:color="auto"/>
            <w:left w:val="none" w:sz="0" w:space="0" w:color="auto"/>
            <w:bottom w:val="none" w:sz="0" w:space="0" w:color="auto"/>
            <w:right w:val="none" w:sz="0" w:space="0" w:color="auto"/>
          </w:divBdr>
          <w:divsChild>
            <w:div w:id="2080706624">
              <w:marLeft w:val="0"/>
              <w:marRight w:val="0"/>
              <w:marTop w:val="0"/>
              <w:marBottom w:val="0"/>
              <w:divBdr>
                <w:top w:val="none" w:sz="0" w:space="0" w:color="auto"/>
                <w:left w:val="none" w:sz="0" w:space="0" w:color="auto"/>
                <w:bottom w:val="none" w:sz="0" w:space="0" w:color="auto"/>
                <w:right w:val="none" w:sz="0" w:space="0" w:color="auto"/>
              </w:divBdr>
            </w:div>
            <w:div w:id="1989437408">
              <w:marLeft w:val="0"/>
              <w:marRight w:val="0"/>
              <w:marTop w:val="0"/>
              <w:marBottom w:val="0"/>
              <w:divBdr>
                <w:top w:val="none" w:sz="0" w:space="0" w:color="auto"/>
                <w:left w:val="none" w:sz="0" w:space="0" w:color="auto"/>
                <w:bottom w:val="none" w:sz="0" w:space="0" w:color="auto"/>
                <w:right w:val="none" w:sz="0" w:space="0" w:color="auto"/>
              </w:divBdr>
            </w:div>
          </w:divsChild>
        </w:div>
        <w:div w:id="1040975849">
          <w:marLeft w:val="0"/>
          <w:marRight w:val="75"/>
          <w:marTop w:val="75"/>
          <w:marBottom w:val="0"/>
          <w:divBdr>
            <w:top w:val="none" w:sz="0" w:space="0" w:color="auto"/>
            <w:left w:val="none" w:sz="0" w:space="0" w:color="auto"/>
            <w:bottom w:val="none" w:sz="0" w:space="0" w:color="auto"/>
            <w:right w:val="none" w:sz="0" w:space="0" w:color="auto"/>
          </w:divBdr>
          <w:divsChild>
            <w:div w:id="1136027041">
              <w:marLeft w:val="0"/>
              <w:marRight w:val="0"/>
              <w:marTop w:val="0"/>
              <w:marBottom w:val="0"/>
              <w:divBdr>
                <w:top w:val="none" w:sz="0" w:space="0" w:color="auto"/>
                <w:left w:val="none" w:sz="0" w:space="0" w:color="auto"/>
                <w:bottom w:val="none" w:sz="0" w:space="0" w:color="auto"/>
                <w:right w:val="none" w:sz="0" w:space="0" w:color="auto"/>
              </w:divBdr>
            </w:div>
            <w:div w:id="175250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78367">
      <w:marLeft w:val="0"/>
      <w:marRight w:val="0"/>
      <w:marTop w:val="0"/>
      <w:marBottom w:val="0"/>
      <w:divBdr>
        <w:top w:val="none" w:sz="0" w:space="0" w:color="auto"/>
        <w:left w:val="none" w:sz="0" w:space="0" w:color="auto"/>
        <w:bottom w:val="none" w:sz="0" w:space="0" w:color="auto"/>
        <w:right w:val="none" w:sz="0" w:space="0" w:color="auto"/>
      </w:divBdr>
    </w:div>
    <w:div w:id="2121023534">
      <w:marLeft w:val="0"/>
      <w:marRight w:val="75"/>
      <w:marTop w:val="0"/>
      <w:marBottom w:val="0"/>
      <w:divBdr>
        <w:top w:val="none" w:sz="0" w:space="0" w:color="auto"/>
        <w:left w:val="none" w:sz="0" w:space="0" w:color="auto"/>
        <w:bottom w:val="none" w:sz="0" w:space="0" w:color="auto"/>
        <w:right w:val="none" w:sz="0" w:space="0" w:color="auto"/>
      </w:divBdr>
      <w:divsChild>
        <w:div w:id="1837961360">
          <w:marLeft w:val="0"/>
          <w:marRight w:val="0"/>
          <w:marTop w:val="0"/>
          <w:marBottom w:val="0"/>
          <w:divBdr>
            <w:top w:val="none" w:sz="0" w:space="0" w:color="auto"/>
            <w:left w:val="none" w:sz="0" w:space="0" w:color="auto"/>
            <w:bottom w:val="none" w:sz="0" w:space="0" w:color="auto"/>
            <w:right w:val="none" w:sz="0" w:space="0" w:color="auto"/>
          </w:divBdr>
        </w:div>
      </w:divsChild>
    </w:div>
    <w:div w:id="2131318434">
      <w:marLeft w:val="0"/>
      <w:marRight w:val="0"/>
      <w:marTop w:val="0"/>
      <w:marBottom w:val="0"/>
      <w:divBdr>
        <w:top w:val="none" w:sz="0" w:space="0" w:color="auto"/>
        <w:left w:val="none" w:sz="0" w:space="0" w:color="auto"/>
        <w:bottom w:val="none" w:sz="0" w:space="0" w:color="auto"/>
        <w:right w:val="none" w:sz="0" w:space="0" w:color="auto"/>
      </w:divBdr>
    </w:div>
    <w:div w:id="2137483752">
      <w:bodyDiv w:val="1"/>
      <w:marLeft w:val="0"/>
      <w:marRight w:val="0"/>
      <w:marTop w:val="0"/>
      <w:marBottom w:val="0"/>
      <w:divBdr>
        <w:top w:val="none" w:sz="0" w:space="0" w:color="auto"/>
        <w:left w:val="none" w:sz="0" w:space="0" w:color="auto"/>
        <w:bottom w:val="none" w:sz="0" w:space="0" w:color="auto"/>
        <w:right w:val="none" w:sz="0" w:space="0" w:color="auto"/>
      </w:divBdr>
    </w:div>
    <w:div w:id="2139953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6"/>
</file>

<file path=customXml/itemProps1.xml><?xml version="1.0" encoding="utf-8"?>
<ds:datastoreItem xmlns:ds="http://schemas.openxmlformats.org/officeDocument/2006/customXml" ds:itemID="{B671FFF9-8DC0-4AA8-97FE-A6BCF8EA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42</Pages>
  <Words>6073</Words>
  <Characters>37050</Characters>
  <Application>Microsoft Office Word</Application>
  <DocSecurity>0</DocSecurity>
  <Lines>861</Lines>
  <Paragraphs>281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Walker</dc:creator>
  <cp:lastModifiedBy>Deciar, Lovelia</cp:lastModifiedBy>
  <cp:revision>15</cp:revision>
  <cp:lastPrinted>2018-09-13T16:39:00Z</cp:lastPrinted>
  <dcterms:created xsi:type="dcterms:W3CDTF">2019-04-28T15:17:00Z</dcterms:created>
  <dcterms:modified xsi:type="dcterms:W3CDTF">2019-08-14T13:07:00Z</dcterms:modified>
</cp:coreProperties>
</file>