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304"/>
        <w:gridCol w:w="1113"/>
        <w:gridCol w:w="1133"/>
        <w:gridCol w:w="1624"/>
        <w:gridCol w:w="1183"/>
        <w:gridCol w:w="1393"/>
        <w:gridCol w:w="2429"/>
        <w:gridCol w:w="1451"/>
        <w:gridCol w:w="2970"/>
      </w:tblGrid>
      <w:tr w:rsidR="009F211C" w14:paraId="1ECE884D" w14:textId="77777777" w:rsidTr="00B370F9">
        <w:trPr>
          <w:trHeight w:val="260"/>
          <w:tblHeader/>
        </w:trPr>
        <w:tc>
          <w:tcPr>
            <w:tcW w:w="5000" w:type="pct"/>
            <w:gridSpan w:val="9"/>
            <w:tcBorders>
              <w:top w:val="nil"/>
              <w:left w:val="nil"/>
              <w:bottom w:val="single" w:sz="6" w:space="0" w:color="000000"/>
              <w:right w:val="nil"/>
            </w:tcBorders>
            <w:shd w:val="clear" w:color="auto" w:fill="auto"/>
            <w:tcMar>
              <w:top w:w="100" w:type="dxa"/>
              <w:left w:w="100" w:type="dxa"/>
              <w:bottom w:w="100" w:type="dxa"/>
              <w:right w:w="100" w:type="dxa"/>
            </w:tcMar>
          </w:tcPr>
          <w:p w14:paraId="1ABB4EE6" w14:textId="6D32B8A1" w:rsidR="009F211C" w:rsidRPr="009F211C" w:rsidRDefault="00240DA6" w:rsidP="00B370F9">
            <w:pPr>
              <w:pStyle w:val="Heading3"/>
              <w:pBdr>
                <w:top w:val="nil"/>
                <w:left w:val="nil"/>
                <w:bottom w:val="nil"/>
                <w:right w:val="nil"/>
                <w:between w:val="nil"/>
              </w:pBdr>
              <w:spacing w:before="0"/>
              <w:rPr>
                <w:rFonts w:ascii="Times New Roman" w:hAnsi="Times New Roman" w:cs="Times New Roman"/>
                <w:b w:val="0"/>
                <w:color w:val="auto"/>
              </w:rPr>
            </w:pPr>
            <w:r>
              <w:rPr>
                <w:rFonts w:ascii="Times New Roman" w:hAnsi="Times New Roman" w:cs="Times New Roman"/>
                <w:color w:val="auto"/>
              </w:rPr>
              <w:t>Table S4</w:t>
            </w:r>
            <w:r w:rsidR="009F211C" w:rsidRPr="009F211C">
              <w:rPr>
                <w:rFonts w:ascii="Times New Roman" w:hAnsi="Times New Roman" w:cs="Times New Roman"/>
                <w:color w:val="auto"/>
              </w:rPr>
              <w:t xml:space="preserve">. </w:t>
            </w:r>
            <w:proofErr w:type="gramStart"/>
            <w:r w:rsidR="00814844">
              <w:rPr>
                <w:rFonts w:ascii="Times New Roman" w:hAnsi="Times New Roman" w:cs="Times New Roman"/>
                <w:b w:val="0"/>
                <w:color w:val="auto"/>
              </w:rPr>
              <w:t>Socioeconomic status and stroke outcome in low- and middle-income c</w:t>
            </w:r>
            <w:r w:rsidR="009F211C" w:rsidRPr="009F211C">
              <w:rPr>
                <w:rFonts w:ascii="Times New Roman" w:hAnsi="Times New Roman" w:cs="Times New Roman"/>
                <w:b w:val="0"/>
                <w:color w:val="auto"/>
              </w:rPr>
              <w:t>ountries.</w:t>
            </w:r>
            <w:proofErr w:type="gramEnd"/>
            <w:r w:rsidR="009F211C" w:rsidRPr="009F211C">
              <w:rPr>
                <w:rFonts w:ascii="Times New Roman" w:hAnsi="Times New Roman" w:cs="Times New Roman"/>
                <w:b w:val="0"/>
                <w:color w:val="auto"/>
              </w:rPr>
              <w:t xml:space="preserve"> </w:t>
            </w:r>
          </w:p>
        </w:tc>
      </w:tr>
      <w:tr w:rsidR="009F211C" w14:paraId="4924E28F" w14:textId="77777777" w:rsidTr="00B370F9">
        <w:trPr>
          <w:tblHeader/>
        </w:trPr>
        <w:tc>
          <w:tcPr>
            <w:tcW w:w="447" w:type="pct"/>
            <w:tcBorders>
              <w:top w:val="single" w:sz="6" w:space="0" w:color="000000"/>
              <w:right w:val="nil"/>
            </w:tcBorders>
            <w:shd w:val="clear" w:color="auto" w:fill="CFE2F3"/>
            <w:tcMar>
              <w:top w:w="100" w:type="dxa"/>
              <w:left w:w="100" w:type="dxa"/>
              <w:bottom w:w="100" w:type="dxa"/>
              <w:right w:w="100" w:type="dxa"/>
            </w:tcMar>
          </w:tcPr>
          <w:p w14:paraId="744FB508"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Reference</w:t>
            </w:r>
          </w:p>
        </w:tc>
        <w:tc>
          <w:tcPr>
            <w:tcW w:w="381" w:type="pct"/>
            <w:tcBorders>
              <w:top w:val="single" w:sz="6" w:space="0" w:color="000000"/>
              <w:left w:val="nil"/>
              <w:right w:val="nil"/>
            </w:tcBorders>
            <w:shd w:val="clear" w:color="auto" w:fill="CFE2F3"/>
            <w:tcMar>
              <w:top w:w="100" w:type="dxa"/>
              <w:left w:w="100" w:type="dxa"/>
              <w:bottom w:w="100" w:type="dxa"/>
              <w:right w:w="100" w:type="dxa"/>
            </w:tcMar>
          </w:tcPr>
          <w:p w14:paraId="30E0E38D"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Location</w:t>
            </w:r>
          </w:p>
        </w:tc>
        <w:tc>
          <w:tcPr>
            <w:tcW w:w="388" w:type="pct"/>
            <w:tcBorders>
              <w:top w:val="single" w:sz="6" w:space="0" w:color="000000"/>
              <w:left w:val="nil"/>
              <w:right w:val="nil"/>
            </w:tcBorders>
            <w:shd w:val="clear" w:color="auto" w:fill="CFE2F3"/>
            <w:tcMar>
              <w:top w:w="100" w:type="dxa"/>
              <w:left w:w="100" w:type="dxa"/>
              <w:bottom w:w="100" w:type="dxa"/>
              <w:right w:w="100" w:type="dxa"/>
            </w:tcMar>
          </w:tcPr>
          <w:p w14:paraId="3E866493"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Study Type</w:t>
            </w:r>
          </w:p>
        </w:tc>
        <w:tc>
          <w:tcPr>
            <w:tcW w:w="556" w:type="pct"/>
            <w:tcBorders>
              <w:top w:val="single" w:sz="6" w:space="0" w:color="000000"/>
              <w:left w:val="nil"/>
              <w:right w:val="nil"/>
            </w:tcBorders>
            <w:shd w:val="clear" w:color="auto" w:fill="CFE2F3"/>
            <w:tcMar>
              <w:top w:w="100" w:type="dxa"/>
              <w:left w:w="100" w:type="dxa"/>
              <w:bottom w:w="100" w:type="dxa"/>
              <w:right w:w="100" w:type="dxa"/>
            </w:tcMar>
          </w:tcPr>
          <w:p w14:paraId="44CD38C3"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Data Collection/Study Duration</w:t>
            </w:r>
          </w:p>
        </w:tc>
        <w:tc>
          <w:tcPr>
            <w:tcW w:w="405" w:type="pct"/>
            <w:tcBorders>
              <w:top w:val="single" w:sz="6" w:space="0" w:color="000000"/>
              <w:left w:val="nil"/>
              <w:right w:val="nil"/>
            </w:tcBorders>
            <w:shd w:val="clear" w:color="auto" w:fill="CFE2F3"/>
            <w:tcMar>
              <w:top w:w="100" w:type="dxa"/>
              <w:left w:w="100" w:type="dxa"/>
              <w:bottom w:w="100" w:type="dxa"/>
              <w:right w:w="100" w:type="dxa"/>
            </w:tcMar>
          </w:tcPr>
          <w:p w14:paraId="1007771F"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Patient Group (N; age)</w:t>
            </w:r>
          </w:p>
        </w:tc>
        <w:tc>
          <w:tcPr>
            <w:tcW w:w="477" w:type="pct"/>
            <w:tcBorders>
              <w:top w:val="single" w:sz="6" w:space="0" w:color="000000"/>
              <w:left w:val="nil"/>
              <w:right w:val="nil"/>
            </w:tcBorders>
            <w:shd w:val="clear" w:color="auto" w:fill="CFE2F3"/>
            <w:tcMar>
              <w:top w:w="100" w:type="dxa"/>
              <w:left w:w="100" w:type="dxa"/>
              <w:bottom w:w="100" w:type="dxa"/>
              <w:right w:w="100" w:type="dxa"/>
            </w:tcMar>
          </w:tcPr>
          <w:p w14:paraId="0971916B"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SES Determinants</w:t>
            </w:r>
          </w:p>
        </w:tc>
        <w:tc>
          <w:tcPr>
            <w:tcW w:w="832" w:type="pct"/>
            <w:tcBorders>
              <w:top w:val="single" w:sz="6" w:space="0" w:color="000000"/>
              <w:left w:val="nil"/>
              <w:right w:val="nil"/>
            </w:tcBorders>
            <w:shd w:val="clear" w:color="auto" w:fill="CFE2F3"/>
            <w:tcMar>
              <w:top w:w="100" w:type="dxa"/>
              <w:left w:w="100" w:type="dxa"/>
              <w:bottom w:w="100" w:type="dxa"/>
              <w:right w:w="100" w:type="dxa"/>
            </w:tcMar>
          </w:tcPr>
          <w:p w14:paraId="64E46F57"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Adjusted Risk Factors</w:t>
            </w:r>
          </w:p>
        </w:tc>
        <w:tc>
          <w:tcPr>
            <w:tcW w:w="497" w:type="pct"/>
            <w:tcBorders>
              <w:top w:val="single" w:sz="6" w:space="0" w:color="000000"/>
              <w:left w:val="nil"/>
              <w:right w:val="nil"/>
            </w:tcBorders>
            <w:shd w:val="clear" w:color="auto" w:fill="CFE2F3"/>
            <w:tcMar>
              <w:top w:w="100" w:type="dxa"/>
              <w:left w:w="100" w:type="dxa"/>
              <w:bottom w:w="100" w:type="dxa"/>
              <w:right w:w="100" w:type="dxa"/>
            </w:tcMar>
          </w:tcPr>
          <w:p w14:paraId="2A9042A9"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Stroke Type</w:t>
            </w:r>
          </w:p>
        </w:tc>
        <w:tc>
          <w:tcPr>
            <w:tcW w:w="1017" w:type="pct"/>
            <w:tcBorders>
              <w:top w:val="single" w:sz="6" w:space="0" w:color="000000"/>
              <w:left w:val="nil"/>
            </w:tcBorders>
            <w:shd w:val="clear" w:color="auto" w:fill="CFE2F3"/>
            <w:tcMar>
              <w:top w:w="100" w:type="dxa"/>
              <w:left w:w="100" w:type="dxa"/>
              <w:bottom w:w="100" w:type="dxa"/>
              <w:right w:w="100" w:type="dxa"/>
            </w:tcMar>
          </w:tcPr>
          <w:p w14:paraId="7B5A1001" w14:textId="77777777" w:rsidR="009F211C" w:rsidRDefault="009F211C" w:rsidP="00B370F9">
            <w:pPr>
              <w:pStyle w:val="normal0"/>
              <w:widowControl w:val="0"/>
              <w:pBdr>
                <w:top w:val="nil"/>
                <w:left w:val="nil"/>
                <w:bottom w:val="nil"/>
                <w:right w:val="nil"/>
                <w:between w:val="nil"/>
              </w:pBdr>
              <w:spacing w:line="240" w:lineRule="auto"/>
              <w:rPr>
                <w:b/>
                <w:sz w:val="20"/>
                <w:szCs w:val="20"/>
              </w:rPr>
            </w:pPr>
            <w:r>
              <w:rPr>
                <w:b/>
                <w:sz w:val="20"/>
                <w:szCs w:val="20"/>
              </w:rPr>
              <w:t>Results/ Remarks</w:t>
            </w:r>
          </w:p>
        </w:tc>
      </w:tr>
      <w:tr w:rsidR="009F211C" w14:paraId="2405F1FC" w14:textId="77777777" w:rsidTr="00B370F9">
        <w:tc>
          <w:tcPr>
            <w:tcW w:w="447" w:type="pct"/>
            <w:tcBorders>
              <w:right w:val="nil"/>
            </w:tcBorders>
            <w:shd w:val="clear" w:color="auto" w:fill="auto"/>
            <w:tcMar>
              <w:top w:w="100" w:type="dxa"/>
              <w:left w:w="100" w:type="dxa"/>
              <w:bottom w:w="100" w:type="dxa"/>
              <w:right w:w="100" w:type="dxa"/>
            </w:tcMar>
          </w:tcPr>
          <w:p w14:paraId="27146CE1"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Copstein et al. 2013 </w:t>
            </w:r>
            <w:hyperlink r:id="rId6">
              <w:r>
                <w:rPr>
                  <w:b/>
                  <w:color w:val="000000"/>
                  <w:sz w:val="20"/>
                  <w:szCs w:val="20"/>
                </w:rPr>
                <w:t>[26]</w:t>
              </w:r>
            </w:hyperlink>
          </w:p>
        </w:tc>
        <w:tc>
          <w:tcPr>
            <w:tcW w:w="381" w:type="pct"/>
            <w:tcBorders>
              <w:left w:val="nil"/>
              <w:right w:val="nil"/>
            </w:tcBorders>
            <w:shd w:val="clear" w:color="auto" w:fill="auto"/>
            <w:tcMar>
              <w:top w:w="100" w:type="dxa"/>
              <w:left w:w="100" w:type="dxa"/>
              <w:bottom w:w="100" w:type="dxa"/>
              <w:right w:w="100" w:type="dxa"/>
            </w:tcMar>
          </w:tcPr>
          <w:p w14:paraId="55A1C0EA"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Brazil</w:t>
            </w:r>
          </w:p>
        </w:tc>
        <w:tc>
          <w:tcPr>
            <w:tcW w:w="388" w:type="pct"/>
            <w:tcBorders>
              <w:left w:val="nil"/>
              <w:right w:val="nil"/>
            </w:tcBorders>
            <w:shd w:val="clear" w:color="auto" w:fill="auto"/>
            <w:tcMar>
              <w:top w:w="100" w:type="dxa"/>
              <w:left w:w="100" w:type="dxa"/>
              <w:bottom w:w="100" w:type="dxa"/>
              <w:right w:w="100" w:type="dxa"/>
            </w:tcMar>
          </w:tcPr>
          <w:p w14:paraId="3972AE4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Population-based cross- sectional</w:t>
            </w:r>
          </w:p>
        </w:tc>
        <w:tc>
          <w:tcPr>
            <w:tcW w:w="556" w:type="pct"/>
            <w:tcBorders>
              <w:left w:val="nil"/>
              <w:right w:val="nil"/>
            </w:tcBorders>
            <w:shd w:val="clear" w:color="auto" w:fill="auto"/>
            <w:tcMar>
              <w:top w:w="100" w:type="dxa"/>
              <w:left w:w="100" w:type="dxa"/>
              <w:bottom w:w="100" w:type="dxa"/>
              <w:right w:w="100" w:type="dxa"/>
            </w:tcMar>
          </w:tcPr>
          <w:p w14:paraId="7F95528D"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July– December 2009</w:t>
            </w:r>
          </w:p>
        </w:tc>
        <w:tc>
          <w:tcPr>
            <w:tcW w:w="405" w:type="pct"/>
            <w:tcBorders>
              <w:left w:val="nil"/>
              <w:right w:val="nil"/>
            </w:tcBorders>
            <w:shd w:val="clear" w:color="auto" w:fill="auto"/>
            <w:tcMar>
              <w:top w:w="100" w:type="dxa"/>
              <w:left w:w="100" w:type="dxa"/>
              <w:bottom w:w="100" w:type="dxa"/>
              <w:right w:w="100" w:type="dxa"/>
            </w:tcMar>
          </w:tcPr>
          <w:p w14:paraId="1E8CED3A"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3,391; &gt;20 years age</w:t>
            </w:r>
          </w:p>
        </w:tc>
        <w:tc>
          <w:tcPr>
            <w:tcW w:w="477" w:type="pct"/>
            <w:tcBorders>
              <w:left w:val="nil"/>
              <w:right w:val="nil"/>
            </w:tcBorders>
            <w:shd w:val="clear" w:color="auto" w:fill="auto"/>
            <w:tcMar>
              <w:top w:w="100" w:type="dxa"/>
              <w:left w:w="100" w:type="dxa"/>
              <w:bottom w:w="100" w:type="dxa"/>
              <w:right w:w="100" w:type="dxa"/>
            </w:tcMar>
          </w:tcPr>
          <w:p w14:paraId="1F75833E"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Marital status, education</w:t>
            </w:r>
          </w:p>
        </w:tc>
        <w:tc>
          <w:tcPr>
            <w:tcW w:w="832" w:type="pct"/>
            <w:tcBorders>
              <w:left w:val="nil"/>
              <w:right w:val="nil"/>
            </w:tcBorders>
            <w:shd w:val="clear" w:color="auto" w:fill="auto"/>
            <w:tcMar>
              <w:top w:w="100" w:type="dxa"/>
              <w:left w:w="100" w:type="dxa"/>
              <w:bottom w:w="100" w:type="dxa"/>
              <w:right w:w="100" w:type="dxa"/>
            </w:tcMar>
          </w:tcPr>
          <w:p w14:paraId="7A38ABB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Sex, age, hypertension, smoking</w:t>
            </w:r>
          </w:p>
        </w:tc>
        <w:tc>
          <w:tcPr>
            <w:tcW w:w="497" w:type="pct"/>
            <w:tcBorders>
              <w:left w:val="nil"/>
              <w:right w:val="nil"/>
            </w:tcBorders>
            <w:shd w:val="clear" w:color="auto" w:fill="auto"/>
            <w:tcMar>
              <w:top w:w="100" w:type="dxa"/>
              <w:left w:w="100" w:type="dxa"/>
              <w:bottom w:w="100" w:type="dxa"/>
              <w:right w:w="100" w:type="dxa"/>
            </w:tcMar>
          </w:tcPr>
          <w:p w14:paraId="6B1FEB7C"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Stroke subtypes were not considered</w:t>
            </w:r>
          </w:p>
        </w:tc>
        <w:tc>
          <w:tcPr>
            <w:tcW w:w="1017" w:type="pct"/>
            <w:tcBorders>
              <w:left w:val="nil"/>
            </w:tcBorders>
            <w:shd w:val="clear" w:color="auto" w:fill="auto"/>
            <w:tcMar>
              <w:top w:w="100" w:type="dxa"/>
              <w:left w:w="100" w:type="dxa"/>
              <w:bottom w:w="100" w:type="dxa"/>
              <w:right w:w="100" w:type="dxa"/>
            </w:tcMar>
          </w:tcPr>
          <w:p w14:paraId="4299DED2"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The group with 9 to 11 years of education was statistically significant as a protective factor against stroke (PR 0.6, CI 0.4–0.9) and marital status widower was a significant risk factor of stroke (PR 1.4, CI 1.0–1.9)</w:t>
            </w:r>
          </w:p>
        </w:tc>
      </w:tr>
      <w:tr w:rsidR="009F211C" w14:paraId="30801FEF" w14:textId="77777777" w:rsidTr="00B370F9">
        <w:tc>
          <w:tcPr>
            <w:tcW w:w="447" w:type="pct"/>
            <w:tcBorders>
              <w:right w:val="nil"/>
            </w:tcBorders>
            <w:shd w:val="clear" w:color="auto" w:fill="auto"/>
            <w:tcMar>
              <w:top w:w="100" w:type="dxa"/>
              <w:left w:w="100" w:type="dxa"/>
              <w:bottom w:w="100" w:type="dxa"/>
              <w:right w:w="100" w:type="dxa"/>
            </w:tcMar>
          </w:tcPr>
          <w:p w14:paraId="13212645"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highlight w:val="white"/>
              </w:rPr>
              <w:t xml:space="preserve">Engels et al. 2014 </w:t>
            </w:r>
            <w:hyperlink r:id="rId7">
              <w:r>
                <w:rPr>
                  <w:b/>
                  <w:color w:val="000000"/>
                  <w:sz w:val="20"/>
                  <w:szCs w:val="20"/>
                  <w:highlight w:val="white"/>
                </w:rPr>
                <w:t>[27]</w:t>
              </w:r>
            </w:hyperlink>
          </w:p>
        </w:tc>
        <w:tc>
          <w:tcPr>
            <w:tcW w:w="381" w:type="pct"/>
            <w:tcBorders>
              <w:left w:val="nil"/>
              <w:right w:val="nil"/>
            </w:tcBorders>
            <w:shd w:val="clear" w:color="auto" w:fill="auto"/>
            <w:tcMar>
              <w:top w:w="100" w:type="dxa"/>
              <w:left w:w="100" w:type="dxa"/>
              <w:bottom w:w="100" w:type="dxa"/>
              <w:right w:w="100" w:type="dxa"/>
            </w:tcMar>
          </w:tcPr>
          <w:p w14:paraId="79C5D0BF"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Morocco</w:t>
            </w:r>
          </w:p>
        </w:tc>
        <w:tc>
          <w:tcPr>
            <w:tcW w:w="388" w:type="pct"/>
            <w:tcBorders>
              <w:left w:val="nil"/>
              <w:right w:val="nil"/>
            </w:tcBorders>
            <w:shd w:val="clear" w:color="auto" w:fill="auto"/>
            <w:tcMar>
              <w:top w:w="100" w:type="dxa"/>
              <w:left w:w="100" w:type="dxa"/>
              <w:bottom w:w="100" w:type="dxa"/>
              <w:right w:w="100" w:type="dxa"/>
            </w:tcMar>
          </w:tcPr>
          <w:p w14:paraId="34E62B9E"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Population-based cross- sectional</w:t>
            </w:r>
          </w:p>
        </w:tc>
        <w:tc>
          <w:tcPr>
            <w:tcW w:w="556" w:type="pct"/>
            <w:tcBorders>
              <w:left w:val="nil"/>
              <w:right w:val="nil"/>
            </w:tcBorders>
            <w:shd w:val="clear" w:color="auto" w:fill="auto"/>
            <w:tcMar>
              <w:top w:w="100" w:type="dxa"/>
              <w:left w:w="100" w:type="dxa"/>
              <w:bottom w:w="100" w:type="dxa"/>
              <w:right w:w="100" w:type="dxa"/>
            </w:tcMar>
          </w:tcPr>
          <w:p w14:paraId="7D242C8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November 2008– April 2009</w:t>
            </w:r>
          </w:p>
        </w:tc>
        <w:tc>
          <w:tcPr>
            <w:tcW w:w="405" w:type="pct"/>
            <w:tcBorders>
              <w:left w:val="nil"/>
              <w:right w:val="nil"/>
            </w:tcBorders>
            <w:shd w:val="clear" w:color="auto" w:fill="auto"/>
            <w:tcMar>
              <w:top w:w="100" w:type="dxa"/>
              <w:left w:w="100" w:type="dxa"/>
              <w:bottom w:w="100" w:type="dxa"/>
              <w:right w:w="100" w:type="dxa"/>
            </w:tcMar>
          </w:tcPr>
          <w:p w14:paraId="6FCD38F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60,031; &gt;15 years age</w:t>
            </w:r>
          </w:p>
        </w:tc>
        <w:tc>
          <w:tcPr>
            <w:tcW w:w="477" w:type="pct"/>
            <w:tcBorders>
              <w:left w:val="nil"/>
              <w:right w:val="nil"/>
            </w:tcBorders>
            <w:shd w:val="clear" w:color="auto" w:fill="auto"/>
            <w:tcMar>
              <w:top w:w="100" w:type="dxa"/>
              <w:left w:w="100" w:type="dxa"/>
              <w:bottom w:w="100" w:type="dxa"/>
              <w:right w:w="100" w:type="dxa"/>
            </w:tcMar>
          </w:tcPr>
          <w:p w14:paraId="2F0F5ABC"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Occupation, education</w:t>
            </w:r>
          </w:p>
        </w:tc>
        <w:tc>
          <w:tcPr>
            <w:tcW w:w="832" w:type="pct"/>
            <w:tcBorders>
              <w:left w:val="nil"/>
              <w:right w:val="nil"/>
            </w:tcBorders>
            <w:shd w:val="clear" w:color="auto" w:fill="auto"/>
            <w:tcMar>
              <w:top w:w="100" w:type="dxa"/>
              <w:left w:w="100" w:type="dxa"/>
              <w:bottom w:w="100" w:type="dxa"/>
              <w:right w:w="100" w:type="dxa"/>
            </w:tcMar>
          </w:tcPr>
          <w:p w14:paraId="7B18B3A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Sex, age, hypertension, diabetes;</w:t>
            </w:r>
          </w:p>
        </w:tc>
        <w:tc>
          <w:tcPr>
            <w:tcW w:w="497" w:type="pct"/>
            <w:tcBorders>
              <w:left w:val="nil"/>
              <w:right w:val="nil"/>
            </w:tcBorders>
            <w:shd w:val="clear" w:color="auto" w:fill="auto"/>
            <w:tcMar>
              <w:top w:w="100" w:type="dxa"/>
              <w:left w:w="100" w:type="dxa"/>
              <w:bottom w:w="100" w:type="dxa"/>
              <w:right w:w="100" w:type="dxa"/>
            </w:tcMar>
          </w:tcPr>
          <w:p w14:paraId="7DB07025" w14:textId="78704F4D"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 xml:space="preserve">Haemorrhagic stroke, </w:t>
            </w:r>
            <w:r w:rsidR="00B370F9">
              <w:rPr>
                <w:sz w:val="20"/>
                <w:szCs w:val="20"/>
                <w:highlight w:val="white"/>
              </w:rPr>
              <w:t>ischaemic</w:t>
            </w:r>
            <w:r>
              <w:rPr>
                <w:sz w:val="20"/>
                <w:szCs w:val="20"/>
                <w:highlight w:val="white"/>
              </w:rPr>
              <w:t xml:space="preserve"> stroke, subarachnoid </w:t>
            </w:r>
            <w:bookmarkStart w:id="0" w:name="_GoBack"/>
            <w:bookmarkEnd w:id="0"/>
            <w:r w:rsidR="00E64671">
              <w:rPr>
                <w:sz w:val="20"/>
                <w:szCs w:val="20"/>
                <w:highlight w:val="white"/>
              </w:rPr>
              <w:t>haem</w:t>
            </w:r>
            <w:r w:rsidR="00B370F9">
              <w:rPr>
                <w:sz w:val="20"/>
                <w:szCs w:val="20"/>
                <w:highlight w:val="white"/>
              </w:rPr>
              <w:t>orrhage</w:t>
            </w:r>
          </w:p>
        </w:tc>
        <w:tc>
          <w:tcPr>
            <w:tcW w:w="1017" w:type="pct"/>
            <w:tcBorders>
              <w:left w:val="nil"/>
            </w:tcBorders>
            <w:shd w:val="clear" w:color="auto" w:fill="auto"/>
            <w:tcMar>
              <w:top w:w="100" w:type="dxa"/>
              <w:left w:w="100" w:type="dxa"/>
              <w:bottom w:w="100" w:type="dxa"/>
              <w:right w:w="100" w:type="dxa"/>
            </w:tcMar>
          </w:tcPr>
          <w:p w14:paraId="74CB2610"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The relationship between stroke and SES was nonlinear, with individuals from both the poorest (mainly rural) and richest (mainly urban) households having a lower prevalence of stroke as compared to individuals with medium wealth level</w:t>
            </w:r>
          </w:p>
        </w:tc>
      </w:tr>
      <w:tr w:rsidR="009F211C" w14:paraId="661B8A90" w14:textId="77777777" w:rsidTr="00B370F9">
        <w:tc>
          <w:tcPr>
            <w:tcW w:w="447" w:type="pct"/>
            <w:tcBorders>
              <w:right w:val="nil"/>
            </w:tcBorders>
            <w:shd w:val="clear" w:color="auto" w:fill="auto"/>
            <w:tcMar>
              <w:top w:w="100" w:type="dxa"/>
              <w:left w:w="100" w:type="dxa"/>
              <w:bottom w:w="100" w:type="dxa"/>
              <w:right w:w="100" w:type="dxa"/>
            </w:tcMar>
          </w:tcPr>
          <w:p w14:paraId="3E55F1DC"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Fitzpatrick et al. 2012 </w:t>
            </w:r>
            <w:hyperlink r:id="rId8">
              <w:r>
                <w:rPr>
                  <w:b/>
                  <w:color w:val="000000"/>
                  <w:sz w:val="20"/>
                  <w:szCs w:val="20"/>
                </w:rPr>
                <w:t>[28]</w:t>
              </w:r>
            </w:hyperlink>
          </w:p>
        </w:tc>
        <w:tc>
          <w:tcPr>
            <w:tcW w:w="381" w:type="pct"/>
            <w:tcBorders>
              <w:left w:val="nil"/>
              <w:right w:val="nil"/>
            </w:tcBorders>
            <w:shd w:val="clear" w:color="auto" w:fill="auto"/>
            <w:tcMar>
              <w:top w:w="100" w:type="dxa"/>
              <w:left w:w="100" w:type="dxa"/>
              <w:bottom w:w="100" w:type="dxa"/>
              <w:right w:w="100" w:type="dxa"/>
            </w:tcMar>
          </w:tcPr>
          <w:p w14:paraId="022C5D31"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Vietnam</w:t>
            </w:r>
          </w:p>
        </w:tc>
        <w:tc>
          <w:tcPr>
            <w:tcW w:w="388" w:type="pct"/>
            <w:tcBorders>
              <w:left w:val="nil"/>
              <w:right w:val="nil"/>
            </w:tcBorders>
            <w:shd w:val="clear" w:color="auto" w:fill="auto"/>
            <w:tcMar>
              <w:top w:w="100" w:type="dxa"/>
              <w:left w:w="100" w:type="dxa"/>
              <w:bottom w:w="100" w:type="dxa"/>
              <w:right w:w="100" w:type="dxa"/>
            </w:tcMar>
          </w:tcPr>
          <w:p w14:paraId="7AFFD339"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Population-based cross- sectional</w:t>
            </w:r>
          </w:p>
        </w:tc>
        <w:tc>
          <w:tcPr>
            <w:tcW w:w="556" w:type="pct"/>
            <w:tcBorders>
              <w:left w:val="nil"/>
              <w:right w:val="nil"/>
            </w:tcBorders>
            <w:shd w:val="clear" w:color="auto" w:fill="auto"/>
            <w:tcMar>
              <w:top w:w="100" w:type="dxa"/>
              <w:left w:w="100" w:type="dxa"/>
              <w:bottom w:w="100" w:type="dxa"/>
              <w:right w:w="100" w:type="dxa"/>
            </w:tcMar>
          </w:tcPr>
          <w:p w14:paraId="43573B47" w14:textId="77777777" w:rsidR="009F211C" w:rsidRDefault="009F211C" w:rsidP="009F211C">
            <w:pPr>
              <w:pStyle w:val="normal0"/>
              <w:pBdr>
                <w:top w:val="nil"/>
                <w:left w:val="nil"/>
                <w:bottom w:val="nil"/>
                <w:right w:val="nil"/>
                <w:between w:val="nil"/>
              </w:pBdr>
              <w:spacing w:line="240" w:lineRule="auto"/>
              <w:rPr>
                <w:sz w:val="20"/>
                <w:szCs w:val="20"/>
              </w:rPr>
            </w:pPr>
            <w:r>
              <w:rPr>
                <w:color w:val="2E2E2E"/>
                <w:sz w:val="20"/>
                <w:szCs w:val="20"/>
                <w:highlight w:val="white"/>
              </w:rPr>
              <w:t>July 1– December 30, 2010</w:t>
            </w:r>
          </w:p>
        </w:tc>
        <w:tc>
          <w:tcPr>
            <w:tcW w:w="405" w:type="pct"/>
            <w:tcBorders>
              <w:left w:val="nil"/>
              <w:right w:val="nil"/>
            </w:tcBorders>
            <w:shd w:val="clear" w:color="auto" w:fill="auto"/>
            <w:tcMar>
              <w:top w:w="100" w:type="dxa"/>
              <w:left w:w="100" w:type="dxa"/>
              <w:bottom w:w="100" w:type="dxa"/>
              <w:right w:w="100" w:type="dxa"/>
            </w:tcMar>
          </w:tcPr>
          <w:p w14:paraId="0489F03C"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1,621; 35–93 years age (mean 52 years)</w:t>
            </w:r>
          </w:p>
        </w:tc>
        <w:tc>
          <w:tcPr>
            <w:tcW w:w="477" w:type="pct"/>
            <w:tcBorders>
              <w:left w:val="nil"/>
              <w:right w:val="nil"/>
            </w:tcBorders>
            <w:shd w:val="clear" w:color="auto" w:fill="auto"/>
            <w:tcMar>
              <w:top w:w="100" w:type="dxa"/>
              <w:left w:w="100" w:type="dxa"/>
              <w:bottom w:w="100" w:type="dxa"/>
              <w:right w:w="100" w:type="dxa"/>
            </w:tcMar>
          </w:tcPr>
          <w:p w14:paraId="3AD1CE51"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Urban/rural, education</w:t>
            </w:r>
          </w:p>
        </w:tc>
        <w:tc>
          <w:tcPr>
            <w:tcW w:w="832" w:type="pct"/>
            <w:tcBorders>
              <w:left w:val="nil"/>
              <w:right w:val="nil"/>
            </w:tcBorders>
            <w:shd w:val="clear" w:color="auto" w:fill="auto"/>
            <w:tcMar>
              <w:top w:w="100" w:type="dxa"/>
              <w:left w:w="100" w:type="dxa"/>
              <w:bottom w:w="100" w:type="dxa"/>
              <w:right w:w="100" w:type="dxa"/>
            </w:tcMar>
          </w:tcPr>
          <w:p w14:paraId="1DE4CCD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Sex, age, diabetes, high cholesterol, hypertension, smoking, obesity, alcohol, physical activity</w:t>
            </w:r>
          </w:p>
        </w:tc>
        <w:tc>
          <w:tcPr>
            <w:tcW w:w="497" w:type="pct"/>
            <w:tcBorders>
              <w:left w:val="nil"/>
              <w:right w:val="nil"/>
            </w:tcBorders>
            <w:shd w:val="clear" w:color="auto" w:fill="auto"/>
            <w:tcMar>
              <w:top w:w="100" w:type="dxa"/>
              <w:left w:w="100" w:type="dxa"/>
              <w:bottom w:w="100" w:type="dxa"/>
              <w:right w:w="100" w:type="dxa"/>
            </w:tcMar>
          </w:tcPr>
          <w:p w14:paraId="6D92747F"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Stroke subtypes were not considered</w:t>
            </w:r>
          </w:p>
        </w:tc>
        <w:tc>
          <w:tcPr>
            <w:tcW w:w="1017" w:type="pct"/>
            <w:tcBorders>
              <w:left w:val="nil"/>
            </w:tcBorders>
            <w:shd w:val="clear" w:color="auto" w:fill="auto"/>
            <w:tcMar>
              <w:top w:w="100" w:type="dxa"/>
              <w:left w:w="100" w:type="dxa"/>
              <w:bottom w:w="100" w:type="dxa"/>
              <w:right w:w="100" w:type="dxa"/>
            </w:tcMar>
          </w:tcPr>
          <w:p w14:paraId="268C0EA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Rural residence and not education were significantly associated with the presence of non-visual stroke symptoms</w:t>
            </w:r>
          </w:p>
        </w:tc>
      </w:tr>
      <w:tr w:rsidR="009F211C" w14:paraId="3536DEAE" w14:textId="77777777" w:rsidTr="00B370F9">
        <w:tc>
          <w:tcPr>
            <w:tcW w:w="447" w:type="pct"/>
            <w:tcBorders>
              <w:right w:val="nil"/>
            </w:tcBorders>
            <w:shd w:val="clear" w:color="auto" w:fill="auto"/>
            <w:tcMar>
              <w:top w:w="100" w:type="dxa"/>
              <w:left w:w="100" w:type="dxa"/>
              <w:bottom w:w="100" w:type="dxa"/>
              <w:right w:w="100" w:type="dxa"/>
            </w:tcMar>
          </w:tcPr>
          <w:p w14:paraId="499FAB5A"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Jin et al. 2012 </w:t>
            </w:r>
            <w:hyperlink r:id="rId9">
              <w:r>
                <w:rPr>
                  <w:b/>
                  <w:color w:val="000000"/>
                  <w:sz w:val="20"/>
                  <w:szCs w:val="20"/>
                </w:rPr>
                <w:t>[29]</w:t>
              </w:r>
            </w:hyperlink>
          </w:p>
        </w:tc>
        <w:tc>
          <w:tcPr>
            <w:tcW w:w="381" w:type="pct"/>
            <w:tcBorders>
              <w:left w:val="nil"/>
              <w:right w:val="nil"/>
            </w:tcBorders>
            <w:shd w:val="clear" w:color="auto" w:fill="auto"/>
            <w:tcMar>
              <w:top w:w="100" w:type="dxa"/>
              <w:left w:w="100" w:type="dxa"/>
              <w:bottom w:w="100" w:type="dxa"/>
              <w:right w:w="100" w:type="dxa"/>
            </w:tcMar>
          </w:tcPr>
          <w:p w14:paraId="0D7D6AE6"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China</w:t>
            </w:r>
          </w:p>
        </w:tc>
        <w:tc>
          <w:tcPr>
            <w:tcW w:w="388" w:type="pct"/>
            <w:tcBorders>
              <w:left w:val="nil"/>
              <w:right w:val="nil"/>
            </w:tcBorders>
            <w:shd w:val="clear" w:color="auto" w:fill="auto"/>
            <w:tcMar>
              <w:top w:w="100" w:type="dxa"/>
              <w:left w:w="100" w:type="dxa"/>
              <w:bottom w:w="100" w:type="dxa"/>
              <w:right w:w="100" w:type="dxa"/>
            </w:tcMar>
          </w:tcPr>
          <w:p w14:paraId="1F7AACCF"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Hospital- based cohort</w:t>
            </w:r>
          </w:p>
        </w:tc>
        <w:tc>
          <w:tcPr>
            <w:tcW w:w="556" w:type="pct"/>
            <w:tcBorders>
              <w:left w:val="nil"/>
              <w:right w:val="nil"/>
            </w:tcBorders>
            <w:shd w:val="clear" w:color="auto" w:fill="auto"/>
            <w:tcMar>
              <w:top w:w="100" w:type="dxa"/>
              <w:left w:w="100" w:type="dxa"/>
              <w:bottom w:w="100" w:type="dxa"/>
              <w:right w:w="100" w:type="dxa"/>
            </w:tcMar>
          </w:tcPr>
          <w:p w14:paraId="40443DF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During 2006</w:t>
            </w:r>
          </w:p>
        </w:tc>
        <w:tc>
          <w:tcPr>
            <w:tcW w:w="405" w:type="pct"/>
            <w:tcBorders>
              <w:left w:val="nil"/>
              <w:right w:val="nil"/>
            </w:tcBorders>
            <w:shd w:val="clear" w:color="auto" w:fill="auto"/>
            <w:tcMar>
              <w:top w:w="100" w:type="dxa"/>
              <w:left w:w="100" w:type="dxa"/>
              <w:bottom w:w="100" w:type="dxa"/>
              <w:right w:w="100" w:type="dxa"/>
            </w:tcMar>
          </w:tcPr>
          <w:p w14:paraId="150A127C" w14:textId="77777777" w:rsidR="009F211C" w:rsidRDefault="009F211C" w:rsidP="009F211C">
            <w:pPr>
              <w:pStyle w:val="normal0"/>
              <w:pBdr>
                <w:top w:val="nil"/>
                <w:left w:val="nil"/>
                <w:bottom w:val="nil"/>
                <w:right w:val="nil"/>
                <w:between w:val="nil"/>
              </w:pBdr>
              <w:spacing w:line="240" w:lineRule="auto"/>
              <w:rPr>
                <w:b/>
                <w:sz w:val="20"/>
                <w:szCs w:val="20"/>
              </w:rPr>
            </w:pPr>
            <w:r>
              <w:rPr>
                <w:rFonts w:ascii="Gungsuh" w:eastAsia="Gungsuh" w:hAnsi="Gungsuh" w:cs="Gungsuh"/>
                <w:sz w:val="20"/>
                <w:szCs w:val="20"/>
              </w:rPr>
              <w:t>6,102; &lt;65 years and ≥65 years age</w:t>
            </w:r>
          </w:p>
        </w:tc>
        <w:tc>
          <w:tcPr>
            <w:tcW w:w="477" w:type="pct"/>
            <w:tcBorders>
              <w:left w:val="nil"/>
              <w:right w:val="nil"/>
            </w:tcBorders>
            <w:shd w:val="clear" w:color="auto" w:fill="auto"/>
            <w:tcMar>
              <w:top w:w="100" w:type="dxa"/>
              <w:left w:w="100" w:type="dxa"/>
              <w:bottom w:w="100" w:type="dxa"/>
              <w:right w:w="100" w:type="dxa"/>
            </w:tcMar>
          </w:tcPr>
          <w:p w14:paraId="3E73EC26"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Income, marriage, living alone, occupation</w:t>
            </w:r>
          </w:p>
        </w:tc>
        <w:tc>
          <w:tcPr>
            <w:tcW w:w="832" w:type="pct"/>
            <w:tcBorders>
              <w:left w:val="nil"/>
              <w:right w:val="nil"/>
            </w:tcBorders>
            <w:shd w:val="clear" w:color="auto" w:fill="auto"/>
            <w:tcMar>
              <w:top w:w="100" w:type="dxa"/>
              <w:left w:w="100" w:type="dxa"/>
              <w:bottom w:w="100" w:type="dxa"/>
              <w:right w:w="100" w:type="dxa"/>
            </w:tcMar>
          </w:tcPr>
          <w:p w14:paraId="00374420"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Sex, age, diabetes, hyperlipidemia, alcohol, atrial fibrillation</w:t>
            </w:r>
          </w:p>
        </w:tc>
        <w:tc>
          <w:tcPr>
            <w:tcW w:w="497" w:type="pct"/>
            <w:tcBorders>
              <w:left w:val="nil"/>
              <w:right w:val="nil"/>
            </w:tcBorders>
            <w:shd w:val="clear" w:color="auto" w:fill="auto"/>
            <w:tcMar>
              <w:top w:w="100" w:type="dxa"/>
              <w:left w:w="100" w:type="dxa"/>
              <w:bottom w:w="100" w:type="dxa"/>
              <w:right w:w="100" w:type="dxa"/>
            </w:tcMar>
          </w:tcPr>
          <w:p w14:paraId="633D3CB1" w14:textId="0C76429D" w:rsidR="009F211C" w:rsidRDefault="00B370F9" w:rsidP="009F211C">
            <w:pPr>
              <w:pStyle w:val="normal0"/>
              <w:pBdr>
                <w:top w:val="nil"/>
                <w:left w:val="nil"/>
                <w:bottom w:val="nil"/>
                <w:right w:val="nil"/>
                <w:between w:val="nil"/>
              </w:pBdr>
              <w:spacing w:line="240" w:lineRule="auto"/>
              <w:rPr>
                <w:b/>
                <w:sz w:val="20"/>
                <w:szCs w:val="20"/>
              </w:rPr>
            </w:pPr>
            <w:r>
              <w:rPr>
                <w:sz w:val="20"/>
                <w:szCs w:val="20"/>
              </w:rPr>
              <w:t>Ischaemic</w:t>
            </w:r>
            <w:r w:rsidR="009F211C">
              <w:rPr>
                <w:sz w:val="20"/>
                <w:szCs w:val="20"/>
              </w:rPr>
              <w:t xml:space="preserve"> stroke, haemorrhagic stroke, unknown type</w:t>
            </w:r>
          </w:p>
        </w:tc>
        <w:tc>
          <w:tcPr>
            <w:tcW w:w="1017" w:type="pct"/>
            <w:tcBorders>
              <w:left w:val="nil"/>
            </w:tcBorders>
            <w:shd w:val="clear" w:color="auto" w:fill="auto"/>
            <w:tcMar>
              <w:top w:w="100" w:type="dxa"/>
              <w:left w:w="100" w:type="dxa"/>
              <w:bottom w:w="100" w:type="dxa"/>
              <w:right w:w="100" w:type="dxa"/>
            </w:tcMar>
          </w:tcPr>
          <w:p w14:paraId="3F4E2D91"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Poor household and SES were unrelated to prehospital delay post-stroke</w:t>
            </w:r>
          </w:p>
        </w:tc>
      </w:tr>
      <w:tr w:rsidR="009F211C" w14:paraId="679491F7" w14:textId="77777777" w:rsidTr="00B370F9">
        <w:tc>
          <w:tcPr>
            <w:tcW w:w="447" w:type="pct"/>
            <w:tcBorders>
              <w:right w:val="nil"/>
            </w:tcBorders>
            <w:shd w:val="clear" w:color="auto" w:fill="auto"/>
            <w:tcMar>
              <w:top w:w="100" w:type="dxa"/>
              <w:left w:w="100" w:type="dxa"/>
              <w:bottom w:w="100" w:type="dxa"/>
              <w:right w:w="100" w:type="dxa"/>
            </w:tcMar>
          </w:tcPr>
          <w:p w14:paraId="15098C3C"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highlight w:val="white"/>
              </w:rPr>
              <w:t xml:space="preserve">Kamal et al. 2014 </w:t>
            </w:r>
            <w:hyperlink r:id="rId10">
              <w:r>
                <w:rPr>
                  <w:b/>
                  <w:color w:val="000000"/>
                  <w:sz w:val="20"/>
                  <w:szCs w:val="20"/>
                  <w:highlight w:val="white"/>
                </w:rPr>
                <w:t>[30]</w:t>
              </w:r>
            </w:hyperlink>
          </w:p>
        </w:tc>
        <w:tc>
          <w:tcPr>
            <w:tcW w:w="381" w:type="pct"/>
            <w:tcBorders>
              <w:left w:val="nil"/>
              <w:right w:val="nil"/>
            </w:tcBorders>
            <w:shd w:val="clear" w:color="auto" w:fill="auto"/>
            <w:tcMar>
              <w:top w:w="100" w:type="dxa"/>
              <w:left w:w="100" w:type="dxa"/>
              <w:bottom w:w="100" w:type="dxa"/>
              <w:right w:w="100" w:type="dxa"/>
            </w:tcMar>
          </w:tcPr>
          <w:p w14:paraId="2A55972A"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Pakistan</w:t>
            </w:r>
          </w:p>
        </w:tc>
        <w:tc>
          <w:tcPr>
            <w:tcW w:w="388" w:type="pct"/>
            <w:tcBorders>
              <w:left w:val="nil"/>
              <w:right w:val="nil"/>
            </w:tcBorders>
            <w:shd w:val="clear" w:color="auto" w:fill="auto"/>
            <w:tcMar>
              <w:top w:w="100" w:type="dxa"/>
              <w:left w:w="100" w:type="dxa"/>
              <w:bottom w:w="100" w:type="dxa"/>
              <w:right w:w="100" w:type="dxa"/>
            </w:tcMar>
          </w:tcPr>
          <w:p w14:paraId="3094F708"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Hospital- based case- control</w:t>
            </w:r>
          </w:p>
        </w:tc>
        <w:tc>
          <w:tcPr>
            <w:tcW w:w="556" w:type="pct"/>
            <w:tcBorders>
              <w:left w:val="nil"/>
              <w:right w:val="nil"/>
            </w:tcBorders>
            <w:shd w:val="clear" w:color="auto" w:fill="auto"/>
            <w:tcMar>
              <w:top w:w="100" w:type="dxa"/>
              <w:left w:w="100" w:type="dxa"/>
              <w:bottom w:w="100" w:type="dxa"/>
              <w:right w:w="100" w:type="dxa"/>
            </w:tcMar>
          </w:tcPr>
          <w:p w14:paraId="5DD5C06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2007–2010</w:t>
            </w:r>
          </w:p>
        </w:tc>
        <w:tc>
          <w:tcPr>
            <w:tcW w:w="405" w:type="pct"/>
            <w:tcBorders>
              <w:left w:val="nil"/>
              <w:right w:val="nil"/>
            </w:tcBorders>
            <w:shd w:val="clear" w:color="auto" w:fill="auto"/>
            <w:tcMar>
              <w:top w:w="100" w:type="dxa"/>
              <w:left w:w="100" w:type="dxa"/>
              <w:bottom w:w="100" w:type="dxa"/>
              <w:right w:w="100" w:type="dxa"/>
            </w:tcMar>
          </w:tcPr>
          <w:p w14:paraId="6C4308B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385; &gt;18 years age (mean age of 62 years for cases controls)</w:t>
            </w:r>
          </w:p>
        </w:tc>
        <w:tc>
          <w:tcPr>
            <w:tcW w:w="477" w:type="pct"/>
            <w:tcBorders>
              <w:left w:val="nil"/>
              <w:right w:val="nil"/>
            </w:tcBorders>
            <w:shd w:val="clear" w:color="auto" w:fill="auto"/>
            <w:tcMar>
              <w:top w:w="100" w:type="dxa"/>
              <w:left w:w="100" w:type="dxa"/>
              <w:bottom w:w="100" w:type="dxa"/>
              <w:right w:w="100" w:type="dxa"/>
            </w:tcMar>
          </w:tcPr>
          <w:p w14:paraId="62B2DB8D"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Income, employment</w:t>
            </w:r>
          </w:p>
        </w:tc>
        <w:tc>
          <w:tcPr>
            <w:tcW w:w="832" w:type="pct"/>
            <w:tcBorders>
              <w:left w:val="nil"/>
              <w:right w:val="nil"/>
            </w:tcBorders>
            <w:shd w:val="clear" w:color="auto" w:fill="auto"/>
            <w:tcMar>
              <w:top w:w="100" w:type="dxa"/>
              <w:left w:w="100" w:type="dxa"/>
              <w:bottom w:w="100" w:type="dxa"/>
              <w:right w:w="100" w:type="dxa"/>
            </w:tcMar>
          </w:tcPr>
          <w:p w14:paraId="029DA68A"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Sex, age, hypertension, diabetes, dyslipidemia, tobacco use</w:t>
            </w:r>
          </w:p>
        </w:tc>
        <w:tc>
          <w:tcPr>
            <w:tcW w:w="497" w:type="pct"/>
            <w:tcBorders>
              <w:left w:val="nil"/>
              <w:right w:val="nil"/>
            </w:tcBorders>
            <w:shd w:val="clear" w:color="auto" w:fill="auto"/>
            <w:tcMar>
              <w:top w:w="100" w:type="dxa"/>
              <w:left w:w="100" w:type="dxa"/>
              <w:bottom w:w="100" w:type="dxa"/>
              <w:right w:w="100" w:type="dxa"/>
            </w:tcMar>
          </w:tcPr>
          <w:p w14:paraId="750AA856"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Intracranial atherosclerotic disease- related stroke</w:t>
            </w:r>
          </w:p>
        </w:tc>
        <w:tc>
          <w:tcPr>
            <w:tcW w:w="1017" w:type="pct"/>
            <w:tcBorders>
              <w:left w:val="nil"/>
            </w:tcBorders>
            <w:shd w:val="clear" w:color="auto" w:fill="auto"/>
            <w:tcMar>
              <w:top w:w="100" w:type="dxa"/>
              <w:left w:w="100" w:type="dxa"/>
              <w:bottom w:w="100" w:type="dxa"/>
              <w:right w:w="100" w:type="dxa"/>
            </w:tcMar>
          </w:tcPr>
          <w:p w14:paraId="34E8F1E4"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 xml:space="preserve">Participants with no employment or who were retired were at an increased risk of stroke. Moreover, individuals with a monthly income of more than 15,000 Pakistani rupees had a higher risk of stroke than to those who earned less than 15,000 Pakistani rupees. </w:t>
            </w:r>
          </w:p>
        </w:tc>
      </w:tr>
      <w:tr w:rsidR="009F211C" w14:paraId="397A0F34" w14:textId="77777777" w:rsidTr="00B370F9">
        <w:tc>
          <w:tcPr>
            <w:tcW w:w="447" w:type="pct"/>
            <w:tcBorders>
              <w:right w:val="nil"/>
            </w:tcBorders>
            <w:shd w:val="clear" w:color="auto" w:fill="auto"/>
            <w:tcMar>
              <w:top w:w="100" w:type="dxa"/>
              <w:left w:w="100" w:type="dxa"/>
              <w:bottom w:w="100" w:type="dxa"/>
              <w:right w:w="100" w:type="dxa"/>
            </w:tcMar>
          </w:tcPr>
          <w:p w14:paraId="49B09E46"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Kumar et al. 2015 </w:t>
            </w:r>
            <w:hyperlink r:id="rId11">
              <w:r>
                <w:rPr>
                  <w:b/>
                  <w:color w:val="000000"/>
                  <w:sz w:val="20"/>
                  <w:szCs w:val="20"/>
                </w:rPr>
                <w:t>[31]</w:t>
              </w:r>
            </w:hyperlink>
          </w:p>
        </w:tc>
        <w:tc>
          <w:tcPr>
            <w:tcW w:w="381" w:type="pct"/>
            <w:tcBorders>
              <w:left w:val="nil"/>
              <w:right w:val="nil"/>
            </w:tcBorders>
            <w:shd w:val="clear" w:color="auto" w:fill="auto"/>
            <w:tcMar>
              <w:top w:w="100" w:type="dxa"/>
              <w:left w:w="100" w:type="dxa"/>
              <w:bottom w:w="100" w:type="dxa"/>
              <w:right w:w="100" w:type="dxa"/>
            </w:tcMar>
          </w:tcPr>
          <w:p w14:paraId="17B4D2B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India</w:t>
            </w:r>
          </w:p>
        </w:tc>
        <w:tc>
          <w:tcPr>
            <w:tcW w:w="388" w:type="pct"/>
            <w:tcBorders>
              <w:left w:val="nil"/>
              <w:right w:val="nil"/>
            </w:tcBorders>
            <w:shd w:val="clear" w:color="auto" w:fill="auto"/>
            <w:tcMar>
              <w:top w:w="100" w:type="dxa"/>
              <w:left w:w="100" w:type="dxa"/>
              <w:bottom w:w="100" w:type="dxa"/>
              <w:right w:w="100" w:type="dxa"/>
            </w:tcMar>
          </w:tcPr>
          <w:p w14:paraId="0F03ECC1"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 xml:space="preserve">Hospital- based case- </w:t>
            </w:r>
            <w:r>
              <w:rPr>
                <w:sz w:val="20"/>
                <w:szCs w:val="20"/>
              </w:rPr>
              <w:lastRenderedPageBreak/>
              <w:t>control</w:t>
            </w:r>
          </w:p>
        </w:tc>
        <w:tc>
          <w:tcPr>
            <w:tcW w:w="556" w:type="pct"/>
            <w:tcBorders>
              <w:left w:val="nil"/>
              <w:right w:val="nil"/>
            </w:tcBorders>
            <w:shd w:val="clear" w:color="auto" w:fill="auto"/>
            <w:tcMar>
              <w:top w:w="100" w:type="dxa"/>
              <w:left w:w="100" w:type="dxa"/>
              <w:bottom w:w="100" w:type="dxa"/>
              <w:right w:w="100" w:type="dxa"/>
            </w:tcMar>
          </w:tcPr>
          <w:p w14:paraId="249E65C8"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lastRenderedPageBreak/>
              <w:t>February 2009– February 2012</w:t>
            </w:r>
          </w:p>
        </w:tc>
        <w:tc>
          <w:tcPr>
            <w:tcW w:w="405" w:type="pct"/>
            <w:tcBorders>
              <w:left w:val="nil"/>
              <w:right w:val="nil"/>
            </w:tcBorders>
            <w:shd w:val="clear" w:color="auto" w:fill="auto"/>
            <w:tcMar>
              <w:top w:w="100" w:type="dxa"/>
              <w:left w:w="100" w:type="dxa"/>
              <w:bottom w:w="100" w:type="dxa"/>
              <w:right w:w="100" w:type="dxa"/>
            </w:tcMar>
          </w:tcPr>
          <w:p w14:paraId="6BB36FF0"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 xml:space="preserve">448 (224 cases and </w:t>
            </w:r>
            <w:r>
              <w:rPr>
                <w:sz w:val="20"/>
                <w:szCs w:val="20"/>
              </w:rPr>
              <w:lastRenderedPageBreak/>
              <w:t>224 controls); mean age of 53</w:t>
            </w:r>
            <w:r>
              <w:rPr>
                <w:sz w:val="20"/>
                <w:szCs w:val="20"/>
                <w:highlight w:val="white"/>
              </w:rPr>
              <w:t xml:space="preserve"> (SD </w:t>
            </w:r>
            <w:r>
              <w:rPr>
                <w:sz w:val="20"/>
                <w:szCs w:val="20"/>
              </w:rPr>
              <w:t>14) years for cases and controls</w:t>
            </w:r>
          </w:p>
        </w:tc>
        <w:tc>
          <w:tcPr>
            <w:tcW w:w="477" w:type="pct"/>
            <w:tcBorders>
              <w:left w:val="nil"/>
              <w:right w:val="nil"/>
            </w:tcBorders>
            <w:shd w:val="clear" w:color="auto" w:fill="auto"/>
            <w:tcMar>
              <w:top w:w="100" w:type="dxa"/>
              <w:left w:w="100" w:type="dxa"/>
              <w:bottom w:w="100" w:type="dxa"/>
              <w:right w:w="100" w:type="dxa"/>
            </w:tcMar>
          </w:tcPr>
          <w:p w14:paraId="5DDA3290"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lastRenderedPageBreak/>
              <w:t xml:space="preserve">Household asset index for </w:t>
            </w:r>
            <w:r>
              <w:rPr>
                <w:sz w:val="20"/>
                <w:szCs w:val="20"/>
              </w:rPr>
              <w:lastRenderedPageBreak/>
              <w:t>determining the socioeconomic status, education</w:t>
            </w:r>
          </w:p>
        </w:tc>
        <w:tc>
          <w:tcPr>
            <w:tcW w:w="832" w:type="pct"/>
            <w:tcBorders>
              <w:left w:val="nil"/>
              <w:right w:val="nil"/>
            </w:tcBorders>
            <w:shd w:val="clear" w:color="auto" w:fill="auto"/>
            <w:tcMar>
              <w:top w:w="100" w:type="dxa"/>
              <w:left w:w="100" w:type="dxa"/>
              <w:bottom w:w="100" w:type="dxa"/>
              <w:right w:w="100" w:type="dxa"/>
            </w:tcMar>
          </w:tcPr>
          <w:p w14:paraId="16D29934"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lastRenderedPageBreak/>
              <w:t xml:space="preserve">Sex, age, hypertension, diabetes, dyslipidemia, </w:t>
            </w:r>
            <w:r>
              <w:rPr>
                <w:sz w:val="20"/>
                <w:szCs w:val="20"/>
              </w:rPr>
              <w:lastRenderedPageBreak/>
              <w:t>smoking</w:t>
            </w:r>
          </w:p>
        </w:tc>
        <w:tc>
          <w:tcPr>
            <w:tcW w:w="497" w:type="pct"/>
            <w:tcBorders>
              <w:left w:val="nil"/>
              <w:right w:val="nil"/>
            </w:tcBorders>
            <w:shd w:val="clear" w:color="auto" w:fill="auto"/>
            <w:tcMar>
              <w:top w:w="100" w:type="dxa"/>
              <w:left w:w="100" w:type="dxa"/>
              <w:bottom w:w="100" w:type="dxa"/>
              <w:right w:w="100" w:type="dxa"/>
            </w:tcMar>
          </w:tcPr>
          <w:p w14:paraId="284C2008" w14:textId="30A6D2AA" w:rsidR="009F211C" w:rsidRDefault="00B370F9" w:rsidP="009F211C">
            <w:pPr>
              <w:pStyle w:val="normal0"/>
              <w:pBdr>
                <w:top w:val="nil"/>
                <w:left w:val="nil"/>
                <w:bottom w:val="nil"/>
                <w:right w:val="nil"/>
                <w:between w:val="nil"/>
              </w:pBdr>
              <w:spacing w:line="240" w:lineRule="auto"/>
              <w:rPr>
                <w:b/>
                <w:sz w:val="20"/>
                <w:szCs w:val="20"/>
              </w:rPr>
            </w:pPr>
            <w:r>
              <w:rPr>
                <w:sz w:val="20"/>
                <w:szCs w:val="20"/>
              </w:rPr>
              <w:lastRenderedPageBreak/>
              <w:t>Ischaemic</w:t>
            </w:r>
            <w:r w:rsidR="009F211C">
              <w:rPr>
                <w:sz w:val="20"/>
                <w:szCs w:val="20"/>
              </w:rPr>
              <w:t xml:space="preserve"> stroke, large </w:t>
            </w:r>
            <w:r w:rsidR="009F211C">
              <w:rPr>
                <w:sz w:val="20"/>
                <w:szCs w:val="20"/>
              </w:rPr>
              <w:lastRenderedPageBreak/>
              <w:t>vessel stroke, small vessel stroke</w:t>
            </w:r>
          </w:p>
        </w:tc>
        <w:tc>
          <w:tcPr>
            <w:tcW w:w="1017" w:type="pct"/>
            <w:tcBorders>
              <w:left w:val="nil"/>
            </w:tcBorders>
            <w:shd w:val="clear" w:color="auto" w:fill="auto"/>
            <w:tcMar>
              <w:top w:w="100" w:type="dxa"/>
              <w:left w:w="100" w:type="dxa"/>
              <w:bottom w:w="100" w:type="dxa"/>
              <w:right w:w="100" w:type="dxa"/>
            </w:tcMar>
          </w:tcPr>
          <w:p w14:paraId="0B7598F8" w14:textId="3008438B" w:rsidR="009F211C" w:rsidRDefault="009F211C" w:rsidP="009F211C">
            <w:pPr>
              <w:pStyle w:val="normal0"/>
              <w:pBdr>
                <w:top w:val="nil"/>
                <w:left w:val="nil"/>
                <w:bottom w:val="nil"/>
                <w:right w:val="nil"/>
                <w:between w:val="nil"/>
              </w:pBdr>
              <w:spacing w:line="240" w:lineRule="auto"/>
              <w:rPr>
                <w:b/>
                <w:sz w:val="20"/>
                <w:szCs w:val="20"/>
              </w:rPr>
            </w:pPr>
            <w:r>
              <w:rPr>
                <w:sz w:val="20"/>
                <w:szCs w:val="20"/>
              </w:rPr>
              <w:lastRenderedPageBreak/>
              <w:t xml:space="preserve">The low economic status was independently associated with the </w:t>
            </w:r>
            <w:r>
              <w:rPr>
                <w:sz w:val="20"/>
                <w:szCs w:val="20"/>
              </w:rPr>
              <w:lastRenderedPageBreak/>
              <w:t xml:space="preserve">risk of </w:t>
            </w:r>
            <w:r w:rsidR="00B370F9">
              <w:rPr>
                <w:sz w:val="20"/>
                <w:szCs w:val="20"/>
              </w:rPr>
              <w:t>ischaemic</w:t>
            </w:r>
            <w:r>
              <w:rPr>
                <w:sz w:val="20"/>
                <w:szCs w:val="20"/>
              </w:rPr>
              <w:t xml:space="preserve"> stroke after adjustment for demographic and risk factor variables (OR 2.8; CI 1.2– 6.3)</w:t>
            </w:r>
          </w:p>
        </w:tc>
      </w:tr>
      <w:tr w:rsidR="009F211C" w14:paraId="79343C8D" w14:textId="77777777" w:rsidTr="00B370F9">
        <w:trPr>
          <w:trHeight w:val="1260"/>
        </w:trPr>
        <w:tc>
          <w:tcPr>
            <w:tcW w:w="447" w:type="pct"/>
            <w:tcBorders>
              <w:right w:val="nil"/>
            </w:tcBorders>
            <w:shd w:val="clear" w:color="auto" w:fill="auto"/>
            <w:tcMar>
              <w:top w:w="100" w:type="dxa"/>
              <w:left w:w="100" w:type="dxa"/>
              <w:bottom w:w="100" w:type="dxa"/>
              <w:right w:w="100" w:type="dxa"/>
            </w:tcMar>
          </w:tcPr>
          <w:p w14:paraId="1AA5FEB5"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highlight w:val="white"/>
              </w:rPr>
              <w:lastRenderedPageBreak/>
              <w:t xml:space="preserve">Menon et al. 2015 </w:t>
            </w:r>
            <w:hyperlink r:id="rId12">
              <w:r>
                <w:rPr>
                  <w:b/>
                  <w:color w:val="000000"/>
                  <w:sz w:val="20"/>
                  <w:szCs w:val="20"/>
                  <w:highlight w:val="white"/>
                </w:rPr>
                <w:t>[32]</w:t>
              </w:r>
            </w:hyperlink>
          </w:p>
        </w:tc>
        <w:tc>
          <w:tcPr>
            <w:tcW w:w="381" w:type="pct"/>
            <w:tcBorders>
              <w:left w:val="nil"/>
              <w:right w:val="nil"/>
            </w:tcBorders>
            <w:shd w:val="clear" w:color="auto" w:fill="auto"/>
            <w:tcMar>
              <w:top w:w="100" w:type="dxa"/>
              <w:left w:w="100" w:type="dxa"/>
              <w:bottom w:w="100" w:type="dxa"/>
              <w:right w:w="100" w:type="dxa"/>
            </w:tcMar>
          </w:tcPr>
          <w:p w14:paraId="6D291DCC"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India</w:t>
            </w:r>
          </w:p>
        </w:tc>
        <w:tc>
          <w:tcPr>
            <w:tcW w:w="388" w:type="pct"/>
            <w:tcBorders>
              <w:left w:val="nil"/>
              <w:right w:val="nil"/>
            </w:tcBorders>
            <w:shd w:val="clear" w:color="auto" w:fill="auto"/>
            <w:tcMar>
              <w:top w:w="100" w:type="dxa"/>
              <w:left w:w="100" w:type="dxa"/>
              <w:bottom w:w="100" w:type="dxa"/>
              <w:right w:w="100" w:type="dxa"/>
            </w:tcMar>
          </w:tcPr>
          <w:p w14:paraId="5D69163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Population-based cross- sectional</w:t>
            </w:r>
          </w:p>
        </w:tc>
        <w:tc>
          <w:tcPr>
            <w:tcW w:w="556" w:type="pct"/>
            <w:tcBorders>
              <w:left w:val="nil"/>
              <w:right w:val="nil"/>
            </w:tcBorders>
            <w:shd w:val="clear" w:color="auto" w:fill="auto"/>
            <w:tcMar>
              <w:top w:w="100" w:type="dxa"/>
              <w:left w:w="100" w:type="dxa"/>
              <w:bottom w:w="100" w:type="dxa"/>
              <w:right w:w="100" w:type="dxa"/>
            </w:tcMar>
          </w:tcPr>
          <w:p w14:paraId="2386269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June 2010– February 2012</w:t>
            </w:r>
          </w:p>
        </w:tc>
        <w:tc>
          <w:tcPr>
            <w:tcW w:w="405" w:type="pct"/>
            <w:tcBorders>
              <w:left w:val="nil"/>
              <w:right w:val="nil"/>
            </w:tcBorders>
            <w:shd w:val="clear" w:color="auto" w:fill="auto"/>
            <w:tcMar>
              <w:top w:w="100" w:type="dxa"/>
              <w:left w:w="100" w:type="dxa"/>
              <w:bottom w:w="100" w:type="dxa"/>
              <w:right w:w="100" w:type="dxa"/>
            </w:tcMar>
          </w:tcPr>
          <w:p w14:paraId="6C83CDFD"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84,456; &gt;18 years age (mean 44 years for both men and women)</w:t>
            </w:r>
          </w:p>
        </w:tc>
        <w:tc>
          <w:tcPr>
            <w:tcW w:w="477" w:type="pct"/>
            <w:tcBorders>
              <w:left w:val="nil"/>
              <w:right w:val="nil"/>
            </w:tcBorders>
            <w:shd w:val="clear" w:color="auto" w:fill="auto"/>
            <w:tcMar>
              <w:top w:w="100" w:type="dxa"/>
              <w:left w:w="100" w:type="dxa"/>
              <w:bottom w:w="100" w:type="dxa"/>
              <w:right w:w="100" w:type="dxa"/>
            </w:tcMar>
          </w:tcPr>
          <w:p w14:paraId="17826045"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Above/below poverty line</w:t>
            </w:r>
          </w:p>
        </w:tc>
        <w:tc>
          <w:tcPr>
            <w:tcW w:w="832" w:type="pct"/>
            <w:tcBorders>
              <w:left w:val="nil"/>
              <w:right w:val="nil"/>
            </w:tcBorders>
            <w:shd w:val="clear" w:color="auto" w:fill="auto"/>
            <w:tcMar>
              <w:top w:w="100" w:type="dxa"/>
              <w:left w:w="100" w:type="dxa"/>
              <w:bottom w:w="100" w:type="dxa"/>
              <w:right w:w="100" w:type="dxa"/>
            </w:tcMar>
          </w:tcPr>
          <w:p w14:paraId="7FB3E631"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Sex, age, hypertension, diabetes, dyslipidemia, Smoking</w:t>
            </w:r>
          </w:p>
        </w:tc>
        <w:tc>
          <w:tcPr>
            <w:tcW w:w="497" w:type="pct"/>
            <w:tcBorders>
              <w:left w:val="nil"/>
              <w:right w:val="nil"/>
            </w:tcBorders>
            <w:shd w:val="clear" w:color="auto" w:fill="auto"/>
            <w:tcMar>
              <w:top w:w="100" w:type="dxa"/>
              <w:left w:w="100" w:type="dxa"/>
              <w:bottom w:w="100" w:type="dxa"/>
              <w:right w:w="100" w:type="dxa"/>
            </w:tcMar>
          </w:tcPr>
          <w:p w14:paraId="3392EFA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Stroke subtypes were not considered</w:t>
            </w:r>
          </w:p>
        </w:tc>
        <w:tc>
          <w:tcPr>
            <w:tcW w:w="1017" w:type="pct"/>
            <w:tcBorders>
              <w:left w:val="nil"/>
            </w:tcBorders>
            <w:shd w:val="clear" w:color="auto" w:fill="auto"/>
            <w:tcMar>
              <w:top w:w="100" w:type="dxa"/>
              <w:left w:w="100" w:type="dxa"/>
              <w:bottom w:w="100" w:type="dxa"/>
              <w:right w:w="100" w:type="dxa"/>
            </w:tcMar>
          </w:tcPr>
          <w:p w14:paraId="2701555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After adjustment for stroke risk factors, below the poverty line was associated with higher risk of stroke (OR 1.3, 1.0–1.7; p 0.02)</w:t>
            </w:r>
          </w:p>
        </w:tc>
      </w:tr>
      <w:tr w:rsidR="009F211C" w14:paraId="66EA4E63" w14:textId="77777777" w:rsidTr="00B370F9">
        <w:tc>
          <w:tcPr>
            <w:tcW w:w="447" w:type="pct"/>
            <w:tcBorders>
              <w:right w:val="nil"/>
            </w:tcBorders>
            <w:shd w:val="clear" w:color="auto" w:fill="auto"/>
            <w:tcMar>
              <w:top w:w="100" w:type="dxa"/>
              <w:left w:w="100" w:type="dxa"/>
              <w:bottom w:w="100" w:type="dxa"/>
              <w:right w:w="100" w:type="dxa"/>
            </w:tcMar>
          </w:tcPr>
          <w:p w14:paraId="6403EBC6"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Pandian et al. 2011 </w:t>
            </w:r>
            <w:hyperlink r:id="rId13">
              <w:r>
                <w:rPr>
                  <w:b/>
                  <w:color w:val="000000"/>
                  <w:sz w:val="20"/>
                  <w:szCs w:val="20"/>
                </w:rPr>
                <w:t>[33]</w:t>
              </w:r>
            </w:hyperlink>
          </w:p>
        </w:tc>
        <w:tc>
          <w:tcPr>
            <w:tcW w:w="381" w:type="pct"/>
            <w:tcBorders>
              <w:left w:val="nil"/>
              <w:right w:val="nil"/>
            </w:tcBorders>
            <w:shd w:val="clear" w:color="auto" w:fill="auto"/>
            <w:tcMar>
              <w:top w:w="100" w:type="dxa"/>
              <w:left w:w="100" w:type="dxa"/>
              <w:bottom w:w="100" w:type="dxa"/>
              <w:right w:w="100" w:type="dxa"/>
            </w:tcMar>
          </w:tcPr>
          <w:p w14:paraId="05790332"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India</w:t>
            </w:r>
          </w:p>
        </w:tc>
        <w:tc>
          <w:tcPr>
            <w:tcW w:w="388" w:type="pct"/>
            <w:tcBorders>
              <w:left w:val="nil"/>
              <w:right w:val="nil"/>
            </w:tcBorders>
            <w:shd w:val="clear" w:color="auto" w:fill="auto"/>
            <w:tcMar>
              <w:top w:w="100" w:type="dxa"/>
              <w:left w:w="100" w:type="dxa"/>
              <w:bottom w:w="100" w:type="dxa"/>
              <w:right w:w="100" w:type="dxa"/>
            </w:tcMar>
          </w:tcPr>
          <w:p w14:paraId="0E7C36BC"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Hospital- based cohort</w:t>
            </w:r>
          </w:p>
        </w:tc>
        <w:tc>
          <w:tcPr>
            <w:tcW w:w="556" w:type="pct"/>
            <w:tcBorders>
              <w:left w:val="nil"/>
              <w:right w:val="nil"/>
            </w:tcBorders>
            <w:shd w:val="clear" w:color="auto" w:fill="auto"/>
            <w:tcMar>
              <w:top w:w="100" w:type="dxa"/>
              <w:left w:w="100" w:type="dxa"/>
              <w:bottom w:w="100" w:type="dxa"/>
              <w:right w:w="100" w:type="dxa"/>
            </w:tcMar>
          </w:tcPr>
          <w:p w14:paraId="4E4C8C29"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March 2008– September 2009</w:t>
            </w:r>
          </w:p>
        </w:tc>
        <w:tc>
          <w:tcPr>
            <w:tcW w:w="405" w:type="pct"/>
            <w:tcBorders>
              <w:left w:val="nil"/>
              <w:right w:val="nil"/>
            </w:tcBorders>
            <w:shd w:val="clear" w:color="auto" w:fill="auto"/>
            <w:tcMar>
              <w:top w:w="100" w:type="dxa"/>
              <w:left w:w="100" w:type="dxa"/>
              <w:bottom w:w="100" w:type="dxa"/>
              <w:right w:w="100" w:type="dxa"/>
            </w:tcMar>
          </w:tcPr>
          <w:p w14:paraId="69A9CDC5"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448; 16–96 years age (mean 59 years)</w:t>
            </w:r>
          </w:p>
        </w:tc>
        <w:tc>
          <w:tcPr>
            <w:tcW w:w="477" w:type="pct"/>
            <w:tcBorders>
              <w:left w:val="nil"/>
              <w:right w:val="nil"/>
            </w:tcBorders>
            <w:shd w:val="clear" w:color="auto" w:fill="auto"/>
            <w:tcMar>
              <w:top w:w="100" w:type="dxa"/>
              <w:left w:w="100" w:type="dxa"/>
              <w:bottom w:w="100" w:type="dxa"/>
              <w:right w:w="100" w:type="dxa"/>
            </w:tcMar>
          </w:tcPr>
          <w:p w14:paraId="3247E658"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Education, occupation, nutrition</w:t>
            </w:r>
          </w:p>
        </w:tc>
        <w:tc>
          <w:tcPr>
            <w:tcW w:w="832" w:type="pct"/>
            <w:tcBorders>
              <w:left w:val="nil"/>
              <w:right w:val="nil"/>
            </w:tcBorders>
            <w:shd w:val="clear" w:color="auto" w:fill="auto"/>
            <w:tcMar>
              <w:top w:w="100" w:type="dxa"/>
              <w:left w:w="100" w:type="dxa"/>
              <w:bottom w:w="100" w:type="dxa"/>
              <w:right w:w="100" w:type="dxa"/>
            </w:tcMar>
          </w:tcPr>
          <w:p w14:paraId="0B5C876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Sex, age, smoking</w:t>
            </w:r>
          </w:p>
        </w:tc>
        <w:tc>
          <w:tcPr>
            <w:tcW w:w="497" w:type="pct"/>
            <w:tcBorders>
              <w:left w:val="nil"/>
              <w:right w:val="nil"/>
            </w:tcBorders>
            <w:shd w:val="clear" w:color="auto" w:fill="auto"/>
            <w:tcMar>
              <w:top w:w="100" w:type="dxa"/>
              <w:left w:w="100" w:type="dxa"/>
              <w:bottom w:w="100" w:type="dxa"/>
              <w:right w:w="100" w:type="dxa"/>
            </w:tcMar>
          </w:tcPr>
          <w:p w14:paraId="77C32E31" w14:textId="4120BCCE" w:rsidR="009F211C" w:rsidRDefault="00B370F9" w:rsidP="009F211C">
            <w:pPr>
              <w:pStyle w:val="normal0"/>
              <w:pBdr>
                <w:top w:val="nil"/>
                <w:left w:val="nil"/>
                <w:bottom w:val="nil"/>
                <w:right w:val="nil"/>
                <w:between w:val="nil"/>
              </w:pBdr>
              <w:spacing w:line="240" w:lineRule="auto"/>
              <w:rPr>
                <w:b/>
                <w:sz w:val="20"/>
                <w:szCs w:val="20"/>
              </w:rPr>
            </w:pPr>
            <w:r>
              <w:rPr>
                <w:sz w:val="20"/>
                <w:szCs w:val="20"/>
              </w:rPr>
              <w:t>Ischaemic</w:t>
            </w:r>
            <w:r w:rsidR="009F211C">
              <w:rPr>
                <w:sz w:val="20"/>
                <w:szCs w:val="20"/>
              </w:rPr>
              <w:t xml:space="preserve"> stroke, haemorrhagic stroke</w:t>
            </w:r>
          </w:p>
        </w:tc>
        <w:tc>
          <w:tcPr>
            <w:tcW w:w="1017" w:type="pct"/>
            <w:tcBorders>
              <w:left w:val="nil"/>
            </w:tcBorders>
            <w:shd w:val="clear" w:color="auto" w:fill="auto"/>
            <w:tcMar>
              <w:top w:w="100" w:type="dxa"/>
              <w:left w:w="100" w:type="dxa"/>
              <w:bottom w:w="100" w:type="dxa"/>
              <w:right w:w="100" w:type="dxa"/>
            </w:tcMar>
          </w:tcPr>
          <w:p w14:paraId="15CFFB59"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Premorbid undernutrition (OR 2.0), unemployment (OR 1.7) and lower education (OR 1.3) were independent predictors of poor outcome</w:t>
            </w:r>
          </w:p>
        </w:tc>
      </w:tr>
      <w:tr w:rsidR="009F211C" w14:paraId="344D3683" w14:textId="77777777" w:rsidTr="00B370F9">
        <w:trPr>
          <w:trHeight w:val="1080"/>
        </w:trPr>
        <w:tc>
          <w:tcPr>
            <w:tcW w:w="447" w:type="pct"/>
            <w:tcBorders>
              <w:right w:val="nil"/>
            </w:tcBorders>
            <w:shd w:val="clear" w:color="auto" w:fill="auto"/>
            <w:tcMar>
              <w:top w:w="100" w:type="dxa"/>
              <w:left w:w="100" w:type="dxa"/>
              <w:bottom w:w="100" w:type="dxa"/>
              <w:right w:w="100" w:type="dxa"/>
            </w:tcMar>
          </w:tcPr>
          <w:p w14:paraId="45CE09A0"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Tang et al. 2015 </w:t>
            </w:r>
            <w:hyperlink r:id="rId14">
              <w:r>
                <w:rPr>
                  <w:b/>
                  <w:color w:val="000000"/>
                  <w:sz w:val="20"/>
                  <w:szCs w:val="20"/>
                </w:rPr>
                <w:t>[34]</w:t>
              </w:r>
            </w:hyperlink>
          </w:p>
        </w:tc>
        <w:tc>
          <w:tcPr>
            <w:tcW w:w="381" w:type="pct"/>
            <w:tcBorders>
              <w:left w:val="nil"/>
              <w:right w:val="nil"/>
            </w:tcBorders>
            <w:shd w:val="clear" w:color="auto" w:fill="auto"/>
            <w:tcMar>
              <w:top w:w="100" w:type="dxa"/>
              <w:left w:w="100" w:type="dxa"/>
              <w:bottom w:w="100" w:type="dxa"/>
              <w:right w:w="100" w:type="dxa"/>
            </w:tcMar>
          </w:tcPr>
          <w:p w14:paraId="0C541AEA"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China</w:t>
            </w:r>
          </w:p>
        </w:tc>
        <w:tc>
          <w:tcPr>
            <w:tcW w:w="388" w:type="pct"/>
            <w:tcBorders>
              <w:left w:val="nil"/>
              <w:right w:val="nil"/>
            </w:tcBorders>
            <w:shd w:val="clear" w:color="auto" w:fill="auto"/>
            <w:tcMar>
              <w:top w:w="100" w:type="dxa"/>
              <w:left w:w="100" w:type="dxa"/>
              <w:bottom w:w="100" w:type="dxa"/>
              <w:right w:w="100" w:type="dxa"/>
            </w:tcMar>
          </w:tcPr>
          <w:p w14:paraId="11994A0B"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Population-based cross- sectional</w:t>
            </w:r>
          </w:p>
        </w:tc>
        <w:tc>
          <w:tcPr>
            <w:tcW w:w="556" w:type="pct"/>
            <w:tcBorders>
              <w:left w:val="nil"/>
              <w:right w:val="nil"/>
            </w:tcBorders>
            <w:shd w:val="clear" w:color="auto" w:fill="auto"/>
            <w:tcMar>
              <w:top w:w="100" w:type="dxa"/>
              <w:left w:w="100" w:type="dxa"/>
              <w:bottom w:w="100" w:type="dxa"/>
              <w:right w:w="100" w:type="dxa"/>
            </w:tcMar>
          </w:tcPr>
          <w:p w14:paraId="40BA42F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May 2009– August 2010</w:t>
            </w:r>
          </w:p>
        </w:tc>
        <w:tc>
          <w:tcPr>
            <w:tcW w:w="405" w:type="pct"/>
            <w:tcBorders>
              <w:left w:val="nil"/>
              <w:right w:val="nil"/>
            </w:tcBorders>
            <w:shd w:val="clear" w:color="auto" w:fill="auto"/>
            <w:tcMar>
              <w:top w:w="100" w:type="dxa"/>
              <w:left w:w="100" w:type="dxa"/>
              <w:bottom w:w="100" w:type="dxa"/>
              <w:right w:w="100" w:type="dxa"/>
            </w:tcMar>
          </w:tcPr>
          <w:p w14:paraId="44A7D5B2"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14,424 rural; &gt;40 years age</w:t>
            </w:r>
          </w:p>
        </w:tc>
        <w:tc>
          <w:tcPr>
            <w:tcW w:w="477" w:type="pct"/>
            <w:tcBorders>
              <w:left w:val="nil"/>
              <w:right w:val="nil"/>
            </w:tcBorders>
            <w:shd w:val="clear" w:color="auto" w:fill="auto"/>
            <w:tcMar>
              <w:top w:w="100" w:type="dxa"/>
              <w:left w:w="100" w:type="dxa"/>
              <w:bottom w:w="100" w:type="dxa"/>
              <w:right w:w="100" w:type="dxa"/>
            </w:tcMar>
          </w:tcPr>
          <w:p w14:paraId="75BDF0F1"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Income, education</w:t>
            </w:r>
          </w:p>
        </w:tc>
        <w:tc>
          <w:tcPr>
            <w:tcW w:w="832" w:type="pct"/>
            <w:tcBorders>
              <w:left w:val="nil"/>
              <w:right w:val="nil"/>
            </w:tcBorders>
            <w:shd w:val="clear" w:color="auto" w:fill="auto"/>
            <w:tcMar>
              <w:top w:w="100" w:type="dxa"/>
              <w:left w:w="100" w:type="dxa"/>
              <w:bottom w:w="100" w:type="dxa"/>
              <w:right w:w="100" w:type="dxa"/>
            </w:tcMar>
          </w:tcPr>
          <w:p w14:paraId="12D1413E"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Sex, age, smoking, alcohol, hypertension, diabetes, obesity</w:t>
            </w:r>
          </w:p>
        </w:tc>
        <w:tc>
          <w:tcPr>
            <w:tcW w:w="497" w:type="pct"/>
            <w:tcBorders>
              <w:left w:val="nil"/>
              <w:right w:val="nil"/>
            </w:tcBorders>
            <w:shd w:val="clear" w:color="auto" w:fill="auto"/>
            <w:tcMar>
              <w:top w:w="100" w:type="dxa"/>
              <w:left w:w="100" w:type="dxa"/>
              <w:bottom w:w="100" w:type="dxa"/>
              <w:right w:w="100" w:type="dxa"/>
            </w:tcMar>
          </w:tcPr>
          <w:p w14:paraId="00C0AC6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Stroke subtypes were not considered</w:t>
            </w:r>
          </w:p>
        </w:tc>
        <w:tc>
          <w:tcPr>
            <w:tcW w:w="1017" w:type="pct"/>
            <w:tcBorders>
              <w:left w:val="nil"/>
            </w:tcBorders>
            <w:shd w:val="clear" w:color="auto" w:fill="auto"/>
            <w:tcMar>
              <w:top w:w="100" w:type="dxa"/>
              <w:left w:w="100" w:type="dxa"/>
              <w:bottom w:w="100" w:type="dxa"/>
              <w:right w:w="100" w:type="dxa"/>
            </w:tcMar>
          </w:tcPr>
          <w:p w14:paraId="7AA202AA" w14:textId="77777777" w:rsidR="009F211C" w:rsidRDefault="009F211C" w:rsidP="009F211C">
            <w:pPr>
              <w:pStyle w:val="normal0"/>
              <w:pBdr>
                <w:top w:val="nil"/>
                <w:left w:val="nil"/>
                <w:bottom w:val="nil"/>
                <w:right w:val="nil"/>
                <w:between w:val="nil"/>
              </w:pBdr>
              <w:spacing w:line="240" w:lineRule="auto"/>
              <w:rPr>
                <w:b/>
                <w:sz w:val="20"/>
                <w:szCs w:val="20"/>
              </w:rPr>
            </w:pPr>
            <w:r>
              <w:rPr>
                <w:rFonts w:ascii="Gungsuh" w:eastAsia="Gungsuh" w:hAnsi="Gungsuh" w:cs="Gungsuh"/>
                <w:sz w:val="20"/>
                <w:szCs w:val="20"/>
                <w:highlight w:val="white"/>
              </w:rPr>
              <w:t>High-income villages were at higher risk of stroke (RR 1.7, CI 1.1–2.6) than lower-income villages</w:t>
            </w:r>
          </w:p>
        </w:tc>
      </w:tr>
      <w:tr w:rsidR="009F211C" w14:paraId="3796BCB5" w14:textId="77777777" w:rsidTr="00B370F9">
        <w:trPr>
          <w:trHeight w:val="1580"/>
        </w:trPr>
        <w:tc>
          <w:tcPr>
            <w:tcW w:w="447" w:type="pct"/>
            <w:tcBorders>
              <w:right w:val="nil"/>
            </w:tcBorders>
            <w:shd w:val="clear" w:color="auto" w:fill="auto"/>
            <w:tcMar>
              <w:top w:w="100" w:type="dxa"/>
              <w:left w:w="100" w:type="dxa"/>
              <w:bottom w:w="100" w:type="dxa"/>
              <w:right w:w="100" w:type="dxa"/>
            </w:tcMar>
          </w:tcPr>
          <w:p w14:paraId="1130FD42"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Xu et al. 2008 </w:t>
            </w:r>
            <w:hyperlink r:id="rId15">
              <w:r>
                <w:rPr>
                  <w:b/>
                  <w:color w:val="000000"/>
                  <w:sz w:val="20"/>
                  <w:szCs w:val="20"/>
                </w:rPr>
                <w:t>[35]</w:t>
              </w:r>
            </w:hyperlink>
          </w:p>
        </w:tc>
        <w:tc>
          <w:tcPr>
            <w:tcW w:w="381" w:type="pct"/>
            <w:tcBorders>
              <w:left w:val="nil"/>
              <w:right w:val="nil"/>
            </w:tcBorders>
            <w:shd w:val="clear" w:color="auto" w:fill="auto"/>
            <w:tcMar>
              <w:top w:w="100" w:type="dxa"/>
              <w:left w:w="100" w:type="dxa"/>
              <w:bottom w:w="100" w:type="dxa"/>
              <w:right w:w="100" w:type="dxa"/>
            </w:tcMar>
          </w:tcPr>
          <w:p w14:paraId="1F70934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China</w:t>
            </w:r>
          </w:p>
        </w:tc>
        <w:tc>
          <w:tcPr>
            <w:tcW w:w="388" w:type="pct"/>
            <w:tcBorders>
              <w:left w:val="nil"/>
              <w:right w:val="nil"/>
            </w:tcBorders>
            <w:shd w:val="clear" w:color="auto" w:fill="auto"/>
            <w:tcMar>
              <w:top w:w="100" w:type="dxa"/>
              <w:left w:w="100" w:type="dxa"/>
              <w:bottom w:w="100" w:type="dxa"/>
              <w:right w:w="100" w:type="dxa"/>
            </w:tcMar>
          </w:tcPr>
          <w:p w14:paraId="3CCE335A"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Population- based cross- sectional</w:t>
            </w:r>
          </w:p>
        </w:tc>
        <w:tc>
          <w:tcPr>
            <w:tcW w:w="556" w:type="pct"/>
            <w:tcBorders>
              <w:left w:val="nil"/>
              <w:right w:val="nil"/>
            </w:tcBorders>
            <w:shd w:val="clear" w:color="auto" w:fill="auto"/>
            <w:tcMar>
              <w:top w:w="100" w:type="dxa"/>
              <w:left w:w="100" w:type="dxa"/>
              <w:bottom w:w="100" w:type="dxa"/>
              <w:right w:w="100" w:type="dxa"/>
            </w:tcMar>
          </w:tcPr>
          <w:p w14:paraId="4D94DE82"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October 2000– March 2001</w:t>
            </w:r>
          </w:p>
        </w:tc>
        <w:tc>
          <w:tcPr>
            <w:tcW w:w="405" w:type="pct"/>
            <w:tcBorders>
              <w:left w:val="nil"/>
              <w:right w:val="nil"/>
            </w:tcBorders>
            <w:shd w:val="clear" w:color="auto" w:fill="auto"/>
            <w:tcMar>
              <w:top w:w="100" w:type="dxa"/>
              <w:left w:w="100" w:type="dxa"/>
              <w:bottom w:w="100" w:type="dxa"/>
              <w:right w:w="100" w:type="dxa"/>
            </w:tcMar>
          </w:tcPr>
          <w:p w14:paraId="632900C2"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29,340; &gt;35 years age</w:t>
            </w:r>
          </w:p>
        </w:tc>
        <w:tc>
          <w:tcPr>
            <w:tcW w:w="477" w:type="pct"/>
            <w:tcBorders>
              <w:left w:val="nil"/>
              <w:right w:val="nil"/>
            </w:tcBorders>
            <w:shd w:val="clear" w:color="auto" w:fill="auto"/>
            <w:tcMar>
              <w:top w:w="100" w:type="dxa"/>
              <w:left w:w="100" w:type="dxa"/>
              <w:bottom w:w="100" w:type="dxa"/>
              <w:right w:w="100" w:type="dxa"/>
            </w:tcMar>
          </w:tcPr>
          <w:p w14:paraId="370F0305"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Income</w:t>
            </w:r>
          </w:p>
        </w:tc>
        <w:tc>
          <w:tcPr>
            <w:tcW w:w="832" w:type="pct"/>
            <w:tcBorders>
              <w:left w:val="nil"/>
              <w:right w:val="nil"/>
            </w:tcBorders>
            <w:shd w:val="clear" w:color="auto" w:fill="auto"/>
            <w:tcMar>
              <w:top w:w="100" w:type="dxa"/>
              <w:left w:w="100" w:type="dxa"/>
              <w:bottom w:w="100" w:type="dxa"/>
              <w:right w:w="100" w:type="dxa"/>
            </w:tcMar>
          </w:tcPr>
          <w:p w14:paraId="55F3A9E9"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Sex, age, area of residence, obesity, cigarette smoking, alcohol consumption, diabetes, high blood pressure</w:t>
            </w:r>
          </w:p>
        </w:tc>
        <w:tc>
          <w:tcPr>
            <w:tcW w:w="497" w:type="pct"/>
            <w:tcBorders>
              <w:left w:val="nil"/>
              <w:right w:val="nil"/>
            </w:tcBorders>
            <w:shd w:val="clear" w:color="auto" w:fill="auto"/>
            <w:tcMar>
              <w:top w:w="100" w:type="dxa"/>
              <w:left w:w="100" w:type="dxa"/>
              <w:bottom w:w="100" w:type="dxa"/>
              <w:right w:w="100" w:type="dxa"/>
            </w:tcMar>
          </w:tcPr>
          <w:p w14:paraId="7FCA3A57"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Stroke subtypes were not considered</w:t>
            </w:r>
          </w:p>
        </w:tc>
        <w:tc>
          <w:tcPr>
            <w:tcW w:w="1017" w:type="pct"/>
            <w:tcBorders>
              <w:left w:val="nil"/>
            </w:tcBorders>
            <w:shd w:val="clear" w:color="auto" w:fill="auto"/>
            <w:tcMar>
              <w:top w:w="100" w:type="dxa"/>
              <w:left w:w="100" w:type="dxa"/>
              <w:bottom w:w="100" w:type="dxa"/>
              <w:right w:w="100" w:type="dxa"/>
            </w:tcMar>
          </w:tcPr>
          <w:p w14:paraId="0C2D0EA0"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An elevated prevalence of stroke was associated with increasing levels of family average income</w:t>
            </w:r>
          </w:p>
        </w:tc>
      </w:tr>
      <w:tr w:rsidR="009F211C" w14:paraId="3727D0B6" w14:textId="77777777" w:rsidTr="00B370F9">
        <w:tc>
          <w:tcPr>
            <w:tcW w:w="447" w:type="pct"/>
            <w:tcBorders>
              <w:right w:val="nil"/>
            </w:tcBorders>
            <w:shd w:val="clear" w:color="auto" w:fill="auto"/>
            <w:tcMar>
              <w:top w:w="100" w:type="dxa"/>
              <w:left w:w="100" w:type="dxa"/>
              <w:bottom w:w="100" w:type="dxa"/>
              <w:right w:w="100" w:type="dxa"/>
            </w:tcMar>
          </w:tcPr>
          <w:p w14:paraId="2CD24884" w14:textId="77777777" w:rsidR="009F211C" w:rsidRDefault="009F211C" w:rsidP="009F211C">
            <w:pPr>
              <w:pStyle w:val="normal0"/>
              <w:pBdr>
                <w:top w:val="nil"/>
                <w:left w:val="nil"/>
                <w:bottom w:val="nil"/>
                <w:right w:val="nil"/>
                <w:between w:val="nil"/>
              </w:pBdr>
              <w:spacing w:line="240" w:lineRule="auto"/>
              <w:rPr>
                <w:b/>
                <w:sz w:val="20"/>
                <w:szCs w:val="20"/>
              </w:rPr>
            </w:pPr>
            <w:r>
              <w:rPr>
                <w:b/>
                <w:sz w:val="20"/>
                <w:szCs w:val="20"/>
              </w:rPr>
              <w:t xml:space="preserve">Zhou et al. 2006 </w:t>
            </w:r>
            <w:hyperlink r:id="rId16">
              <w:r>
                <w:rPr>
                  <w:b/>
                  <w:color w:val="000000"/>
                  <w:sz w:val="20"/>
                  <w:szCs w:val="20"/>
                </w:rPr>
                <w:t>[36]</w:t>
              </w:r>
            </w:hyperlink>
          </w:p>
        </w:tc>
        <w:tc>
          <w:tcPr>
            <w:tcW w:w="381" w:type="pct"/>
            <w:tcBorders>
              <w:left w:val="nil"/>
              <w:right w:val="nil"/>
            </w:tcBorders>
            <w:shd w:val="clear" w:color="auto" w:fill="auto"/>
            <w:tcMar>
              <w:top w:w="100" w:type="dxa"/>
              <w:left w:w="100" w:type="dxa"/>
              <w:bottom w:w="100" w:type="dxa"/>
              <w:right w:w="100" w:type="dxa"/>
            </w:tcMar>
          </w:tcPr>
          <w:p w14:paraId="1A34C4D9"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China</w:t>
            </w:r>
          </w:p>
        </w:tc>
        <w:tc>
          <w:tcPr>
            <w:tcW w:w="388" w:type="pct"/>
            <w:tcBorders>
              <w:left w:val="nil"/>
              <w:right w:val="nil"/>
            </w:tcBorders>
            <w:shd w:val="clear" w:color="auto" w:fill="auto"/>
            <w:tcMar>
              <w:top w:w="100" w:type="dxa"/>
              <w:left w:w="100" w:type="dxa"/>
              <w:bottom w:w="100" w:type="dxa"/>
              <w:right w:w="100" w:type="dxa"/>
            </w:tcMar>
          </w:tcPr>
          <w:p w14:paraId="75708AF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rPr>
              <w:t>Hospital- based cohort</w:t>
            </w:r>
          </w:p>
        </w:tc>
        <w:tc>
          <w:tcPr>
            <w:tcW w:w="556" w:type="pct"/>
            <w:tcBorders>
              <w:left w:val="nil"/>
              <w:right w:val="nil"/>
            </w:tcBorders>
            <w:shd w:val="clear" w:color="auto" w:fill="auto"/>
            <w:tcMar>
              <w:top w:w="100" w:type="dxa"/>
              <w:left w:w="100" w:type="dxa"/>
              <w:bottom w:w="100" w:type="dxa"/>
              <w:right w:w="100" w:type="dxa"/>
            </w:tcMar>
          </w:tcPr>
          <w:p w14:paraId="798F8F79"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August 1999– August 2002</w:t>
            </w:r>
          </w:p>
        </w:tc>
        <w:tc>
          <w:tcPr>
            <w:tcW w:w="405" w:type="pct"/>
            <w:tcBorders>
              <w:left w:val="nil"/>
              <w:right w:val="nil"/>
            </w:tcBorders>
            <w:shd w:val="clear" w:color="auto" w:fill="auto"/>
            <w:tcMar>
              <w:top w:w="100" w:type="dxa"/>
              <w:left w:w="100" w:type="dxa"/>
              <w:bottom w:w="100" w:type="dxa"/>
              <w:right w:w="100" w:type="dxa"/>
            </w:tcMar>
          </w:tcPr>
          <w:p w14:paraId="13801743"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806; mean age 71.0 (SD 11.2) years</w:t>
            </w:r>
          </w:p>
        </w:tc>
        <w:tc>
          <w:tcPr>
            <w:tcW w:w="477" w:type="pct"/>
            <w:tcBorders>
              <w:left w:val="nil"/>
              <w:right w:val="nil"/>
            </w:tcBorders>
            <w:shd w:val="clear" w:color="auto" w:fill="auto"/>
            <w:tcMar>
              <w:top w:w="100" w:type="dxa"/>
              <w:left w:w="100" w:type="dxa"/>
              <w:bottom w:w="100" w:type="dxa"/>
              <w:right w:w="100" w:type="dxa"/>
            </w:tcMar>
          </w:tcPr>
          <w:p w14:paraId="34091405"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Education, occupation, income, housing space</w:t>
            </w:r>
          </w:p>
        </w:tc>
        <w:tc>
          <w:tcPr>
            <w:tcW w:w="832" w:type="pct"/>
            <w:tcBorders>
              <w:left w:val="nil"/>
              <w:right w:val="nil"/>
            </w:tcBorders>
            <w:shd w:val="clear" w:color="auto" w:fill="auto"/>
            <w:tcMar>
              <w:top w:w="100" w:type="dxa"/>
              <w:left w:w="100" w:type="dxa"/>
              <w:bottom w:w="100" w:type="dxa"/>
              <w:right w:w="100" w:type="dxa"/>
            </w:tcMar>
          </w:tcPr>
          <w:p w14:paraId="5B51E3E0" w14:textId="2BD543EA"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 xml:space="preserve">Sex, age, cigarette smoking, hypertension, diabetes mellitus, hypercholesterolemia, atrial fibrillation, myocardial infarction, prior transient </w:t>
            </w:r>
            <w:r w:rsidR="00B370F9">
              <w:rPr>
                <w:sz w:val="20"/>
                <w:szCs w:val="20"/>
                <w:highlight w:val="white"/>
              </w:rPr>
              <w:t>ischaemic</w:t>
            </w:r>
            <w:r>
              <w:rPr>
                <w:sz w:val="20"/>
                <w:szCs w:val="20"/>
                <w:highlight w:val="white"/>
              </w:rPr>
              <w:t xml:space="preserve"> attack</w:t>
            </w:r>
          </w:p>
        </w:tc>
        <w:tc>
          <w:tcPr>
            <w:tcW w:w="497" w:type="pct"/>
            <w:tcBorders>
              <w:left w:val="nil"/>
              <w:right w:val="nil"/>
            </w:tcBorders>
            <w:shd w:val="clear" w:color="auto" w:fill="auto"/>
            <w:tcMar>
              <w:top w:w="100" w:type="dxa"/>
              <w:left w:w="100" w:type="dxa"/>
              <w:bottom w:w="100" w:type="dxa"/>
              <w:right w:w="100" w:type="dxa"/>
            </w:tcMar>
          </w:tcPr>
          <w:p w14:paraId="6F9FDCF7" w14:textId="714E3E1B" w:rsidR="009F211C" w:rsidRDefault="00B370F9" w:rsidP="009F211C">
            <w:pPr>
              <w:pStyle w:val="normal0"/>
              <w:pBdr>
                <w:top w:val="nil"/>
                <w:left w:val="nil"/>
                <w:bottom w:val="nil"/>
                <w:right w:val="nil"/>
                <w:between w:val="nil"/>
              </w:pBdr>
              <w:spacing w:line="240" w:lineRule="auto"/>
              <w:rPr>
                <w:b/>
                <w:sz w:val="20"/>
                <w:szCs w:val="20"/>
              </w:rPr>
            </w:pPr>
            <w:r>
              <w:rPr>
                <w:sz w:val="20"/>
                <w:szCs w:val="20"/>
                <w:highlight w:val="white"/>
              </w:rPr>
              <w:t>Ischaemic</w:t>
            </w:r>
            <w:r w:rsidR="009F211C">
              <w:rPr>
                <w:sz w:val="20"/>
                <w:szCs w:val="20"/>
                <w:highlight w:val="white"/>
              </w:rPr>
              <w:t xml:space="preserve"> stroke</w:t>
            </w:r>
          </w:p>
        </w:tc>
        <w:tc>
          <w:tcPr>
            <w:tcW w:w="1017" w:type="pct"/>
            <w:tcBorders>
              <w:left w:val="nil"/>
            </w:tcBorders>
            <w:shd w:val="clear" w:color="auto" w:fill="auto"/>
            <w:tcMar>
              <w:top w:w="100" w:type="dxa"/>
              <w:left w:w="100" w:type="dxa"/>
              <w:bottom w:w="100" w:type="dxa"/>
              <w:right w:w="100" w:type="dxa"/>
            </w:tcMar>
          </w:tcPr>
          <w:p w14:paraId="62ECF2B4" w14:textId="77777777" w:rsidR="009F211C" w:rsidRDefault="009F211C" w:rsidP="009F211C">
            <w:pPr>
              <w:pStyle w:val="normal0"/>
              <w:pBdr>
                <w:top w:val="nil"/>
                <w:left w:val="nil"/>
                <w:bottom w:val="nil"/>
                <w:right w:val="nil"/>
                <w:between w:val="nil"/>
              </w:pBdr>
              <w:spacing w:line="240" w:lineRule="auto"/>
              <w:rPr>
                <w:b/>
                <w:sz w:val="20"/>
                <w:szCs w:val="20"/>
              </w:rPr>
            </w:pPr>
            <w:r>
              <w:rPr>
                <w:sz w:val="20"/>
                <w:szCs w:val="20"/>
                <w:highlight w:val="white"/>
              </w:rPr>
              <w:t>Occupation, taxable income and housing space were significantly associated with three-year mortality after first-ever stroke</w:t>
            </w:r>
          </w:p>
        </w:tc>
      </w:tr>
      <w:tr w:rsidR="009F211C" w14:paraId="0AEC7A7A" w14:textId="77777777" w:rsidTr="00B370F9">
        <w:trPr>
          <w:trHeight w:val="2180"/>
        </w:trPr>
        <w:tc>
          <w:tcPr>
            <w:tcW w:w="5000" w:type="pct"/>
            <w:gridSpan w:val="9"/>
            <w:shd w:val="clear" w:color="auto" w:fill="auto"/>
            <w:tcMar>
              <w:top w:w="100" w:type="dxa"/>
              <w:left w:w="100" w:type="dxa"/>
              <w:bottom w:w="100" w:type="dxa"/>
              <w:right w:w="100" w:type="dxa"/>
            </w:tcMar>
          </w:tcPr>
          <w:p w14:paraId="0D7EB07C" w14:textId="77777777" w:rsidR="009F211C" w:rsidRDefault="009F211C" w:rsidP="009F211C">
            <w:pPr>
              <w:pStyle w:val="normal0"/>
              <w:spacing w:line="240" w:lineRule="auto"/>
              <w:rPr>
                <w:sz w:val="20"/>
                <w:szCs w:val="20"/>
              </w:rPr>
            </w:pPr>
            <w:r>
              <w:rPr>
                <w:b/>
                <w:sz w:val="20"/>
                <w:szCs w:val="20"/>
              </w:rPr>
              <w:t>Abbreviations</w:t>
            </w:r>
            <w:r>
              <w:rPr>
                <w:sz w:val="20"/>
                <w:szCs w:val="20"/>
              </w:rPr>
              <w:t>: CI, 95% confidence interval; N, number; OR, odds ratio; PR, prevalence ratio; RR, relative risk; SD, standard deviation; SES, socioeconomic status.</w:t>
            </w:r>
          </w:p>
          <w:p w14:paraId="50453AC5" w14:textId="77777777" w:rsidR="009F211C" w:rsidRDefault="009F211C" w:rsidP="009F211C">
            <w:pPr>
              <w:pStyle w:val="normal0"/>
              <w:spacing w:line="240" w:lineRule="auto"/>
              <w:rPr>
                <w:sz w:val="20"/>
                <w:szCs w:val="20"/>
              </w:rPr>
            </w:pPr>
            <w:r>
              <w:rPr>
                <w:b/>
                <w:sz w:val="20"/>
                <w:szCs w:val="20"/>
              </w:rPr>
              <w:t>Note</w:t>
            </w:r>
            <w:r>
              <w:rPr>
                <w:sz w:val="20"/>
                <w:szCs w:val="20"/>
              </w:rPr>
              <w:t xml:space="preserve">: We </w:t>
            </w:r>
            <w:r>
              <w:rPr>
                <w:color w:val="000000"/>
                <w:sz w:val="20"/>
                <w:szCs w:val="20"/>
              </w:rPr>
              <w:t>searched PubMed/Medline as of 1 March 2018 and the references of the retrieved articles for recent population-based or hospital-based cohorts (published in English) studying the association between SES and stroke. We used the MeSH terms “Socioeconomic Factors”, “Stroke”, “Adult”, “Cohort Studies”, “Risk Assessment”, “Incidence”, “Community Health Planning”, "Home Care Services, Hospital-Based", “Smoke”, “Alcohols”, “Obesity”, "Diabetes Mellitus", "Hyperlipidemias", "Air Pollution", "Atrial Fibrillation", "Stress, Psychological", "Atrial Fibrillation", “Malnutrition”, and "Nutrition Surveys", in addition to their entry terms and synonyms in LICs, LMICs, UMICs, and HICs (according to the 201</w:t>
            </w:r>
            <w:r>
              <w:rPr>
                <w:sz w:val="20"/>
                <w:szCs w:val="20"/>
              </w:rPr>
              <w:t>7</w:t>
            </w:r>
            <w:r>
              <w:rPr>
                <w:color w:val="000000"/>
                <w:sz w:val="20"/>
                <w:szCs w:val="20"/>
              </w:rPr>
              <w:t xml:space="preserve"> World Bank classification of countries and regions </w:t>
            </w:r>
            <w:hyperlink r:id="rId17">
              <w:r>
                <w:rPr>
                  <w:color w:val="000000"/>
                  <w:sz w:val="20"/>
                  <w:szCs w:val="20"/>
                </w:rPr>
                <w:t>[3]</w:t>
              </w:r>
            </w:hyperlink>
            <w:r>
              <w:rPr>
                <w:color w:val="000000"/>
                <w:sz w:val="20"/>
                <w:szCs w:val="20"/>
              </w:rPr>
              <w:t xml:space="preserve">). </w:t>
            </w:r>
            <w:r>
              <w:rPr>
                <w:sz w:val="20"/>
                <w:szCs w:val="20"/>
              </w:rPr>
              <w:t>Inclusion criteria included: Type of study: cross-sectional case-control analysis of population-based or hospital-based nationwide longitudinal cohorts with no date or language limitations; Location of study: low- and middle-income countries based on the 2017 World Bank classification; Types of participants: patients of any age with a clinical diagnosis of stroke; Types of studied variable: SES with any socioeconomic measures; Types of adjusted variables: both sexes and age, along with one or more of the stroke modifiable risk factors; Types of outcome: stroke incidence or post-stroke-care/mortality within a predefined period in a longitudinal setting. Exclusion criteria included: Studies not fulfilling the inclusion criteria; Studies with unclear adjustment of stroke risk factors and covariates; Studies of cardiovascular disease with indefinite division of stroke related analysis. We retrieved 422 citations for title/abstract review; 394 citations were excluded based on selection criteria; 28 studies remained for the fulltext review, 11 of which were finally selected for data extraction.</w:t>
            </w:r>
          </w:p>
        </w:tc>
      </w:tr>
    </w:tbl>
    <w:p w14:paraId="2D2344CE" w14:textId="77777777" w:rsidR="00880C64" w:rsidRDefault="00880C64"/>
    <w:sectPr w:rsidR="00880C64" w:rsidSect="009F211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 Lotus">
    <w:panose1 w:val="00000400000000000000"/>
    <w:charset w:val="00"/>
    <w:family w:val="auto"/>
    <w:pitch w:val="variable"/>
    <w:sig w:usb0="00002003" w:usb1="80000000" w:usb2="00000008" w:usb3="00000000" w:csb0="00000041" w:csb1="00000000"/>
  </w:font>
  <w:font w:name="Arial Unicode MS">
    <w:panose1 w:val="020B0604020202020204"/>
    <w:charset w:val="00"/>
    <w:family w:val="auto"/>
    <w:pitch w:val="variable"/>
    <w:sig w:usb0="F7FFAFFF" w:usb1="E9DFFFFF" w:usb2="0000003F" w:usb3="00000000" w:csb0="003F01FF" w:csb1="00000000"/>
  </w:font>
  <w:font w:name="Gungsuh">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11C"/>
    <w:rsid w:val="00240DA6"/>
    <w:rsid w:val="00814844"/>
    <w:rsid w:val="00880C64"/>
    <w:rsid w:val="009F211C"/>
    <w:rsid w:val="00B0656E"/>
    <w:rsid w:val="00B370F9"/>
    <w:rsid w:val="00B60BF2"/>
    <w:rsid w:val="00CC2796"/>
    <w:rsid w:val="00D50B14"/>
    <w:rsid w:val="00E64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2E9B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11C"/>
    <w:pPr>
      <w:spacing w:line="480" w:lineRule="auto"/>
    </w:pPr>
    <w:rPr>
      <w:rFonts w:ascii="Times New Roman" w:eastAsia="Times New Roman" w:hAnsi="Times New Roman" w:cs="Times New Roman"/>
    </w:rPr>
  </w:style>
  <w:style w:type="paragraph" w:styleId="Heading3">
    <w:name w:val="heading 3"/>
    <w:basedOn w:val="Normal"/>
    <w:next w:val="Normal"/>
    <w:link w:val="Heading3Char"/>
    <w:unhideWhenUsed/>
    <w:qFormat/>
    <w:rsid w:val="00D50B1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 lotus (body)"/>
    <w:basedOn w:val="Normal"/>
    <w:next w:val="Normal"/>
    <w:uiPriority w:val="1"/>
    <w:qFormat/>
    <w:rsid w:val="00B60BF2"/>
    <w:pPr>
      <w:widowControl w:val="0"/>
      <w:pBdr>
        <w:top w:val="nil"/>
        <w:left w:val="nil"/>
        <w:bottom w:val="nil"/>
        <w:right w:val="nil"/>
        <w:between w:val="nil"/>
        <w:bar w:val="nil"/>
      </w:pBdr>
      <w:shd w:val="clear" w:color="auto" w:fill="FFFFFF"/>
      <w:tabs>
        <w:tab w:val="right" w:pos="9044"/>
      </w:tabs>
      <w:bidi/>
      <w:spacing w:line="288" w:lineRule="auto"/>
      <w:jc w:val="both"/>
    </w:pPr>
    <w:rPr>
      <w:rFonts w:ascii="B Lotus" w:eastAsia="Arial Unicode MS" w:hAnsi="B Lotus" w:cs="Arial Unicode MS"/>
      <w:color w:val="000000"/>
      <w:sz w:val="28"/>
      <w:u w:color="000000"/>
      <w:bdr w:val="nil"/>
      <w:lang w:val="ar-SA"/>
    </w:rPr>
  </w:style>
  <w:style w:type="paragraph" w:customStyle="1" w:styleId="Style2">
    <w:name w:val="Style2"/>
    <w:basedOn w:val="Heading3"/>
    <w:qFormat/>
    <w:rsid w:val="00D50B14"/>
    <w:pPr>
      <w:widowControl w:val="0"/>
      <w:tabs>
        <w:tab w:val="right" w:pos="9550"/>
      </w:tabs>
      <w:bidi/>
      <w:spacing w:before="0" w:line="288" w:lineRule="auto"/>
      <w:jc w:val="both"/>
    </w:pPr>
    <w:rPr>
      <w:rFonts w:ascii="B Lotus" w:eastAsia="Times New Roman" w:hAnsi="B Lotus" w:cs="B Lotus"/>
      <w:color w:val="000000" w:themeColor="text1"/>
      <w:sz w:val="28"/>
      <w:szCs w:val="28"/>
      <w:lang w:bidi="fa-IR"/>
    </w:rPr>
  </w:style>
  <w:style w:type="character" w:customStyle="1" w:styleId="Heading3Char">
    <w:name w:val="Heading 3 Char"/>
    <w:basedOn w:val="DefaultParagraphFont"/>
    <w:link w:val="Heading3"/>
    <w:uiPriority w:val="9"/>
    <w:semiHidden/>
    <w:rsid w:val="00D50B14"/>
    <w:rPr>
      <w:rFonts w:asciiTheme="majorHAnsi" w:eastAsiaTheme="majorEastAsia" w:hAnsiTheme="majorHAnsi" w:cstheme="majorBidi"/>
      <w:b/>
      <w:bCs/>
      <w:color w:val="4F81BD" w:themeColor="accent1"/>
    </w:rPr>
  </w:style>
  <w:style w:type="paragraph" w:customStyle="1" w:styleId="normal0">
    <w:name w:val="normal"/>
    <w:rsid w:val="009F211C"/>
    <w:pPr>
      <w:spacing w:line="48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11C"/>
    <w:pPr>
      <w:spacing w:line="480" w:lineRule="auto"/>
    </w:pPr>
    <w:rPr>
      <w:rFonts w:ascii="Times New Roman" w:eastAsia="Times New Roman" w:hAnsi="Times New Roman" w:cs="Times New Roman"/>
    </w:rPr>
  </w:style>
  <w:style w:type="paragraph" w:styleId="Heading3">
    <w:name w:val="heading 3"/>
    <w:basedOn w:val="Normal"/>
    <w:next w:val="Normal"/>
    <w:link w:val="Heading3Char"/>
    <w:unhideWhenUsed/>
    <w:qFormat/>
    <w:rsid w:val="00D50B1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 lotus (body)"/>
    <w:basedOn w:val="Normal"/>
    <w:next w:val="Normal"/>
    <w:uiPriority w:val="1"/>
    <w:qFormat/>
    <w:rsid w:val="00B60BF2"/>
    <w:pPr>
      <w:widowControl w:val="0"/>
      <w:pBdr>
        <w:top w:val="nil"/>
        <w:left w:val="nil"/>
        <w:bottom w:val="nil"/>
        <w:right w:val="nil"/>
        <w:between w:val="nil"/>
        <w:bar w:val="nil"/>
      </w:pBdr>
      <w:shd w:val="clear" w:color="auto" w:fill="FFFFFF"/>
      <w:tabs>
        <w:tab w:val="right" w:pos="9044"/>
      </w:tabs>
      <w:bidi/>
      <w:spacing w:line="288" w:lineRule="auto"/>
      <w:jc w:val="both"/>
    </w:pPr>
    <w:rPr>
      <w:rFonts w:ascii="B Lotus" w:eastAsia="Arial Unicode MS" w:hAnsi="B Lotus" w:cs="Arial Unicode MS"/>
      <w:color w:val="000000"/>
      <w:sz w:val="28"/>
      <w:u w:color="000000"/>
      <w:bdr w:val="nil"/>
      <w:lang w:val="ar-SA"/>
    </w:rPr>
  </w:style>
  <w:style w:type="paragraph" w:customStyle="1" w:styleId="Style2">
    <w:name w:val="Style2"/>
    <w:basedOn w:val="Heading3"/>
    <w:qFormat/>
    <w:rsid w:val="00D50B14"/>
    <w:pPr>
      <w:widowControl w:val="0"/>
      <w:tabs>
        <w:tab w:val="right" w:pos="9550"/>
      </w:tabs>
      <w:bidi/>
      <w:spacing w:before="0" w:line="288" w:lineRule="auto"/>
      <w:jc w:val="both"/>
    </w:pPr>
    <w:rPr>
      <w:rFonts w:ascii="B Lotus" w:eastAsia="Times New Roman" w:hAnsi="B Lotus" w:cs="B Lotus"/>
      <w:color w:val="000000" w:themeColor="text1"/>
      <w:sz w:val="28"/>
      <w:szCs w:val="28"/>
      <w:lang w:bidi="fa-IR"/>
    </w:rPr>
  </w:style>
  <w:style w:type="character" w:customStyle="1" w:styleId="Heading3Char">
    <w:name w:val="Heading 3 Char"/>
    <w:basedOn w:val="DefaultParagraphFont"/>
    <w:link w:val="Heading3"/>
    <w:uiPriority w:val="9"/>
    <w:semiHidden/>
    <w:rsid w:val="00D50B14"/>
    <w:rPr>
      <w:rFonts w:asciiTheme="majorHAnsi" w:eastAsiaTheme="majorEastAsia" w:hAnsiTheme="majorHAnsi" w:cstheme="majorBidi"/>
      <w:b/>
      <w:bCs/>
      <w:color w:val="4F81BD" w:themeColor="accent1"/>
    </w:rPr>
  </w:style>
  <w:style w:type="paragraph" w:customStyle="1" w:styleId="normal0">
    <w:name w:val="normal"/>
    <w:rsid w:val="009F211C"/>
    <w:pPr>
      <w:spacing w:line="48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f1000.com/work/citation?ids=2597293&amp;pre=&amp;suf=&amp;sa=0" TargetMode="External"/><Relationship Id="rId12" Type="http://schemas.openxmlformats.org/officeDocument/2006/relationships/hyperlink" Target="http://f1000.com/work/citation?ids=1590201&amp;pre=&amp;suf=&amp;sa=0" TargetMode="External"/><Relationship Id="rId13" Type="http://schemas.openxmlformats.org/officeDocument/2006/relationships/hyperlink" Target="http://f1000.com/work/citation?ids=2649478&amp;pre=&amp;suf=&amp;sa=0" TargetMode="External"/><Relationship Id="rId14" Type="http://schemas.openxmlformats.org/officeDocument/2006/relationships/hyperlink" Target="http://f1000.com/work/citation?ids=2597297&amp;pre=&amp;suf=&amp;sa=0" TargetMode="External"/><Relationship Id="rId15" Type="http://schemas.openxmlformats.org/officeDocument/2006/relationships/hyperlink" Target="http://f1000.com/work/citation?ids=2478924&amp;pre=&amp;suf=&amp;sa=0" TargetMode="External"/><Relationship Id="rId16" Type="http://schemas.openxmlformats.org/officeDocument/2006/relationships/hyperlink" Target="http://f1000.com/work/citation?ids=2597299&amp;pre=&amp;suf=&amp;sa=0" TargetMode="External"/><Relationship Id="rId17" Type="http://schemas.openxmlformats.org/officeDocument/2006/relationships/hyperlink" Target="http://f1000.com/work/citation?ids=6309697&amp;pre=&amp;suf=&amp;sa=0"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f1000.com/work/citation?ids=2599139&amp;pre=&amp;suf=&amp;sa=0" TargetMode="External"/><Relationship Id="rId7" Type="http://schemas.openxmlformats.org/officeDocument/2006/relationships/hyperlink" Target="http://f1000.com/work/citation?ids=2478890&amp;pre=&amp;suf=&amp;sa=0" TargetMode="External"/><Relationship Id="rId8" Type="http://schemas.openxmlformats.org/officeDocument/2006/relationships/hyperlink" Target="http://f1000.com/work/citation?ids=2637095&amp;pre=&amp;suf=&amp;sa=0" TargetMode="External"/><Relationship Id="rId9" Type="http://schemas.openxmlformats.org/officeDocument/2006/relationships/hyperlink" Target="http://f1000.com/work/citation?ids=2599170&amp;pre=&amp;suf=&amp;sa=0" TargetMode="External"/><Relationship Id="rId10" Type="http://schemas.openxmlformats.org/officeDocument/2006/relationships/hyperlink" Target="http://f1000.com/work/citation?ids=2599341&amp;pre=&amp;suf=&amp;s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BFF7-B54E-3B40-84FE-8647138D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1159</Words>
  <Characters>6607</Characters>
  <Application>Microsoft Macintosh Word</Application>
  <DocSecurity>0</DocSecurity>
  <Lines>55</Lines>
  <Paragraphs>15</Paragraphs>
  <ScaleCrop>false</ScaleCrop>
  <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Abolfazl Avan</dc:creator>
  <cp:keywords/>
  <dc:description/>
  <cp:lastModifiedBy>Abolfazl Avan</cp:lastModifiedBy>
  <cp:revision>6</cp:revision>
  <dcterms:created xsi:type="dcterms:W3CDTF">2019-06-29T10:32:00Z</dcterms:created>
  <dcterms:modified xsi:type="dcterms:W3CDTF">2019-08-11T17:43:00Z</dcterms:modified>
</cp:coreProperties>
</file>