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739" w:rsidRPr="00734FC4" w:rsidRDefault="00734FC4" w:rsidP="00734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4FC4">
        <w:rPr>
          <w:rFonts w:ascii="Times New Roman" w:hAnsi="Times New Roman" w:cs="Times New Roman"/>
          <w:b/>
          <w:sz w:val="24"/>
          <w:szCs w:val="24"/>
        </w:rPr>
        <w:t>Demographic and clinical characteristics at d</w:t>
      </w:r>
      <w:r w:rsidR="00624E83">
        <w:rPr>
          <w:rFonts w:ascii="Times New Roman" w:hAnsi="Times New Roman" w:cs="Times New Roman"/>
          <w:b/>
          <w:sz w:val="24"/>
          <w:szCs w:val="24"/>
        </w:rPr>
        <w:t>iagnosis in FEP patients with and without</w:t>
      </w:r>
      <w:r w:rsidRPr="00734FC4">
        <w:rPr>
          <w:rFonts w:ascii="Times New Roman" w:hAnsi="Times New Roman" w:cs="Times New Roman"/>
          <w:b/>
          <w:sz w:val="24"/>
          <w:szCs w:val="24"/>
        </w:rPr>
        <w:t xml:space="preserve"> missing data on s</w:t>
      </w:r>
      <w:r w:rsidR="009315FE">
        <w:rPr>
          <w:rFonts w:ascii="Times New Roman" w:hAnsi="Times New Roman" w:cs="Times New Roman"/>
          <w:b/>
          <w:sz w:val="24"/>
          <w:szCs w:val="24"/>
        </w:rPr>
        <w:t>moking, alcohol drinking and BMI</w:t>
      </w:r>
      <w:r w:rsidRPr="00734FC4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6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0"/>
        <w:gridCol w:w="4213"/>
        <w:gridCol w:w="2551"/>
        <w:gridCol w:w="2551"/>
      </w:tblGrid>
      <w:tr w:rsidR="00624E83" w:rsidRPr="006A611A" w:rsidTr="00646364"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24E83" w:rsidRPr="00EB6B0A" w:rsidRDefault="00624E83" w:rsidP="0012473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24E83" w:rsidRPr="00477664" w:rsidRDefault="00624E83" w:rsidP="0047766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77664">
              <w:rPr>
                <w:rFonts w:ascii="Times New Roman" w:hAnsi="Times New Roman" w:cs="Times New Roman"/>
                <w:b/>
                <w:szCs w:val="24"/>
              </w:rPr>
              <w:t>FEP patients with missing data (</w:t>
            </w:r>
            <w:r w:rsidRPr="00477664">
              <w:rPr>
                <w:rFonts w:ascii="Times New Roman" w:hAnsi="Times New Roman" w:cs="Times New Roman"/>
                <w:b/>
                <w:i/>
                <w:szCs w:val="24"/>
              </w:rPr>
              <w:t>n</w:t>
            </w:r>
            <w:r w:rsidRPr="00477664">
              <w:rPr>
                <w:rFonts w:ascii="Times New Roman" w:hAnsi="Times New Roman" w:cs="Times New Roman"/>
                <w:b/>
                <w:szCs w:val="24"/>
              </w:rPr>
              <w:t>=</w:t>
            </w:r>
            <w:r w:rsidR="008D5BE3" w:rsidRPr="00477664">
              <w:rPr>
                <w:rFonts w:ascii="Times New Roman" w:hAnsi="Times New Roman" w:cs="Times New Roman"/>
                <w:b/>
                <w:szCs w:val="24"/>
              </w:rPr>
              <w:t>1,356</w:t>
            </w:r>
            <w:r w:rsidRPr="00477664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24E83" w:rsidRPr="00477664" w:rsidRDefault="00624E83" w:rsidP="0047766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77664">
              <w:rPr>
                <w:rFonts w:ascii="Times New Roman" w:hAnsi="Times New Roman" w:cs="Times New Roman"/>
                <w:b/>
                <w:szCs w:val="24"/>
              </w:rPr>
              <w:t>FEP patients without missing data (</w:t>
            </w:r>
            <w:r w:rsidRPr="00477664">
              <w:rPr>
                <w:rFonts w:ascii="Times New Roman" w:hAnsi="Times New Roman" w:cs="Times New Roman"/>
                <w:b/>
                <w:i/>
                <w:szCs w:val="24"/>
              </w:rPr>
              <w:t>n</w:t>
            </w:r>
            <w:r w:rsidRPr="00477664">
              <w:rPr>
                <w:rFonts w:ascii="Times New Roman" w:hAnsi="Times New Roman" w:cs="Times New Roman"/>
                <w:b/>
                <w:szCs w:val="24"/>
              </w:rPr>
              <w:t>=1,689)</w:t>
            </w:r>
          </w:p>
        </w:tc>
      </w:tr>
      <w:tr w:rsidR="00624E83" w:rsidRPr="00BB102B" w:rsidTr="00646364"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:rsidR="00624E83" w:rsidRPr="00EB6B0A" w:rsidRDefault="00624E83" w:rsidP="00124739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Type of psychosis,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24E83" w:rsidRPr="00EB6B0A" w:rsidRDefault="00624E83" w:rsidP="00124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24E83" w:rsidRPr="00EB6B0A" w:rsidRDefault="00624E83" w:rsidP="001247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Non-affective </w:t>
            </w:r>
          </w:p>
        </w:tc>
        <w:tc>
          <w:tcPr>
            <w:tcW w:w="2551" w:type="dxa"/>
          </w:tcPr>
          <w:p w:rsidR="00624E83" w:rsidRPr="00EB6B0A" w:rsidDel="00F42DA0" w:rsidRDefault="008D5BE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935 (69.0)</w:t>
            </w:r>
          </w:p>
        </w:tc>
        <w:tc>
          <w:tcPr>
            <w:tcW w:w="2551" w:type="dxa"/>
          </w:tcPr>
          <w:p w:rsidR="00624E83" w:rsidRPr="00EB6B0A" w:rsidDel="00F42DA0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1,101 (65.2)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Drug-induced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 (22.4)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375 (22.2)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Affective </w:t>
            </w:r>
          </w:p>
        </w:tc>
        <w:tc>
          <w:tcPr>
            <w:tcW w:w="2551" w:type="dxa"/>
          </w:tcPr>
          <w:p w:rsidR="00624E83" w:rsidRPr="00EB6B0A" w:rsidDel="00F42DA0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 (8.4)</w:t>
            </w:r>
          </w:p>
        </w:tc>
        <w:tc>
          <w:tcPr>
            <w:tcW w:w="2551" w:type="dxa"/>
          </w:tcPr>
          <w:p w:rsidR="00624E83" w:rsidRPr="00EB6B0A" w:rsidDel="00F42DA0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 (11.6</w:t>
            </w:r>
            <w:r w:rsidRPr="00EB6B0A">
              <w:rPr>
                <w:rFonts w:ascii="Times New Roman" w:hAnsi="Times New Roman" w:cs="Times New Roman"/>
              </w:rPr>
              <w:t>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Pregnancy-related</w:t>
            </w:r>
            <w:r w:rsidR="0066166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51" w:type="dxa"/>
          </w:tcPr>
          <w:p w:rsidR="00624E83" w:rsidRPr="00EB6B0A" w:rsidRDefault="00661665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551" w:type="dxa"/>
          </w:tcPr>
          <w:p w:rsidR="00624E83" w:rsidRPr="00EB6B0A" w:rsidRDefault="00D90E09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(1.1)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Year of index date, median (IQR)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 (2007, 2013)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2010 (2007, 2013)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Age, median (IQR)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(20, 32)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(28, 41</w:t>
            </w:r>
            <w:r w:rsidRPr="00EB6B0A">
              <w:rPr>
                <w:rFonts w:ascii="Times New Roman" w:hAnsi="Times New Roman" w:cs="Times New Roman"/>
              </w:rPr>
              <w:t>)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Male,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1,001 (73.8)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 (54.1</w:t>
            </w:r>
            <w:r w:rsidRPr="00EB6B0A">
              <w:rPr>
                <w:rFonts w:ascii="Times New Roman" w:hAnsi="Times New Roman" w:cs="Times New Roman"/>
              </w:rPr>
              <w:t>)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Geographical region,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London 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 (8.8)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 (9.0)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South, England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 (29.9)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 (23.3)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Midlands and East, England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 (18.9)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 (20.3)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North, England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 (15.0)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 (19.4)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Northern Ireland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(4.9)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(6.0)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Scotland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(11.9)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 (11.6)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Wales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(10.7)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 (10.4)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Smoking,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Non smoker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 (31.1)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 (34.9)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Ever smoker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 (49.0)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1,099 (65.1)</w:t>
            </w:r>
          </w:p>
        </w:tc>
      </w:tr>
      <w:tr w:rsidR="008D5BE3" w:rsidRPr="00BB102B" w:rsidTr="00646364">
        <w:tc>
          <w:tcPr>
            <w:tcW w:w="577" w:type="dxa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551" w:type="dxa"/>
          </w:tcPr>
          <w:p w:rsidR="008D5BE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 (19.9)</w:t>
            </w:r>
          </w:p>
        </w:tc>
        <w:tc>
          <w:tcPr>
            <w:tcW w:w="2551" w:type="dxa"/>
          </w:tcPr>
          <w:p w:rsidR="008D5BE3" w:rsidRDefault="00661665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Alcohol consumption,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Non drinker</w:t>
            </w:r>
          </w:p>
        </w:tc>
        <w:tc>
          <w:tcPr>
            <w:tcW w:w="2551" w:type="dxa"/>
          </w:tcPr>
          <w:p w:rsidR="00624E83" w:rsidRPr="00EB6B0A" w:rsidRDefault="00FC128E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(5.5)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 (13.3)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Ever drinker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 (20.4)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1,465 (86.7)</w:t>
            </w:r>
          </w:p>
        </w:tc>
      </w:tr>
      <w:tr w:rsidR="008D5BE3" w:rsidRPr="00BB102B" w:rsidTr="00646364">
        <w:tc>
          <w:tcPr>
            <w:tcW w:w="577" w:type="dxa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551" w:type="dxa"/>
          </w:tcPr>
          <w:p w:rsidR="008D5BE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1,005 (74.1)</w:t>
            </w:r>
          </w:p>
        </w:tc>
        <w:tc>
          <w:tcPr>
            <w:tcW w:w="2551" w:type="dxa"/>
          </w:tcPr>
          <w:p w:rsidR="008D5BE3" w:rsidRDefault="00661665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624E83" w:rsidRPr="00BB102B" w:rsidTr="00646364"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Body mass index, median (IQR)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22.8 (20.1, 26.8)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 (21.2, 28.2)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&lt; 18.5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(underweight),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(3.8)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 (5.8)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≥ 18.5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&amp; &lt; 25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(normal),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 (15.9)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 (51.5)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≥ 25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&amp; &lt; 30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(overweight),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 (5.8)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 (25.0)</w:t>
            </w:r>
          </w:p>
        </w:tc>
      </w:tr>
      <w:tr w:rsidR="00624E83" w:rsidRPr="00BB102B" w:rsidTr="00646364">
        <w:tc>
          <w:tcPr>
            <w:tcW w:w="577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≥ 30 kg/m</w:t>
            </w:r>
            <w:r w:rsidRPr="00EB6B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B6B0A">
              <w:rPr>
                <w:rFonts w:ascii="Times New Roman" w:hAnsi="Times New Roman" w:cs="Times New Roman"/>
              </w:rPr>
              <w:t xml:space="preserve"> (obese), </w:t>
            </w:r>
            <w:r w:rsidRPr="00EB6B0A">
              <w:rPr>
                <w:rFonts w:ascii="Times New Roman" w:hAnsi="Times New Roman" w:cs="Times New Roman"/>
                <w:i/>
              </w:rPr>
              <w:t>n</w:t>
            </w:r>
            <w:r w:rsidRPr="00EB6B0A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(4.1)</w:t>
            </w:r>
          </w:p>
        </w:tc>
        <w:tc>
          <w:tcPr>
            <w:tcW w:w="2551" w:type="dxa"/>
          </w:tcPr>
          <w:p w:rsidR="00624E83" w:rsidRPr="00EB6B0A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 (17.7)</w:t>
            </w:r>
          </w:p>
        </w:tc>
      </w:tr>
      <w:tr w:rsidR="008D5BE3" w:rsidRPr="00BB102B" w:rsidTr="00646364">
        <w:tc>
          <w:tcPr>
            <w:tcW w:w="577" w:type="dxa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  <w:gridSpan w:val="2"/>
          </w:tcPr>
          <w:p w:rsidR="008D5BE3" w:rsidRPr="00EB6B0A" w:rsidRDefault="008D5BE3" w:rsidP="00624E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551" w:type="dxa"/>
          </w:tcPr>
          <w:p w:rsidR="008D5BE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954 (70.4)</w:t>
            </w:r>
          </w:p>
        </w:tc>
        <w:tc>
          <w:tcPr>
            <w:tcW w:w="2551" w:type="dxa"/>
          </w:tcPr>
          <w:p w:rsidR="008D5BE3" w:rsidRDefault="00661665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624E83" w:rsidRPr="00BB102B" w:rsidTr="00646364">
        <w:trPr>
          <w:trHeight w:val="195"/>
        </w:trPr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Number of different prescriptions in 5 years before index date, median (IQR)</w:t>
            </w:r>
          </w:p>
        </w:tc>
        <w:tc>
          <w:tcPr>
            <w:tcW w:w="2551" w:type="dxa"/>
          </w:tcPr>
          <w:p w:rsidR="00624E83" w:rsidRPr="00EB6B0A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(2, 5)</w:t>
            </w:r>
          </w:p>
        </w:tc>
        <w:tc>
          <w:tcPr>
            <w:tcW w:w="2551" w:type="dxa"/>
          </w:tcPr>
          <w:p w:rsidR="00624E83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(3, 7)</w:t>
            </w:r>
          </w:p>
        </w:tc>
      </w:tr>
      <w:tr w:rsidR="00624E83" w:rsidRPr="00BB102B" w:rsidTr="00646364">
        <w:trPr>
          <w:trHeight w:val="195"/>
        </w:trPr>
        <w:tc>
          <w:tcPr>
            <w:tcW w:w="4820" w:type="dxa"/>
            <w:gridSpan w:val="3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Number of GP consultations in 5 years before index date, median (IQR)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(21, 69)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69 (39, 116)</w:t>
            </w:r>
          </w:p>
        </w:tc>
      </w:tr>
      <w:tr w:rsidR="00624E83" w:rsidRPr="00BB102B" w:rsidTr="00646364">
        <w:trPr>
          <w:trHeight w:val="195"/>
        </w:trPr>
        <w:tc>
          <w:tcPr>
            <w:tcW w:w="607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4-5 year prior to index date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(1, 10)</w:t>
            </w:r>
            <w:r w:rsidRPr="00734FC4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9 (3, 19)†</w:t>
            </w:r>
          </w:p>
        </w:tc>
      </w:tr>
      <w:tr w:rsidR="00624E83" w:rsidRPr="00BB102B" w:rsidTr="00646364">
        <w:trPr>
          <w:trHeight w:val="195"/>
        </w:trPr>
        <w:tc>
          <w:tcPr>
            <w:tcW w:w="607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3-4 year prior to index date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(1, 11)</w:t>
            </w:r>
            <w:r w:rsidRPr="00734FC4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10 (3, 21)†</w:t>
            </w:r>
          </w:p>
        </w:tc>
      </w:tr>
      <w:tr w:rsidR="00624E83" w:rsidRPr="00BB102B" w:rsidTr="00646364">
        <w:trPr>
          <w:trHeight w:val="195"/>
        </w:trPr>
        <w:tc>
          <w:tcPr>
            <w:tcW w:w="607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2-3 year prior to index date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(1, 12)</w:t>
            </w:r>
            <w:r w:rsidRPr="00734FC4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11 (4, 22)†</w:t>
            </w:r>
          </w:p>
        </w:tc>
      </w:tr>
      <w:tr w:rsidR="00624E83" w:rsidRPr="00BB102B" w:rsidTr="00646364">
        <w:trPr>
          <w:trHeight w:val="195"/>
        </w:trPr>
        <w:tc>
          <w:tcPr>
            <w:tcW w:w="607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1-2 year prior to index date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(2, 15)</w:t>
            </w:r>
            <w:r w:rsidRPr="00734FC4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12 (5, 24)†</w:t>
            </w:r>
          </w:p>
        </w:tc>
      </w:tr>
      <w:tr w:rsidR="00624E83" w:rsidRPr="00BB102B" w:rsidTr="00646364">
        <w:trPr>
          <w:trHeight w:val="195"/>
        </w:trPr>
        <w:tc>
          <w:tcPr>
            <w:tcW w:w="607" w:type="dxa"/>
            <w:gridSpan w:val="2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>0-1 year prior to index date</w:t>
            </w:r>
          </w:p>
        </w:tc>
        <w:tc>
          <w:tcPr>
            <w:tcW w:w="2551" w:type="dxa"/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(6, 24)</w:t>
            </w:r>
            <w:r w:rsidRPr="00734FC4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551" w:type="dxa"/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20 (10, 36)†</w:t>
            </w:r>
          </w:p>
        </w:tc>
      </w:tr>
      <w:tr w:rsidR="00624E83" w:rsidRPr="00BB102B" w:rsidTr="00646364">
        <w:trPr>
          <w:trHeight w:val="195"/>
        </w:trPr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624E83" w:rsidRPr="00EB6B0A" w:rsidRDefault="00624E83" w:rsidP="00624E83">
            <w:pPr>
              <w:rPr>
                <w:rFonts w:ascii="Times New Roman" w:hAnsi="Times New Roman" w:cs="Times New Roman"/>
              </w:rPr>
            </w:pPr>
            <w:r w:rsidRPr="00EB6B0A">
              <w:rPr>
                <w:rFonts w:ascii="Times New Roman" w:hAnsi="Times New Roman" w:cs="Times New Roman"/>
              </w:rPr>
              <w:t xml:space="preserve">Number of symptom records in 5 years </w:t>
            </w:r>
            <w:r>
              <w:rPr>
                <w:rFonts w:ascii="Times New Roman" w:hAnsi="Times New Roman" w:cs="Times New Roman"/>
              </w:rPr>
              <w:t>before index date, median (IQR)‡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24E83" w:rsidRPr="00734FC4" w:rsidRDefault="00646364" w:rsidP="00624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(0, 4)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24E83" w:rsidRPr="00734FC4" w:rsidRDefault="00624E83" w:rsidP="00624E83">
            <w:pPr>
              <w:jc w:val="center"/>
              <w:rPr>
                <w:rFonts w:ascii="Times New Roman" w:hAnsi="Times New Roman" w:cs="Times New Roman"/>
              </w:rPr>
            </w:pPr>
            <w:r w:rsidRPr="00734FC4">
              <w:rPr>
                <w:rFonts w:ascii="Times New Roman" w:hAnsi="Times New Roman" w:cs="Times New Roman"/>
              </w:rPr>
              <w:t>3 (1, 6)</w:t>
            </w:r>
          </w:p>
        </w:tc>
      </w:tr>
    </w:tbl>
    <w:p w:rsidR="009315FE" w:rsidRDefault="00734FC4" w:rsidP="006616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6A82">
        <w:rPr>
          <w:rFonts w:ascii="Times New Roman" w:hAnsi="Times New Roman" w:cs="Times New Roman"/>
          <w:sz w:val="20"/>
          <w:szCs w:val="20"/>
        </w:rPr>
        <w:t>FEP</w:t>
      </w:r>
      <w:r>
        <w:rPr>
          <w:rFonts w:ascii="Times New Roman" w:hAnsi="Times New Roman" w:cs="Times New Roman"/>
          <w:sz w:val="20"/>
          <w:szCs w:val="20"/>
        </w:rPr>
        <w:t>, first episode psychosis;</w:t>
      </w:r>
      <w:r w:rsidRPr="000D29B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BMI, body mass index; </w:t>
      </w:r>
      <w:r w:rsidRPr="000D29B5">
        <w:rPr>
          <w:rFonts w:ascii="Times New Roman" w:hAnsi="Times New Roman" w:cs="Times New Roman"/>
          <w:sz w:val="20"/>
          <w:szCs w:val="20"/>
        </w:rPr>
        <w:t>IQR, interquartile range</w:t>
      </w:r>
      <w:r>
        <w:rPr>
          <w:rFonts w:ascii="Times New Roman" w:hAnsi="Times New Roman" w:cs="Times New Roman"/>
          <w:sz w:val="20"/>
          <w:szCs w:val="20"/>
        </w:rPr>
        <w:t xml:space="preserve">. †One-way ANOVA trend analysis within patients with FEP, p &lt; 0.0001. </w:t>
      </w:r>
      <w:r w:rsidRPr="00F25727">
        <w:rPr>
          <w:rFonts w:ascii="Times New Roman" w:hAnsi="Times New Roman" w:cs="Times New Roman"/>
          <w:sz w:val="20"/>
          <w:szCs w:val="20"/>
        </w:rPr>
        <w:t xml:space="preserve">‡Total </w:t>
      </w:r>
      <w:r>
        <w:rPr>
          <w:rFonts w:ascii="Times New Roman" w:hAnsi="Times New Roman" w:cs="Times New Roman"/>
          <w:sz w:val="20"/>
          <w:szCs w:val="20"/>
        </w:rPr>
        <w:t xml:space="preserve">number of coded </w:t>
      </w:r>
      <w:r w:rsidRPr="00F25727">
        <w:rPr>
          <w:rFonts w:ascii="Times New Roman" w:hAnsi="Times New Roman" w:cs="Times New Roman"/>
          <w:sz w:val="20"/>
          <w:szCs w:val="20"/>
        </w:rPr>
        <w:t>records based on</w:t>
      </w:r>
      <w:r>
        <w:rPr>
          <w:rFonts w:ascii="Times New Roman" w:hAnsi="Times New Roman" w:cs="Times New Roman"/>
          <w:sz w:val="20"/>
          <w:szCs w:val="20"/>
        </w:rPr>
        <w:t xml:space="preserve"> 55 studied</w:t>
      </w:r>
      <w:r w:rsidRPr="00F25727">
        <w:rPr>
          <w:rFonts w:ascii="Times New Roman" w:hAnsi="Times New Roman" w:cs="Times New Roman"/>
          <w:sz w:val="20"/>
          <w:szCs w:val="20"/>
        </w:rPr>
        <w:t xml:space="preserve"> individual symptoms</w:t>
      </w:r>
      <w:r w:rsidR="00661665">
        <w:rPr>
          <w:rFonts w:ascii="Times New Roman" w:hAnsi="Times New Roman" w:cs="Times New Roman"/>
          <w:sz w:val="20"/>
          <w:szCs w:val="20"/>
        </w:rPr>
        <w:t>. *</w:t>
      </w:r>
      <w:r w:rsidR="0061018B">
        <w:rPr>
          <w:rFonts w:ascii="Times New Roman" w:hAnsi="Times New Roman" w:cs="Times New Roman"/>
          <w:sz w:val="20"/>
          <w:szCs w:val="20"/>
        </w:rPr>
        <w:t>Data were</w:t>
      </w:r>
      <w:bookmarkStart w:id="0" w:name="_GoBack"/>
      <w:bookmarkEnd w:id="0"/>
      <w:r w:rsidR="00661665" w:rsidRPr="00D55B63">
        <w:rPr>
          <w:rFonts w:ascii="Times New Roman" w:hAnsi="Times New Roman" w:cs="Times New Roman"/>
          <w:sz w:val="20"/>
          <w:szCs w:val="20"/>
        </w:rPr>
        <w:t xml:space="preserve"> not reported </w:t>
      </w:r>
      <w:r w:rsidR="005129D5">
        <w:rPr>
          <w:rFonts w:ascii="Times New Roman" w:hAnsi="Times New Roman" w:cs="Times New Roman"/>
          <w:sz w:val="20"/>
          <w:szCs w:val="20"/>
        </w:rPr>
        <w:t xml:space="preserve">for certain cells </w:t>
      </w:r>
      <w:r w:rsidR="00661665" w:rsidRPr="00D55B63">
        <w:rPr>
          <w:rFonts w:ascii="Times New Roman" w:hAnsi="Times New Roman" w:cs="Times New Roman"/>
          <w:sz w:val="20"/>
          <w:szCs w:val="20"/>
        </w:rPr>
        <w:t>due to CPRD reporting policy that no cell should contain fewer than 5 events</w:t>
      </w:r>
      <w:r w:rsidR="00661665">
        <w:rPr>
          <w:rFonts w:ascii="Times New Roman" w:hAnsi="Times New Roman" w:cs="Times New Roman"/>
          <w:sz w:val="20"/>
          <w:szCs w:val="20"/>
        </w:rPr>
        <w:t>.</w:t>
      </w:r>
    </w:p>
    <w:p w:rsidR="00661665" w:rsidRPr="00661665" w:rsidRDefault="00661665" w:rsidP="006616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15FE" w:rsidRDefault="009315FE"/>
    <w:p w:rsidR="009315FE" w:rsidRDefault="009315FE"/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15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Cumulative proportion of patients having a </w:t>
      </w:r>
      <w:proofErr w:type="spellStart"/>
      <w:r w:rsidRPr="009315FE">
        <w:rPr>
          <w:rFonts w:ascii="Times New Roman" w:hAnsi="Times New Roman" w:cs="Times New Roman"/>
          <w:b/>
          <w:sz w:val="24"/>
          <w:szCs w:val="24"/>
        </w:rPr>
        <w:t>prodrome</w:t>
      </w:r>
      <w:proofErr w:type="spellEnd"/>
      <w:r w:rsidRPr="009315FE">
        <w:rPr>
          <w:rFonts w:ascii="Times New Roman" w:hAnsi="Times New Roman" w:cs="Times New Roman"/>
          <w:b/>
          <w:sz w:val="24"/>
          <w:szCs w:val="24"/>
        </w:rPr>
        <w:t xml:space="preserve"> symptom recorded in primary care from 5 years before until the time of FEP diagnosis in patients with missing data (smoking</w:t>
      </w:r>
      <w:r>
        <w:rPr>
          <w:rFonts w:ascii="Times New Roman" w:hAnsi="Times New Roman" w:cs="Times New Roman"/>
          <w:b/>
          <w:sz w:val="24"/>
          <w:szCs w:val="24"/>
        </w:rPr>
        <w:t>, alcohol drinking or BMI</w:t>
      </w:r>
      <w:r w:rsidRPr="009315FE">
        <w:rPr>
          <w:rFonts w:ascii="Times New Roman" w:hAnsi="Times New Roman" w:cs="Times New Roman"/>
          <w:b/>
          <w:sz w:val="24"/>
          <w:szCs w:val="24"/>
        </w:rPr>
        <w:t>).</w:t>
      </w: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1510" cy="74256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MC patients with missing data JP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2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15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Cumulative proportion of patients having a </w:t>
      </w:r>
      <w:proofErr w:type="spellStart"/>
      <w:r w:rsidRPr="009315FE">
        <w:rPr>
          <w:rFonts w:ascii="Times New Roman" w:hAnsi="Times New Roman" w:cs="Times New Roman"/>
          <w:b/>
          <w:sz w:val="24"/>
          <w:szCs w:val="24"/>
        </w:rPr>
        <w:t>prodrome</w:t>
      </w:r>
      <w:proofErr w:type="spellEnd"/>
      <w:r w:rsidRPr="009315FE">
        <w:rPr>
          <w:rFonts w:ascii="Times New Roman" w:hAnsi="Times New Roman" w:cs="Times New Roman"/>
          <w:b/>
          <w:sz w:val="24"/>
          <w:szCs w:val="24"/>
        </w:rPr>
        <w:t xml:space="preserve"> symptom recorded in primary care from 5 years before until the time of FEP diagnosis in patients with</w:t>
      </w:r>
      <w:r>
        <w:rPr>
          <w:rFonts w:ascii="Times New Roman" w:hAnsi="Times New Roman" w:cs="Times New Roman"/>
          <w:b/>
          <w:sz w:val="24"/>
          <w:szCs w:val="24"/>
        </w:rPr>
        <w:t>out</w:t>
      </w:r>
      <w:r w:rsidRPr="009315FE">
        <w:rPr>
          <w:rFonts w:ascii="Times New Roman" w:hAnsi="Times New Roman" w:cs="Times New Roman"/>
          <w:b/>
          <w:sz w:val="24"/>
          <w:szCs w:val="24"/>
        </w:rPr>
        <w:t xml:space="preserve"> missing data (smoking</w:t>
      </w:r>
      <w:r>
        <w:rPr>
          <w:rFonts w:ascii="Times New Roman" w:hAnsi="Times New Roman" w:cs="Times New Roman"/>
          <w:b/>
          <w:sz w:val="24"/>
          <w:szCs w:val="24"/>
        </w:rPr>
        <w:t>, alcohol drinking and BMI</w:t>
      </w:r>
      <w:r w:rsidRPr="009315FE">
        <w:rPr>
          <w:rFonts w:ascii="Times New Roman" w:hAnsi="Times New Roman" w:cs="Times New Roman"/>
          <w:b/>
          <w:sz w:val="24"/>
          <w:szCs w:val="24"/>
        </w:rPr>
        <w:t>).</w:t>
      </w:r>
    </w:p>
    <w:p w:rsid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1510" cy="742823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MC complete case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2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FE" w:rsidRPr="009315FE" w:rsidRDefault="009315FE" w:rsidP="00931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5FE" w:rsidRDefault="009315FE"/>
    <w:sectPr w:rsidR="009315FE" w:rsidSect="00624E8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CSongGB18030C-LightHWL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9D"/>
    <w:rsid w:val="00124739"/>
    <w:rsid w:val="00184D6E"/>
    <w:rsid w:val="0034269D"/>
    <w:rsid w:val="00477664"/>
    <w:rsid w:val="004B7E91"/>
    <w:rsid w:val="005129D5"/>
    <w:rsid w:val="0053006D"/>
    <w:rsid w:val="0061018B"/>
    <w:rsid w:val="00610D83"/>
    <w:rsid w:val="00624E83"/>
    <w:rsid w:val="00646364"/>
    <w:rsid w:val="00661665"/>
    <w:rsid w:val="00662C0B"/>
    <w:rsid w:val="00734FC4"/>
    <w:rsid w:val="008D5BE3"/>
    <w:rsid w:val="009315FE"/>
    <w:rsid w:val="00A97283"/>
    <w:rsid w:val="00BA5B5A"/>
    <w:rsid w:val="00D70B0D"/>
    <w:rsid w:val="00D90E09"/>
    <w:rsid w:val="00DB52D3"/>
    <w:rsid w:val="00E24872"/>
    <w:rsid w:val="00EB6B0A"/>
    <w:rsid w:val="00FC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DF6E"/>
  <w15:chartTrackingRefBased/>
  <w15:docId w15:val="{162028D9-865D-4CDC-86A2-466EDEDA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6">
    <w:name w:val="Table Grid6"/>
    <w:basedOn w:val="TableNormal"/>
    <w:next w:val="TableGrid"/>
    <w:uiPriority w:val="59"/>
    <w:rsid w:val="001247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24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4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269F3AE6</Template>
  <TotalTime>8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7</cp:revision>
  <cp:lastPrinted>2019-08-21T12:50:00Z</cp:lastPrinted>
  <dcterms:created xsi:type="dcterms:W3CDTF">2019-08-22T09:58:00Z</dcterms:created>
  <dcterms:modified xsi:type="dcterms:W3CDTF">2019-08-22T14:54:00Z</dcterms:modified>
</cp:coreProperties>
</file>