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6DD2F" w14:textId="60B46029" w:rsidR="0071578A" w:rsidRPr="0071578A" w:rsidRDefault="0071578A" w:rsidP="0071578A">
      <w:pPr>
        <w:rPr>
          <w:b/>
          <w:bCs/>
        </w:rPr>
      </w:pPr>
      <w:r w:rsidRPr="0071578A">
        <w:rPr>
          <w:b/>
          <w:bCs/>
        </w:rPr>
        <w:t xml:space="preserve">Additional file 4: </w:t>
      </w:r>
      <w:r w:rsidRPr="0071578A">
        <w:rPr>
          <w:b/>
          <w:bCs/>
        </w:rPr>
        <w:t>Risk of bias assessment</w:t>
      </w:r>
    </w:p>
    <w:p w14:paraId="40D3478D" w14:textId="24E39529" w:rsidR="0071578A" w:rsidRDefault="0071578A" w:rsidP="0071578A">
      <w:r>
        <w:t>Risk of bias was assessed for each study using the Risk of Bias in Non-randomized Studies – of Interventions (ROBINS-I) assessment tool. The ROBINS-I tool enables assessment of bias with seven domains: 1) confounding; 2) selection of participants; 3) classification of ‘interventions’ (i.e. exposures); 4) deviations from intended ‘interventions’; 5) missing data; 6) measurement of outc</w:t>
      </w:r>
      <w:r>
        <w:t>o</w:t>
      </w:r>
      <w:r>
        <w:t xml:space="preserve">mes; 7) and selection of reported results. Our risk of bias assessment pertains to the association between pregnancy specific </w:t>
      </w:r>
      <w:r w:rsidRPr="00107D19">
        <w:rPr>
          <w:i/>
          <w:iCs/>
        </w:rPr>
        <w:t>P. falciparum</w:t>
      </w:r>
      <w:r>
        <w:t xml:space="preserve"> antibody responses and pregnancy and birth outcomes derived from the study, rather than the study itself.</w:t>
      </w:r>
      <w:r>
        <w:t xml:space="preserve"> Many studies were classified as having a ‘moderate’ or ‘</w:t>
      </w:r>
      <w:r>
        <w:t>serious’ risk of bias due to confounding for reasons that were usually not related</w:t>
      </w:r>
      <w:r>
        <w:t xml:space="preserve"> to the quality of the study, including:</w:t>
      </w:r>
    </w:p>
    <w:p w14:paraId="099B8AB2" w14:textId="3402807E" w:rsidR="0071578A" w:rsidRDefault="0071578A" w:rsidP="0071578A">
      <w:pPr>
        <w:pStyle w:val="ListParagraph"/>
        <w:numPr>
          <w:ilvl w:val="0"/>
          <w:numId w:val="1"/>
        </w:numPr>
      </w:pPr>
      <w:r>
        <w:t>Inclusion of studies in which</w:t>
      </w:r>
      <w:r>
        <w:t xml:space="preserve"> the primary research question was not the association between </w:t>
      </w:r>
      <w:r w:rsidRPr="002F08EF">
        <w:rPr>
          <w:i/>
          <w:iCs/>
        </w:rPr>
        <w:t>P. falciparum</w:t>
      </w:r>
      <w:r>
        <w:t xml:space="preserve"> antibodies and pregnancy associated malaria  </w:t>
      </w:r>
    </w:p>
    <w:p w14:paraId="3DA20C84" w14:textId="77777777" w:rsidR="0071578A" w:rsidRDefault="0071578A" w:rsidP="0071578A">
      <w:pPr>
        <w:pStyle w:val="ListParagraph"/>
        <w:numPr>
          <w:ilvl w:val="0"/>
          <w:numId w:val="1"/>
        </w:numPr>
      </w:pPr>
      <w:r>
        <w:t>Inclusion of studies in which very few women had pregnancy associated malaria</w:t>
      </w:r>
    </w:p>
    <w:p w14:paraId="4AE610B1" w14:textId="620BE638" w:rsidR="0071578A" w:rsidRDefault="0071578A" w:rsidP="0071578A">
      <w:pPr>
        <w:pStyle w:val="ListParagraph"/>
        <w:numPr>
          <w:ilvl w:val="0"/>
          <w:numId w:val="1"/>
        </w:numPr>
      </w:pPr>
      <w:r>
        <w:t>Authors responding to our request for cross-tabulated (i.e. unadjusted) data for antibody responses and malaria in pregnancy</w:t>
      </w:r>
    </w:p>
    <w:p w14:paraId="47E108A3" w14:textId="721A06AF" w:rsidR="0071578A" w:rsidRDefault="00B121FB" w:rsidP="0071578A">
      <w:r>
        <w:rPr>
          <w:noProof/>
        </w:rPr>
        <w:lastRenderedPageBreak/>
        <w:drawing>
          <wp:inline distT="0" distB="0" distL="0" distR="0" wp14:anchorId="6B7F533E" wp14:editId="40CA4AA2">
            <wp:extent cx="4431665" cy="8863330"/>
            <wp:effectExtent l="0" t="0" r="6985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isk of bias plo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16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16330" w14:textId="465CC3EB" w:rsidR="0071578A" w:rsidRDefault="004320C0">
      <w:r>
        <w:lastRenderedPageBreak/>
        <w:t xml:space="preserve">Figure S1. </w:t>
      </w:r>
      <w:r>
        <w:t xml:space="preserve">Risk of bias assessment. </w:t>
      </w:r>
      <w:r>
        <w:t>(</w:t>
      </w:r>
      <w:r>
        <w:t>Black – critical risk</w:t>
      </w:r>
      <w:r>
        <w:t>)</w:t>
      </w:r>
      <w:r>
        <w:t xml:space="preserve">; red – serious risk; orange – moderate risk; green – low risk; </w:t>
      </w:r>
      <w:r>
        <w:t>(</w:t>
      </w:r>
      <w:r>
        <w:t>hollow circle – no information</w:t>
      </w:r>
      <w:r>
        <w:t>)</w:t>
      </w:r>
      <w:r>
        <w:t>.</w:t>
      </w:r>
    </w:p>
    <w:p w14:paraId="244667D2" w14:textId="77777777" w:rsidR="00107D19" w:rsidRDefault="00107D19" w:rsidP="0071578A">
      <w:bookmarkStart w:id="0" w:name="_GoBack"/>
      <w:bookmarkEnd w:id="0"/>
    </w:p>
    <w:sectPr w:rsidR="00107D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42514"/>
    <w:multiLevelType w:val="hybridMultilevel"/>
    <w:tmpl w:val="50F2E8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19"/>
    <w:rsid w:val="00107D19"/>
    <w:rsid w:val="00182CAA"/>
    <w:rsid w:val="002F08EF"/>
    <w:rsid w:val="004320C0"/>
    <w:rsid w:val="005A22AF"/>
    <w:rsid w:val="006A2E19"/>
    <w:rsid w:val="0071578A"/>
    <w:rsid w:val="00A30A1F"/>
    <w:rsid w:val="00B121FB"/>
    <w:rsid w:val="00B127C2"/>
    <w:rsid w:val="00C1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3A9EC"/>
  <w15:chartTrackingRefBased/>
  <w15:docId w15:val="{4ECE0602-C84E-447B-B862-FC94149DA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2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E1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15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Cutts</dc:creator>
  <cp:keywords/>
  <dc:description/>
  <cp:lastModifiedBy>Julia Cutts</cp:lastModifiedBy>
  <cp:revision>3</cp:revision>
  <dcterms:created xsi:type="dcterms:W3CDTF">2019-09-23T23:27:00Z</dcterms:created>
  <dcterms:modified xsi:type="dcterms:W3CDTF">2019-09-23T23:42:00Z</dcterms:modified>
</cp:coreProperties>
</file>