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2B69" w:rsidRPr="00577ED6" w:rsidRDefault="00FB2B69" w:rsidP="00FB2B69">
      <w:pPr>
        <w:rPr>
          <w:b/>
          <w:sz w:val="28"/>
        </w:rPr>
      </w:pPr>
      <w:bookmarkStart w:id="0" w:name="_Hlk23231253"/>
      <w:r w:rsidRPr="00577ED6">
        <w:rPr>
          <w:b/>
          <w:sz w:val="28"/>
        </w:rPr>
        <w:t xml:space="preserve">Additional file </w:t>
      </w:r>
      <w:r>
        <w:rPr>
          <w:b/>
          <w:sz w:val="28"/>
        </w:rPr>
        <w:t>1</w:t>
      </w:r>
    </w:p>
    <w:p w:rsidR="00FB2B69" w:rsidRDefault="00FB2B69" w:rsidP="00FB2B69">
      <w:r w:rsidRPr="008802FF">
        <w:t xml:space="preserve">Supplemental </w:t>
      </w:r>
      <w:r>
        <w:t>Methods to</w:t>
      </w:r>
      <w:r w:rsidRPr="008802FF">
        <w:t xml:space="preserve">: </w:t>
      </w:r>
    </w:p>
    <w:p w:rsidR="00FB2B69" w:rsidRDefault="00FB2B69" w:rsidP="00FB2B69">
      <w:r>
        <w:rPr>
          <w:i/>
        </w:rPr>
        <w:t xml:space="preserve">Title: </w:t>
      </w:r>
      <w:r w:rsidRPr="003418EF">
        <w:t>Vaccinating children against influenza: overall cost-effective with potential for undesirable outcomes</w:t>
      </w:r>
    </w:p>
    <w:p w:rsidR="00FB2B69" w:rsidRPr="003418EF" w:rsidRDefault="00FB2B69" w:rsidP="00FB2B69">
      <w:pPr>
        <w:rPr>
          <w:lang w:val="nl-NL"/>
        </w:rPr>
      </w:pPr>
      <w:r w:rsidRPr="003418EF">
        <w:rPr>
          <w:lang w:val="nl-NL"/>
        </w:rPr>
        <w:t>Pieter. T. de Boer, Jantien A. Backer, Albert Jan van Hoek, Jacco Wallinga</w:t>
      </w:r>
    </w:p>
    <w:p w:rsidR="00A74540" w:rsidRDefault="00FB2B69" w:rsidP="00797CD0">
      <w:pPr>
        <w:rPr>
          <w:rFonts w:ascii="Arial" w:hAnsi="Arial" w:cs="Arial"/>
          <w:b/>
          <w:bCs/>
          <w:noProof/>
          <w:sz w:val="22"/>
          <w:szCs w:val="28"/>
        </w:rPr>
      </w:pPr>
      <w:r w:rsidRPr="003418EF">
        <w:t xml:space="preserve">Centre for Infectious Disease Control, National Institute for Public Health and the Environment, </w:t>
      </w:r>
      <w:proofErr w:type="spellStart"/>
      <w:r w:rsidRPr="003418EF">
        <w:t>Bilthoven</w:t>
      </w:r>
      <w:proofErr w:type="spellEnd"/>
      <w:r w:rsidRPr="003418EF">
        <w:t>, The Netherlands</w:t>
      </w:r>
      <w:bookmarkStart w:id="1" w:name="_GoBack"/>
      <w:bookmarkEnd w:id="0"/>
      <w:bookmarkEnd w:id="1"/>
      <w:r w:rsidR="00A74540">
        <w:rPr>
          <w:noProof/>
        </w:rPr>
        <w:br w:type="page"/>
      </w:r>
    </w:p>
    <w:p w:rsidR="000173E4" w:rsidRPr="003B77D2" w:rsidRDefault="000173E4" w:rsidP="00124F84">
      <w:pPr>
        <w:pStyle w:val="Heading2"/>
        <w:rPr>
          <w:noProof/>
        </w:rPr>
      </w:pPr>
      <w:r w:rsidRPr="003B77D2">
        <w:rPr>
          <w:noProof/>
        </w:rPr>
        <w:lastRenderedPageBreak/>
        <w:t xml:space="preserve">Description </w:t>
      </w:r>
      <w:r w:rsidR="00D856C0">
        <w:rPr>
          <w:noProof/>
        </w:rPr>
        <w:t xml:space="preserve">and input parameters </w:t>
      </w:r>
      <w:r w:rsidRPr="003B77D2">
        <w:rPr>
          <w:noProof/>
        </w:rPr>
        <w:t xml:space="preserve">of </w:t>
      </w:r>
      <w:r w:rsidR="00D856C0">
        <w:rPr>
          <w:noProof/>
        </w:rPr>
        <w:t>dynamic transmission</w:t>
      </w:r>
      <w:r w:rsidRPr="003B77D2">
        <w:rPr>
          <w:noProof/>
        </w:rPr>
        <w:t xml:space="preserve"> model</w:t>
      </w:r>
    </w:p>
    <w:p w:rsidR="000173E4" w:rsidRPr="008F3753" w:rsidRDefault="000173E4" w:rsidP="000173E4">
      <w:pPr>
        <w:autoSpaceDE w:val="0"/>
        <w:autoSpaceDN w:val="0"/>
        <w:adjustRightInd w:val="0"/>
        <w:rPr>
          <w:rFonts w:cs="CMR10"/>
        </w:rPr>
      </w:pPr>
      <w:r w:rsidRPr="008F3753">
        <w:rPr>
          <w:rFonts w:cs="CMR10"/>
        </w:rPr>
        <w:t>The dynamic transmission model was developed previously and fitted to in</w:t>
      </w:r>
      <w:r>
        <w:rPr>
          <w:rFonts w:cs="CMR10"/>
        </w:rPr>
        <w:t>fl</w:t>
      </w:r>
      <w:r w:rsidRPr="008F3753">
        <w:rPr>
          <w:rFonts w:cs="CMR10"/>
        </w:rPr>
        <w:t>uenza attack</w:t>
      </w:r>
      <w:r>
        <w:rPr>
          <w:rFonts w:cs="CMR10"/>
        </w:rPr>
        <w:t xml:space="preserve"> </w:t>
      </w:r>
      <w:r w:rsidRPr="008F3753">
        <w:rPr>
          <w:rFonts w:cs="CMR10"/>
        </w:rPr>
        <w:t>rates from the Netherlands and vaccine effectiveness values from</w:t>
      </w:r>
      <w:r w:rsidR="0038167D">
        <w:rPr>
          <w:rFonts w:cs="CMR10"/>
        </w:rPr>
        <w:t xml:space="preserve"> the</w:t>
      </w:r>
      <w:r w:rsidRPr="008F3753">
        <w:rPr>
          <w:rFonts w:cs="CMR10"/>
        </w:rPr>
        <w:t xml:space="preserve"> literature </w:t>
      </w:r>
      <w:r w:rsidR="00D25242">
        <w:rPr>
          <w:noProof/>
          <w:sz w:val="20"/>
          <w:szCs w:val="20"/>
        </w:rPr>
        <w:t>[1]</w:t>
      </w:r>
      <w:r w:rsidRPr="008F3753">
        <w:rPr>
          <w:rFonts w:cs="CMR10"/>
        </w:rPr>
        <w:t>.</w:t>
      </w:r>
      <w:r>
        <w:rPr>
          <w:rFonts w:cs="CMR10"/>
        </w:rPr>
        <w:t xml:space="preserve"> A </w:t>
      </w:r>
      <w:r w:rsidRPr="008F3753">
        <w:rPr>
          <w:rFonts w:cs="CMR10"/>
        </w:rPr>
        <w:t>structured compartmental model</w:t>
      </w:r>
      <w:r>
        <w:rPr>
          <w:rFonts w:cs="CMR10"/>
        </w:rPr>
        <w:t xml:space="preserve"> (</w:t>
      </w:r>
      <w:r w:rsidR="0038167D">
        <w:t>Figure S</w:t>
      </w:r>
      <w:r w:rsidR="0038167D">
        <w:rPr>
          <w:noProof/>
        </w:rPr>
        <w:t>1</w:t>
      </w:r>
      <w:r>
        <w:rPr>
          <w:rFonts w:cs="CMR10"/>
        </w:rPr>
        <w:t>)</w:t>
      </w:r>
      <w:r w:rsidRPr="008F3753">
        <w:rPr>
          <w:rFonts w:cs="CMR10"/>
        </w:rPr>
        <w:t xml:space="preserve"> is used to calculate the seasonal infection attack rate in each</w:t>
      </w:r>
      <w:r>
        <w:rPr>
          <w:rFonts w:cs="CMR10"/>
        </w:rPr>
        <w:t xml:space="preserve"> </w:t>
      </w:r>
      <w:r w:rsidR="0038167D">
        <w:rPr>
          <w:rFonts w:cs="CMR10"/>
        </w:rPr>
        <w:t>age group</w:t>
      </w:r>
      <w:r w:rsidRPr="008F3753">
        <w:rPr>
          <w:rFonts w:cs="CMR10"/>
        </w:rPr>
        <w:t xml:space="preserve"> and risk</w:t>
      </w:r>
      <w:r w:rsidR="0038167D">
        <w:rPr>
          <w:rFonts w:cs="CMR10"/>
        </w:rPr>
        <w:t xml:space="preserve"> </w:t>
      </w:r>
      <w:r w:rsidRPr="008F3753">
        <w:rPr>
          <w:rFonts w:cs="CMR10"/>
        </w:rPr>
        <w:t xml:space="preserve">group. The influenza epidemics end due to depletion of </w:t>
      </w:r>
      <w:proofErr w:type="spellStart"/>
      <w:r w:rsidRPr="008F3753">
        <w:rPr>
          <w:rFonts w:cs="CMR10"/>
        </w:rPr>
        <w:t>susceptibles</w:t>
      </w:r>
      <w:proofErr w:type="spellEnd"/>
      <w:r w:rsidRPr="008F3753">
        <w:rPr>
          <w:rFonts w:cs="CMR10"/>
        </w:rPr>
        <w:t xml:space="preserve"> rather than</w:t>
      </w:r>
      <w:r>
        <w:rPr>
          <w:rFonts w:cs="CMR10"/>
        </w:rPr>
        <w:t xml:space="preserve"> </w:t>
      </w:r>
      <w:r w:rsidRPr="008F3753">
        <w:rPr>
          <w:rFonts w:cs="CMR10"/>
        </w:rPr>
        <w:t>seasonal forcing, which allows for the use of final size equations to approximate the epidemic</w:t>
      </w:r>
      <w:r>
        <w:rPr>
          <w:rFonts w:cs="CMR10"/>
        </w:rPr>
        <w:t xml:space="preserve"> </w:t>
      </w:r>
      <w:r w:rsidRPr="008F3753">
        <w:rPr>
          <w:rFonts w:cs="CMR10"/>
        </w:rPr>
        <w:t xml:space="preserve">size. Each time step of one influenza season consists of three stages. Before the start of the season, people are vaccinated according to the </w:t>
      </w:r>
      <w:r>
        <w:rPr>
          <w:rFonts w:cs="CMR10"/>
        </w:rPr>
        <w:t>v</w:t>
      </w:r>
      <w:r w:rsidRPr="008F3753">
        <w:rPr>
          <w:rFonts w:cs="CMR10"/>
        </w:rPr>
        <w:t xml:space="preserve">accination </w:t>
      </w:r>
      <w:r>
        <w:rPr>
          <w:rFonts w:cs="CMR10"/>
        </w:rPr>
        <w:t>c</w:t>
      </w:r>
      <w:r w:rsidRPr="008F3753">
        <w:rPr>
          <w:rFonts w:cs="CMR10"/>
        </w:rPr>
        <w:t>overage of their risk and age class, but whether they develop an antibody response depends on their age, captured by the vaccine take</w:t>
      </w:r>
      <w:r>
        <w:rPr>
          <w:rFonts w:cs="CMR10"/>
        </w:rPr>
        <w:t xml:space="preserve"> (purple arrows)</w:t>
      </w:r>
      <w:r w:rsidRPr="008F3753">
        <w:rPr>
          <w:rFonts w:cs="CMR10"/>
        </w:rPr>
        <w:t>. During the season, the number of infections and distribution over the various groups is determined by the virus transmissibility and the contact structure between</w:t>
      </w:r>
      <w:r w:rsidRPr="008F3753">
        <w:rPr>
          <w:rFonts w:cs="CMSS8"/>
          <w:sz w:val="12"/>
          <w:szCs w:val="12"/>
        </w:rPr>
        <w:t xml:space="preserve"> </w:t>
      </w:r>
      <w:r w:rsidRPr="008F3753">
        <w:rPr>
          <w:rFonts w:cs="CMR10"/>
        </w:rPr>
        <w:t>age and sex classes</w:t>
      </w:r>
      <w:r>
        <w:rPr>
          <w:rFonts w:cs="CMR10"/>
        </w:rPr>
        <w:t xml:space="preserve"> (red arrows)</w:t>
      </w:r>
      <w:r w:rsidRPr="008F3753">
        <w:rPr>
          <w:rFonts w:cs="CMR10"/>
        </w:rPr>
        <w:t xml:space="preserve">. Persons that respond to vaccination can still be infected, depending on the how well the vaccine strain matches the circulating virus strain. The vaccine match can vary per season. At the end of the </w:t>
      </w:r>
      <w:r>
        <w:rPr>
          <w:rFonts w:cs="CMR10"/>
        </w:rPr>
        <w:t>s</w:t>
      </w:r>
      <w:r w:rsidRPr="008F3753">
        <w:rPr>
          <w:rFonts w:cs="CMR10"/>
        </w:rPr>
        <w:t xml:space="preserve">eason, the population ages by one year and </w:t>
      </w:r>
      <w:r w:rsidR="006C4659" w:rsidRPr="008F3753">
        <w:rPr>
          <w:rFonts w:cs="CMR10"/>
        </w:rPr>
        <w:t>new-borns</w:t>
      </w:r>
      <w:r w:rsidRPr="008F3753">
        <w:rPr>
          <w:rFonts w:cs="CMR10"/>
        </w:rPr>
        <w:t xml:space="preserve"> enter</w:t>
      </w:r>
      <w:r w:rsidRPr="008F3753">
        <w:rPr>
          <w:rFonts w:cs="CMSS8"/>
          <w:sz w:val="12"/>
          <w:szCs w:val="12"/>
        </w:rPr>
        <w:t xml:space="preserve"> </w:t>
      </w:r>
      <w:r w:rsidRPr="008F3753">
        <w:rPr>
          <w:rFonts w:cs="CMR10"/>
        </w:rPr>
        <w:t xml:space="preserve">the population. A part of the infected population becomes susceptible to infection again due to antigenic drift, as the circulating strain less and less resembles the virus strain that caused the initial infection. This is modelled as immunity waning where individuals go from an immune </w:t>
      </w:r>
      <w:r w:rsidRPr="008F3753">
        <w:rPr>
          <w:rFonts w:cs="CMSS8"/>
          <w:sz w:val="12"/>
          <w:szCs w:val="12"/>
        </w:rPr>
        <w:t xml:space="preserve"> </w:t>
      </w:r>
      <w:r w:rsidRPr="008F3753">
        <w:rPr>
          <w:rFonts w:cs="CMR10"/>
        </w:rPr>
        <w:t>state to a susceptible state</w:t>
      </w:r>
      <w:r>
        <w:rPr>
          <w:rFonts w:cs="CMR10"/>
        </w:rPr>
        <w:t xml:space="preserve"> (blue arrows)</w:t>
      </w:r>
      <w:r w:rsidRPr="008F3753">
        <w:rPr>
          <w:rFonts w:cs="CMR10"/>
        </w:rPr>
        <w:t>. The waning immunity rate can also vary per season. Finally, vaccinated individuals return to an unvaccinated status as vaccine protection is assumed to last one season.</w:t>
      </w:r>
      <w:r>
        <w:rPr>
          <w:rFonts w:cs="CMR10"/>
        </w:rPr>
        <w:t xml:space="preserve"> We assume consistent vaccination, where individuals that are vaccinated in one season will also be vaccinated in the next season, as this best represents the current practice. </w:t>
      </w:r>
    </w:p>
    <w:p w:rsidR="00D435E2" w:rsidRDefault="00D435E2" w:rsidP="00FE70C7">
      <w:pPr>
        <w:keepNext/>
        <w:autoSpaceDE w:val="0"/>
        <w:autoSpaceDN w:val="0"/>
        <w:adjustRightInd w:val="0"/>
        <w:spacing w:line="240" w:lineRule="auto"/>
      </w:pPr>
      <w:r>
        <w:rPr>
          <w:noProof/>
          <w:lang w:val="en-US"/>
        </w:rPr>
        <w:lastRenderedPageBreak/>
        <w:drawing>
          <wp:inline distT="0" distB="0" distL="0" distR="0" wp14:anchorId="0FE4D736" wp14:editId="5920E471">
            <wp:extent cx="5141423" cy="2982686"/>
            <wp:effectExtent l="0" t="0" r="254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8834" cy="2986985"/>
                    </a:xfrm>
                    <a:prstGeom prst="rect">
                      <a:avLst/>
                    </a:prstGeom>
                    <a:noFill/>
                    <a:ln>
                      <a:noFill/>
                    </a:ln>
                  </pic:spPr>
                </pic:pic>
              </a:graphicData>
            </a:graphic>
          </wp:inline>
        </w:drawing>
      </w:r>
    </w:p>
    <w:p w:rsidR="000173E4" w:rsidRDefault="0038167D" w:rsidP="00FE70C7">
      <w:bookmarkStart w:id="2" w:name="_Ref13138694"/>
      <w:r>
        <w:t>Figure S</w:t>
      </w:r>
      <w:r w:rsidR="00D435E2">
        <w:rPr>
          <w:noProof/>
        </w:rPr>
        <w:t>1</w:t>
      </w:r>
      <w:bookmarkEnd w:id="2"/>
      <w:r w:rsidR="00D435E2">
        <w:t xml:space="preserve">: </w:t>
      </w:r>
      <w:r w:rsidR="000173E4" w:rsidRPr="007E5A14">
        <w:t xml:space="preserve">Overview of the influenza model. </w:t>
      </w:r>
      <w:r>
        <w:t>The model is a c</w:t>
      </w:r>
      <w:r w:rsidR="000173E4" w:rsidRPr="007E5A14">
        <w:t>ompartmental model for discrete time steps of one year, with</w:t>
      </w:r>
      <w:r w:rsidR="000173E4">
        <w:t xml:space="preserve"> </w:t>
      </w:r>
      <w:r w:rsidR="000173E4" w:rsidRPr="007E5A14">
        <w:t>classification according to vaccination and infection status: fully susceptible (</w:t>
      </w:r>
      <w:r w:rsidR="000173E4" w:rsidRPr="007E5A14">
        <w:rPr>
          <w:rFonts w:cs="CMMI9"/>
        </w:rPr>
        <w:t xml:space="preserve">S </w:t>
      </w:r>
      <w:r w:rsidR="000173E4" w:rsidRPr="007E5A14">
        <w:t xml:space="preserve">and </w:t>
      </w:r>
      <w:r w:rsidR="000173E4" w:rsidRPr="007E5A14">
        <w:rPr>
          <w:rFonts w:cs="CMMI9"/>
        </w:rPr>
        <w:t>S</w:t>
      </w:r>
      <w:r w:rsidR="000173E4" w:rsidRPr="00FE70C7">
        <w:rPr>
          <w:rFonts w:cs="CMR6"/>
          <w:vertAlign w:val="subscript"/>
        </w:rPr>
        <w:t>V</w:t>
      </w:r>
      <w:r w:rsidR="000173E4" w:rsidRPr="007E5A14">
        <w:t>), immune through natural</w:t>
      </w:r>
      <w:r w:rsidR="000173E4">
        <w:t xml:space="preserve"> </w:t>
      </w:r>
      <w:r w:rsidR="000173E4" w:rsidRPr="007E5A14">
        <w:t>infection (</w:t>
      </w:r>
      <w:r w:rsidR="000173E4" w:rsidRPr="007E5A14">
        <w:rPr>
          <w:rFonts w:cs="CMMI9"/>
        </w:rPr>
        <w:t xml:space="preserve">R </w:t>
      </w:r>
      <w:r w:rsidR="000173E4" w:rsidRPr="007E5A14">
        <w:t xml:space="preserve">and </w:t>
      </w:r>
      <w:r w:rsidR="000173E4" w:rsidRPr="007E5A14">
        <w:rPr>
          <w:rFonts w:cs="CMMI9"/>
        </w:rPr>
        <w:t>R</w:t>
      </w:r>
      <w:r w:rsidR="000173E4" w:rsidRPr="00FE70C7">
        <w:rPr>
          <w:rFonts w:cs="CMR6"/>
          <w:vertAlign w:val="subscript"/>
        </w:rPr>
        <w:t>V</w:t>
      </w:r>
      <w:r w:rsidR="000173E4" w:rsidRPr="007E5A14">
        <w:t>), and partially protected by vaccination (</w:t>
      </w:r>
      <w:r w:rsidR="000173E4" w:rsidRPr="007E5A14">
        <w:rPr>
          <w:rFonts w:cs="CMMI9"/>
        </w:rPr>
        <w:t>P</w:t>
      </w:r>
      <w:r w:rsidR="000173E4" w:rsidRPr="00FE70C7">
        <w:rPr>
          <w:rFonts w:cs="CMR6"/>
          <w:vertAlign w:val="subscript"/>
        </w:rPr>
        <w:t>V</w:t>
      </w:r>
      <w:r w:rsidR="000173E4" w:rsidRPr="007E5A14">
        <w:t xml:space="preserve">), where </w:t>
      </w:r>
      <w:r>
        <w:t>V</w:t>
      </w:r>
      <w:r w:rsidR="000173E4" w:rsidRPr="007E5A14">
        <w:t xml:space="preserve"> denotes a vaccinated</w:t>
      </w:r>
      <w:r w:rsidR="00D435E2">
        <w:t xml:space="preserve"> </w:t>
      </w:r>
      <w:r w:rsidR="000173E4" w:rsidRPr="007E5A14">
        <w:t>compartment. The model lacks an explicit infectious compartment because of the use of final size calculations.</w:t>
      </w:r>
    </w:p>
    <w:p w:rsidR="0089466D" w:rsidRDefault="0089466D" w:rsidP="000173E4"/>
    <w:p w:rsidR="000173E4" w:rsidRDefault="00556ADD" w:rsidP="000173E4">
      <w:r>
        <w:t>Table S</w:t>
      </w:r>
      <w:r>
        <w:rPr>
          <w:noProof/>
        </w:rPr>
        <w:t>1</w:t>
      </w:r>
      <w:r>
        <w:rPr>
          <w:rFonts w:cs="CMR10"/>
        </w:rPr>
        <w:t xml:space="preserve"> describes the input values for the simulation model. </w:t>
      </w:r>
      <w:r w:rsidR="0089466D">
        <w:rPr>
          <w:noProof/>
        </w:rPr>
        <w:t>Model</w:t>
      </w:r>
      <w:r w:rsidR="0089466D" w:rsidRPr="00D540FF">
        <w:rPr>
          <w:noProof/>
        </w:rPr>
        <w:t xml:space="preserve"> parameters </w:t>
      </w:r>
      <w:r w:rsidR="0089466D">
        <w:rPr>
          <w:noProof/>
        </w:rPr>
        <w:t>we</w:t>
      </w:r>
      <w:r w:rsidR="0089466D" w:rsidRPr="00D540FF">
        <w:rPr>
          <w:noProof/>
        </w:rPr>
        <w:t xml:space="preserve">re estimated based on infection attack rates of 11 seasons (2003 – 2015) in the Netherlands and on vaccine effectiveness values from literature. </w:t>
      </w:r>
      <w:r w:rsidR="0089466D">
        <w:rPr>
          <w:noProof/>
        </w:rPr>
        <w:t xml:space="preserve">It was verified </w:t>
      </w:r>
      <w:r w:rsidR="0089466D">
        <w:rPr>
          <w:szCs w:val="20"/>
        </w:rPr>
        <w:t>in the fitting procedure that the proportion of simulations with small values of the effective reproduction number and hence long seasons, is very small.</w:t>
      </w:r>
      <w:r w:rsidR="000173E4">
        <w:br w:type="page"/>
      </w:r>
    </w:p>
    <w:p w:rsidR="000173E4" w:rsidRPr="000173E4" w:rsidRDefault="000173E4" w:rsidP="000173E4">
      <w:pPr>
        <w:autoSpaceDE w:val="0"/>
        <w:autoSpaceDN w:val="0"/>
        <w:adjustRightInd w:val="0"/>
        <w:spacing w:line="360" w:lineRule="auto"/>
        <w:rPr>
          <w:noProof/>
          <w:sz w:val="20"/>
          <w:szCs w:val="20"/>
        </w:rPr>
      </w:pPr>
    </w:p>
    <w:p w:rsidR="000173E4" w:rsidRDefault="000173E4" w:rsidP="00C5301C">
      <w:bookmarkStart w:id="3" w:name="_Ref13138797"/>
      <w:r>
        <w:t>Table S</w:t>
      </w:r>
      <w:r w:rsidR="00C5301C">
        <w:rPr>
          <w:noProof/>
        </w:rPr>
        <w:t>1</w:t>
      </w:r>
      <w:bookmarkEnd w:id="3"/>
      <w:r>
        <w:t xml:space="preserve">: </w:t>
      </w:r>
      <w:r w:rsidRPr="00D540FF">
        <w:rPr>
          <w:noProof/>
        </w:rPr>
        <w:t xml:space="preserve">Model parameters used for simulations. </w:t>
      </w:r>
      <w:r w:rsidR="00CF1A3E">
        <w:rPr>
          <w:noProof/>
        </w:rPr>
        <w:t>D</w:t>
      </w:r>
      <w:r w:rsidR="00CF1A3E" w:rsidRPr="00D540FF">
        <w:rPr>
          <w:noProof/>
        </w:rPr>
        <w:t xml:space="preserve">istributions are estimated </w:t>
      </w:r>
      <w:r w:rsidR="00CF1A3E">
        <w:rPr>
          <w:noProof/>
        </w:rPr>
        <w:t>f</w:t>
      </w:r>
      <w:r w:rsidRPr="00D540FF">
        <w:rPr>
          <w:noProof/>
        </w:rPr>
        <w:t>or the natural immunity duration and vaccine match</w:t>
      </w:r>
      <w:r w:rsidR="00CF1A3E">
        <w:rPr>
          <w:noProof/>
        </w:rPr>
        <w:t>,</w:t>
      </w:r>
      <w:r w:rsidRPr="00D540FF">
        <w:rPr>
          <w:noProof/>
        </w:rPr>
        <w:t xml:space="preserve"> (mean and </w:t>
      </w:r>
      <w:r w:rsidR="0038167D">
        <w:rPr>
          <w:noProof/>
        </w:rPr>
        <w:t>95% credible intervals</w:t>
      </w:r>
      <w:r w:rsidRPr="00D540FF">
        <w:rPr>
          <w:noProof/>
        </w:rPr>
        <w:t xml:space="preserve"> in table) as they vary by season.</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4"/>
        <w:gridCol w:w="1849"/>
        <w:gridCol w:w="3829"/>
      </w:tblGrid>
      <w:tr w:rsidR="000173E4" w:rsidRPr="008F15E6" w:rsidTr="008F15E6">
        <w:tc>
          <w:tcPr>
            <w:tcW w:w="2844" w:type="dxa"/>
            <w:tcBorders>
              <w:top w:val="single" w:sz="4" w:space="0" w:color="auto"/>
              <w:bottom w:val="single" w:sz="4" w:space="0" w:color="auto"/>
            </w:tcBorders>
            <w:shd w:val="clear" w:color="auto" w:fill="auto"/>
          </w:tcPr>
          <w:p w:rsidR="000173E4" w:rsidRPr="008F15E6" w:rsidRDefault="000173E4" w:rsidP="008F15E6">
            <w:pPr>
              <w:spacing w:line="276" w:lineRule="auto"/>
              <w:rPr>
                <w:noProof/>
                <w:sz w:val="20"/>
                <w:szCs w:val="20"/>
              </w:rPr>
            </w:pPr>
            <w:r w:rsidRPr="008F15E6">
              <w:rPr>
                <w:noProof/>
                <w:sz w:val="20"/>
                <w:szCs w:val="20"/>
              </w:rPr>
              <w:t>Parameter</w:t>
            </w:r>
          </w:p>
        </w:tc>
        <w:tc>
          <w:tcPr>
            <w:tcW w:w="1849" w:type="dxa"/>
            <w:tcBorders>
              <w:top w:val="single" w:sz="4" w:space="0" w:color="auto"/>
              <w:bottom w:val="single" w:sz="4" w:space="0" w:color="auto"/>
            </w:tcBorders>
            <w:shd w:val="clear" w:color="auto" w:fill="auto"/>
          </w:tcPr>
          <w:p w:rsidR="000173E4" w:rsidRPr="008F15E6" w:rsidRDefault="000173E4" w:rsidP="008F15E6">
            <w:pPr>
              <w:spacing w:line="276" w:lineRule="auto"/>
              <w:rPr>
                <w:noProof/>
                <w:sz w:val="20"/>
                <w:szCs w:val="20"/>
              </w:rPr>
            </w:pPr>
            <w:r w:rsidRPr="008F15E6">
              <w:rPr>
                <w:noProof/>
                <w:sz w:val="20"/>
                <w:szCs w:val="20"/>
              </w:rPr>
              <w:t>Value</w:t>
            </w:r>
          </w:p>
        </w:tc>
        <w:tc>
          <w:tcPr>
            <w:tcW w:w="3829" w:type="dxa"/>
            <w:tcBorders>
              <w:top w:val="single" w:sz="4" w:space="0" w:color="auto"/>
              <w:bottom w:val="single" w:sz="4" w:space="0" w:color="auto"/>
            </w:tcBorders>
            <w:shd w:val="clear" w:color="auto" w:fill="auto"/>
          </w:tcPr>
          <w:p w:rsidR="000173E4" w:rsidRPr="008F15E6" w:rsidRDefault="000173E4" w:rsidP="008F15E6">
            <w:pPr>
              <w:spacing w:line="276" w:lineRule="auto"/>
              <w:rPr>
                <w:noProof/>
                <w:sz w:val="20"/>
                <w:szCs w:val="20"/>
              </w:rPr>
            </w:pPr>
            <w:r w:rsidRPr="008F15E6">
              <w:rPr>
                <w:noProof/>
                <w:sz w:val="20"/>
                <w:szCs w:val="20"/>
              </w:rPr>
              <w:t>Notes</w:t>
            </w:r>
          </w:p>
        </w:tc>
      </w:tr>
      <w:tr w:rsidR="000173E4" w:rsidTr="000173E4">
        <w:tc>
          <w:tcPr>
            <w:tcW w:w="2844" w:type="dxa"/>
            <w:tcBorders>
              <w:top w:val="single" w:sz="4" w:space="0" w:color="auto"/>
            </w:tcBorders>
            <w:shd w:val="clear" w:color="auto" w:fill="auto"/>
          </w:tcPr>
          <w:p w:rsidR="000173E4" w:rsidRPr="008F15E6" w:rsidRDefault="000173E4" w:rsidP="008F15E6">
            <w:pPr>
              <w:spacing w:line="276" w:lineRule="auto"/>
              <w:rPr>
                <w:noProof/>
                <w:sz w:val="20"/>
                <w:szCs w:val="20"/>
              </w:rPr>
            </w:pPr>
            <w:r w:rsidRPr="008F15E6">
              <w:rPr>
                <w:noProof/>
                <w:sz w:val="20"/>
                <w:szCs w:val="20"/>
              </w:rPr>
              <w:t>Number of age classes</w:t>
            </w:r>
          </w:p>
        </w:tc>
        <w:tc>
          <w:tcPr>
            <w:tcW w:w="1849" w:type="dxa"/>
            <w:tcBorders>
              <w:top w:val="single" w:sz="4" w:space="0" w:color="auto"/>
            </w:tcBorders>
            <w:shd w:val="clear" w:color="auto" w:fill="auto"/>
          </w:tcPr>
          <w:p w:rsidR="000173E4" w:rsidRPr="008F15E6" w:rsidRDefault="000173E4" w:rsidP="008F15E6">
            <w:pPr>
              <w:spacing w:line="276" w:lineRule="auto"/>
              <w:rPr>
                <w:noProof/>
                <w:sz w:val="20"/>
                <w:szCs w:val="20"/>
              </w:rPr>
            </w:pPr>
            <w:r w:rsidRPr="008F15E6">
              <w:rPr>
                <w:noProof/>
                <w:sz w:val="20"/>
                <w:szCs w:val="20"/>
              </w:rPr>
              <w:t>100</w:t>
            </w:r>
          </w:p>
        </w:tc>
        <w:tc>
          <w:tcPr>
            <w:tcW w:w="3829" w:type="dxa"/>
            <w:tcBorders>
              <w:top w:val="single" w:sz="4" w:space="0" w:color="auto"/>
            </w:tcBorders>
            <w:shd w:val="clear" w:color="auto" w:fill="auto"/>
          </w:tcPr>
          <w:p w:rsidR="000173E4" w:rsidRPr="008F15E6" w:rsidRDefault="0038167D" w:rsidP="008F15E6">
            <w:pPr>
              <w:spacing w:line="276" w:lineRule="auto"/>
              <w:rPr>
                <w:noProof/>
                <w:sz w:val="20"/>
                <w:szCs w:val="20"/>
              </w:rPr>
            </w:pPr>
            <w:r>
              <w:rPr>
                <w:noProof/>
                <w:sz w:val="20"/>
                <w:szCs w:val="20"/>
              </w:rPr>
              <w:t>F</w:t>
            </w:r>
            <w:r w:rsidR="000173E4" w:rsidRPr="008F15E6">
              <w:rPr>
                <w:noProof/>
                <w:sz w:val="20"/>
                <w:szCs w:val="20"/>
              </w:rPr>
              <w:t>rom 0 to 99+ years of age</w:t>
            </w:r>
          </w:p>
        </w:tc>
      </w:tr>
      <w:tr w:rsidR="000173E4" w:rsidTr="008F15E6">
        <w:tc>
          <w:tcPr>
            <w:tcW w:w="2844" w:type="dxa"/>
            <w:shd w:val="clear" w:color="auto" w:fill="auto"/>
          </w:tcPr>
          <w:p w:rsidR="000173E4" w:rsidRPr="008F15E6" w:rsidRDefault="0038167D" w:rsidP="008F15E6">
            <w:pPr>
              <w:spacing w:line="276" w:lineRule="auto"/>
              <w:rPr>
                <w:noProof/>
                <w:sz w:val="20"/>
                <w:szCs w:val="20"/>
              </w:rPr>
            </w:pPr>
            <w:r>
              <w:rPr>
                <w:noProof/>
                <w:sz w:val="20"/>
                <w:szCs w:val="20"/>
              </w:rPr>
              <w:t>N</w:t>
            </w:r>
            <w:r w:rsidR="000173E4" w:rsidRPr="008F15E6">
              <w:rPr>
                <w:noProof/>
                <w:sz w:val="20"/>
                <w:szCs w:val="20"/>
              </w:rPr>
              <w:t>umber of risk classes</w:t>
            </w:r>
          </w:p>
        </w:tc>
        <w:tc>
          <w:tcPr>
            <w:tcW w:w="1849" w:type="dxa"/>
            <w:shd w:val="clear" w:color="auto" w:fill="auto"/>
          </w:tcPr>
          <w:p w:rsidR="000173E4" w:rsidRPr="008F15E6" w:rsidRDefault="000173E4" w:rsidP="008F15E6">
            <w:pPr>
              <w:spacing w:line="276" w:lineRule="auto"/>
              <w:rPr>
                <w:noProof/>
                <w:sz w:val="20"/>
                <w:szCs w:val="20"/>
              </w:rPr>
            </w:pPr>
            <w:r w:rsidRPr="008F15E6">
              <w:rPr>
                <w:noProof/>
                <w:sz w:val="20"/>
                <w:szCs w:val="20"/>
              </w:rPr>
              <w:t>2</w:t>
            </w:r>
          </w:p>
        </w:tc>
        <w:tc>
          <w:tcPr>
            <w:tcW w:w="3829" w:type="dxa"/>
            <w:shd w:val="clear" w:color="auto" w:fill="auto"/>
          </w:tcPr>
          <w:p w:rsidR="000173E4" w:rsidRPr="008F15E6" w:rsidRDefault="0038167D" w:rsidP="00CF1A3E">
            <w:pPr>
              <w:spacing w:line="276" w:lineRule="auto"/>
              <w:rPr>
                <w:noProof/>
                <w:sz w:val="20"/>
                <w:szCs w:val="20"/>
              </w:rPr>
            </w:pPr>
            <w:r>
              <w:rPr>
                <w:noProof/>
                <w:sz w:val="20"/>
                <w:szCs w:val="20"/>
              </w:rPr>
              <w:t>H</w:t>
            </w:r>
            <w:r w:rsidR="000173E4" w:rsidRPr="008F15E6">
              <w:rPr>
                <w:noProof/>
                <w:sz w:val="20"/>
                <w:szCs w:val="20"/>
              </w:rPr>
              <w:t>igh risk group consists of persons with high risk of complications</w:t>
            </w:r>
            <w:r w:rsidR="00CF1A3E">
              <w:rPr>
                <w:noProof/>
                <w:sz w:val="20"/>
                <w:szCs w:val="20"/>
              </w:rPr>
              <w:t xml:space="preserve"> and are all invited for vaccination</w:t>
            </w:r>
          </w:p>
        </w:tc>
      </w:tr>
      <w:tr w:rsidR="000173E4" w:rsidTr="008F15E6">
        <w:tc>
          <w:tcPr>
            <w:tcW w:w="2844" w:type="dxa"/>
            <w:shd w:val="clear" w:color="auto" w:fill="auto"/>
          </w:tcPr>
          <w:p w:rsidR="000173E4" w:rsidRPr="008F15E6" w:rsidRDefault="0038167D" w:rsidP="008F15E6">
            <w:pPr>
              <w:spacing w:line="276" w:lineRule="auto"/>
              <w:rPr>
                <w:noProof/>
                <w:sz w:val="20"/>
                <w:szCs w:val="20"/>
              </w:rPr>
            </w:pPr>
            <w:r>
              <w:rPr>
                <w:noProof/>
                <w:sz w:val="20"/>
                <w:szCs w:val="20"/>
              </w:rPr>
              <w:t>D</w:t>
            </w:r>
            <w:r w:rsidR="000173E4" w:rsidRPr="008F15E6">
              <w:rPr>
                <w:noProof/>
                <w:sz w:val="20"/>
                <w:szCs w:val="20"/>
              </w:rPr>
              <w:t>efault population demography</w:t>
            </w:r>
          </w:p>
        </w:tc>
        <w:tc>
          <w:tcPr>
            <w:tcW w:w="1849" w:type="dxa"/>
            <w:shd w:val="clear" w:color="auto" w:fill="auto"/>
          </w:tcPr>
          <w:p w:rsidR="000173E4" w:rsidRPr="008F15E6" w:rsidRDefault="000173E4" w:rsidP="008F15E6">
            <w:pPr>
              <w:spacing w:line="276" w:lineRule="auto"/>
              <w:rPr>
                <w:noProof/>
                <w:sz w:val="20"/>
                <w:szCs w:val="20"/>
              </w:rPr>
            </w:pPr>
            <w:r w:rsidRPr="008F15E6">
              <w:rPr>
                <w:noProof/>
                <w:sz w:val="20"/>
                <w:szCs w:val="20"/>
              </w:rPr>
              <w:t>2015</w:t>
            </w:r>
          </w:p>
        </w:tc>
        <w:tc>
          <w:tcPr>
            <w:tcW w:w="3829" w:type="dxa"/>
            <w:shd w:val="clear" w:color="auto" w:fill="auto"/>
          </w:tcPr>
          <w:p w:rsidR="000173E4" w:rsidRPr="008F15E6" w:rsidRDefault="0038167D" w:rsidP="008F15E6">
            <w:pPr>
              <w:spacing w:line="276" w:lineRule="auto"/>
              <w:rPr>
                <w:noProof/>
                <w:sz w:val="20"/>
                <w:szCs w:val="20"/>
              </w:rPr>
            </w:pPr>
            <w:r>
              <w:rPr>
                <w:noProof/>
                <w:sz w:val="20"/>
                <w:szCs w:val="20"/>
              </w:rPr>
              <w:t>S</w:t>
            </w:r>
            <w:r w:rsidR="000173E4" w:rsidRPr="008F15E6">
              <w:rPr>
                <w:noProof/>
                <w:sz w:val="20"/>
                <w:szCs w:val="20"/>
              </w:rPr>
              <w:t>tatistics Netherlands; simulations use projections up to 2045</w:t>
            </w:r>
          </w:p>
        </w:tc>
      </w:tr>
      <w:tr w:rsidR="000173E4" w:rsidTr="008F15E6">
        <w:tc>
          <w:tcPr>
            <w:tcW w:w="2844" w:type="dxa"/>
            <w:shd w:val="clear" w:color="auto" w:fill="auto"/>
          </w:tcPr>
          <w:p w:rsidR="000173E4" w:rsidRPr="008F15E6" w:rsidRDefault="0038167D" w:rsidP="008F15E6">
            <w:pPr>
              <w:spacing w:line="276" w:lineRule="auto"/>
              <w:rPr>
                <w:noProof/>
                <w:sz w:val="20"/>
                <w:szCs w:val="20"/>
              </w:rPr>
            </w:pPr>
            <w:r>
              <w:rPr>
                <w:noProof/>
                <w:sz w:val="20"/>
                <w:szCs w:val="20"/>
              </w:rPr>
              <w:t>C</w:t>
            </w:r>
            <w:r w:rsidR="000173E4" w:rsidRPr="008F15E6">
              <w:rPr>
                <w:noProof/>
                <w:sz w:val="20"/>
                <w:szCs w:val="20"/>
              </w:rPr>
              <w:t>ontact matrix</w:t>
            </w:r>
          </w:p>
        </w:tc>
        <w:tc>
          <w:tcPr>
            <w:tcW w:w="1849" w:type="dxa"/>
            <w:shd w:val="clear" w:color="auto" w:fill="auto"/>
          </w:tcPr>
          <w:p w:rsidR="000173E4" w:rsidRPr="008F15E6" w:rsidRDefault="000173E4" w:rsidP="008F15E6">
            <w:pPr>
              <w:spacing w:line="276" w:lineRule="auto"/>
              <w:rPr>
                <w:noProof/>
                <w:sz w:val="20"/>
                <w:szCs w:val="20"/>
              </w:rPr>
            </w:pPr>
            <w:r w:rsidRPr="008F15E6">
              <w:rPr>
                <w:noProof/>
                <w:sz w:val="20"/>
                <w:szCs w:val="20"/>
              </w:rPr>
              <w:t>-</w:t>
            </w:r>
          </w:p>
        </w:tc>
        <w:tc>
          <w:tcPr>
            <w:tcW w:w="3829" w:type="dxa"/>
            <w:shd w:val="clear" w:color="auto" w:fill="auto"/>
          </w:tcPr>
          <w:p w:rsidR="000173E4" w:rsidRPr="008F15E6" w:rsidRDefault="000173E4" w:rsidP="00D25242">
            <w:pPr>
              <w:spacing w:line="276" w:lineRule="auto"/>
              <w:rPr>
                <w:noProof/>
                <w:sz w:val="20"/>
                <w:szCs w:val="20"/>
              </w:rPr>
            </w:pPr>
            <w:r w:rsidRPr="008F15E6">
              <w:rPr>
                <w:noProof/>
                <w:sz w:val="20"/>
                <w:szCs w:val="20"/>
              </w:rPr>
              <w:t xml:space="preserve">200x200 matrix with contact rates between each age class and sex </w:t>
            </w:r>
            <w:r w:rsidR="00D25242">
              <w:rPr>
                <w:noProof/>
                <w:sz w:val="20"/>
                <w:szCs w:val="20"/>
              </w:rPr>
              <w:t>[2]</w:t>
            </w:r>
          </w:p>
        </w:tc>
      </w:tr>
      <w:tr w:rsidR="000173E4" w:rsidTr="008F15E6">
        <w:tc>
          <w:tcPr>
            <w:tcW w:w="2844" w:type="dxa"/>
            <w:shd w:val="clear" w:color="auto" w:fill="auto"/>
          </w:tcPr>
          <w:p w:rsidR="000173E4" w:rsidRPr="008F15E6" w:rsidRDefault="0038167D" w:rsidP="008F15E6">
            <w:pPr>
              <w:spacing w:line="276" w:lineRule="auto"/>
              <w:rPr>
                <w:noProof/>
                <w:sz w:val="20"/>
                <w:szCs w:val="20"/>
              </w:rPr>
            </w:pPr>
            <w:r>
              <w:rPr>
                <w:noProof/>
                <w:sz w:val="20"/>
                <w:szCs w:val="20"/>
              </w:rPr>
              <w:t>V</w:t>
            </w:r>
            <w:r w:rsidR="000173E4" w:rsidRPr="008F15E6">
              <w:rPr>
                <w:noProof/>
                <w:sz w:val="20"/>
                <w:szCs w:val="20"/>
              </w:rPr>
              <w:t>accination coverage in current programme</w:t>
            </w:r>
          </w:p>
        </w:tc>
        <w:tc>
          <w:tcPr>
            <w:tcW w:w="1849" w:type="dxa"/>
            <w:shd w:val="clear" w:color="auto" w:fill="auto"/>
          </w:tcPr>
          <w:p w:rsidR="000173E4" w:rsidRPr="008F15E6" w:rsidRDefault="000173E4" w:rsidP="008F15E6">
            <w:pPr>
              <w:spacing w:line="276" w:lineRule="auto"/>
              <w:rPr>
                <w:noProof/>
                <w:sz w:val="20"/>
                <w:szCs w:val="20"/>
              </w:rPr>
            </w:pPr>
            <w:r w:rsidRPr="008F15E6">
              <w:rPr>
                <w:noProof/>
                <w:sz w:val="20"/>
                <w:szCs w:val="20"/>
              </w:rPr>
              <w:t>21%</w:t>
            </w:r>
          </w:p>
        </w:tc>
        <w:tc>
          <w:tcPr>
            <w:tcW w:w="3829" w:type="dxa"/>
            <w:shd w:val="clear" w:color="auto" w:fill="auto"/>
          </w:tcPr>
          <w:p w:rsidR="000173E4" w:rsidRPr="008F15E6" w:rsidRDefault="0038167D" w:rsidP="00CF1A3E">
            <w:pPr>
              <w:spacing w:line="276" w:lineRule="auto"/>
              <w:rPr>
                <w:noProof/>
                <w:sz w:val="20"/>
                <w:szCs w:val="20"/>
              </w:rPr>
            </w:pPr>
            <w:r>
              <w:rPr>
                <w:noProof/>
                <w:sz w:val="20"/>
                <w:szCs w:val="20"/>
              </w:rPr>
              <w:t>L</w:t>
            </w:r>
            <w:r w:rsidR="000173E4" w:rsidRPr="008F15E6">
              <w:rPr>
                <w:noProof/>
                <w:sz w:val="20"/>
                <w:szCs w:val="20"/>
              </w:rPr>
              <w:t>ow risk group</w:t>
            </w:r>
            <w:r w:rsidR="00CF1A3E">
              <w:rPr>
                <w:noProof/>
                <w:sz w:val="20"/>
                <w:szCs w:val="20"/>
              </w:rPr>
              <w:t xml:space="preserve"> under 60 years of age</w:t>
            </w:r>
            <w:r w:rsidR="000173E4" w:rsidRPr="008F15E6">
              <w:rPr>
                <w:noProof/>
                <w:sz w:val="20"/>
                <w:szCs w:val="20"/>
              </w:rPr>
              <w:t xml:space="preserve"> is unvaccinated , </w:t>
            </w:r>
            <w:r w:rsidR="00CF1A3E">
              <w:rPr>
                <w:noProof/>
                <w:sz w:val="20"/>
                <w:szCs w:val="20"/>
              </w:rPr>
              <w:t xml:space="preserve">low risk group above 60 years of age are invited for vaccination; </w:t>
            </w:r>
            <w:r w:rsidR="000173E4" w:rsidRPr="008F15E6">
              <w:rPr>
                <w:noProof/>
                <w:sz w:val="20"/>
                <w:szCs w:val="20"/>
              </w:rPr>
              <w:t xml:space="preserve">coverage in </w:t>
            </w:r>
            <w:r w:rsidR="00CF1A3E">
              <w:rPr>
                <w:noProof/>
                <w:sz w:val="20"/>
                <w:szCs w:val="20"/>
              </w:rPr>
              <w:t>both</w:t>
            </w:r>
            <w:r w:rsidR="000173E4" w:rsidRPr="008F15E6">
              <w:rPr>
                <w:noProof/>
                <w:sz w:val="20"/>
                <w:szCs w:val="20"/>
              </w:rPr>
              <w:t xml:space="preserve"> risk group</w:t>
            </w:r>
            <w:r w:rsidR="00CF1A3E">
              <w:rPr>
                <w:noProof/>
                <w:sz w:val="20"/>
                <w:szCs w:val="20"/>
              </w:rPr>
              <w:t>s</w:t>
            </w:r>
            <w:r w:rsidR="000173E4" w:rsidRPr="008F15E6">
              <w:rPr>
                <w:noProof/>
                <w:sz w:val="20"/>
                <w:szCs w:val="20"/>
              </w:rPr>
              <w:t xml:space="preserve"> increases with age </w:t>
            </w:r>
            <w:r w:rsidR="00D25242">
              <w:rPr>
                <w:noProof/>
                <w:sz w:val="20"/>
                <w:szCs w:val="20"/>
              </w:rPr>
              <w:t>[3]</w:t>
            </w:r>
            <w:r w:rsidR="00F76425">
              <w:rPr>
                <w:noProof/>
                <w:sz w:val="20"/>
                <w:szCs w:val="20"/>
              </w:rPr>
              <w:t>. The overall coverage is 21%, varying from 2.9% in &lt;20 year-olds, 8.7% in 20-59 year-olds and 65.9% in ≥60 year-olds.</w:t>
            </w:r>
          </w:p>
        </w:tc>
      </w:tr>
      <w:tr w:rsidR="000173E4" w:rsidTr="008F15E6">
        <w:tc>
          <w:tcPr>
            <w:tcW w:w="2844" w:type="dxa"/>
            <w:shd w:val="clear" w:color="auto" w:fill="auto"/>
          </w:tcPr>
          <w:p w:rsidR="000173E4" w:rsidRPr="008F15E6" w:rsidRDefault="0038167D" w:rsidP="008F15E6">
            <w:pPr>
              <w:spacing w:line="276" w:lineRule="auto"/>
              <w:rPr>
                <w:noProof/>
                <w:sz w:val="20"/>
                <w:szCs w:val="20"/>
              </w:rPr>
            </w:pPr>
            <w:r>
              <w:rPr>
                <w:noProof/>
                <w:sz w:val="20"/>
                <w:szCs w:val="20"/>
              </w:rPr>
              <w:t>V</w:t>
            </w:r>
            <w:r w:rsidR="000173E4" w:rsidRPr="008F15E6">
              <w:rPr>
                <w:noProof/>
                <w:sz w:val="20"/>
                <w:szCs w:val="20"/>
              </w:rPr>
              <w:t>accine take</w:t>
            </w:r>
          </w:p>
        </w:tc>
        <w:tc>
          <w:tcPr>
            <w:tcW w:w="1849" w:type="dxa"/>
            <w:shd w:val="clear" w:color="auto" w:fill="auto"/>
          </w:tcPr>
          <w:p w:rsidR="000173E4" w:rsidRPr="008F15E6" w:rsidRDefault="000173E4" w:rsidP="008F15E6">
            <w:pPr>
              <w:spacing w:line="276" w:lineRule="auto"/>
              <w:rPr>
                <w:noProof/>
                <w:sz w:val="20"/>
                <w:szCs w:val="20"/>
              </w:rPr>
            </w:pPr>
            <w:r w:rsidRPr="008F15E6">
              <w:rPr>
                <w:noProof/>
                <w:sz w:val="20"/>
                <w:szCs w:val="20"/>
              </w:rPr>
              <w:t>100% (children) to 30% (99+)</w:t>
            </w:r>
          </w:p>
        </w:tc>
        <w:tc>
          <w:tcPr>
            <w:tcW w:w="3829" w:type="dxa"/>
            <w:shd w:val="clear" w:color="auto" w:fill="auto"/>
          </w:tcPr>
          <w:p w:rsidR="000173E4" w:rsidRPr="008F15E6" w:rsidRDefault="0038167D" w:rsidP="00D25242">
            <w:pPr>
              <w:spacing w:line="276" w:lineRule="auto"/>
              <w:rPr>
                <w:noProof/>
                <w:sz w:val="20"/>
                <w:szCs w:val="20"/>
              </w:rPr>
            </w:pPr>
            <w:r>
              <w:rPr>
                <w:noProof/>
                <w:sz w:val="20"/>
                <w:szCs w:val="20"/>
              </w:rPr>
              <w:t>P</w:t>
            </w:r>
            <w:r w:rsidR="000173E4" w:rsidRPr="008F15E6">
              <w:rPr>
                <w:noProof/>
                <w:sz w:val="20"/>
                <w:szCs w:val="20"/>
              </w:rPr>
              <w:t xml:space="preserve">ercentage of vaccinated persons who develop an immune response upon vaccination, depending on age, estimated from seroconversion rates </w:t>
            </w:r>
            <w:r w:rsidR="00D25242">
              <w:rPr>
                <w:noProof/>
                <w:sz w:val="20"/>
                <w:szCs w:val="20"/>
              </w:rPr>
              <w:t>[1]</w:t>
            </w:r>
          </w:p>
        </w:tc>
      </w:tr>
      <w:tr w:rsidR="000173E4" w:rsidTr="008F15E6">
        <w:tc>
          <w:tcPr>
            <w:tcW w:w="2844" w:type="dxa"/>
            <w:shd w:val="clear" w:color="auto" w:fill="auto"/>
          </w:tcPr>
          <w:p w:rsidR="000173E4" w:rsidRPr="008F15E6" w:rsidRDefault="0038167D" w:rsidP="008F15E6">
            <w:pPr>
              <w:spacing w:line="276" w:lineRule="auto"/>
              <w:rPr>
                <w:noProof/>
                <w:sz w:val="20"/>
                <w:szCs w:val="20"/>
              </w:rPr>
            </w:pPr>
            <w:r>
              <w:rPr>
                <w:noProof/>
                <w:sz w:val="20"/>
                <w:szCs w:val="20"/>
              </w:rPr>
              <w:t>B</w:t>
            </w:r>
            <w:r w:rsidR="000173E4" w:rsidRPr="008F15E6">
              <w:rPr>
                <w:noProof/>
                <w:sz w:val="20"/>
                <w:szCs w:val="20"/>
              </w:rPr>
              <w:t>asic reproduction number</w:t>
            </w:r>
          </w:p>
        </w:tc>
        <w:tc>
          <w:tcPr>
            <w:tcW w:w="1849" w:type="dxa"/>
            <w:shd w:val="clear" w:color="auto" w:fill="auto"/>
          </w:tcPr>
          <w:p w:rsidR="000173E4" w:rsidRPr="008F15E6" w:rsidRDefault="000173E4" w:rsidP="008F15E6">
            <w:pPr>
              <w:spacing w:line="276" w:lineRule="auto"/>
              <w:rPr>
                <w:noProof/>
                <w:sz w:val="20"/>
                <w:szCs w:val="20"/>
              </w:rPr>
            </w:pPr>
            <w:r w:rsidRPr="008F15E6">
              <w:rPr>
                <w:noProof/>
                <w:sz w:val="20"/>
                <w:szCs w:val="20"/>
              </w:rPr>
              <w:t>1.8 (1.3 – 2.7)</w:t>
            </w:r>
          </w:p>
        </w:tc>
        <w:tc>
          <w:tcPr>
            <w:tcW w:w="3829" w:type="dxa"/>
            <w:shd w:val="clear" w:color="auto" w:fill="auto"/>
          </w:tcPr>
          <w:p w:rsidR="000173E4" w:rsidRPr="008F15E6" w:rsidRDefault="0038167D" w:rsidP="00D25242">
            <w:pPr>
              <w:spacing w:line="276" w:lineRule="auto"/>
              <w:rPr>
                <w:noProof/>
                <w:sz w:val="20"/>
                <w:szCs w:val="20"/>
              </w:rPr>
            </w:pPr>
            <w:r w:rsidRPr="008F15E6">
              <w:rPr>
                <w:noProof/>
                <w:sz w:val="20"/>
                <w:szCs w:val="20"/>
              </w:rPr>
              <w:t>E</w:t>
            </w:r>
            <w:r w:rsidR="000173E4" w:rsidRPr="008F15E6">
              <w:rPr>
                <w:noProof/>
                <w:sz w:val="20"/>
                <w:szCs w:val="20"/>
              </w:rPr>
              <w:t>stimated</w:t>
            </w:r>
            <w:r>
              <w:rPr>
                <w:noProof/>
                <w:sz w:val="20"/>
                <w:szCs w:val="20"/>
              </w:rPr>
              <w:t>, see Backer 2019</w:t>
            </w:r>
            <w:r w:rsidR="000173E4" w:rsidRPr="008F15E6">
              <w:rPr>
                <w:noProof/>
                <w:sz w:val="20"/>
                <w:szCs w:val="20"/>
              </w:rPr>
              <w:t xml:space="preserve"> </w:t>
            </w:r>
            <w:r w:rsidR="00D25242">
              <w:rPr>
                <w:noProof/>
                <w:sz w:val="20"/>
                <w:szCs w:val="20"/>
              </w:rPr>
              <w:t>[1]</w:t>
            </w:r>
          </w:p>
        </w:tc>
      </w:tr>
      <w:tr w:rsidR="000173E4" w:rsidTr="008F15E6">
        <w:tc>
          <w:tcPr>
            <w:tcW w:w="2844" w:type="dxa"/>
            <w:shd w:val="clear" w:color="auto" w:fill="auto"/>
          </w:tcPr>
          <w:p w:rsidR="000173E4" w:rsidRPr="008F15E6" w:rsidRDefault="00D23E5F" w:rsidP="00D23E5F">
            <w:pPr>
              <w:spacing w:line="276" w:lineRule="auto"/>
              <w:rPr>
                <w:noProof/>
                <w:sz w:val="20"/>
                <w:szCs w:val="20"/>
              </w:rPr>
            </w:pPr>
            <w:r>
              <w:rPr>
                <w:noProof/>
                <w:sz w:val="20"/>
                <w:szCs w:val="20"/>
              </w:rPr>
              <w:t>Mean d</w:t>
            </w:r>
            <w:r w:rsidR="000173E4" w:rsidRPr="008F15E6">
              <w:rPr>
                <w:noProof/>
                <w:sz w:val="20"/>
                <w:szCs w:val="20"/>
              </w:rPr>
              <w:t>uration natural immunity (</w:t>
            </w:r>
            <w:r>
              <w:rPr>
                <w:noProof/>
                <w:sz w:val="20"/>
                <w:szCs w:val="20"/>
              </w:rPr>
              <w:t>95% CI</w:t>
            </w:r>
            <w:r w:rsidR="000173E4" w:rsidRPr="008F15E6">
              <w:rPr>
                <w:noProof/>
                <w:sz w:val="20"/>
                <w:szCs w:val="20"/>
              </w:rPr>
              <w:t>)</w:t>
            </w:r>
          </w:p>
        </w:tc>
        <w:tc>
          <w:tcPr>
            <w:tcW w:w="1849" w:type="dxa"/>
            <w:shd w:val="clear" w:color="auto" w:fill="auto"/>
          </w:tcPr>
          <w:p w:rsidR="000173E4" w:rsidRPr="008F15E6" w:rsidRDefault="000173E4" w:rsidP="008F15E6">
            <w:pPr>
              <w:spacing w:line="276" w:lineRule="auto"/>
              <w:rPr>
                <w:noProof/>
                <w:sz w:val="20"/>
                <w:szCs w:val="20"/>
              </w:rPr>
            </w:pPr>
            <w:r w:rsidRPr="008F15E6">
              <w:rPr>
                <w:noProof/>
                <w:sz w:val="20"/>
                <w:szCs w:val="20"/>
              </w:rPr>
              <w:t>5.1 (2.9 – 8.2) years</w:t>
            </w:r>
          </w:p>
        </w:tc>
        <w:tc>
          <w:tcPr>
            <w:tcW w:w="3829" w:type="dxa"/>
            <w:shd w:val="clear" w:color="auto" w:fill="auto"/>
          </w:tcPr>
          <w:p w:rsidR="000173E4" w:rsidRPr="008F15E6" w:rsidRDefault="0038167D" w:rsidP="008F15E6">
            <w:pPr>
              <w:spacing w:line="276" w:lineRule="auto"/>
              <w:rPr>
                <w:noProof/>
                <w:sz w:val="20"/>
                <w:szCs w:val="20"/>
              </w:rPr>
            </w:pPr>
            <w:r w:rsidRPr="008F15E6">
              <w:rPr>
                <w:noProof/>
                <w:sz w:val="20"/>
                <w:szCs w:val="20"/>
              </w:rPr>
              <w:t>Estimated</w:t>
            </w:r>
            <w:r>
              <w:rPr>
                <w:noProof/>
                <w:sz w:val="20"/>
                <w:szCs w:val="20"/>
              </w:rPr>
              <w:t>, see Backer 2019</w:t>
            </w:r>
            <w:r w:rsidR="000173E4" w:rsidRPr="008F15E6">
              <w:rPr>
                <w:noProof/>
                <w:sz w:val="20"/>
                <w:szCs w:val="20"/>
              </w:rPr>
              <w:t xml:space="preserve"> </w:t>
            </w:r>
            <w:r w:rsidR="00D25242">
              <w:rPr>
                <w:noProof/>
                <w:sz w:val="20"/>
                <w:szCs w:val="20"/>
              </w:rPr>
              <w:t>[1]</w:t>
            </w:r>
          </w:p>
          <w:p w:rsidR="000173E4" w:rsidRPr="008F15E6" w:rsidRDefault="000173E4" w:rsidP="008F15E6">
            <w:pPr>
              <w:spacing w:line="276" w:lineRule="auto"/>
              <w:rPr>
                <w:noProof/>
                <w:sz w:val="20"/>
                <w:szCs w:val="20"/>
              </w:rPr>
            </w:pPr>
          </w:p>
        </w:tc>
      </w:tr>
      <w:tr w:rsidR="000173E4" w:rsidTr="008F15E6">
        <w:tc>
          <w:tcPr>
            <w:tcW w:w="2844" w:type="dxa"/>
            <w:shd w:val="clear" w:color="auto" w:fill="auto"/>
          </w:tcPr>
          <w:p w:rsidR="000173E4" w:rsidRPr="008F15E6" w:rsidRDefault="00D23E5F" w:rsidP="00D23E5F">
            <w:pPr>
              <w:spacing w:line="276" w:lineRule="auto"/>
              <w:rPr>
                <w:noProof/>
                <w:sz w:val="20"/>
                <w:szCs w:val="20"/>
              </w:rPr>
            </w:pPr>
            <w:r>
              <w:rPr>
                <w:noProof/>
                <w:sz w:val="20"/>
                <w:szCs w:val="20"/>
              </w:rPr>
              <w:t xml:space="preserve">Sd </w:t>
            </w:r>
            <w:r w:rsidR="000173E4" w:rsidRPr="008F15E6">
              <w:rPr>
                <w:noProof/>
                <w:sz w:val="20"/>
                <w:szCs w:val="20"/>
              </w:rPr>
              <w:t>duration natural immunity (</w:t>
            </w:r>
            <w:r>
              <w:rPr>
                <w:noProof/>
                <w:sz w:val="20"/>
                <w:szCs w:val="20"/>
              </w:rPr>
              <w:t>95% CI</w:t>
            </w:r>
            <w:r w:rsidR="000173E4" w:rsidRPr="008F15E6">
              <w:rPr>
                <w:noProof/>
                <w:sz w:val="20"/>
                <w:szCs w:val="20"/>
              </w:rPr>
              <w:t>)</w:t>
            </w:r>
          </w:p>
        </w:tc>
        <w:tc>
          <w:tcPr>
            <w:tcW w:w="1849" w:type="dxa"/>
            <w:shd w:val="clear" w:color="auto" w:fill="auto"/>
          </w:tcPr>
          <w:p w:rsidR="000173E4" w:rsidRPr="008F15E6" w:rsidRDefault="000173E4" w:rsidP="008F15E6">
            <w:pPr>
              <w:spacing w:line="276" w:lineRule="auto"/>
              <w:rPr>
                <w:noProof/>
                <w:sz w:val="20"/>
                <w:szCs w:val="20"/>
              </w:rPr>
            </w:pPr>
            <w:r w:rsidRPr="008F15E6">
              <w:rPr>
                <w:noProof/>
                <w:sz w:val="20"/>
                <w:szCs w:val="20"/>
              </w:rPr>
              <w:t>0.91 (0.27 – 1.9) years</w:t>
            </w:r>
          </w:p>
        </w:tc>
        <w:tc>
          <w:tcPr>
            <w:tcW w:w="3829" w:type="dxa"/>
            <w:shd w:val="clear" w:color="auto" w:fill="auto"/>
          </w:tcPr>
          <w:p w:rsidR="000173E4" w:rsidRPr="008F15E6" w:rsidRDefault="0038167D" w:rsidP="00D25242">
            <w:pPr>
              <w:spacing w:line="276" w:lineRule="auto"/>
              <w:rPr>
                <w:noProof/>
                <w:sz w:val="20"/>
                <w:szCs w:val="20"/>
              </w:rPr>
            </w:pPr>
            <w:r w:rsidRPr="008F15E6">
              <w:rPr>
                <w:noProof/>
                <w:sz w:val="20"/>
                <w:szCs w:val="20"/>
              </w:rPr>
              <w:t>Estimated</w:t>
            </w:r>
            <w:r>
              <w:rPr>
                <w:noProof/>
                <w:sz w:val="20"/>
                <w:szCs w:val="20"/>
              </w:rPr>
              <w:t>, see Backer 2019</w:t>
            </w:r>
            <w:r w:rsidR="000173E4" w:rsidRPr="008F15E6">
              <w:rPr>
                <w:noProof/>
                <w:sz w:val="20"/>
                <w:szCs w:val="20"/>
              </w:rPr>
              <w:t xml:space="preserve"> </w:t>
            </w:r>
            <w:r w:rsidR="00D25242">
              <w:rPr>
                <w:noProof/>
                <w:sz w:val="20"/>
                <w:szCs w:val="20"/>
              </w:rPr>
              <w:t>[1]</w:t>
            </w:r>
          </w:p>
        </w:tc>
      </w:tr>
      <w:tr w:rsidR="000173E4" w:rsidTr="008F15E6">
        <w:tc>
          <w:tcPr>
            <w:tcW w:w="2844" w:type="dxa"/>
            <w:shd w:val="clear" w:color="auto" w:fill="auto"/>
          </w:tcPr>
          <w:p w:rsidR="000173E4" w:rsidRPr="008F15E6" w:rsidRDefault="00D23E5F" w:rsidP="008F15E6">
            <w:pPr>
              <w:spacing w:line="276" w:lineRule="auto"/>
              <w:rPr>
                <w:noProof/>
                <w:sz w:val="20"/>
                <w:szCs w:val="20"/>
              </w:rPr>
            </w:pPr>
            <w:r>
              <w:rPr>
                <w:noProof/>
                <w:sz w:val="20"/>
                <w:szCs w:val="20"/>
              </w:rPr>
              <w:t>D</w:t>
            </w:r>
            <w:r w:rsidR="000173E4" w:rsidRPr="008F15E6">
              <w:rPr>
                <w:noProof/>
                <w:sz w:val="20"/>
                <w:szCs w:val="20"/>
              </w:rPr>
              <w:t>uration vaccine protection TIV</w:t>
            </w:r>
          </w:p>
        </w:tc>
        <w:tc>
          <w:tcPr>
            <w:tcW w:w="1849" w:type="dxa"/>
            <w:shd w:val="clear" w:color="auto" w:fill="auto"/>
          </w:tcPr>
          <w:p w:rsidR="000173E4" w:rsidRPr="008F15E6" w:rsidRDefault="000173E4" w:rsidP="008F15E6">
            <w:pPr>
              <w:spacing w:line="276" w:lineRule="auto"/>
              <w:rPr>
                <w:noProof/>
                <w:sz w:val="20"/>
                <w:szCs w:val="20"/>
              </w:rPr>
            </w:pPr>
            <w:r w:rsidRPr="008F15E6">
              <w:rPr>
                <w:noProof/>
                <w:sz w:val="20"/>
                <w:szCs w:val="20"/>
              </w:rPr>
              <w:t>1 year</w:t>
            </w:r>
          </w:p>
        </w:tc>
        <w:tc>
          <w:tcPr>
            <w:tcW w:w="3829" w:type="dxa"/>
            <w:shd w:val="clear" w:color="auto" w:fill="auto"/>
          </w:tcPr>
          <w:p w:rsidR="000173E4" w:rsidRPr="008F15E6" w:rsidRDefault="0038167D" w:rsidP="008F15E6">
            <w:pPr>
              <w:spacing w:line="276" w:lineRule="auto"/>
              <w:rPr>
                <w:noProof/>
                <w:sz w:val="20"/>
                <w:szCs w:val="20"/>
              </w:rPr>
            </w:pPr>
            <w:r w:rsidRPr="008F15E6">
              <w:rPr>
                <w:noProof/>
                <w:sz w:val="20"/>
                <w:szCs w:val="20"/>
              </w:rPr>
              <w:t>A</w:t>
            </w:r>
            <w:r w:rsidR="000173E4" w:rsidRPr="008F15E6">
              <w:rPr>
                <w:noProof/>
                <w:sz w:val="20"/>
                <w:szCs w:val="20"/>
              </w:rPr>
              <w:t>ssumption</w:t>
            </w:r>
          </w:p>
        </w:tc>
      </w:tr>
      <w:tr w:rsidR="000173E4" w:rsidTr="008F15E6">
        <w:tc>
          <w:tcPr>
            <w:tcW w:w="2844" w:type="dxa"/>
            <w:shd w:val="clear" w:color="auto" w:fill="auto"/>
          </w:tcPr>
          <w:p w:rsidR="000173E4" w:rsidRPr="008F15E6" w:rsidRDefault="00D23E5F" w:rsidP="008F15E6">
            <w:pPr>
              <w:spacing w:line="276" w:lineRule="auto"/>
              <w:rPr>
                <w:noProof/>
                <w:sz w:val="20"/>
                <w:szCs w:val="20"/>
              </w:rPr>
            </w:pPr>
            <w:r>
              <w:rPr>
                <w:noProof/>
                <w:sz w:val="20"/>
                <w:szCs w:val="20"/>
              </w:rPr>
              <w:t>Mean vaccine match (95% CI</w:t>
            </w:r>
            <w:r w:rsidR="000173E4" w:rsidRPr="008F15E6">
              <w:rPr>
                <w:noProof/>
                <w:sz w:val="20"/>
                <w:szCs w:val="20"/>
              </w:rPr>
              <w:t>)</w:t>
            </w:r>
          </w:p>
        </w:tc>
        <w:tc>
          <w:tcPr>
            <w:tcW w:w="1849" w:type="dxa"/>
            <w:shd w:val="clear" w:color="auto" w:fill="auto"/>
          </w:tcPr>
          <w:p w:rsidR="000173E4" w:rsidRPr="008F15E6" w:rsidRDefault="000173E4" w:rsidP="008F15E6">
            <w:pPr>
              <w:spacing w:line="276" w:lineRule="auto"/>
              <w:rPr>
                <w:noProof/>
                <w:sz w:val="20"/>
                <w:szCs w:val="20"/>
              </w:rPr>
            </w:pPr>
            <w:r w:rsidRPr="008F15E6">
              <w:rPr>
                <w:noProof/>
                <w:sz w:val="20"/>
                <w:szCs w:val="20"/>
              </w:rPr>
              <w:t>0.56 (0.49 – 0.66)</w:t>
            </w:r>
          </w:p>
        </w:tc>
        <w:tc>
          <w:tcPr>
            <w:tcW w:w="3829" w:type="dxa"/>
            <w:shd w:val="clear" w:color="auto" w:fill="auto"/>
          </w:tcPr>
          <w:p w:rsidR="000173E4" w:rsidRPr="008F15E6" w:rsidRDefault="0038167D" w:rsidP="00D25242">
            <w:pPr>
              <w:spacing w:line="276" w:lineRule="auto"/>
              <w:rPr>
                <w:noProof/>
                <w:sz w:val="20"/>
                <w:szCs w:val="20"/>
              </w:rPr>
            </w:pPr>
            <w:r w:rsidRPr="008F15E6">
              <w:rPr>
                <w:noProof/>
                <w:sz w:val="20"/>
                <w:szCs w:val="20"/>
              </w:rPr>
              <w:t>Estimated</w:t>
            </w:r>
            <w:r>
              <w:rPr>
                <w:noProof/>
                <w:sz w:val="20"/>
                <w:szCs w:val="20"/>
              </w:rPr>
              <w:t>, see Backer 2019</w:t>
            </w:r>
            <w:r w:rsidR="000173E4" w:rsidRPr="008F15E6">
              <w:rPr>
                <w:noProof/>
                <w:sz w:val="20"/>
                <w:szCs w:val="20"/>
              </w:rPr>
              <w:t xml:space="preserve"> </w:t>
            </w:r>
            <w:r w:rsidR="00D25242">
              <w:rPr>
                <w:noProof/>
                <w:sz w:val="20"/>
                <w:szCs w:val="20"/>
              </w:rPr>
              <w:t>[1]</w:t>
            </w:r>
          </w:p>
        </w:tc>
      </w:tr>
      <w:tr w:rsidR="000173E4" w:rsidTr="000173E4">
        <w:tc>
          <w:tcPr>
            <w:tcW w:w="2844" w:type="dxa"/>
            <w:shd w:val="clear" w:color="auto" w:fill="auto"/>
          </w:tcPr>
          <w:p w:rsidR="000173E4" w:rsidRPr="008F15E6" w:rsidRDefault="00D23E5F" w:rsidP="008F15E6">
            <w:pPr>
              <w:spacing w:line="276" w:lineRule="auto"/>
              <w:rPr>
                <w:noProof/>
                <w:sz w:val="20"/>
                <w:szCs w:val="20"/>
              </w:rPr>
            </w:pPr>
            <w:r>
              <w:rPr>
                <w:noProof/>
                <w:sz w:val="20"/>
                <w:szCs w:val="20"/>
              </w:rPr>
              <w:t>Sd vaccine match (95% CI</w:t>
            </w:r>
            <w:r w:rsidR="000173E4" w:rsidRPr="008F15E6">
              <w:rPr>
                <w:noProof/>
                <w:sz w:val="20"/>
                <w:szCs w:val="20"/>
              </w:rPr>
              <w:t>)</w:t>
            </w:r>
          </w:p>
        </w:tc>
        <w:tc>
          <w:tcPr>
            <w:tcW w:w="1849" w:type="dxa"/>
            <w:shd w:val="clear" w:color="auto" w:fill="auto"/>
          </w:tcPr>
          <w:p w:rsidR="000173E4" w:rsidRPr="008F15E6" w:rsidRDefault="000173E4" w:rsidP="008F15E6">
            <w:pPr>
              <w:spacing w:line="276" w:lineRule="auto"/>
              <w:rPr>
                <w:noProof/>
                <w:sz w:val="20"/>
                <w:szCs w:val="20"/>
              </w:rPr>
            </w:pPr>
            <w:r w:rsidRPr="008F15E6">
              <w:rPr>
                <w:noProof/>
                <w:sz w:val="20"/>
                <w:szCs w:val="20"/>
              </w:rPr>
              <w:t>0.11 (0.078 – 0.14)</w:t>
            </w:r>
          </w:p>
        </w:tc>
        <w:tc>
          <w:tcPr>
            <w:tcW w:w="3829" w:type="dxa"/>
            <w:shd w:val="clear" w:color="auto" w:fill="auto"/>
          </w:tcPr>
          <w:p w:rsidR="000173E4" w:rsidRPr="008F15E6" w:rsidRDefault="0038167D" w:rsidP="00D25242">
            <w:pPr>
              <w:spacing w:line="276" w:lineRule="auto"/>
              <w:rPr>
                <w:noProof/>
                <w:sz w:val="20"/>
                <w:szCs w:val="20"/>
              </w:rPr>
            </w:pPr>
            <w:r w:rsidRPr="008F15E6">
              <w:rPr>
                <w:noProof/>
                <w:sz w:val="20"/>
                <w:szCs w:val="20"/>
              </w:rPr>
              <w:t>Estimated</w:t>
            </w:r>
            <w:r>
              <w:rPr>
                <w:noProof/>
                <w:sz w:val="20"/>
                <w:szCs w:val="20"/>
              </w:rPr>
              <w:t>, see Backer 2019</w:t>
            </w:r>
            <w:r w:rsidR="000173E4" w:rsidRPr="008F15E6">
              <w:rPr>
                <w:noProof/>
                <w:sz w:val="20"/>
                <w:szCs w:val="20"/>
              </w:rPr>
              <w:t xml:space="preserve"> </w:t>
            </w:r>
            <w:r w:rsidR="00D25242">
              <w:rPr>
                <w:noProof/>
                <w:sz w:val="20"/>
                <w:szCs w:val="20"/>
              </w:rPr>
              <w:t>[1]</w:t>
            </w:r>
          </w:p>
        </w:tc>
      </w:tr>
    </w:tbl>
    <w:p w:rsidR="003E4CEC" w:rsidRDefault="003E4CEC" w:rsidP="009A59DD">
      <w:pPr>
        <w:pStyle w:val="Heading2"/>
      </w:pPr>
    </w:p>
    <w:p w:rsidR="00D856C0" w:rsidRDefault="00D856C0" w:rsidP="009A59DD">
      <w:pPr>
        <w:pStyle w:val="Heading2"/>
      </w:pPr>
      <w:r>
        <w:t>Outcome probabilities</w:t>
      </w:r>
    </w:p>
    <w:p w:rsidR="00D856C0" w:rsidRPr="00D856C0" w:rsidRDefault="00D856C0" w:rsidP="00C5301C">
      <w:r>
        <w:t>The number of infections of the dynamic transmission model by age</w:t>
      </w:r>
      <w:r w:rsidR="00922290">
        <w:t xml:space="preserve"> and risk-g</w:t>
      </w:r>
      <w:r>
        <w:t>roup were converted to symptomatic infections</w:t>
      </w:r>
      <w:r w:rsidR="00841FA8">
        <w:t>, GP visits, hospitalizations and deaths</w:t>
      </w:r>
      <w:r>
        <w:t xml:space="preserve"> using outcome probabilities from the literature</w:t>
      </w:r>
      <w:r w:rsidR="00841FA8">
        <w:t xml:space="preserve"> (see more details in </w:t>
      </w:r>
      <w:r w:rsidR="00841FA8">
        <w:rPr>
          <w:noProof/>
        </w:rPr>
        <w:t>[1]</w:t>
      </w:r>
      <w:r w:rsidR="00841FA8">
        <w:t>)</w:t>
      </w:r>
      <w:r>
        <w:t xml:space="preserve">. </w:t>
      </w:r>
      <w:r w:rsidR="00841FA8">
        <w:t xml:space="preserve">The resulting symptom probability after infection is 0.30 (0.27 - 0.34) </w:t>
      </w:r>
      <w:r w:rsidR="00FE70C7">
        <w:rPr>
          <w:noProof/>
        </w:rPr>
        <w:t>[4]</w:t>
      </w:r>
      <w:r w:rsidR="00841FA8">
        <w:t>.</w:t>
      </w:r>
      <w:r>
        <w:t xml:space="preserve"> </w:t>
      </w:r>
      <w:r w:rsidR="00C5301C">
        <w:t xml:space="preserve">The probability of visiting a GP given symptomatic influenza was estimated using data from an online survey among influenza-like-illness patients </w:t>
      </w:r>
      <w:r w:rsidR="00FE70C7">
        <w:rPr>
          <w:noProof/>
        </w:rPr>
        <w:t>[5]</w:t>
      </w:r>
      <w:r w:rsidR="00C5301C">
        <w:t xml:space="preserve">. Probability distributions of hospitalisation and mortality given infection, per risk and age group, were based on </w:t>
      </w:r>
      <w:r w:rsidR="00C5301C">
        <w:lastRenderedPageBreak/>
        <w:t xml:space="preserve">influenza-associated </w:t>
      </w:r>
      <w:r w:rsidR="00183030">
        <w:t>respiratory death rates</w:t>
      </w:r>
      <w:r w:rsidR="00C5301C">
        <w:t xml:space="preserve"> </w:t>
      </w:r>
      <w:r w:rsidR="00183030">
        <w:t>from</w:t>
      </w:r>
      <w:r w:rsidR="00C5301C">
        <w:t xml:space="preserve"> respiratory diagnoses for age groups under 60 years of age </w:t>
      </w:r>
      <w:r w:rsidR="00FE70C7">
        <w:rPr>
          <w:noProof/>
        </w:rPr>
        <w:t>[6]</w:t>
      </w:r>
      <w:r w:rsidR="00183030">
        <w:t>,</w:t>
      </w:r>
      <w:r w:rsidR="00C5301C">
        <w:t xml:space="preserve"> and all-cause influenza-associated </w:t>
      </w:r>
      <w:r w:rsidR="00183030">
        <w:t>death rates</w:t>
      </w:r>
      <w:r w:rsidR="00C5301C">
        <w:t xml:space="preserve"> over</w:t>
      </w:r>
      <w:r w:rsidR="00183030">
        <w:t xml:space="preserve"> </w:t>
      </w:r>
      <w:r w:rsidR="00FE70C7">
        <w:rPr>
          <w:noProof/>
        </w:rPr>
        <w:t>[7]</w:t>
      </w:r>
      <w:r w:rsidR="00C5301C">
        <w:t xml:space="preserve"> 60 years of age, the fraction of influenza deaths occurring in the hospital</w:t>
      </w:r>
      <w:r w:rsidR="00183030">
        <w:t xml:space="preserve"> </w:t>
      </w:r>
      <w:r w:rsidR="00FE70C7">
        <w:rPr>
          <w:noProof/>
        </w:rPr>
        <w:t>[8]</w:t>
      </w:r>
      <w:r w:rsidR="00C5301C">
        <w:t xml:space="preserve">, the mortality rate per hospitalisation </w:t>
      </w:r>
      <w:r w:rsidR="00FE70C7">
        <w:rPr>
          <w:noProof/>
        </w:rPr>
        <w:t>[6]</w:t>
      </w:r>
      <w:r w:rsidR="00C5301C">
        <w:t>, and the infection attack rate (inferred in the dynamic transmission model)</w:t>
      </w:r>
      <w:r w:rsidR="00183030">
        <w:t xml:space="preserve"> and are shown in Table S</w:t>
      </w:r>
      <w:r w:rsidR="00183030">
        <w:rPr>
          <w:noProof/>
        </w:rPr>
        <w:t>2</w:t>
      </w:r>
      <w:r w:rsidR="00C5301C">
        <w:t>.</w:t>
      </w:r>
    </w:p>
    <w:p w:rsidR="00D856C0" w:rsidRDefault="00D856C0" w:rsidP="00D856C0"/>
    <w:p w:rsidR="00C5301C" w:rsidRDefault="00C5301C" w:rsidP="00183030">
      <w:bookmarkStart w:id="4" w:name="_Ref13141947"/>
      <w:r>
        <w:t>Table S</w:t>
      </w:r>
      <w:r>
        <w:rPr>
          <w:noProof/>
        </w:rPr>
        <w:t>2</w:t>
      </w:r>
      <w:bookmarkEnd w:id="4"/>
      <w:r>
        <w:t xml:space="preserve">: </w:t>
      </w:r>
      <w:r w:rsidR="00183030">
        <w:t>M</w:t>
      </w:r>
      <w:r>
        <w:t xml:space="preserve">ean and </w:t>
      </w:r>
      <w:r w:rsidR="00183030">
        <w:t>standard</w:t>
      </w:r>
      <w:r>
        <w:t xml:space="preserve"> deviation</w:t>
      </w:r>
      <w:r w:rsidR="00183030">
        <w:t xml:space="preserve"> of probability of hospitalization and death given infection by age group and risk group. Please note, infection includes symptomatic as well as asymptomatic infections)</w:t>
      </w:r>
    </w:p>
    <w:tbl>
      <w:tblPr>
        <w:tblW w:w="7888" w:type="dxa"/>
        <w:tblInd w:w="93" w:type="dxa"/>
        <w:tblLook w:val="04A0" w:firstRow="1" w:lastRow="0" w:firstColumn="1" w:lastColumn="0" w:noHBand="0" w:noVBand="1"/>
      </w:tblPr>
      <w:tblGrid>
        <w:gridCol w:w="840"/>
        <w:gridCol w:w="879"/>
        <w:gridCol w:w="800"/>
        <w:gridCol w:w="918"/>
        <w:gridCol w:w="840"/>
        <w:gridCol w:w="866"/>
        <w:gridCol w:w="1100"/>
        <w:gridCol w:w="805"/>
        <w:gridCol w:w="840"/>
      </w:tblGrid>
      <w:tr w:rsidR="00841FA8" w:rsidRPr="00697932" w:rsidTr="00FE70C7">
        <w:trPr>
          <w:trHeight w:val="255"/>
        </w:trPr>
        <w:tc>
          <w:tcPr>
            <w:tcW w:w="840" w:type="dxa"/>
            <w:vMerge w:val="restart"/>
            <w:tcBorders>
              <w:top w:val="single" w:sz="4" w:space="0" w:color="auto"/>
              <w:left w:val="nil"/>
              <w:right w:val="nil"/>
            </w:tcBorders>
            <w:shd w:val="clear" w:color="auto" w:fill="auto"/>
            <w:noWrap/>
            <w:vAlign w:val="bottom"/>
            <w:hideMark/>
          </w:tcPr>
          <w:p w:rsidR="00841FA8" w:rsidRPr="00C5301C" w:rsidRDefault="00841FA8" w:rsidP="00697932">
            <w:pPr>
              <w:spacing w:line="240" w:lineRule="auto"/>
              <w:rPr>
                <w:color w:val="000000"/>
                <w:sz w:val="20"/>
                <w:szCs w:val="20"/>
                <w:lang w:val="en-US"/>
              </w:rPr>
            </w:pPr>
            <w:r w:rsidRPr="00C5301C">
              <w:rPr>
                <w:color w:val="000000"/>
                <w:sz w:val="20"/>
                <w:szCs w:val="20"/>
                <w:lang w:val="en-US"/>
              </w:rPr>
              <w:t>Age group (years)</w:t>
            </w:r>
          </w:p>
        </w:tc>
        <w:tc>
          <w:tcPr>
            <w:tcW w:w="3437" w:type="dxa"/>
            <w:gridSpan w:val="4"/>
            <w:tcBorders>
              <w:top w:val="single" w:sz="4" w:space="0" w:color="auto"/>
              <w:left w:val="nil"/>
              <w:bottom w:val="nil"/>
              <w:right w:val="nil"/>
            </w:tcBorders>
            <w:shd w:val="clear" w:color="auto" w:fill="auto"/>
            <w:noWrap/>
            <w:vAlign w:val="bottom"/>
            <w:hideMark/>
          </w:tcPr>
          <w:p w:rsidR="00841FA8" w:rsidRPr="00C5301C" w:rsidRDefault="00C5301C" w:rsidP="00C5301C">
            <w:pPr>
              <w:spacing w:line="240" w:lineRule="auto"/>
              <w:rPr>
                <w:color w:val="000000"/>
                <w:sz w:val="20"/>
                <w:szCs w:val="20"/>
                <w:lang w:val="en-US"/>
              </w:rPr>
            </w:pPr>
            <w:r w:rsidRPr="00C5301C">
              <w:rPr>
                <w:color w:val="000000"/>
                <w:sz w:val="20"/>
                <w:szCs w:val="20"/>
                <w:lang w:val="en-US"/>
              </w:rPr>
              <w:t xml:space="preserve">Probability of </w:t>
            </w:r>
            <w:r w:rsidR="00841FA8" w:rsidRPr="00C5301C">
              <w:rPr>
                <w:color w:val="000000"/>
                <w:sz w:val="20"/>
                <w:szCs w:val="20"/>
                <w:lang w:val="en-US"/>
              </w:rPr>
              <w:t>hosp</w:t>
            </w:r>
            <w:r w:rsidRPr="00C5301C">
              <w:rPr>
                <w:color w:val="000000"/>
                <w:sz w:val="20"/>
                <w:szCs w:val="20"/>
                <w:lang w:val="en-US"/>
              </w:rPr>
              <w:t>italization given infection (</w:t>
            </w:r>
            <w:r w:rsidR="00841FA8" w:rsidRPr="00C5301C">
              <w:rPr>
                <w:color w:val="000000"/>
                <w:sz w:val="20"/>
                <w:szCs w:val="20"/>
                <w:lang w:val="en-US"/>
              </w:rPr>
              <w:t>×10</w:t>
            </w:r>
            <w:r w:rsidR="00841FA8" w:rsidRPr="00C5301C">
              <w:rPr>
                <w:color w:val="000000"/>
                <w:sz w:val="20"/>
                <w:szCs w:val="20"/>
                <w:vertAlign w:val="superscript"/>
                <w:lang w:val="en-US"/>
              </w:rPr>
              <w:t>3</w:t>
            </w:r>
            <w:r w:rsidRPr="00C5301C">
              <w:rPr>
                <w:color w:val="000000"/>
                <w:sz w:val="20"/>
                <w:szCs w:val="20"/>
                <w:lang w:val="en-US"/>
              </w:rPr>
              <w:t>)</w:t>
            </w:r>
          </w:p>
        </w:tc>
        <w:tc>
          <w:tcPr>
            <w:tcW w:w="3611" w:type="dxa"/>
            <w:gridSpan w:val="4"/>
            <w:tcBorders>
              <w:top w:val="single" w:sz="4" w:space="0" w:color="auto"/>
              <w:left w:val="nil"/>
              <w:bottom w:val="nil"/>
              <w:right w:val="nil"/>
            </w:tcBorders>
            <w:shd w:val="clear" w:color="auto" w:fill="auto"/>
            <w:noWrap/>
            <w:vAlign w:val="bottom"/>
            <w:hideMark/>
          </w:tcPr>
          <w:p w:rsidR="00841FA8" w:rsidRPr="00C5301C" w:rsidRDefault="00C5301C" w:rsidP="00D23E5F">
            <w:pPr>
              <w:spacing w:line="240" w:lineRule="auto"/>
              <w:rPr>
                <w:color w:val="000000"/>
                <w:sz w:val="20"/>
                <w:szCs w:val="20"/>
                <w:lang w:val="en-US"/>
              </w:rPr>
            </w:pPr>
            <w:r w:rsidRPr="00C5301C">
              <w:rPr>
                <w:color w:val="000000"/>
                <w:sz w:val="20"/>
                <w:szCs w:val="20"/>
                <w:lang w:val="en-US"/>
              </w:rPr>
              <w:t>Probability of mortality given infection (×10</w:t>
            </w:r>
            <w:r w:rsidRPr="00C5301C">
              <w:rPr>
                <w:color w:val="000000"/>
                <w:sz w:val="20"/>
                <w:szCs w:val="20"/>
                <w:vertAlign w:val="superscript"/>
                <w:lang w:val="en-US"/>
              </w:rPr>
              <w:t>3</w:t>
            </w:r>
            <w:r w:rsidRPr="00C5301C">
              <w:rPr>
                <w:color w:val="000000"/>
                <w:sz w:val="20"/>
                <w:szCs w:val="20"/>
                <w:lang w:val="en-US"/>
              </w:rPr>
              <w:t>)</w:t>
            </w:r>
          </w:p>
        </w:tc>
      </w:tr>
      <w:tr w:rsidR="00841FA8" w:rsidRPr="00697932" w:rsidTr="00FE70C7">
        <w:trPr>
          <w:trHeight w:val="255"/>
        </w:trPr>
        <w:tc>
          <w:tcPr>
            <w:tcW w:w="840" w:type="dxa"/>
            <w:vMerge/>
            <w:tcBorders>
              <w:left w:val="nil"/>
              <w:bottom w:val="single" w:sz="4" w:space="0" w:color="auto"/>
              <w:right w:val="nil"/>
            </w:tcBorders>
            <w:shd w:val="clear" w:color="auto" w:fill="auto"/>
            <w:noWrap/>
            <w:vAlign w:val="bottom"/>
            <w:hideMark/>
          </w:tcPr>
          <w:p w:rsidR="00841FA8" w:rsidRPr="00C5301C" w:rsidRDefault="00841FA8" w:rsidP="00697932">
            <w:pPr>
              <w:spacing w:line="240" w:lineRule="auto"/>
              <w:rPr>
                <w:color w:val="000000"/>
                <w:sz w:val="20"/>
                <w:szCs w:val="20"/>
                <w:lang w:val="en-US"/>
              </w:rPr>
            </w:pPr>
          </w:p>
        </w:tc>
        <w:tc>
          <w:tcPr>
            <w:tcW w:w="1679" w:type="dxa"/>
            <w:gridSpan w:val="2"/>
            <w:tcBorders>
              <w:top w:val="nil"/>
              <w:left w:val="nil"/>
              <w:bottom w:val="single" w:sz="4" w:space="0" w:color="auto"/>
              <w:right w:val="nil"/>
            </w:tcBorders>
            <w:shd w:val="clear" w:color="auto" w:fill="auto"/>
            <w:noWrap/>
            <w:vAlign w:val="bottom"/>
            <w:hideMark/>
          </w:tcPr>
          <w:p w:rsidR="00841FA8" w:rsidRPr="00C5301C" w:rsidRDefault="00841FA8" w:rsidP="00697932">
            <w:pPr>
              <w:spacing w:line="240" w:lineRule="auto"/>
              <w:rPr>
                <w:color w:val="000000"/>
                <w:sz w:val="20"/>
                <w:szCs w:val="20"/>
                <w:lang w:val="en-US"/>
              </w:rPr>
            </w:pPr>
            <w:r w:rsidRPr="00C5301C">
              <w:rPr>
                <w:color w:val="000000"/>
                <w:sz w:val="20"/>
                <w:szCs w:val="20"/>
                <w:lang w:val="en-US"/>
              </w:rPr>
              <w:t>Low risk</w:t>
            </w:r>
          </w:p>
        </w:tc>
        <w:tc>
          <w:tcPr>
            <w:tcW w:w="1758" w:type="dxa"/>
            <w:gridSpan w:val="2"/>
            <w:tcBorders>
              <w:top w:val="nil"/>
              <w:left w:val="nil"/>
              <w:bottom w:val="single" w:sz="4" w:space="0" w:color="auto"/>
              <w:right w:val="nil"/>
            </w:tcBorders>
            <w:shd w:val="clear" w:color="auto" w:fill="auto"/>
            <w:noWrap/>
            <w:vAlign w:val="bottom"/>
            <w:hideMark/>
          </w:tcPr>
          <w:p w:rsidR="00841FA8" w:rsidRPr="00C5301C" w:rsidRDefault="00841FA8" w:rsidP="00697932">
            <w:pPr>
              <w:spacing w:line="240" w:lineRule="auto"/>
              <w:rPr>
                <w:color w:val="000000"/>
                <w:sz w:val="20"/>
                <w:szCs w:val="20"/>
                <w:lang w:val="en-US"/>
              </w:rPr>
            </w:pPr>
            <w:r w:rsidRPr="00C5301C">
              <w:rPr>
                <w:color w:val="000000"/>
                <w:sz w:val="20"/>
                <w:szCs w:val="20"/>
                <w:lang w:val="en-US"/>
              </w:rPr>
              <w:t>High risk</w:t>
            </w:r>
          </w:p>
        </w:tc>
        <w:tc>
          <w:tcPr>
            <w:tcW w:w="1966" w:type="dxa"/>
            <w:gridSpan w:val="2"/>
            <w:tcBorders>
              <w:top w:val="nil"/>
              <w:left w:val="nil"/>
              <w:bottom w:val="single" w:sz="4" w:space="0" w:color="auto"/>
              <w:right w:val="nil"/>
            </w:tcBorders>
            <w:shd w:val="clear" w:color="auto" w:fill="auto"/>
            <w:noWrap/>
            <w:vAlign w:val="bottom"/>
            <w:hideMark/>
          </w:tcPr>
          <w:p w:rsidR="00841FA8" w:rsidRPr="00C5301C" w:rsidRDefault="00841FA8" w:rsidP="00697932">
            <w:pPr>
              <w:spacing w:line="240" w:lineRule="auto"/>
              <w:rPr>
                <w:color w:val="000000"/>
                <w:sz w:val="20"/>
                <w:szCs w:val="20"/>
                <w:lang w:val="en-US"/>
              </w:rPr>
            </w:pPr>
            <w:r w:rsidRPr="00C5301C">
              <w:rPr>
                <w:color w:val="000000"/>
                <w:sz w:val="20"/>
                <w:szCs w:val="20"/>
                <w:lang w:val="en-US"/>
              </w:rPr>
              <w:t>Low risk</w:t>
            </w:r>
          </w:p>
        </w:tc>
        <w:tc>
          <w:tcPr>
            <w:tcW w:w="1645" w:type="dxa"/>
            <w:gridSpan w:val="2"/>
            <w:tcBorders>
              <w:top w:val="nil"/>
              <w:left w:val="nil"/>
              <w:bottom w:val="single" w:sz="4" w:space="0" w:color="auto"/>
              <w:right w:val="nil"/>
            </w:tcBorders>
            <w:shd w:val="clear" w:color="auto" w:fill="auto"/>
            <w:noWrap/>
            <w:vAlign w:val="bottom"/>
            <w:hideMark/>
          </w:tcPr>
          <w:p w:rsidR="00841FA8" w:rsidRPr="00C5301C" w:rsidRDefault="00841FA8" w:rsidP="00697932">
            <w:pPr>
              <w:spacing w:line="240" w:lineRule="auto"/>
              <w:rPr>
                <w:color w:val="000000"/>
                <w:sz w:val="20"/>
                <w:szCs w:val="20"/>
                <w:lang w:val="en-US"/>
              </w:rPr>
            </w:pPr>
            <w:r w:rsidRPr="00C5301C">
              <w:rPr>
                <w:color w:val="000000"/>
                <w:sz w:val="20"/>
                <w:szCs w:val="20"/>
                <w:lang w:val="en-US"/>
              </w:rPr>
              <w:t>High risk</w:t>
            </w:r>
          </w:p>
        </w:tc>
      </w:tr>
      <w:tr w:rsidR="00697932" w:rsidRPr="00697932" w:rsidTr="00FE70C7">
        <w:trPr>
          <w:trHeight w:val="255"/>
        </w:trPr>
        <w:tc>
          <w:tcPr>
            <w:tcW w:w="840" w:type="dxa"/>
            <w:tcBorders>
              <w:top w:val="single" w:sz="4" w:space="0" w:color="auto"/>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0–4</w:t>
            </w:r>
          </w:p>
        </w:tc>
        <w:tc>
          <w:tcPr>
            <w:tcW w:w="879" w:type="dxa"/>
            <w:tcBorders>
              <w:top w:val="single" w:sz="4" w:space="0" w:color="auto"/>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21</w:t>
            </w:r>
          </w:p>
        </w:tc>
        <w:tc>
          <w:tcPr>
            <w:tcW w:w="800" w:type="dxa"/>
            <w:tcBorders>
              <w:top w:val="single" w:sz="4" w:space="0" w:color="auto"/>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(1.4)</w:t>
            </w:r>
          </w:p>
        </w:tc>
        <w:tc>
          <w:tcPr>
            <w:tcW w:w="918" w:type="dxa"/>
            <w:tcBorders>
              <w:top w:val="single" w:sz="4" w:space="0" w:color="auto"/>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21</w:t>
            </w:r>
          </w:p>
        </w:tc>
        <w:tc>
          <w:tcPr>
            <w:tcW w:w="840" w:type="dxa"/>
            <w:tcBorders>
              <w:top w:val="single" w:sz="4" w:space="0" w:color="auto"/>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(1.3)</w:t>
            </w:r>
          </w:p>
        </w:tc>
        <w:tc>
          <w:tcPr>
            <w:tcW w:w="866" w:type="dxa"/>
            <w:tcBorders>
              <w:top w:val="single" w:sz="4" w:space="0" w:color="auto"/>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0.009</w:t>
            </w:r>
          </w:p>
        </w:tc>
        <w:tc>
          <w:tcPr>
            <w:tcW w:w="1100" w:type="dxa"/>
            <w:tcBorders>
              <w:top w:val="single" w:sz="4" w:space="0" w:color="auto"/>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(0.00059)</w:t>
            </w:r>
          </w:p>
        </w:tc>
        <w:tc>
          <w:tcPr>
            <w:tcW w:w="805" w:type="dxa"/>
            <w:tcBorders>
              <w:top w:val="single" w:sz="4" w:space="0" w:color="auto"/>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0.36</w:t>
            </w:r>
          </w:p>
        </w:tc>
        <w:tc>
          <w:tcPr>
            <w:tcW w:w="840" w:type="dxa"/>
            <w:tcBorders>
              <w:top w:val="single" w:sz="4" w:space="0" w:color="auto"/>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(0.021)</w:t>
            </w:r>
          </w:p>
        </w:tc>
      </w:tr>
      <w:tr w:rsidR="00697932" w:rsidRPr="00697932" w:rsidTr="00697932">
        <w:trPr>
          <w:trHeight w:val="255"/>
        </w:trPr>
        <w:tc>
          <w:tcPr>
            <w:tcW w:w="84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5–14</w:t>
            </w:r>
          </w:p>
        </w:tc>
        <w:tc>
          <w:tcPr>
            <w:tcW w:w="879" w:type="dxa"/>
            <w:tcBorders>
              <w:top w:val="nil"/>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0.87</w:t>
            </w:r>
          </w:p>
        </w:tc>
        <w:tc>
          <w:tcPr>
            <w:tcW w:w="80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(0.067)</w:t>
            </w:r>
          </w:p>
        </w:tc>
        <w:tc>
          <w:tcPr>
            <w:tcW w:w="918" w:type="dxa"/>
            <w:tcBorders>
              <w:top w:val="nil"/>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5.6</w:t>
            </w:r>
          </w:p>
        </w:tc>
        <w:tc>
          <w:tcPr>
            <w:tcW w:w="84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(0.3)</w:t>
            </w:r>
          </w:p>
        </w:tc>
        <w:tc>
          <w:tcPr>
            <w:tcW w:w="866" w:type="dxa"/>
            <w:tcBorders>
              <w:top w:val="nil"/>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0.00037</w:t>
            </w:r>
          </w:p>
        </w:tc>
        <w:tc>
          <w:tcPr>
            <w:tcW w:w="110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(0.000029)</w:t>
            </w:r>
          </w:p>
        </w:tc>
        <w:tc>
          <w:tcPr>
            <w:tcW w:w="805" w:type="dxa"/>
            <w:tcBorders>
              <w:top w:val="nil"/>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0.096</w:t>
            </w:r>
          </w:p>
        </w:tc>
        <w:tc>
          <w:tcPr>
            <w:tcW w:w="84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(0.005)</w:t>
            </w:r>
          </w:p>
        </w:tc>
      </w:tr>
      <w:tr w:rsidR="00697932" w:rsidRPr="00697932" w:rsidTr="00697932">
        <w:trPr>
          <w:trHeight w:val="255"/>
        </w:trPr>
        <w:tc>
          <w:tcPr>
            <w:tcW w:w="84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15–44</w:t>
            </w:r>
          </w:p>
        </w:tc>
        <w:tc>
          <w:tcPr>
            <w:tcW w:w="879" w:type="dxa"/>
            <w:tcBorders>
              <w:top w:val="nil"/>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1.1</w:t>
            </w:r>
          </w:p>
        </w:tc>
        <w:tc>
          <w:tcPr>
            <w:tcW w:w="80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(0.039)</w:t>
            </w:r>
          </w:p>
        </w:tc>
        <w:tc>
          <w:tcPr>
            <w:tcW w:w="918" w:type="dxa"/>
            <w:tcBorders>
              <w:top w:val="nil"/>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6.4</w:t>
            </w:r>
          </w:p>
        </w:tc>
        <w:tc>
          <w:tcPr>
            <w:tcW w:w="84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(0.26)</w:t>
            </w:r>
          </w:p>
        </w:tc>
        <w:tc>
          <w:tcPr>
            <w:tcW w:w="866" w:type="dxa"/>
            <w:tcBorders>
              <w:top w:val="nil"/>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0.007</w:t>
            </w:r>
          </w:p>
        </w:tc>
        <w:tc>
          <w:tcPr>
            <w:tcW w:w="110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(0.00024)</w:t>
            </w:r>
          </w:p>
        </w:tc>
        <w:tc>
          <w:tcPr>
            <w:tcW w:w="805" w:type="dxa"/>
            <w:tcBorders>
              <w:top w:val="nil"/>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0.26</w:t>
            </w:r>
          </w:p>
        </w:tc>
        <w:tc>
          <w:tcPr>
            <w:tcW w:w="84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(0.01)</w:t>
            </w:r>
          </w:p>
        </w:tc>
      </w:tr>
      <w:tr w:rsidR="00697932" w:rsidRPr="00697932" w:rsidTr="00697932">
        <w:trPr>
          <w:trHeight w:val="255"/>
        </w:trPr>
        <w:tc>
          <w:tcPr>
            <w:tcW w:w="84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45–59</w:t>
            </w:r>
          </w:p>
        </w:tc>
        <w:tc>
          <w:tcPr>
            <w:tcW w:w="879" w:type="dxa"/>
            <w:tcBorders>
              <w:top w:val="nil"/>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1.7</w:t>
            </w:r>
          </w:p>
        </w:tc>
        <w:tc>
          <w:tcPr>
            <w:tcW w:w="80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(0.051)</w:t>
            </w:r>
          </w:p>
        </w:tc>
        <w:tc>
          <w:tcPr>
            <w:tcW w:w="918" w:type="dxa"/>
            <w:tcBorders>
              <w:top w:val="nil"/>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11</w:t>
            </w:r>
          </w:p>
        </w:tc>
        <w:tc>
          <w:tcPr>
            <w:tcW w:w="84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(0.46)</w:t>
            </w:r>
          </w:p>
        </w:tc>
        <w:tc>
          <w:tcPr>
            <w:tcW w:w="866" w:type="dxa"/>
            <w:tcBorders>
              <w:top w:val="nil"/>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0.014</w:t>
            </w:r>
          </w:p>
        </w:tc>
        <w:tc>
          <w:tcPr>
            <w:tcW w:w="110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(0.00042)</w:t>
            </w:r>
          </w:p>
        </w:tc>
        <w:tc>
          <w:tcPr>
            <w:tcW w:w="805" w:type="dxa"/>
            <w:tcBorders>
              <w:top w:val="nil"/>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0.56</w:t>
            </w:r>
          </w:p>
        </w:tc>
        <w:tc>
          <w:tcPr>
            <w:tcW w:w="84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(0.024)</w:t>
            </w:r>
          </w:p>
        </w:tc>
      </w:tr>
      <w:tr w:rsidR="00697932" w:rsidRPr="00697932" w:rsidTr="00697932">
        <w:trPr>
          <w:trHeight w:val="255"/>
        </w:trPr>
        <w:tc>
          <w:tcPr>
            <w:tcW w:w="84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60–64</w:t>
            </w:r>
          </w:p>
        </w:tc>
        <w:tc>
          <w:tcPr>
            <w:tcW w:w="879" w:type="dxa"/>
            <w:tcBorders>
              <w:top w:val="nil"/>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3</w:t>
            </w:r>
          </w:p>
        </w:tc>
        <w:tc>
          <w:tcPr>
            <w:tcW w:w="80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(0.099)</w:t>
            </w:r>
          </w:p>
        </w:tc>
        <w:tc>
          <w:tcPr>
            <w:tcW w:w="918" w:type="dxa"/>
            <w:tcBorders>
              <w:top w:val="nil"/>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9.5</w:t>
            </w:r>
          </w:p>
        </w:tc>
        <w:tc>
          <w:tcPr>
            <w:tcW w:w="84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(0.37)</w:t>
            </w:r>
          </w:p>
        </w:tc>
        <w:tc>
          <w:tcPr>
            <w:tcW w:w="866" w:type="dxa"/>
            <w:tcBorders>
              <w:top w:val="nil"/>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0.084</w:t>
            </w:r>
          </w:p>
        </w:tc>
        <w:tc>
          <w:tcPr>
            <w:tcW w:w="110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(0.0037)</w:t>
            </w:r>
          </w:p>
        </w:tc>
        <w:tc>
          <w:tcPr>
            <w:tcW w:w="805" w:type="dxa"/>
            <w:tcBorders>
              <w:top w:val="nil"/>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2.8</w:t>
            </w:r>
          </w:p>
        </w:tc>
        <w:tc>
          <w:tcPr>
            <w:tcW w:w="84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(0.12)</w:t>
            </w:r>
          </w:p>
        </w:tc>
      </w:tr>
      <w:tr w:rsidR="00697932" w:rsidRPr="00697932" w:rsidTr="00697932">
        <w:trPr>
          <w:trHeight w:val="255"/>
        </w:trPr>
        <w:tc>
          <w:tcPr>
            <w:tcW w:w="84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65–69</w:t>
            </w:r>
          </w:p>
        </w:tc>
        <w:tc>
          <w:tcPr>
            <w:tcW w:w="879" w:type="dxa"/>
            <w:tcBorders>
              <w:top w:val="nil"/>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4.3</w:t>
            </w:r>
          </w:p>
        </w:tc>
        <w:tc>
          <w:tcPr>
            <w:tcW w:w="80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(0.15)</w:t>
            </w:r>
          </w:p>
        </w:tc>
        <w:tc>
          <w:tcPr>
            <w:tcW w:w="918" w:type="dxa"/>
            <w:tcBorders>
              <w:top w:val="nil"/>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8.4</w:t>
            </w:r>
          </w:p>
        </w:tc>
        <w:tc>
          <w:tcPr>
            <w:tcW w:w="84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(0.29)</w:t>
            </w:r>
          </w:p>
        </w:tc>
        <w:tc>
          <w:tcPr>
            <w:tcW w:w="866" w:type="dxa"/>
            <w:tcBorders>
              <w:top w:val="nil"/>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1.2</w:t>
            </w:r>
          </w:p>
        </w:tc>
        <w:tc>
          <w:tcPr>
            <w:tcW w:w="110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(0.042)</w:t>
            </w:r>
          </w:p>
        </w:tc>
        <w:tc>
          <w:tcPr>
            <w:tcW w:w="805" w:type="dxa"/>
            <w:tcBorders>
              <w:top w:val="nil"/>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5.5</w:t>
            </w:r>
          </w:p>
        </w:tc>
        <w:tc>
          <w:tcPr>
            <w:tcW w:w="84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(0.19)</w:t>
            </w:r>
          </w:p>
        </w:tc>
      </w:tr>
      <w:tr w:rsidR="00697932" w:rsidRPr="00697932" w:rsidTr="00697932">
        <w:trPr>
          <w:trHeight w:val="255"/>
        </w:trPr>
        <w:tc>
          <w:tcPr>
            <w:tcW w:w="84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70–74</w:t>
            </w:r>
          </w:p>
        </w:tc>
        <w:tc>
          <w:tcPr>
            <w:tcW w:w="879" w:type="dxa"/>
            <w:tcBorders>
              <w:top w:val="nil"/>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8</w:t>
            </w:r>
          </w:p>
        </w:tc>
        <w:tc>
          <w:tcPr>
            <w:tcW w:w="80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(0.18)</w:t>
            </w:r>
          </w:p>
        </w:tc>
        <w:tc>
          <w:tcPr>
            <w:tcW w:w="918" w:type="dxa"/>
            <w:tcBorders>
              <w:top w:val="nil"/>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16</w:t>
            </w:r>
          </w:p>
        </w:tc>
        <w:tc>
          <w:tcPr>
            <w:tcW w:w="84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(0.35)</w:t>
            </w:r>
          </w:p>
        </w:tc>
        <w:tc>
          <w:tcPr>
            <w:tcW w:w="866" w:type="dxa"/>
            <w:tcBorders>
              <w:top w:val="nil"/>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2.3</w:t>
            </w:r>
          </w:p>
        </w:tc>
        <w:tc>
          <w:tcPr>
            <w:tcW w:w="110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(0.05)</w:t>
            </w:r>
          </w:p>
        </w:tc>
        <w:tc>
          <w:tcPr>
            <w:tcW w:w="805" w:type="dxa"/>
            <w:tcBorders>
              <w:top w:val="nil"/>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10</w:t>
            </w:r>
          </w:p>
        </w:tc>
        <w:tc>
          <w:tcPr>
            <w:tcW w:w="84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(0.23)</w:t>
            </w:r>
          </w:p>
        </w:tc>
      </w:tr>
      <w:tr w:rsidR="00697932" w:rsidRPr="00697932" w:rsidTr="00697932">
        <w:trPr>
          <w:trHeight w:val="255"/>
        </w:trPr>
        <w:tc>
          <w:tcPr>
            <w:tcW w:w="84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75–79</w:t>
            </w:r>
          </w:p>
        </w:tc>
        <w:tc>
          <w:tcPr>
            <w:tcW w:w="879" w:type="dxa"/>
            <w:tcBorders>
              <w:top w:val="nil"/>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14</w:t>
            </w:r>
          </w:p>
        </w:tc>
        <w:tc>
          <w:tcPr>
            <w:tcW w:w="80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(0.5)</w:t>
            </w:r>
          </w:p>
        </w:tc>
        <w:tc>
          <w:tcPr>
            <w:tcW w:w="918" w:type="dxa"/>
            <w:tcBorders>
              <w:top w:val="nil"/>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27</w:t>
            </w:r>
          </w:p>
        </w:tc>
        <w:tc>
          <w:tcPr>
            <w:tcW w:w="84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(0.99)</w:t>
            </w:r>
          </w:p>
        </w:tc>
        <w:tc>
          <w:tcPr>
            <w:tcW w:w="866" w:type="dxa"/>
            <w:tcBorders>
              <w:top w:val="nil"/>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5.1</w:t>
            </w:r>
          </w:p>
        </w:tc>
        <w:tc>
          <w:tcPr>
            <w:tcW w:w="110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(0.19)</w:t>
            </w:r>
          </w:p>
        </w:tc>
        <w:tc>
          <w:tcPr>
            <w:tcW w:w="805" w:type="dxa"/>
            <w:tcBorders>
              <w:top w:val="nil"/>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23</w:t>
            </w:r>
          </w:p>
        </w:tc>
        <w:tc>
          <w:tcPr>
            <w:tcW w:w="84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(0.86)</w:t>
            </w:r>
          </w:p>
        </w:tc>
      </w:tr>
      <w:tr w:rsidR="00697932" w:rsidRPr="00697932" w:rsidTr="00697932">
        <w:trPr>
          <w:trHeight w:val="255"/>
        </w:trPr>
        <w:tc>
          <w:tcPr>
            <w:tcW w:w="84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80–84</w:t>
            </w:r>
          </w:p>
        </w:tc>
        <w:tc>
          <w:tcPr>
            <w:tcW w:w="879" w:type="dxa"/>
            <w:tcBorders>
              <w:top w:val="nil"/>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38</w:t>
            </w:r>
          </w:p>
        </w:tc>
        <w:tc>
          <w:tcPr>
            <w:tcW w:w="80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(1.3)</w:t>
            </w:r>
          </w:p>
        </w:tc>
        <w:tc>
          <w:tcPr>
            <w:tcW w:w="918" w:type="dxa"/>
            <w:tcBorders>
              <w:top w:val="nil"/>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75</w:t>
            </w:r>
          </w:p>
        </w:tc>
        <w:tc>
          <w:tcPr>
            <w:tcW w:w="84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(2.5)</w:t>
            </w:r>
          </w:p>
        </w:tc>
        <w:tc>
          <w:tcPr>
            <w:tcW w:w="866" w:type="dxa"/>
            <w:tcBorders>
              <w:top w:val="nil"/>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14</w:t>
            </w:r>
          </w:p>
        </w:tc>
        <w:tc>
          <w:tcPr>
            <w:tcW w:w="110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(0.48)</w:t>
            </w:r>
          </w:p>
        </w:tc>
        <w:tc>
          <w:tcPr>
            <w:tcW w:w="805" w:type="dxa"/>
            <w:tcBorders>
              <w:top w:val="nil"/>
              <w:left w:val="nil"/>
              <w:bottom w:val="nil"/>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64</w:t>
            </w:r>
          </w:p>
        </w:tc>
        <w:tc>
          <w:tcPr>
            <w:tcW w:w="840" w:type="dxa"/>
            <w:tcBorders>
              <w:top w:val="nil"/>
              <w:left w:val="nil"/>
              <w:bottom w:val="nil"/>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(2.2)</w:t>
            </w:r>
          </w:p>
        </w:tc>
      </w:tr>
      <w:tr w:rsidR="00697932" w:rsidRPr="00697932" w:rsidTr="00FE70C7">
        <w:trPr>
          <w:trHeight w:val="255"/>
        </w:trPr>
        <w:tc>
          <w:tcPr>
            <w:tcW w:w="840" w:type="dxa"/>
            <w:tcBorders>
              <w:top w:val="nil"/>
              <w:left w:val="nil"/>
              <w:bottom w:val="single" w:sz="4" w:space="0" w:color="auto"/>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85–99</w:t>
            </w:r>
          </w:p>
        </w:tc>
        <w:tc>
          <w:tcPr>
            <w:tcW w:w="879" w:type="dxa"/>
            <w:tcBorders>
              <w:top w:val="nil"/>
              <w:left w:val="nil"/>
              <w:bottom w:val="single" w:sz="4" w:space="0" w:color="auto"/>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93</w:t>
            </w:r>
          </w:p>
        </w:tc>
        <w:tc>
          <w:tcPr>
            <w:tcW w:w="800" w:type="dxa"/>
            <w:tcBorders>
              <w:top w:val="nil"/>
              <w:left w:val="nil"/>
              <w:bottom w:val="single" w:sz="4" w:space="0" w:color="auto"/>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(2)</w:t>
            </w:r>
          </w:p>
        </w:tc>
        <w:tc>
          <w:tcPr>
            <w:tcW w:w="918" w:type="dxa"/>
            <w:tcBorders>
              <w:top w:val="nil"/>
              <w:left w:val="nil"/>
              <w:bottom w:val="single" w:sz="4" w:space="0" w:color="auto"/>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180</w:t>
            </w:r>
          </w:p>
        </w:tc>
        <w:tc>
          <w:tcPr>
            <w:tcW w:w="840" w:type="dxa"/>
            <w:tcBorders>
              <w:top w:val="nil"/>
              <w:left w:val="nil"/>
              <w:bottom w:val="single" w:sz="4" w:space="0" w:color="auto"/>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(3.8)</w:t>
            </w:r>
          </w:p>
        </w:tc>
        <w:tc>
          <w:tcPr>
            <w:tcW w:w="866" w:type="dxa"/>
            <w:tcBorders>
              <w:top w:val="nil"/>
              <w:left w:val="nil"/>
              <w:bottom w:val="single" w:sz="4" w:space="0" w:color="auto"/>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35</w:t>
            </w:r>
          </w:p>
        </w:tc>
        <w:tc>
          <w:tcPr>
            <w:tcW w:w="1100" w:type="dxa"/>
            <w:tcBorders>
              <w:top w:val="nil"/>
              <w:left w:val="nil"/>
              <w:bottom w:val="single" w:sz="4" w:space="0" w:color="auto"/>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(0.74)</w:t>
            </w:r>
          </w:p>
        </w:tc>
        <w:tc>
          <w:tcPr>
            <w:tcW w:w="805" w:type="dxa"/>
            <w:tcBorders>
              <w:top w:val="nil"/>
              <w:left w:val="nil"/>
              <w:bottom w:val="single" w:sz="4" w:space="0" w:color="auto"/>
              <w:right w:val="nil"/>
            </w:tcBorders>
            <w:shd w:val="clear" w:color="auto" w:fill="auto"/>
            <w:noWrap/>
            <w:vAlign w:val="bottom"/>
            <w:hideMark/>
          </w:tcPr>
          <w:p w:rsidR="00697932" w:rsidRPr="00C5301C" w:rsidRDefault="00697932" w:rsidP="00697932">
            <w:pPr>
              <w:spacing w:line="240" w:lineRule="auto"/>
              <w:jc w:val="right"/>
              <w:rPr>
                <w:color w:val="000000"/>
                <w:sz w:val="20"/>
                <w:szCs w:val="20"/>
                <w:lang w:val="en-US"/>
              </w:rPr>
            </w:pPr>
            <w:r w:rsidRPr="00C5301C">
              <w:rPr>
                <w:color w:val="000000"/>
                <w:sz w:val="20"/>
                <w:szCs w:val="20"/>
                <w:lang w:val="en-US"/>
              </w:rPr>
              <w:t>160</w:t>
            </w:r>
          </w:p>
        </w:tc>
        <w:tc>
          <w:tcPr>
            <w:tcW w:w="840" w:type="dxa"/>
            <w:tcBorders>
              <w:top w:val="nil"/>
              <w:left w:val="nil"/>
              <w:bottom w:val="single" w:sz="4" w:space="0" w:color="auto"/>
              <w:right w:val="nil"/>
            </w:tcBorders>
            <w:shd w:val="clear" w:color="auto" w:fill="auto"/>
            <w:noWrap/>
            <w:vAlign w:val="bottom"/>
            <w:hideMark/>
          </w:tcPr>
          <w:p w:rsidR="00697932" w:rsidRPr="00C5301C" w:rsidRDefault="00697932" w:rsidP="00697932">
            <w:pPr>
              <w:spacing w:line="240" w:lineRule="auto"/>
              <w:rPr>
                <w:color w:val="000000"/>
                <w:sz w:val="20"/>
                <w:szCs w:val="20"/>
                <w:lang w:val="en-US"/>
              </w:rPr>
            </w:pPr>
            <w:r w:rsidRPr="00C5301C">
              <w:rPr>
                <w:color w:val="000000"/>
                <w:sz w:val="20"/>
                <w:szCs w:val="20"/>
                <w:lang w:val="en-US"/>
              </w:rPr>
              <w:t>(3.3)</w:t>
            </w:r>
          </w:p>
        </w:tc>
      </w:tr>
    </w:tbl>
    <w:p w:rsidR="00697932" w:rsidRPr="00D856C0" w:rsidRDefault="00697932" w:rsidP="00D856C0"/>
    <w:p w:rsidR="00D856C0" w:rsidRDefault="00D856C0" w:rsidP="00FE70C7">
      <w:pPr>
        <w:pStyle w:val="Heading2"/>
      </w:pPr>
      <w:r>
        <w:t>Economic input parameters</w:t>
      </w:r>
    </w:p>
    <w:p w:rsidR="00D856C0" w:rsidRPr="00D856C0" w:rsidRDefault="00D856C0" w:rsidP="00FE70C7">
      <w:r>
        <w:t>Clinical outcomes were converted to quality-adjusted life years (QALYs) lost and cost</w:t>
      </w:r>
      <w:r w:rsidR="00EB4FEF">
        <w:t>s</w:t>
      </w:r>
      <w:r>
        <w:t xml:space="preserve"> by multiplying the number of symptomatic infection, GP visits, hospitalizations and deaths with the associated burden</w:t>
      </w:r>
      <w:r w:rsidR="00697932">
        <w:t xml:space="preserve"> estimates</w:t>
      </w:r>
      <w:r>
        <w:t xml:space="preserve">. These are </w:t>
      </w:r>
      <w:r w:rsidR="00183030">
        <w:t>shown in Table S</w:t>
      </w:r>
      <w:r w:rsidR="00183030">
        <w:rPr>
          <w:noProof/>
        </w:rPr>
        <w:t>3</w:t>
      </w:r>
      <w:r w:rsidR="00183030">
        <w:t xml:space="preserve"> and </w:t>
      </w:r>
      <w:r>
        <w:t>described in more detail below.</w:t>
      </w:r>
    </w:p>
    <w:p w:rsidR="00D856C0" w:rsidRDefault="00D856C0" w:rsidP="00FE70C7"/>
    <w:p w:rsidR="003F25DC" w:rsidRDefault="003F25DC">
      <w:pPr>
        <w:pStyle w:val="Heading3"/>
      </w:pPr>
      <w:r>
        <w:t>QALY losses</w:t>
      </w:r>
    </w:p>
    <w:p w:rsidR="003F25DC" w:rsidRDefault="003F25DC" w:rsidP="003F25DC">
      <w:r>
        <w:t xml:space="preserve">QALY losses of medically attended influenza and hospitalized influenza are based on adults with a lower-respiratory tract infection and community acquired-pneumonia, </w:t>
      </w:r>
      <w:r>
        <w:lastRenderedPageBreak/>
        <w:t xml:space="preserve">respectively </w:t>
      </w:r>
      <w:r w:rsidR="00FE70C7">
        <w:rPr>
          <w:noProof/>
        </w:rPr>
        <w:t>[9, 10]</w:t>
      </w:r>
      <w:r>
        <w:t xml:space="preserve">. These QALY losses were estimated using the </w:t>
      </w:r>
      <w:proofErr w:type="spellStart"/>
      <w:r>
        <w:t>EuroQol</w:t>
      </w:r>
      <w:proofErr w:type="spellEnd"/>
      <w:r>
        <w:t xml:space="preserve"> 5-dimension (EQ-5D) instrument and Dutch EQ-5D tariffs. The QALY loss of a non-medically attended case was calculated by multiplying the QALY loss of a medically attended influenza case with the ratio of the QALY loss of non-medically attended and medically attended influenza-like-illness patients from a study in Belgium</w:t>
      </w:r>
      <w:r w:rsidRPr="00820C94">
        <w:t xml:space="preserve"> </w:t>
      </w:r>
      <w:r w:rsidR="00FE70C7">
        <w:rPr>
          <w:noProof/>
        </w:rPr>
        <w:t>[11]</w:t>
      </w:r>
      <w:r w:rsidRPr="00820C94">
        <w:t>.</w:t>
      </w:r>
      <w:r>
        <w:t xml:space="preserve"> In the sensitivity analysis, we explored previously published influenza-related QALY losses as presented by </w:t>
      </w:r>
      <w:proofErr w:type="spellStart"/>
      <w:r>
        <w:t>Lugner</w:t>
      </w:r>
      <w:proofErr w:type="spellEnd"/>
      <w:r>
        <w:t xml:space="preserve"> et al. </w:t>
      </w:r>
      <w:r w:rsidR="00FE70C7">
        <w:rPr>
          <w:noProof/>
        </w:rPr>
        <w:t>[12]</w:t>
      </w:r>
      <w:r>
        <w:t>.</w:t>
      </w:r>
    </w:p>
    <w:p w:rsidR="003F25DC" w:rsidRDefault="003F25DC" w:rsidP="003F25DC"/>
    <w:p w:rsidR="003F25DC" w:rsidRDefault="006C4659" w:rsidP="00D856C0">
      <w:pPr>
        <w:pStyle w:val="Heading3"/>
      </w:pPr>
      <w:r>
        <w:t>C</w:t>
      </w:r>
      <w:r w:rsidR="003F25DC">
        <w:t>osts</w:t>
      </w:r>
    </w:p>
    <w:p w:rsidR="003F25DC" w:rsidRDefault="003F25DC" w:rsidP="003F25DC">
      <w:r>
        <w:t xml:space="preserve">Direct healthcare cost of a GP visit for children was obtained from a Dutch study among influenza-like illness cases aged &lt;5 years </w:t>
      </w:r>
      <w:r w:rsidR="00FE70C7">
        <w:rPr>
          <w:noProof/>
        </w:rPr>
        <w:t>[13]</w:t>
      </w:r>
      <w:r>
        <w:t xml:space="preserve">. This study used a web-based survey to compare the resource use and costs of children that are attending day care versus children that are not attending day care. To estimate the average costs per GP visit, we first divided the average costs per child attributed to GP visits or laboratory use by the proportion of children requiring these types of care for these groups separately. For the average costs per child attributed to medication use we assumed that 52% of these costs were related to prescribed drugs </w:t>
      </w:r>
      <w:r w:rsidR="00FE70C7">
        <w:rPr>
          <w:noProof/>
        </w:rPr>
        <w:t>[14]</w:t>
      </w:r>
      <w:r>
        <w:t xml:space="preserve">. Then, we added up these costs, and calculated a weighted average by using the assumption that 47% of children in the Netherlands attend day care </w:t>
      </w:r>
      <w:r w:rsidR="00FE70C7">
        <w:rPr>
          <w:noProof/>
        </w:rPr>
        <w:t>[15]</w:t>
      </w:r>
      <w:r>
        <w:t xml:space="preserve">. In absence of cost data for children above the age of 5 years, we used this estimation for all children aged 0-17 years. For influenza-related GP visits of individuals aged 18 years and older, we used published cost data of Dutch patients attending a GP due to a lower-respiratory infection </w:t>
      </w:r>
      <w:r w:rsidR="00FE70C7">
        <w:rPr>
          <w:noProof/>
        </w:rPr>
        <w:t>[10]</w:t>
      </w:r>
      <w:r>
        <w:t xml:space="preserve">. Age-specific costs of an influenza-related hospitalization were based on the length of stay and proportion of days that were spend on the ICU from patients with community acquired pneumonia </w:t>
      </w:r>
      <w:r w:rsidR="00FE70C7">
        <w:rPr>
          <w:noProof/>
        </w:rPr>
        <w:t>[16]</w:t>
      </w:r>
      <w:r>
        <w:t xml:space="preserve">. These lengths of stay were then multiplied with the cost per </w:t>
      </w:r>
      <w:r>
        <w:lastRenderedPageBreak/>
        <w:t xml:space="preserve">bed day on a paediatric ward (children below 18 years of age), general ward (adults 18 years of age or older) and ICU ward (regardless of age) </w:t>
      </w:r>
      <w:r w:rsidR="00FE70C7">
        <w:rPr>
          <w:noProof/>
        </w:rPr>
        <w:t>[17]</w:t>
      </w:r>
      <w:r>
        <w:t>. We attributed no additional direct healthcare costs to influenza-associated deaths upon a possible prior GP visit or a hospital visit.</w:t>
      </w:r>
    </w:p>
    <w:p w:rsidR="006C4659" w:rsidRDefault="006C4659" w:rsidP="003F25DC"/>
    <w:p w:rsidR="003F25DC" w:rsidRDefault="003F25DC" w:rsidP="003F25DC">
      <w:r>
        <w:t xml:space="preserve">Indirect healthcare costs (healthcare costs unrelated to influenza in life years gained) were estimated using the life-expectancy at the age that death was averted and age-specific healthcare costs from a specifically developed tool labelled </w:t>
      </w:r>
      <w:r w:rsidRPr="00F85BA6">
        <w:t>Practical Application to Include Disease Costs</w:t>
      </w:r>
      <w:r>
        <w:t xml:space="preserve"> (PAID) </w:t>
      </w:r>
      <w:r w:rsidR="00FE70C7">
        <w:rPr>
          <w:noProof/>
        </w:rPr>
        <w:t>[18]</w:t>
      </w:r>
      <w:r>
        <w:t xml:space="preserve">. This tool distinguishes healthcare costs incurred in the last year of life and costs incurred in other years by sex, age and health care provider. To avoid a possible double count of influenza-related costs, we excluded healthcare costs of the disease category ‘pneumonia and influenza’. We included costs of all healthcare providers available in the tool and the weighted average of men and women was estimated using age-specific sex distributions of the Dutch population in 2017 </w:t>
      </w:r>
      <w:r w:rsidR="00FE70C7">
        <w:rPr>
          <w:noProof/>
        </w:rPr>
        <w:t>[19]</w:t>
      </w:r>
      <w:r>
        <w:t>. The total indirect healthcare costs in the remaining life years was estimated using lifetables, attributing the cost incurred in a final life year to a person that died in the lifetable and cost incurred in other years to a person that survives in the lifetable.</w:t>
      </w:r>
    </w:p>
    <w:p w:rsidR="006C4659" w:rsidRDefault="006C4659" w:rsidP="003F25DC"/>
    <w:p w:rsidR="003F25DC" w:rsidRDefault="003F25DC" w:rsidP="003F25DC">
      <w:r>
        <w:t xml:space="preserve">Patient costs of cases without medical attention included costs of over-the-counter medication. We based the proportion of patients that used over-the-counter (OTC) medication by drug class on the resource use of influenza-like-illness patients from a study in Belgium </w:t>
      </w:r>
      <w:r w:rsidR="00FE70C7">
        <w:rPr>
          <w:noProof/>
        </w:rPr>
        <w:t>[11]</w:t>
      </w:r>
      <w:r>
        <w:t xml:space="preserve">. For each drug class we selected a proxy drug that we considered as the most likely drug prescribed and estimated the costs of the drugs by using standard treatment guidelines on dose and duration of treatment. For influenza </w:t>
      </w:r>
      <w:r>
        <w:lastRenderedPageBreak/>
        <w:t xml:space="preserve">patients attending a GP, we used published costs of adults that visited the GP due to a lower-respiratory infection </w:t>
      </w:r>
      <w:r w:rsidR="00FE70C7">
        <w:rPr>
          <w:noProof/>
        </w:rPr>
        <w:t>[10]</w:t>
      </w:r>
      <w:r>
        <w:t xml:space="preserve">. These costs consisted of OTC medication and travel costs. For hospitalized cases, we based the patient costs on the declared costs of patients with community-acquired pneumonia-related admission. These costs consisted of travel cost to the hospital and possible paid household help, but not home-care </w:t>
      </w:r>
      <w:r w:rsidR="00FE70C7">
        <w:rPr>
          <w:noProof/>
        </w:rPr>
        <w:t>[20]</w:t>
      </w:r>
      <w:r>
        <w:t>.</w:t>
      </w:r>
    </w:p>
    <w:p w:rsidR="006C4659" w:rsidRDefault="006C4659" w:rsidP="000173E4"/>
    <w:p w:rsidR="006C4659" w:rsidRDefault="003F25DC" w:rsidP="000173E4">
      <w:r>
        <w:t>Productivity losses due to work absence of non-hospitalized cases were estimated using data from a prospective web-based surveillance study that monitored the incidence of influenza-like-illnesses (ILIs) on the basis of self-reporting (see Friesema et al.</w:t>
      </w:r>
      <w:r w:rsidR="00FE70C7">
        <w:rPr>
          <w:noProof/>
        </w:rPr>
        <w:t>[5]</w:t>
      </w:r>
      <w:r>
        <w:t xml:space="preserve"> for more details on data collection and ILI definition). We used data from five consecutive winter seasons in the period 2003/2004 to 2007/2008 to estimate the proportion of employed cases that reported missed work and, if so, the number of days missed. We stratified the data by age group (15-24 years, 25-44 years, 45-59 years and </w:t>
      </w:r>
      <w:r>
        <w:rPr>
          <w:rFonts w:ascii="Verdana" w:hAnsi="Verdana"/>
        </w:rPr>
        <w:t>≥</w:t>
      </w:r>
      <w:r>
        <w:t xml:space="preserve">60 years) and by patients consulting a GP or not. Then, we converted the number of work days lost to number of working hours lost using data on average working hours per week </w:t>
      </w:r>
      <w:r w:rsidR="00FE70C7">
        <w:rPr>
          <w:noProof/>
        </w:rPr>
        <w:t>[21]</w:t>
      </w:r>
      <w:r>
        <w:t xml:space="preserve">, and subsequently to productivity losses using the standard tariff per missed working hour from the Dutch cost-effectiveness guideline </w:t>
      </w:r>
      <w:r w:rsidR="00FE70C7">
        <w:rPr>
          <w:noProof/>
        </w:rPr>
        <w:t>[17]</w:t>
      </w:r>
      <w:r>
        <w:t xml:space="preserve">. As the estimated work absences were for the working population, we adjusted our estimates using age-specific labour </w:t>
      </w:r>
      <w:r w:rsidRPr="004B663C">
        <w:t xml:space="preserve">participation rates </w:t>
      </w:r>
      <w:r w:rsidR="00FE70C7">
        <w:rPr>
          <w:noProof/>
        </w:rPr>
        <w:t>[22]</w:t>
      </w:r>
      <w:r w:rsidRPr="004B663C">
        <w:t>. For</w:t>
      </w:r>
      <w:r>
        <w:t xml:space="preserve"> hospitalized cases, we assumed that the duration of work absence equals the length of stay plus the work absence of an ILI case with a GP visit. We estimated the number of work days lost </w:t>
      </w:r>
      <w:r w:rsidR="000173E4">
        <w:t>due to</w:t>
      </w:r>
      <w:r>
        <w:t xml:space="preserve"> influenza-related death using the friction cost method </w:t>
      </w:r>
      <w:r w:rsidR="00FE70C7">
        <w:rPr>
          <w:noProof/>
        </w:rPr>
        <w:t>[23]</w:t>
      </w:r>
      <w:r>
        <w:t xml:space="preserve">. This method assumes that work absence is limited to a certain friction period, as an unemployed person has replaced the deceased person after this period. We used a friction period of </w:t>
      </w:r>
      <w:r>
        <w:lastRenderedPageBreak/>
        <w:t xml:space="preserve">85 days </w:t>
      </w:r>
      <w:r w:rsidR="00FE70C7">
        <w:rPr>
          <w:noProof/>
        </w:rPr>
        <w:t>[17]</w:t>
      </w:r>
      <w:r>
        <w:t xml:space="preserve">. In the sensitivity analysis we explored a scenario in which we estimated the number of work days lost according to the human capital approach, which considers all work days lost until the age of retirement. The human capital cost of a deceased person was estimated using life table methodology, taking into account premature death due to other causes. The productivity loss of caregivers of children with non-hospitalized influenza was estimated using the same data and methodology that was used to estimate the direct healthcare costs of GP visits of children </w:t>
      </w:r>
      <w:r w:rsidR="00FE70C7">
        <w:rPr>
          <w:noProof/>
        </w:rPr>
        <w:t>[13]</w:t>
      </w:r>
      <w:r>
        <w:t xml:space="preserve">. The work absence was converted to productivity losses by using labour participation rates and average number of working hours per week of the people aged 25-44. For hospitalized children, the work absence was based on children aged &lt;2 years with a hospitalized RSV episode </w:t>
      </w:r>
      <w:r w:rsidR="00FE70C7">
        <w:rPr>
          <w:noProof/>
        </w:rPr>
        <w:t>[24]</w:t>
      </w:r>
      <w:r>
        <w:t>. In absence of data for older children, we used productivity losses of caregivers for all children aged up to 15 years.</w:t>
      </w:r>
      <w:bookmarkStart w:id="5" w:name="_Ref530404178"/>
    </w:p>
    <w:p w:rsidR="00183030" w:rsidRDefault="00183030" w:rsidP="00EB4FEF"/>
    <w:p w:rsidR="001E0494" w:rsidRDefault="001E0494" w:rsidP="001E0494">
      <w:pPr>
        <w:pStyle w:val="Heading3"/>
      </w:pPr>
      <w:r>
        <w:t>Sensitivity analysis</w:t>
      </w:r>
      <w:r w:rsidR="001B2A90">
        <w:t xml:space="preserve"> of economic parameters</w:t>
      </w:r>
    </w:p>
    <w:p w:rsidR="00AA684C" w:rsidRDefault="00BB183C" w:rsidP="00EB4FEF">
      <w:r w:rsidRPr="0038167D">
        <w:t xml:space="preserve">Economic input parameters that report a standard error and distribution were </w:t>
      </w:r>
      <w:r w:rsidR="001B2A90">
        <w:t xml:space="preserve">simultaneously </w:t>
      </w:r>
      <w:r w:rsidRPr="0038167D">
        <w:t>varied in the probabilistic sensitivity analysis. In a univariate sensitivity analysis, the vaccine price of Q-LAIV was increased to €10.71 (list price of TIV</w:t>
      </w:r>
      <w:r w:rsidR="00AA684C" w:rsidRPr="0038167D">
        <w:t xml:space="preserve"> </w:t>
      </w:r>
      <w:r w:rsidR="00FE70C7">
        <w:rPr>
          <w:noProof/>
        </w:rPr>
        <w:t>[25]</w:t>
      </w:r>
      <w:r w:rsidRPr="0038167D">
        <w:t xml:space="preserve">) and €19.32 (Q-LAIV price of the US </w:t>
      </w:r>
      <w:proofErr w:type="spellStart"/>
      <w:r w:rsidRPr="0038167D">
        <w:t>Centers</w:t>
      </w:r>
      <w:proofErr w:type="spellEnd"/>
      <w:r w:rsidRPr="0038167D">
        <w:t xml:space="preserve"> for Disease Control and prevention </w:t>
      </w:r>
      <w:r w:rsidR="00FE70C7">
        <w:rPr>
          <w:noProof/>
        </w:rPr>
        <w:t>[26]</w:t>
      </w:r>
      <w:r w:rsidR="00AA684C" w:rsidRPr="00EB4FEF">
        <w:t xml:space="preserve">, converted to euros </w:t>
      </w:r>
      <w:r w:rsidRPr="0038167D">
        <w:t xml:space="preserve">using purchasing power parities </w:t>
      </w:r>
      <w:r w:rsidR="00FE70C7">
        <w:rPr>
          <w:noProof/>
        </w:rPr>
        <w:t>[27]</w:t>
      </w:r>
      <w:r w:rsidRPr="0038167D">
        <w:t>). We also conducted a scenario from the healthcare payer’s perspective (exclud</w:t>
      </w:r>
      <w:r w:rsidR="00EB4FEF">
        <w:t>ing</w:t>
      </w:r>
      <w:r w:rsidRPr="0038167D">
        <w:t xml:space="preserve"> direct non-healthcare costs and productivity losses) and a scenario that excluded indirect healthcare costs in gained life years. For measuring product</w:t>
      </w:r>
      <w:r w:rsidR="00EB4FEF">
        <w:t>ivity losses of premature</w:t>
      </w:r>
      <w:r w:rsidRPr="0038167D">
        <w:t xml:space="preserve"> influenza-associated deaths we performed a scenario in which the human capital approach was used, valuing all productivity losses until the age of retirement. With regard to health</w:t>
      </w:r>
      <w:r w:rsidR="00EB4FEF">
        <w:t xml:space="preserve"> </w:t>
      </w:r>
      <w:r w:rsidRPr="0038167D">
        <w:t>effect</w:t>
      </w:r>
      <w:r w:rsidR="00EB4FEF">
        <w:t>s</w:t>
      </w:r>
      <w:r w:rsidRPr="0038167D">
        <w:t xml:space="preserve">, we explored QALY losses of influenza illness as previously </w:t>
      </w:r>
      <w:r w:rsidRPr="0038167D">
        <w:lastRenderedPageBreak/>
        <w:t xml:space="preserve">used by </w:t>
      </w:r>
      <w:proofErr w:type="spellStart"/>
      <w:r w:rsidRPr="0038167D">
        <w:t>Lugner</w:t>
      </w:r>
      <w:proofErr w:type="spellEnd"/>
      <w:r w:rsidRPr="0038167D">
        <w:t xml:space="preserve"> et al.</w:t>
      </w:r>
      <w:r w:rsidR="00FE70C7">
        <w:rPr>
          <w:noProof/>
        </w:rPr>
        <w:t>[12]</w:t>
      </w:r>
      <w:r w:rsidRPr="0038167D">
        <w:t xml:space="preserve"> and </w:t>
      </w:r>
      <w:r w:rsidR="00AA684C" w:rsidRPr="0038167D">
        <w:t>performed a scenario in which t</w:t>
      </w:r>
      <w:r w:rsidRPr="0038167D">
        <w:t xml:space="preserve">he life-expectancies of premature influenza-associated deaths </w:t>
      </w:r>
      <w:r w:rsidR="00AA684C" w:rsidRPr="0038167D">
        <w:t>above the age of 70 years were halved. The lat</w:t>
      </w:r>
      <w:r w:rsidR="001B2A90">
        <w:t>ter</w:t>
      </w:r>
      <w:r w:rsidR="00AA684C" w:rsidRPr="0038167D">
        <w:t xml:space="preserve"> scenario assumes that elderly dying because of influenza may be less healthy than the general population.</w:t>
      </w:r>
    </w:p>
    <w:p w:rsidR="009A59DD" w:rsidRDefault="009A59DD">
      <w:pPr>
        <w:spacing w:after="200" w:line="276" w:lineRule="auto"/>
      </w:pPr>
    </w:p>
    <w:p w:rsidR="003F25DC" w:rsidRDefault="003F25DC" w:rsidP="003F25DC">
      <w:bookmarkStart w:id="6" w:name="_Ref345648"/>
      <w:bookmarkEnd w:id="5"/>
      <w:r>
        <w:t>Table S</w:t>
      </w:r>
      <w:r w:rsidR="00C5301C">
        <w:rPr>
          <w:noProof/>
        </w:rPr>
        <w:t>3</w:t>
      </w:r>
      <w:bookmarkEnd w:id="6"/>
      <w:r>
        <w:t xml:space="preserve">: </w:t>
      </w:r>
      <w:r w:rsidR="001B2A90">
        <w:t>E</w:t>
      </w:r>
      <w:r>
        <w:t>conomic input</w:t>
      </w:r>
      <w:r w:rsidR="001B2A90">
        <w:t xml:space="preserve">s of the analysis. In the probabilistic sensitivity analysis, the parameter inputs were simultaneously varied using the standard error and distribution shown. In the univariate sensitivity analysis, the parameter inputs were varied one-by-one. </w:t>
      </w:r>
      <w:r w:rsidR="00AA684C">
        <w:t xml:space="preserve"> </w:t>
      </w:r>
    </w:p>
    <w:tbl>
      <w:tblPr>
        <w:tblW w:w="9157" w:type="dxa"/>
        <w:tblLook w:val="04A0" w:firstRow="1" w:lastRow="0" w:firstColumn="1" w:lastColumn="0" w:noHBand="0" w:noVBand="1"/>
      </w:tblPr>
      <w:tblGrid>
        <w:gridCol w:w="2059"/>
        <w:gridCol w:w="1305"/>
        <w:gridCol w:w="958"/>
        <w:gridCol w:w="1227"/>
        <w:gridCol w:w="1061"/>
        <w:gridCol w:w="2547"/>
      </w:tblGrid>
      <w:tr w:rsidR="001E0494" w:rsidTr="009A59DD">
        <w:tc>
          <w:tcPr>
            <w:tcW w:w="2071" w:type="dxa"/>
            <w:tcBorders>
              <w:top w:val="single" w:sz="4" w:space="0" w:color="auto"/>
              <w:bottom w:val="single" w:sz="4" w:space="0" w:color="auto"/>
            </w:tcBorders>
          </w:tcPr>
          <w:p w:rsidR="001E0494" w:rsidRPr="000173E4" w:rsidRDefault="001E0494" w:rsidP="003F25DC">
            <w:pPr>
              <w:spacing w:line="276" w:lineRule="auto"/>
              <w:rPr>
                <w:sz w:val="20"/>
                <w:szCs w:val="20"/>
              </w:rPr>
            </w:pPr>
            <w:r w:rsidRPr="000B47E1">
              <w:rPr>
                <w:sz w:val="20"/>
                <w:szCs w:val="20"/>
              </w:rPr>
              <w:t>Parameter</w:t>
            </w:r>
          </w:p>
        </w:tc>
        <w:tc>
          <w:tcPr>
            <w:tcW w:w="1305" w:type="dxa"/>
            <w:tcBorders>
              <w:top w:val="single" w:sz="4" w:space="0" w:color="auto"/>
              <w:bottom w:val="single" w:sz="4" w:space="0" w:color="auto"/>
            </w:tcBorders>
          </w:tcPr>
          <w:p w:rsidR="001E0494" w:rsidRPr="000B47E1" w:rsidRDefault="001E0494" w:rsidP="003F25DC">
            <w:pPr>
              <w:spacing w:line="276" w:lineRule="auto"/>
              <w:rPr>
                <w:sz w:val="20"/>
                <w:szCs w:val="20"/>
              </w:rPr>
            </w:pPr>
            <w:r w:rsidRPr="000B47E1">
              <w:rPr>
                <w:sz w:val="20"/>
                <w:szCs w:val="20"/>
              </w:rPr>
              <w:t>Deterministic</w:t>
            </w:r>
          </w:p>
        </w:tc>
        <w:tc>
          <w:tcPr>
            <w:tcW w:w="959" w:type="dxa"/>
            <w:tcBorders>
              <w:top w:val="single" w:sz="4" w:space="0" w:color="auto"/>
              <w:bottom w:val="single" w:sz="4" w:space="0" w:color="auto"/>
            </w:tcBorders>
          </w:tcPr>
          <w:p w:rsidR="001E0494" w:rsidRPr="000B47E1" w:rsidRDefault="001E0494" w:rsidP="003F25DC">
            <w:pPr>
              <w:spacing w:line="276" w:lineRule="auto"/>
              <w:rPr>
                <w:sz w:val="20"/>
                <w:szCs w:val="20"/>
              </w:rPr>
            </w:pPr>
            <w:r w:rsidRPr="000B47E1">
              <w:rPr>
                <w:sz w:val="20"/>
                <w:szCs w:val="20"/>
              </w:rPr>
              <w:t>Standard error</w:t>
            </w:r>
          </w:p>
        </w:tc>
        <w:tc>
          <w:tcPr>
            <w:tcW w:w="1228" w:type="dxa"/>
            <w:tcBorders>
              <w:top w:val="single" w:sz="4" w:space="0" w:color="auto"/>
              <w:bottom w:val="single" w:sz="4" w:space="0" w:color="auto"/>
            </w:tcBorders>
          </w:tcPr>
          <w:p w:rsidR="001E0494" w:rsidRPr="000B47E1" w:rsidRDefault="001E0494" w:rsidP="001E0494">
            <w:pPr>
              <w:spacing w:line="276" w:lineRule="auto"/>
              <w:rPr>
                <w:sz w:val="20"/>
                <w:szCs w:val="20"/>
              </w:rPr>
            </w:pPr>
            <w:r w:rsidRPr="000B47E1">
              <w:rPr>
                <w:sz w:val="20"/>
                <w:szCs w:val="20"/>
              </w:rPr>
              <w:t>Distribution</w:t>
            </w:r>
            <w:r>
              <w:rPr>
                <w:sz w:val="20"/>
                <w:szCs w:val="20"/>
              </w:rPr>
              <w:t xml:space="preserve"> for PSA</w:t>
            </w:r>
          </w:p>
        </w:tc>
        <w:tc>
          <w:tcPr>
            <w:tcW w:w="1020" w:type="dxa"/>
            <w:tcBorders>
              <w:top w:val="single" w:sz="4" w:space="0" w:color="auto"/>
              <w:bottom w:val="single" w:sz="4" w:space="0" w:color="auto"/>
            </w:tcBorders>
          </w:tcPr>
          <w:p w:rsidR="001E0494" w:rsidRPr="000B47E1" w:rsidRDefault="001E0494" w:rsidP="003F25DC">
            <w:pPr>
              <w:spacing w:line="276" w:lineRule="auto"/>
              <w:rPr>
                <w:sz w:val="20"/>
                <w:szCs w:val="20"/>
              </w:rPr>
            </w:pPr>
            <w:r>
              <w:rPr>
                <w:sz w:val="20"/>
                <w:szCs w:val="20"/>
              </w:rPr>
              <w:t>Univariate SA</w:t>
            </w:r>
          </w:p>
        </w:tc>
        <w:tc>
          <w:tcPr>
            <w:tcW w:w="2574" w:type="dxa"/>
            <w:tcBorders>
              <w:top w:val="single" w:sz="4" w:space="0" w:color="auto"/>
              <w:bottom w:val="single" w:sz="4" w:space="0" w:color="auto"/>
            </w:tcBorders>
          </w:tcPr>
          <w:p w:rsidR="001E0494" w:rsidRPr="000B47E1" w:rsidRDefault="001E0494" w:rsidP="003F25DC">
            <w:pPr>
              <w:spacing w:line="276" w:lineRule="auto"/>
              <w:rPr>
                <w:sz w:val="20"/>
                <w:szCs w:val="20"/>
              </w:rPr>
            </w:pPr>
            <w:r w:rsidRPr="000B47E1">
              <w:rPr>
                <w:sz w:val="20"/>
                <w:szCs w:val="20"/>
              </w:rPr>
              <w:t>Reference</w:t>
            </w:r>
            <w:r>
              <w:rPr>
                <w:sz w:val="20"/>
                <w:szCs w:val="20"/>
              </w:rPr>
              <w:t xml:space="preserve"> / notes</w:t>
            </w:r>
          </w:p>
        </w:tc>
      </w:tr>
      <w:tr w:rsidR="001E0494" w:rsidTr="009A59DD">
        <w:tc>
          <w:tcPr>
            <w:tcW w:w="2071" w:type="dxa"/>
            <w:tcBorders>
              <w:top w:val="single" w:sz="4" w:space="0" w:color="auto"/>
            </w:tcBorders>
          </w:tcPr>
          <w:p w:rsidR="001E0494" w:rsidRPr="000B47E1" w:rsidRDefault="001E0494" w:rsidP="003F25DC">
            <w:pPr>
              <w:spacing w:line="276" w:lineRule="auto"/>
              <w:rPr>
                <w:i/>
                <w:sz w:val="20"/>
                <w:szCs w:val="20"/>
              </w:rPr>
            </w:pPr>
            <w:r w:rsidRPr="000B47E1">
              <w:rPr>
                <w:i/>
                <w:sz w:val="20"/>
                <w:szCs w:val="20"/>
              </w:rPr>
              <w:t>Vaccination costs</w:t>
            </w:r>
          </w:p>
        </w:tc>
        <w:tc>
          <w:tcPr>
            <w:tcW w:w="1305" w:type="dxa"/>
            <w:tcBorders>
              <w:top w:val="single" w:sz="4" w:space="0" w:color="auto"/>
            </w:tcBorders>
          </w:tcPr>
          <w:p w:rsidR="001E0494" w:rsidRPr="000B47E1" w:rsidRDefault="001E0494" w:rsidP="003F25DC">
            <w:pPr>
              <w:spacing w:line="276" w:lineRule="auto"/>
              <w:rPr>
                <w:sz w:val="20"/>
                <w:szCs w:val="20"/>
              </w:rPr>
            </w:pPr>
          </w:p>
        </w:tc>
        <w:tc>
          <w:tcPr>
            <w:tcW w:w="959" w:type="dxa"/>
            <w:tcBorders>
              <w:top w:val="single" w:sz="4" w:space="0" w:color="auto"/>
            </w:tcBorders>
          </w:tcPr>
          <w:p w:rsidR="001E0494" w:rsidRPr="000B47E1" w:rsidRDefault="001E0494" w:rsidP="003F25DC">
            <w:pPr>
              <w:spacing w:line="276" w:lineRule="auto"/>
              <w:rPr>
                <w:sz w:val="20"/>
                <w:szCs w:val="20"/>
              </w:rPr>
            </w:pPr>
          </w:p>
        </w:tc>
        <w:tc>
          <w:tcPr>
            <w:tcW w:w="1228" w:type="dxa"/>
            <w:tcBorders>
              <w:top w:val="single" w:sz="4" w:space="0" w:color="auto"/>
            </w:tcBorders>
          </w:tcPr>
          <w:p w:rsidR="001E0494" w:rsidRPr="000B47E1" w:rsidRDefault="001E0494" w:rsidP="003F25DC">
            <w:pPr>
              <w:spacing w:line="276" w:lineRule="auto"/>
              <w:rPr>
                <w:sz w:val="20"/>
                <w:szCs w:val="20"/>
              </w:rPr>
            </w:pPr>
          </w:p>
        </w:tc>
        <w:tc>
          <w:tcPr>
            <w:tcW w:w="1020" w:type="dxa"/>
            <w:tcBorders>
              <w:top w:val="single" w:sz="4" w:space="0" w:color="auto"/>
            </w:tcBorders>
          </w:tcPr>
          <w:p w:rsidR="001E0494" w:rsidRPr="000B47E1" w:rsidRDefault="001E0494" w:rsidP="003F25DC">
            <w:pPr>
              <w:spacing w:line="276" w:lineRule="auto"/>
              <w:rPr>
                <w:sz w:val="20"/>
                <w:szCs w:val="20"/>
              </w:rPr>
            </w:pPr>
          </w:p>
        </w:tc>
        <w:tc>
          <w:tcPr>
            <w:tcW w:w="2574" w:type="dxa"/>
            <w:tcBorders>
              <w:top w:val="single" w:sz="4" w:space="0" w:color="auto"/>
            </w:tcBorders>
          </w:tcPr>
          <w:p w:rsidR="001E0494" w:rsidRPr="000B47E1" w:rsidRDefault="001E0494" w:rsidP="003F25DC">
            <w:pPr>
              <w:spacing w:line="276" w:lineRule="auto"/>
              <w:rPr>
                <w:sz w:val="20"/>
                <w:szCs w:val="20"/>
              </w:rPr>
            </w:pPr>
          </w:p>
        </w:tc>
      </w:tr>
      <w:tr w:rsidR="001E0494" w:rsidRPr="00AA3EC7" w:rsidTr="009A59DD">
        <w:tc>
          <w:tcPr>
            <w:tcW w:w="2071" w:type="dxa"/>
          </w:tcPr>
          <w:p w:rsidR="001E0494" w:rsidRPr="000B47E1" w:rsidRDefault="001E0494" w:rsidP="003F25DC">
            <w:pPr>
              <w:spacing w:line="276" w:lineRule="auto"/>
              <w:rPr>
                <w:sz w:val="20"/>
                <w:szCs w:val="20"/>
              </w:rPr>
            </w:pPr>
            <w:r>
              <w:rPr>
                <w:sz w:val="20"/>
                <w:szCs w:val="20"/>
              </w:rPr>
              <w:t>Q-LAIV</w:t>
            </w:r>
            <w:r w:rsidRPr="000B47E1">
              <w:rPr>
                <w:sz w:val="20"/>
                <w:szCs w:val="20"/>
              </w:rPr>
              <w:t xml:space="preserve"> per dose</w:t>
            </w:r>
          </w:p>
        </w:tc>
        <w:tc>
          <w:tcPr>
            <w:tcW w:w="1305" w:type="dxa"/>
          </w:tcPr>
          <w:p w:rsidR="001E0494" w:rsidRPr="000B47E1" w:rsidRDefault="001E0494" w:rsidP="003F25DC">
            <w:pPr>
              <w:spacing w:line="276" w:lineRule="auto"/>
              <w:jc w:val="right"/>
              <w:rPr>
                <w:sz w:val="20"/>
                <w:szCs w:val="20"/>
              </w:rPr>
            </w:pPr>
            <w:r>
              <w:rPr>
                <w:sz w:val="20"/>
                <w:szCs w:val="20"/>
              </w:rPr>
              <w:t>€</w:t>
            </w:r>
            <w:r w:rsidRPr="000B47E1">
              <w:rPr>
                <w:sz w:val="20"/>
                <w:szCs w:val="20"/>
              </w:rPr>
              <w:t>3.59</w:t>
            </w:r>
          </w:p>
        </w:tc>
        <w:tc>
          <w:tcPr>
            <w:tcW w:w="959" w:type="dxa"/>
          </w:tcPr>
          <w:p w:rsidR="001E0494" w:rsidRPr="000B47E1" w:rsidRDefault="001E0494" w:rsidP="003F25DC">
            <w:pPr>
              <w:spacing w:line="276" w:lineRule="auto"/>
              <w:rPr>
                <w:sz w:val="20"/>
                <w:szCs w:val="20"/>
              </w:rPr>
            </w:pPr>
          </w:p>
        </w:tc>
        <w:tc>
          <w:tcPr>
            <w:tcW w:w="1228" w:type="dxa"/>
          </w:tcPr>
          <w:p w:rsidR="001E0494" w:rsidRPr="000B47E1" w:rsidRDefault="001E0494" w:rsidP="003F25DC">
            <w:pPr>
              <w:spacing w:line="276" w:lineRule="auto"/>
              <w:rPr>
                <w:sz w:val="20"/>
                <w:szCs w:val="20"/>
              </w:rPr>
            </w:pPr>
          </w:p>
        </w:tc>
        <w:tc>
          <w:tcPr>
            <w:tcW w:w="1020" w:type="dxa"/>
          </w:tcPr>
          <w:p w:rsidR="001E0494" w:rsidRPr="00AA3EC7" w:rsidRDefault="001E0494" w:rsidP="00D25242">
            <w:pPr>
              <w:spacing w:line="276" w:lineRule="auto"/>
              <w:rPr>
                <w:sz w:val="20"/>
                <w:szCs w:val="20"/>
                <w:lang w:val="en-US"/>
              </w:rPr>
            </w:pPr>
            <w:r>
              <w:rPr>
                <w:sz w:val="20"/>
                <w:szCs w:val="20"/>
                <w:lang w:val="en-US"/>
              </w:rPr>
              <w:t>€10.71; €19.32</w:t>
            </w:r>
          </w:p>
        </w:tc>
        <w:tc>
          <w:tcPr>
            <w:tcW w:w="2574" w:type="dxa"/>
          </w:tcPr>
          <w:p w:rsidR="001E0494" w:rsidRPr="00AA3EC7" w:rsidRDefault="001E0494" w:rsidP="00FE70C7">
            <w:pPr>
              <w:spacing w:line="276" w:lineRule="auto"/>
              <w:rPr>
                <w:sz w:val="20"/>
                <w:szCs w:val="20"/>
                <w:lang w:val="en-US"/>
              </w:rPr>
            </w:pPr>
            <w:r w:rsidRPr="00AA3EC7">
              <w:rPr>
                <w:sz w:val="20"/>
                <w:szCs w:val="20"/>
                <w:lang w:val="en-US"/>
              </w:rPr>
              <w:t>Tendered TIV price</w:t>
            </w:r>
            <w:r>
              <w:rPr>
                <w:sz w:val="20"/>
                <w:szCs w:val="20"/>
                <w:lang w:val="en-US"/>
              </w:rPr>
              <w:t xml:space="preserve"> in the Netherlands</w:t>
            </w:r>
            <w:r w:rsidRPr="00AA3EC7">
              <w:rPr>
                <w:sz w:val="20"/>
                <w:szCs w:val="20"/>
                <w:lang w:val="en-US"/>
              </w:rPr>
              <w:t xml:space="preserve"> </w:t>
            </w:r>
            <w:r w:rsidR="00FE70C7">
              <w:rPr>
                <w:noProof/>
                <w:sz w:val="20"/>
                <w:szCs w:val="20"/>
                <w:lang w:val="en-US"/>
              </w:rPr>
              <w:t>[28]</w:t>
            </w:r>
            <w:r w:rsidR="00AA684C">
              <w:rPr>
                <w:sz w:val="20"/>
                <w:szCs w:val="20"/>
                <w:lang w:val="en-US"/>
              </w:rPr>
              <w:t xml:space="preserve">; In the univariate SA we used the list price of TIV </w:t>
            </w:r>
            <w:r w:rsidR="00FE70C7">
              <w:rPr>
                <w:noProof/>
                <w:sz w:val="20"/>
              </w:rPr>
              <w:t>[25]</w:t>
            </w:r>
            <w:r w:rsidR="00AA684C">
              <w:rPr>
                <w:sz w:val="20"/>
                <w:szCs w:val="20"/>
                <w:lang w:val="en-US"/>
              </w:rPr>
              <w:t xml:space="preserve">and the Q-LAIV price of the US CDC </w:t>
            </w:r>
            <w:r w:rsidR="00FE70C7">
              <w:rPr>
                <w:noProof/>
                <w:sz w:val="20"/>
              </w:rPr>
              <w:t>[26]</w:t>
            </w:r>
            <w:r w:rsidR="00AA684C">
              <w:rPr>
                <w:sz w:val="20"/>
                <w:szCs w:val="20"/>
                <w:lang w:val="en-US"/>
              </w:rPr>
              <w:t>.</w:t>
            </w:r>
          </w:p>
        </w:tc>
      </w:tr>
      <w:tr w:rsidR="001E0494" w:rsidRPr="008F1D67" w:rsidTr="009A59DD">
        <w:tc>
          <w:tcPr>
            <w:tcW w:w="2071" w:type="dxa"/>
          </w:tcPr>
          <w:p w:rsidR="001E0494" w:rsidRPr="000B47E1" w:rsidRDefault="001E0494" w:rsidP="0038167D">
            <w:pPr>
              <w:spacing w:line="276" w:lineRule="auto"/>
              <w:rPr>
                <w:sz w:val="20"/>
                <w:szCs w:val="20"/>
              </w:rPr>
            </w:pPr>
            <w:r w:rsidRPr="000B47E1">
              <w:rPr>
                <w:sz w:val="20"/>
                <w:szCs w:val="20"/>
              </w:rPr>
              <w:t>Administration per dose</w:t>
            </w:r>
          </w:p>
        </w:tc>
        <w:tc>
          <w:tcPr>
            <w:tcW w:w="1305" w:type="dxa"/>
          </w:tcPr>
          <w:p w:rsidR="001E0494" w:rsidRPr="000B47E1" w:rsidRDefault="001E0494" w:rsidP="003F25DC">
            <w:pPr>
              <w:spacing w:line="276" w:lineRule="auto"/>
              <w:jc w:val="right"/>
              <w:rPr>
                <w:sz w:val="20"/>
                <w:szCs w:val="20"/>
              </w:rPr>
            </w:pPr>
            <w:r>
              <w:rPr>
                <w:sz w:val="20"/>
                <w:szCs w:val="20"/>
              </w:rPr>
              <w:t>€</w:t>
            </w:r>
            <w:r w:rsidRPr="000B47E1">
              <w:rPr>
                <w:sz w:val="20"/>
                <w:szCs w:val="20"/>
              </w:rPr>
              <w:t>11.36</w:t>
            </w:r>
          </w:p>
        </w:tc>
        <w:tc>
          <w:tcPr>
            <w:tcW w:w="959" w:type="dxa"/>
          </w:tcPr>
          <w:p w:rsidR="001E0494" w:rsidRPr="000B47E1" w:rsidRDefault="001E0494" w:rsidP="003F25DC">
            <w:pPr>
              <w:spacing w:line="276" w:lineRule="auto"/>
              <w:rPr>
                <w:sz w:val="20"/>
                <w:szCs w:val="20"/>
              </w:rPr>
            </w:pPr>
          </w:p>
        </w:tc>
        <w:tc>
          <w:tcPr>
            <w:tcW w:w="1228" w:type="dxa"/>
          </w:tcPr>
          <w:p w:rsidR="001E0494" w:rsidRPr="000B47E1" w:rsidRDefault="001E0494" w:rsidP="003F25DC">
            <w:pPr>
              <w:spacing w:line="276" w:lineRule="auto"/>
              <w:rPr>
                <w:sz w:val="20"/>
                <w:szCs w:val="20"/>
              </w:rPr>
            </w:pPr>
          </w:p>
        </w:tc>
        <w:tc>
          <w:tcPr>
            <w:tcW w:w="1020" w:type="dxa"/>
          </w:tcPr>
          <w:p w:rsidR="001E0494" w:rsidRPr="006F46D1" w:rsidRDefault="001E0494" w:rsidP="00D25242">
            <w:pPr>
              <w:spacing w:line="276" w:lineRule="auto"/>
              <w:rPr>
                <w:sz w:val="20"/>
                <w:szCs w:val="20"/>
                <w:lang w:val="nl-NL"/>
              </w:rPr>
            </w:pPr>
          </w:p>
        </w:tc>
        <w:tc>
          <w:tcPr>
            <w:tcW w:w="2574" w:type="dxa"/>
          </w:tcPr>
          <w:p w:rsidR="001E0494" w:rsidRPr="006F46D1" w:rsidRDefault="001E0494" w:rsidP="00FE70C7">
            <w:pPr>
              <w:spacing w:line="276" w:lineRule="auto"/>
              <w:rPr>
                <w:sz w:val="20"/>
                <w:szCs w:val="20"/>
                <w:lang w:val="nl-NL"/>
              </w:rPr>
            </w:pPr>
            <w:r w:rsidRPr="006F46D1">
              <w:rPr>
                <w:sz w:val="20"/>
                <w:szCs w:val="20"/>
                <w:lang w:val="nl-NL"/>
              </w:rPr>
              <w:t xml:space="preserve">SNPG, 2017 </w:t>
            </w:r>
            <w:r w:rsidR="00FE70C7">
              <w:rPr>
                <w:noProof/>
                <w:sz w:val="20"/>
                <w:szCs w:val="20"/>
                <w:lang w:val="nl-NL"/>
              </w:rPr>
              <w:t>[29]</w:t>
            </w:r>
          </w:p>
        </w:tc>
      </w:tr>
      <w:tr w:rsidR="001E0494" w:rsidTr="009A59DD">
        <w:tc>
          <w:tcPr>
            <w:tcW w:w="2071" w:type="dxa"/>
          </w:tcPr>
          <w:p w:rsidR="001E0494" w:rsidRPr="000B47E1" w:rsidRDefault="001E0494" w:rsidP="003F25DC">
            <w:pPr>
              <w:spacing w:line="276" w:lineRule="auto"/>
              <w:rPr>
                <w:sz w:val="20"/>
                <w:szCs w:val="20"/>
              </w:rPr>
            </w:pPr>
            <w:r w:rsidRPr="000B47E1">
              <w:rPr>
                <w:i/>
                <w:sz w:val="20"/>
                <w:szCs w:val="20"/>
              </w:rPr>
              <w:t>Direct healthcare costs</w:t>
            </w:r>
          </w:p>
        </w:tc>
        <w:tc>
          <w:tcPr>
            <w:tcW w:w="1305" w:type="dxa"/>
          </w:tcPr>
          <w:p w:rsidR="001E0494" w:rsidRPr="000B47E1" w:rsidRDefault="001E0494" w:rsidP="003F25DC">
            <w:pPr>
              <w:spacing w:line="276" w:lineRule="auto"/>
              <w:rPr>
                <w:sz w:val="20"/>
                <w:szCs w:val="20"/>
              </w:rPr>
            </w:pPr>
          </w:p>
        </w:tc>
        <w:tc>
          <w:tcPr>
            <w:tcW w:w="959" w:type="dxa"/>
          </w:tcPr>
          <w:p w:rsidR="001E0494" w:rsidRPr="000B47E1" w:rsidRDefault="001E0494" w:rsidP="003F25DC">
            <w:pPr>
              <w:spacing w:line="276" w:lineRule="auto"/>
              <w:rPr>
                <w:sz w:val="20"/>
                <w:szCs w:val="20"/>
              </w:rPr>
            </w:pPr>
          </w:p>
        </w:tc>
        <w:tc>
          <w:tcPr>
            <w:tcW w:w="1228" w:type="dxa"/>
          </w:tcPr>
          <w:p w:rsidR="001E0494" w:rsidRPr="000B47E1" w:rsidRDefault="001E0494" w:rsidP="003F25DC">
            <w:pPr>
              <w:spacing w:line="276" w:lineRule="auto"/>
              <w:rPr>
                <w:sz w:val="20"/>
                <w:szCs w:val="20"/>
              </w:rPr>
            </w:pPr>
          </w:p>
        </w:tc>
        <w:tc>
          <w:tcPr>
            <w:tcW w:w="1020" w:type="dxa"/>
          </w:tcPr>
          <w:p w:rsidR="001E0494" w:rsidRPr="000B47E1" w:rsidRDefault="001E0494" w:rsidP="003F25DC">
            <w:pPr>
              <w:spacing w:line="276" w:lineRule="auto"/>
              <w:rPr>
                <w:sz w:val="20"/>
                <w:szCs w:val="20"/>
              </w:rPr>
            </w:pPr>
          </w:p>
        </w:tc>
        <w:tc>
          <w:tcPr>
            <w:tcW w:w="2574" w:type="dxa"/>
          </w:tcPr>
          <w:p w:rsidR="001E0494" w:rsidRPr="000B47E1" w:rsidRDefault="001E0494" w:rsidP="003F25DC">
            <w:pPr>
              <w:spacing w:line="276" w:lineRule="auto"/>
              <w:rPr>
                <w:sz w:val="20"/>
                <w:szCs w:val="20"/>
              </w:rPr>
            </w:pPr>
          </w:p>
        </w:tc>
      </w:tr>
      <w:tr w:rsidR="001E0494" w:rsidTr="009A59DD">
        <w:tc>
          <w:tcPr>
            <w:tcW w:w="2071" w:type="dxa"/>
          </w:tcPr>
          <w:p w:rsidR="001E0494" w:rsidRPr="000B47E1" w:rsidRDefault="001E0494" w:rsidP="003F25DC">
            <w:pPr>
              <w:spacing w:line="276" w:lineRule="auto"/>
              <w:rPr>
                <w:sz w:val="20"/>
                <w:szCs w:val="20"/>
              </w:rPr>
            </w:pPr>
            <w:r w:rsidRPr="000B47E1">
              <w:rPr>
                <w:sz w:val="20"/>
                <w:szCs w:val="20"/>
              </w:rPr>
              <w:t>GP visit (€)</w:t>
            </w:r>
          </w:p>
        </w:tc>
        <w:tc>
          <w:tcPr>
            <w:tcW w:w="1305" w:type="dxa"/>
          </w:tcPr>
          <w:p w:rsidR="001E0494" w:rsidRPr="000B47E1" w:rsidRDefault="001E0494" w:rsidP="003F25DC">
            <w:pPr>
              <w:spacing w:line="276" w:lineRule="auto"/>
              <w:rPr>
                <w:sz w:val="20"/>
                <w:szCs w:val="20"/>
              </w:rPr>
            </w:pPr>
          </w:p>
        </w:tc>
        <w:tc>
          <w:tcPr>
            <w:tcW w:w="959" w:type="dxa"/>
          </w:tcPr>
          <w:p w:rsidR="001E0494" w:rsidRPr="000B47E1" w:rsidRDefault="001E0494" w:rsidP="003F25DC">
            <w:pPr>
              <w:spacing w:line="276" w:lineRule="auto"/>
              <w:rPr>
                <w:sz w:val="20"/>
                <w:szCs w:val="20"/>
              </w:rPr>
            </w:pPr>
          </w:p>
        </w:tc>
        <w:tc>
          <w:tcPr>
            <w:tcW w:w="1228" w:type="dxa"/>
          </w:tcPr>
          <w:p w:rsidR="001E0494" w:rsidRPr="000B47E1" w:rsidRDefault="001E0494" w:rsidP="003F25DC">
            <w:pPr>
              <w:spacing w:line="276" w:lineRule="auto"/>
              <w:rPr>
                <w:sz w:val="20"/>
                <w:szCs w:val="20"/>
              </w:rPr>
            </w:pPr>
          </w:p>
        </w:tc>
        <w:tc>
          <w:tcPr>
            <w:tcW w:w="1020" w:type="dxa"/>
          </w:tcPr>
          <w:p w:rsidR="001E0494" w:rsidRPr="000B47E1" w:rsidRDefault="001E0494" w:rsidP="003F25DC">
            <w:pPr>
              <w:spacing w:line="276" w:lineRule="auto"/>
              <w:rPr>
                <w:sz w:val="20"/>
                <w:szCs w:val="20"/>
              </w:rPr>
            </w:pPr>
          </w:p>
        </w:tc>
        <w:tc>
          <w:tcPr>
            <w:tcW w:w="2574" w:type="dxa"/>
          </w:tcPr>
          <w:p w:rsidR="001E0494" w:rsidRPr="000B47E1" w:rsidRDefault="001E0494" w:rsidP="003F25DC">
            <w:pPr>
              <w:spacing w:line="276" w:lineRule="auto"/>
              <w:rPr>
                <w:sz w:val="20"/>
                <w:szCs w:val="20"/>
              </w:rPr>
            </w:pPr>
          </w:p>
        </w:tc>
      </w:tr>
      <w:tr w:rsidR="001E0494" w:rsidRPr="008F1D67" w:rsidTr="009A59DD">
        <w:tc>
          <w:tcPr>
            <w:tcW w:w="2071" w:type="dxa"/>
          </w:tcPr>
          <w:p w:rsidR="001E0494" w:rsidRPr="000B47E1" w:rsidRDefault="001E0494" w:rsidP="003F25DC">
            <w:pPr>
              <w:spacing w:line="276" w:lineRule="auto"/>
              <w:rPr>
                <w:sz w:val="20"/>
                <w:szCs w:val="20"/>
              </w:rPr>
            </w:pPr>
            <w:r w:rsidRPr="000B47E1">
              <w:rPr>
                <w:sz w:val="20"/>
                <w:szCs w:val="20"/>
              </w:rPr>
              <w:t xml:space="preserve">   0-17y</w:t>
            </w:r>
          </w:p>
        </w:tc>
        <w:tc>
          <w:tcPr>
            <w:tcW w:w="1305" w:type="dxa"/>
          </w:tcPr>
          <w:p w:rsidR="001E0494" w:rsidRPr="000B47E1" w:rsidRDefault="001E0494" w:rsidP="003F25DC">
            <w:pPr>
              <w:spacing w:line="276" w:lineRule="auto"/>
              <w:jc w:val="right"/>
              <w:rPr>
                <w:sz w:val="20"/>
                <w:szCs w:val="20"/>
              </w:rPr>
            </w:pPr>
            <w:r>
              <w:rPr>
                <w:sz w:val="20"/>
                <w:szCs w:val="20"/>
              </w:rPr>
              <w:t>€</w:t>
            </w:r>
            <w:r w:rsidRPr="000B47E1">
              <w:rPr>
                <w:sz w:val="20"/>
                <w:szCs w:val="20"/>
              </w:rPr>
              <w:t>52.20</w:t>
            </w:r>
          </w:p>
        </w:tc>
        <w:tc>
          <w:tcPr>
            <w:tcW w:w="959" w:type="dxa"/>
          </w:tcPr>
          <w:p w:rsidR="001E0494" w:rsidRPr="000B47E1" w:rsidRDefault="001E0494" w:rsidP="003F25DC">
            <w:pPr>
              <w:spacing w:line="276" w:lineRule="auto"/>
              <w:jc w:val="right"/>
              <w:rPr>
                <w:sz w:val="20"/>
                <w:szCs w:val="20"/>
              </w:rPr>
            </w:pPr>
            <w:r w:rsidRPr="000B47E1">
              <w:rPr>
                <w:sz w:val="20"/>
                <w:szCs w:val="20"/>
              </w:rPr>
              <w:t>1.54</w:t>
            </w:r>
          </w:p>
        </w:tc>
        <w:tc>
          <w:tcPr>
            <w:tcW w:w="1228" w:type="dxa"/>
          </w:tcPr>
          <w:p w:rsidR="001E0494" w:rsidRPr="000B47E1" w:rsidRDefault="001E0494" w:rsidP="003F25DC">
            <w:pPr>
              <w:spacing w:line="276" w:lineRule="auto"/>
              <w:rPr>
                <w:sz w:val="20"/>
                <w:szCs w:val="20"/>
              </w:rPr>
            </w:pPr>
            <w:r w:rsidRPr="000B47E1">
              <w:rPr>
                <w:sz w:val="20"/>
                <w:szCs w:val="20"/>
              </w:rPr>
              <w:t>Normal</w:t>
            </w:r>
          </w:p>
        </w:tc>
        <w:tc>
          <w:tcPr>
            <w:tcW w:w="1020" w:type="dxa"/>
          </w:tcPr>
          <w:p w:rsidR="001E0494" w:rsidRPr="006C4659" w:rsidRDefault="001E0494" w:rsidP="00D25242">
            <w:pPr>
              <w:spacing w:line="276" w:lineRule="auto"/>
              <w:rPr>
                <w:sz w:val="20"/>
                <w:szCs w:val="20"/>
                <w:lang w:val="nl-NL"/>
              </w:rPr>
            </w:pPr>
          </w:p>
        </w:tc>
        <w:tc>
          <w:tcPr>
            <w:tcW w:w="2574" w:type="dxa"/>
          </w:tcPr>
          <w:p w:rsidR="001E0494" w:rsidRPr="006C4659" w:rsidRDefault="001E0494" w:rsidP="00FE70C7">
            <w:pPr>
              <w:spacing w:line="276" w:lineRule="auto"/>
              <w:rPr>
                <w:sz w:val="20"/>
                <w:szCs w:val="20"/>
                <w:lang w:val="nl-NL"/>
              </w:rPr>
            </w:pPr>
            <w:proofErr w:type="spellStart"/>
            <w:r w:rsidRPr="006C4659">
              <w:rPr>
                <w:sz w:val="20"/>
                <w:szCs w:val="20"/>
                <w:lang w:val="nl-NL"/>
              </w:rPr>
              <w:t>Enserink</w:t>
            </w:r>
            <w:proofErr w:type="spellEnd"/>
            <w:r w:rsidRPr="006C4659">
              <w:rPr>
                <w:sz w:val="20"/>
                <w:szCs w:val="20"/>
                <w:lang w:val="nl-NL"/>
              </w:rPr>
              <w:t xml:space="preserve">, 2014 </w:t>
            </w:r>
            <w:r w:rsidR="00FE70C7">
              <w:rPr>
                <w:noProof/>
                <w:sz w:val="20"/>
                <w:szCs w:val="20"/>
              </w:rPr>
              <w:t>[13]</w:t>
            </w:r>
          </w:p>
        </w:tc>
      </w:tr>
      <w:tr w:rsidR="001E0494" w:rsidRPr="008F1D67" w:rsidTr="009A59DD">
        <w:tc>
          <w:tcPr>
            <w:tcW w:w="2071" w:type="dxa"/>
          </w:tcPr>
          <w:p w:rsidR="001E0494" w:rsidRPr="000B47E1" w:rsidRDefault="001E0494" w:rsidP="003F25DC">
            <w:pPr>
              <w:spacing w:line="276" w:lineRule="auto"/>
              <w:rPr>
                <w:sz w:val="20"/>
                <w:szCs w:val="20"/>
              </w:rPr>
            </w:pPr>
            <w:r w:rsidRPr="006C4659">
              <w:rPr>
                <w:sz w:val="20"/>
                <w:szCs w:val="20"/>
                <w:lang w:val="nl-NL"/>
              </w:rPr>
              <w:t xml:space="preserve">   </w:t>
            </w:r>
            <w:r w:rsidRPr="000B47E1">
              <w:rPr>
                <w:sz w:val="20"/>
                <w:szCs w:val="20"/>
              </w:rPr>
              <w:t>≥18y</w:t>
            </w:r>
          </w:p>
        </w:tc>
        <w:tc>
          <w:tcPr>
            <w:tcW w:w="1305" w:type="dxa"/>
          </w:tcPr>
          <w:p w:rsidR="001E0494" w:rsidRPr="000B47E1" w:rsidRDefault="001E0494" w:rsidP="003F25DC">
            <w:pPr>
              <w:spacing w:line="276" w:lineRule="auto"/>
              <w:jc w:val="right"/>
              <w:rPr>
                <w:sz w:val="20"/>
                <w:szCs w:val="20"/>
              </w:rPr>
            </w:pPr>
            <w:r>
              <w:rPr>
                <w:sz w:val="20"/>
                <w:szCs w:val="20"/>
              </w:rPr>
              <w:t>€</w:t>
            </w:r>
            <w:r w:rsidRPr="000B47E1">
              <w:rPr>
                <w:sz w:val="20"/>
                <w:szCs w:val="20"/>
              </w:rPr>
              <w:t>82.86</w:t>
            </w:r>
          </w:p>
        </w:tc>
        <w:tc>
          <w:tcPr>
            <w:tcW w:w="959" w:type="dxa"/>
          </w:tcPr>
          <w:p w:rsidR="001E0494" w:rsidRPr="000B47E1" w:rsidRDefault="001E0494" w:rsidP="003F25DC">
            <w:pPr>
              <w:spacing w:line="276" w:lineRule="auto"/>
              <w:jc w:val="right"/>
              <w:rPr>
                <w:sz w:val="20"/>
                <w:szCs w:val="20"/>
              </w:rPr>
            </w:pPr>
            <w:r w:rsidRPr="000B47E1">
              <w:rPr>
                <w:sz w:val="20"/>
                <w:szCs w:val="20"/>
              </w:rPr>
              <w:t>2.69</w:t>
            </w:r>
          </w:p>
        </w:tc>
        <w:tc>
          <w:tcPr>
            <w:tcW w:w="1228" w:type="dxa"/>
          </w:tcPr>
          <w:p w:rsidR="001E0494" w:rsidRPr="000B47E1" w:rsidRDefault="001E0494" w:rsidP="003F25DC">
            <w:pPr>
              <w:spacing w:line="276" w:lineRule="auto"/>
              <w:rPr>
                <w:sz w:val="20"/>
                <w:szCs w:val="20"/>
              </w:rPr>
            </w:pPr>
            <w:r>
              <w:rPr>
                <w:sz w:val="20"/>
                <w:szCs w:val="20"/>
              </w:rPr>
              <w:t>Normal</w:t>
            </w:r>
          </w:p>
        </w:tc>
        <w:tc>
          <w:tcPr>
            <w:tcW w:w="1020" w:type="dxa"/>
          </w:tcPr>
          <w:p w:rsidR="001E0494" w:rsidRPr="006C4659" w:rsidRDefault="001E0494" w:rsidP="00D25242">
            <w:pPr>
              <w:spacing w:line="276" w:lineRule="auto"/>
              <w:rPr>
                <w:sz w:val="20"/>
                <w:szCs w:val="20"/>
                <w:lang w:val="nl-NL"/>
              </w:rPr>
            </w:pPr>
          </w:p>
        </w:tc>
        <w:tc>
          <w:tcPr>
            <w:tcW w:w="2574" w:type="dxa"/>
          </w:tcPr>
          <w:p w:rsidR="001E0494" w:rsidRPr="006C4659" w:rsidRDefault="001E0494" w:rsidP="00FE70C7">
            <w:pPr>
              <w:spacing w:line="276" w:lineRule="auto"/>
              <w:rPr>
                <w:sz w:val="20"/>
                <w:szCs w:val="20"/>
                <w:lang w:val="nl-NL"/>
              </w:rPr>
            </w:pPr>
            <w:proofErr w:type="spellStart"/>
            <w:r w:rsidRPr="006C4659">
              <w:rPr>
                <w:sz w:val="20"/>
                <w:szCs w:val="20"/>
                <w:lang w:val="nl-NL"/>
              </w:rPr>
              <w:t>Mangen</w:t>
            </w:r>
            <w:proofErr w:type="spellEnd"/>
            <w:r w:rsidRPr="006C4659">
              <w:rPr>
                <w:sz w:val="20"/>
                <w:szCs w:val="20"/>
                <w:lang w:val="nl-NL"/>
              </w:rPr>
              <w:t xml:space="preserve">, 2015 </w:t>
            </w:r>
            <w:r w:rsidR="00FE70C7">
              <w:rPr>
                <w:noProof/>
                <w:sz w:val="20"/>
                <w:szCs w:val="20"/>
              </w:rPr>
              <w:t>[10]</w:t>
            </w:r>
          </w:p>
        </w:tc>
      </w:tr>
      <w:tr w:rsidR="001E0494" w:rsidRPr="008F1D67" w:rsidTr="009A59DD">
        <w:tc>
          <w:tcPr>
            <w:tcW w:w="2071" w:type="dxa"/>
          </w:tcPr>
          <w:p w:rsidR="001E0494" w:rsidRPr="000B47E1" w:rsidRDefault="001E0494" w:rsidP="003F25DC">
            <w:pPr>
              <w:spacing w:line="276" w:lineRule="auto"/>
              <w:rPr>
                <w:sz w:val="20"/>
                <w:szCs w:val="20"/>
              </w:rPr>
            </w:pPr>
            <w:r w:rsidRPr="000B47E1">
              <w:rPr>
                <w:sz w:val="20"/>
                <w:szCs w:val="20"/>
              </w:rPr>
              <w:t>Hospitalization</w:t>
            </w:r>
          </w:p>
        </w:tc>
        <w:tc>
          <w:tcPr>
            <w:tcW w:w="1305" w:type="dxa"/>
          </w:tcPr>
          <w:p w:rsidR="001E0494" w:rsidRPr="000B47E1" w:rsidRDefault="001E0494" w:rsidP="0038167D">
            <w:pPr>
              <w:spacing w:line="276" w:lineRule="auto"/>
              <w:jc w:val="right"/>
              <w:rPr>
                <w:sz w:val="20"/>
                <w:szCs w:val="20"/>
              </w:rPr>
            </w:pPr>
            <w:r w:rsidRPr="000B47E1">
              <w:rPr>
                <w:sz w:val="20"/>
                <w:szCs w:val="20"/>
              </w:rPr>
              <w:t xml:space="preserve">LOS / </w:t>
            </w:r>
            <w:r>
              <w:rPr>
                <w:sz w:val="20"/>
                <w:szCs w:val="20"/>
              </w:rPr>
              <w:t>%</w:t>
            </w:r>
            <w:r w:rsidRPr="000B47E1">
              <w:rPr>
                <w:sz w:val="20"/>
                <w:szCs w:val="20"/>
              </w:rPr>
              <w:t xml:space="preserve"> of LOS on ICU</w:t>
            </w:r>
          </w:p>
        </w:tc>
        <w:tc>
          <w:tcPr>
            <w:tcW w:w="959" w:type="dxa"/>
          </w:tcPr>
          <w:p w:rsidR="001E0494" w:rsidRPr="000B47E1" w:rsidRDefault="001E0494" w:rsidP="003F25DC">
            <w:pPr>
              <w:spacing w:line="276" w:lineRule="auto"/>
              <w:rPr>
                <w:sz w:val="20"/>
                <w:szCs w:val="20"/>
              </w:rPr>
            </w:pPr>
          </w:p>
        </w:tc>
        <w:tc>
          <w:tcPr>
            <w:tcW w:w="1228" w:type="dxa"/>
          </w:tcPr>
          <w:p w:rsidR="001E0494" w:rsidRPr="000B47E1" w:rsidRDefault="001E0494" w:rsidP="003F25DC">
            <w:pPr>
              <w:spacing w:line="276" w:lineRule="auto"/>
              <w:rPr>
                <w:sz w:val="20"/>
                <w:szCs w:val="20"/>
              </w:rPr>
            </w:pPr>
          </w:p>
        </w:tc>
        <w:tc>
          <w:tcPr>
            <w:tcW w:w="1020" w:type="dxa"/>
          </w:tcPr>
          <w:p w:rsidR="001E0494" w:rsidRPr="006C4659" w:rsidRDefault="001E0494" w:rsidP="00D25242">
            <w:pPr>
              <w:spacing w:line="276" w:lineRule="auto"/>
              <w:rPr>
                <w:sz w:val="20"/>
                <w:szCs w:val="20"/>
                <w:lang w:val="nl-NL"/>
              </w:rPr>
            </w:pPr>
          </w:p>
        </w:tc>
        <w:tc>
          <w:tcPr>
            <w:tcW w:w="2574" w:type="dxa"/>
          </w:tcPr>
          <w:p w:rsidR="001E0494" w:rsidRPr="006C4659" w:rsidRDefault="001E0494" w:rsidP="00FE70C7">
            <w:pPr>
              <w:spacing w:line="276" w:lineRule="auto"/>
              <w:rPr>
                <w:sz w:val="20"/>
                <w:szCs w:val="20"/>
                <w:lang w:val="nl-NL"/>
              </w:rPr>
            </w:pPr>
            <w:proofErr w:type="spellStart"/>
            <w:r w:rsidRPr="006C4659">
              <w:rPr>
                <w:sz w:val="20"/>
                <w:szCs w:val="20"/>
                <w:lang w:val="nl-NL"/>
              </w:rPr>
              <w:t>Rozenbaum</w:t>
            </w:r>
            <w:proofErr w:type="spellEnd"/>
            <w:r w:rsidRPr="006C4659">
              <w:rPr>
                <w:sz w:val="20"/>
                <w:szCs w:val="20"/>
                <w:lang w:val="nl-NL"/>
              </w:rPr>
              <w:t xml:space="preserve">, 2015 </w:t>
            </w:r>
            <w:r w:rsidR="00FE70C7">
              <w:rPr>
                <w:noProof/>
                <w:sz w:val="20"/>
                <w:szCs w:val="20"/>
              </w:rPr>
              <w:t>[16]</w:t>
            </w:r>
          </w:p>
        </w:tc>
      </w:tr>
      <w:tr w:rsidR="001E0494" w:rsidTr="009A59DD">
        <w:tc>
          <w:tcPr>
            <w:tcW w:w="2071" w:type="dxa"/>
          </w:tcPr>
          <w:p w:rsidR="001E0494" w:rsidRPr="000B47E1" w:rsidRDefault="001E0494" w:rsidP="003F25DC">
            <w:pPr>
              <w:spacing w:line="276" w:lineRule="auto"/>
              <w:rPr>
                <w:sz w:val="20"/>
                <w:szCs w:val="20"/>
              </w:rPr>
            </w:pPr>
            <w:r w:rsidRPr="006C4659">
              <w:rPr>
                <w:sz w:val="20"/>
                <w:szCs w:val="20"/>
                <w:lang w:val="nl-NL"/>
              </w:rPr>
              <w:t xml:space="preserve">   </w:t>
            </w:r>
            <w:r w:rsidRPr="000B47E1">
              <w:rPr>
                <w:sz w:val="20"/>
                <w:szCs w:val="20"/>
              </w:rPr>
              <w:t>0-9y</w:t>
            </w:r>
          </w:p>
        </w:tc>
        <w:tc>
          <w:tcPr>
            <w:tcW w:w="1305" w:type="dxa"/>
          </w:tcPr>
          <w:p w:rsidR="001E0494" w:rsidRPr="000B47E1" w:rsidRDefault="001E0494" w:rsidP="003F25DC">
            <w:pPr>
              <w:spacing w:line="276" w:lineRule="auto"/>
              <w:jc w:val="right"/>
              <w:rPr>
                <w:sz w:val="20"/>
                <w:szCs w:val="20"/>
              </w:rPr>
            </w:pPr>
            <w:r w:rsidRPr="000B47E1">
              <w:rPr>
                <w:sz w:val="20"/>
                <w:szCs w:val="20"/>
              </w:rPr>
              <w:t>3.60/0.42%</w:t>
            </w:r>
          </w:p>
        </w:tc>
        <w:tc>
          <w:tcPr>
            <w:tcW w:w="959" w:type="dxa"/>
          </w:tcPr>
          <w:p w:rsidR="001E0494" w:rsidRPr="000B47E1" w:rsidRDefault="001E0494" w:rsidP="003F25DC">
            <w:pPr>
              <w:spacing w:line="276" w:lineRule="auto"/>
              <w:jc w:val="right"/>
              <w:rPr>
                <w:sz w:val="20"/>
                <w:szCs w:val="20"/>
              </w:rPr>
            </w:pPr>
            <w:r w:rsidRPr="000B47E1">
              <w:rPr>
                <w:sz w:val="20"/>
                <w:szCs w:val="20"/>
              </w:rPr>
              <w:t xml:space="preserve"> 0.03 / -</w:t>
            </w:r>
          </w:p>
        </w:tc>
        <w:tc>
          <w:tcPr>
            <w:tcW w:w="1228" w:type="dxa"/>
          </w:tcPr>
          <w:p w:rsidR="001E0494" w:rsidRPr="000B47E1" w:rsidRDefault="001E0494" w:rsidP="003F25DC">
            <w:pPr>
              <w:spacing w:line="276" w:lineRule="auto"/>
              <w:rPr>
                <w:sz w:val="20"/>
                <w:szCs w:val="20"/>
              </w:rPr>
            </w:pPr>
            <w:r w:rsidRPr="000B47E1">
              <w:rPr>
                <w:sz w:val="20"/>
                <w:szCs w:val="20"/>
              </w:rPr>
              <w:t>Normal</w:t>
            </w:r>
          </w:p>
        </w:tc>
        <w:tc>
          <w:tcPr>
            <w:tcW w:w="1020" w:type="dxa"/>
          </w:tcPr>
          <w:p w:rsidR="001E0494" w:rsidRPr="000B47E1" w:rsidRDefault="001E0494" w:rsidP="003F25DC">
            <w:pPr>
              <w:spacing w:line="276" w:lineRule="auto"/>
              <w:jc w:val="right"/>
              <w:rPr>
                <w:color w:val="000000"/>
                <w:sz w:val="20"/>
                <w:szCs w:val="20"/>
              </w:rPr>
            </w:pPr>
          </w:p>
        </w:tc>
        <w:tc>
          <w:tcPr>
            <w:tcW w:w="2574" w:type="dxa"/>
            <w:vAlign w:val="bottom"/>
          </w:tcPr>
          <w:p w:rsidR="001E0494" w:rsidRPr="000B47E1" w:rsidRDefault="001E0494" w:rsidP="003F25DC">
            <w:pPr>
              <w:spacing w:line="276" w:lineRule="auto"/>
              <w:jc w:val="right"/>
              <w:rPr>
                <w:color w:val="000000"/>
                <w:sz w:val="20"/>
                <w:szCs w:val="20"/>
              </w:rPr>
            </w:pPr>
          </w:p>
        </w:tc>
      </w:tr>
      <w:tr w:rsidR="001E0494" w:rsidTr="009A59DD">
        <w:tc>
          <w:tcPr>
            <w:tcW w:w="2071" w:type="dxa"/>
          </w:tcPr>
          <w:p w:rsidR="001E0494" w:rsidRPr="000B47E1" w:rsidRDefault="001E0494" w:rsidP="003F25DC">
            <w:pPr>
              <w:spacing w:line="276" w:lineRule="auto"/>
              <w:rPr>
                <w:sz w:val="20"/>
                <w:szCs w:val="20"/>
                <w:lang w:val="nl-NL"/>
              </w:rPr>
            </w:pPr>
            <w:r w:rsidRPr="000B47E1">
              <w:rPr>
                <w:sz w:val="20"/>
                <w:szCs w:val="20"/>
              </w:rPr>
              <w:t xml:space="preserve">   10-17y</w:t>
            </w:r>
          </w:p>
        </w:tc>
        <w:tc>
          <w:tcPr>
            <w:tcW w:w="1305" w:type="dxa"/>
          </w:tcPr>
          <w:p w:rsidR="001E0494" w:rsidRPr="000B47E1" w:rsidRDefault="001E0494" w:rsidP="003F25DC">
            <w:pPr>
              <w:spacing w:line="276" w:lineRule="auto"/>
              <w:jc w:val="right"/>
              <w:rPr>
                <w:sz w:val="20"/>
                <w:szCs w:val="20"/>
              </w:rPr>
            </w:pPr>
            <w:r w:rsidRPr="000B47E1">
              <w:rPr>
                <w:sz w:val="20"/>
                <w:szCs w:val="20"/>
              </w:rPr>
              <w:t>4.56/1.60%</w:t>
            </w:r>
          </w:p>
        </w:tc>
        <w:tc>
          <w:tcPr>
            <w:tcW w:w="959" w:type="dxa"/>
          </w:tcPr>
          <w:p w:rsidR="001E0494" w:rsidRPr="000B47E1" w:rsidRDefault="001E0494" w:rsidP="003F25DC">
            <w:pPr>
              <w:spacing w:line="276" w:lineRule="auto"/>
              <w:jc w:val="right"/>
              <w:rPr>
                <w:sz w:val="20"/>
                <w:szCs w:val="20"/>
              </w:rPr>
            </w:pPr>
            <w:r w:rsidRPr="000B47E1">
              <w:rPr>
                <w:sz w:val="20"/>
                <w:szCs w:val="20"/>
              </w:rPr>
              <w:t xml:space="preserve"> 0.16 / -</w:t>
            </w:r>
          </w:p>
        </w:tc>
        <w:tc>
          <w:tcPr>
            <w:tcW w:w="1228" w:type="dxa"/>
          </w:tcPr>
          <w:p w:rsidR="001E0494" w:rsidRPr="000B47E1" w:rsidRDefault="001E0494" w:rsidP="003F25DC">
            <w:pPr>
              <w:spacing w:line="276" w:lineRule="auto"/>
              <w:rPr>
                <w:sz w:val="20"/>
                <w:szCs w:val="20"/>
              </w:rPr>
            </w:pPr>
            <w:r w:rsidRPr="000B47E1">
              <w:rPr>
                <w:sz w:val="20"/>
                <w:szCs w:val="20"/>
              </w:rPr>
              <w:t>Normal</w:t>
            </w:r>
          </w:p>
        </w:tc>
        <w:tc>
          <w:tcPr>
            <w:tcW w:w="1020" w:type="dxa"/>
          </w:tcPr>
          <w:p w:rsidR="001E0494" w:rsidRPr="000B47E1" w:rsidRDefault="001E0494" w:rsidP="003F25DC">
            <w:pPr>
              <w:spacing w:line="276" w:lineRule="auto"/>
              <w:jc w:val="right"/>
              <w:rPr>
                <w:color w:val="000000"/>
                <w:sz w:val="20"/>
                <w:szCs w:val="20"/>
              </w:rPr>
            </w:pPr>
          </w:p>
        </w:tc>
        <w:tc>
          <w:tcPr>
            <w:tcW w:w="2574" w:type="dxa"/>
            <w:vAlign w:val="bottom"/>
          </w:tcPr>
          <w:p w:rsidR="001E0494" w:rsidRPr="000B47E1" w:rsidRDefault="001E0494" w:rsidP="003F25DC">
            <w:pPr>
              <w:spacing w:line="276" w:lineRule="auto"/>
              <w:jc w:val="right"/>
              <w:rPr>
                <w:color w:val="000000"/>
                <w:sz w:val="20"/>
                <w:szCs w:val="20"/>
              </w:rPr>
            </w:pPr>
          </w:p>
        </w:tc>
      </w:tr>
      <w:tr w:rsidR="001E0494" w:rsidTr="009A59DD">
        <w:tc>
          <w:tcPr>
            <w:tcW w:w="2071" w:type="dxa"/>
          </w:tcPr>
          <w:p w:rsidR="001E0494" w:rsidRPr="000B47E1" w:rsidRDefault="001E0494" w:rsidP="003F25DC">
            <w:pPr>
              <w:spacing w:line="276" w:lineRule="auto"/>
              <w:rPr>
                <w:sz w:val="20"/>
                <w:szCs w:val="20"/>
              </w:rPr>
            </w:pPr>
            <w:r w:rsidRPr="000B47E1">
              <w:rPr>
                <w:sz w:val="20"/>
                <w:szCs w:val="20"/>
              </w:rPr>
              <w:t xml:space="preserve">   18-24y</w:t>
            </w:r>
          </w:p>
        </w:tc>
        <w:tc>
          <w:tcPr>
            <w:tcW w:w="1305" w:type="dxa"/>
          </w:tcPr>
          <w:p w:rsidR="001E0494" w:rsidRPr="000B47E1" w:rsidRDefault="001E0494" w:rsidP="003F25DC">
            <w:pPr>
              <w:spacing w:line="276" w:lineRule="auto"/>
              <w:jc w:val="right"/>
              <w:rPr>
                <w:sz w:val="20"/>
                <w:szCs w:val="20"/>
              </w:rPr>
            </w:pPr>
            <w:r w:rsidRPr="000B47E1">
              <w:rPr>
                <w:sz w:val="20"/>
                <w:szCs w:val="20"/>
              </w:rPr>
              <w:t>5.18/7.38%</w:t>
            </w:r>
          </w:p>
        </w:tc>
        <w:tc>
          <w:tcPr>
            <w:tcW w:w="959" w:type="dxa"/>
          </w:tcPr>
          <w:p w:rsidR="001E0494" w:rsidRPr="000B47E1" w:rsidRDefault="001E0494" w:rsidP="003F25DC">
            <w:pPr>
              <w:spacing w:line="276" w:lineRule="auto"/>
              <w:jc w:val="right"/>
              <w:rPr>
                <w:sz w:val="20"/>
                <w:szCs w:val="20"/>
              </w:rPr>
            </w:pPr>
            <w:r w:rsidRPr="000B47E1">
              <w:rPr>
                <w:sz w:val="20"/>
                <w:szCs w:val="20"/>
              </w:rPr>
              <w:t xml:space="preserve"> 0.05 / -</w:t>
            </w:r>
          </w:p>
        </w:tc>
        <w:tc>
          <w:tcPr>
            <w:tcW w:w="1228" w:type="dxa"/>
          </w:tcPr>
          <w:p w:rsidR="001E0494" w:rsidRPr="000B47E1" w:rsidRDefault="001E0494" w:rsidP="003F25DC">
            <w:pPr>
              <w:spacing w:line="276" w:lineRule="auto"/>
              <w:rPr>
                <w:sz w:val="20"/>
                <w:szCs w:val="20"/>
              </w:rPr>
            </w:pPr>
            <w:r w:rsidRPr="000B47E1">
              <w:rPr>
                <w:sz w:val="20"/>
                <w:szCs w:val="20"/>
              </w:rPr>
              <w:t>Normal</w:t>
            </w:r>
          </w:p>
        </w:tc>
        <w:tc>
          <w:tcPr>
            <w:tcW w:w="1020" w:type="dxa"/>
          </w:tcPr>
          <w:p w:rsidR="001E0494" w:rsidRPr="000B47E1" w:rsidRDefault="001E0494" w:rsidP="003F25DC">
            <w:pPr>
              <w:spacing w:line="276" w:lineRule="auto"/>
              <w:jc w:val="right"/>
              <w:rPr>
                <w:color w:val="000000"/>
                <w:sz w:val="20"/>
                <w:szCs w:val="20"/>
              </w:rPr>
            </w:pPr>
          </w:p>
        </w:tc>
        <w:tc>
          <w:tcPr>
            <w:tcW w:w="2574" w:type="dxa"/>
            <w:vAlign w:val="bottom"/>
          </w:tcPr>
          <w:p w:rsidR="001E0494" w:rsidRPr="000B47E1" w:rsidRDefault="001E0494" w:rsidP="003F25DC">
            <w:pPr>
              <w:spacing w:line="276" w:lineRule="auto"/>
              <w:jc w:val="right"/>
              <w:rPr>
                <w:color w:val="000000"/>
                <w:sz w:val="20"/>
                <w:szCs w:val="20"/>
              </w:rPr>
            </w:pPr>
          </w:p>
        </w:tc>
      </w:tr>
      <w:tr w:rsidR="001E0494" w:rsidTr="009A59DD">
        <w:tc>
          <w:tcPr>
            <w:tcW w:w="2071" w:type="dxa"/>
          </w:tcPr>
          <w:p w:rsidR="001E0494" w:rsidRPr="000B47E1" w:rsidRDefault="001E0494" w:rsidP="003F25DC">
            <w:pPr>
              <w:spacing w:line="276" w:lineRule="auto"/>
              <w:rPr>
                <w:sz w:val="20"/>
                <w:szCs w:val="20"/>
              </w:rPr>
            </w:pPr>
            <w:r w:rsidRPr="000B47E1">
              <w:rPr>
                <w:sz w:val="20"/>
                <w:szCs w:val="20"/>
              </w:rPr>
              <w:t xml:space="preserve">   25-44y</w:t>
            </w:r>
          </w:p>
        </w:tc>
        <w:tc>
          <w:tcPr>
            <w:tcW w:w="1305" w:type="dxa"/>
          </w:tcPr>
          <w:p w:rsidR="001E0494" w:rsidRPr="000B47E1" w:rsidRDefault="001E0494" w:rsidP="003F25DC">
            <w:pPr>
              <w:spacing w:line="276" w:lineRule="auto"/>
              <w:jc w:val="right"/>
              <w:rPr>
                <w:sz w:val="20"/>
                <w:szCs w:val="20"/>
              </w:rPr>
            </w:pPr>
            <w:r w:rsidRPr="000B47E1">
              <w:rPr>
                <w:sz w:val="20"/>
                <w:szCs w:val="20"/>
              </w:rPr>
              <w:t>6.87/9.63%</w:t>
            </w:r>
          </w:p>
        </w:tc>
        <w:tc>
          <w:tcPr>
            <w:tcW w:w="959" w:type="dxa"/>
          </w:tcPr>
          <w:p w:rsidR="001E0494" w:rsidRPr="000B47E1" w:rsidRDefault="001E0494" w:rsidP="003F25DC">
            <w:pPr>
              <w:spacing w:line="276" w:lineRule="auto"/>
              <w:jc w:val="right"/>
              <w:rPr>
                <w:sz w:val="20"/>
                <w:szCs w:val="20"/>
              </w:rPr>
            </w:pPr>
            <w:r w:rsidRPr="000B47E1">
              <w:rPr>
                <w:sz w:val="20"/>
                <w:szCs w:val="20"/>
              </w:rPr>
              <w:t xml:space="preserve"> 0.06 / -</w:t>
            </w:r>
          </w:p>
        </w:tc>
        <w:tc>
          <w:tcPr>
            <w:tcW w:w="1228" w:type="dxa"/>
          </w:tcPr>
          <w:p w:rsidR="001E0494" w:rsidRPr="000B47E1" w:rsidRDefault="001E0494" w:rsidP="003F25DC">
            <w:pPr>
              <w:spacing w:line="276" w:lineRule="auto"/>
              <w:rPr>
                <w:sz w:val="20"/>
                <w:szCs w:val="20"/>
              </w:rPr>
            </w:pPr>
            <w:r w:rsidRPr="000B47E1">
              <w:rPr>
                <w:sz w:val="20"/>
                <w:szCs w:val="20"/>
              </w:rPr>
              <w:t>Normal</w:t>
            </w:r>
          </w:p>
        </w:tc>
        <w:tc>
          <w:tcPr>
            <w:tcW w:w="1020" w:type="dxa"/>
          </w:tcPr>
          <w:p w:rsidR="001E0494" w:rsidRPr="000B47E1" w:rsidRDefault="001E0494" w:rsidP="003F25DC">
            <w:pPr>
              <w:spacing w:line="276" w:lineRule="auto"/>
              <w:jc w:val="right"/>
              <w:rPr>
                <w:color w:val="000000"/>
                <w:sz w:val="20"/>
                <w:szCs w:val="20"/>
              </w:rPr>
            </w:pPr>
          </w:p>
        </w:tc>
        <w:tc>
          <w:tcPr>
            <w:tcW w:w="2574" w:type="dxa"/>
            <w:vAlign w:val="bottom"/>
          </w:tcPr>
          <w:p w:rsidR="001E0494" w:rsidRPr="000B47E1" w:rsidRDefault="001E0494" w:rsidP="003F25DC">
            <w:pPr>
              <w:spacing w:line="276" w:lineRule="auto"/>
              <w:jc w:val="right"/>
              <w:rPr>
                <w:color w:val="000000"/>
                <w:sz w:val="20"/>
                <w:szCs w:val="20"/>
              </w:rPr>
            </w:pPr>
          </w:p>
        </w:tc>
      </w:tr>
      <w:tr w:rsidR="001E0494" w:rsidTr="009A59DD">
        <w:tc>
          <w:tcPr>
            <w:tcW w:w="2071" w:type="dxa"/>
          </w:tcPr>
          <w:p w:rsidR="001E0494" w:rsidRPr="000B47E1" w:rsidRDefault="001E0494" w:rsidP="003F25DC">
            <w:pPr>
              <w:spacing w:line="276" w:lineRule="auto"/>
              <w:rPr>
                <w:sz w:val="20"/>
                <w:szCs w:val="20"/>
              </w:rPr>
            </w:pPr>
            <w:r w:rsidRPr="000B47E1">
              <w:rPr>
                <w:sz w:val="20"/>
                <w:szCs w:val="20"/>
              </w:rPr>
              <w:t xml:space="preserve">   45-59y</w:t>
            </w:r>
          </w:p>
        </w:tc>
        <w:tc>
          <w:tcPr>
            <w:tcW w:w="1305" w:type="dxa"/>
          </w:tcPr>
          <w:p w:rsidR="001E0494" w:rsidRPr="000B47E1" w:rsidRDefault="001E0494" w:rsidP="003F25DC">
            <w:pPr>
              <w:spacing w:line="276" w:lineRule="auto"/>
              <w:jc w:val="right"/>
              <w:rPr>
                <w:sz w:val="20"/>
                <w:szCs w:val="20"/>
              </w:rPr>
            </w:pPr>
            <w:r w:rsidRPr="000B47E1">
              <w:rPr>
                <w:sz w:val="20"/>
                <w:szCs w:val="20"/>
              </w:rPr>
              <w:t>7.72/7.95%</w:t>
            </w:r>
          </w:p>
        </w:tc>
        <w:tc>
          <w:tcPr>
            <w:tcW w:w="959" w:type="dxa"/>
          </w:tcPr>
          <w:p w:rsidR="001E0494" w:rsidRPr="000B47E1" w:rsidRDefault="001E0494" w:rsidP="003F25DC">
            <w:pPr>
              <w:spacing w:line="276" w:lineRule="auto"/>
              <w:jc w:val="right"/>
              <w:rPr>
                <w:sz w:val="20"/>
                <w:szCs w:val="20"/>
              </w:rPr>
            </w:pPr>
            <w:r w:rsidRPr="000B47E1">
              <w:rPr>
                <w:sz w:val="20"/>
                <w:szCs w:val="20"/>
              </w:rPr>
              <w:t xml:space="preserve"> 0.06 / -</w:t>
            </w:r>
          </w:p>
        </w:tc>
        <w:tc>
          <w:tcPr>
            <w:tcW w:w="1228" w:type="dxa"/>
          </w:tcPr>
          <w:p w:rsidR="001E0494" w:rsidRPr="000B47E1" w:rsidRDefault="001E0494" w:rsidP="003F25DC">
            <w:pPr>
              <w:spacing w:line="276" w:lineRule="auto"/>
              <w:rPr>
                <w:sz w:val="20"/>
                <w:szCs w:val="20"/>
              </w:rPr>
            </w:pPr>
            <w:r w:rsidRPr="000B47E1">
              <w:rPr>
                <w:sz w:val="20"/>
                <w:szCs w:val="20"/>
              </w:rPr>
              <w:t>Normal</w:t>
            </w:r>
          </w:p>
        </w:tc>
        <w:tc>
          <w:tcPr>
            <w:tcW w:w="1020" w:type="dxa"/>
          </w:tcPr>
          <w:p w:rsidR="001E0494" w:rsidRPr="000B47E1" w:rsidRDefault="001E0494" w:rsidP="003F25DC">
            <w:pPr>
              <w:spacing w:line="276" w:lineRule="auto"/>
              <w:jc w:val="right"/>
              <w:rPr>
                <w:color w:val="000000"/>
                <w:sz w:val="20"/>
                <w:szCs w:val="20"/>
              </w:rPr>
            </w:pPr>
          </w:p>
        </w:tc>
        <w:tc>
          <w:tcPr>
            <w:tcW w:w="2574" w:type="dxa"/>
            <w:vAlign w:val="bottom"/>
          </w:tcPr>
          <w:p w:rsidR="001E0494" w:rsidRPr="000B47E1" w:rsidRDefault="001E0494" w:rsidP="003F25DC">
            <w:pPr>
              <w:spacing w:line="276" w:lineRule="auto"/>
              <w:jc w:val="right"/>
              <w:rPr>
                <w:color w:val="000000"/>
                <w:sz w:val="20"/>
                <w:szCs w:val="20"/>
              </w:rPr>
            </w:pPr>
          </w:p>
        </w:tc>
      </w:tr>
      <w:tr w:rsidR="001E0494" w:rsidTr="009A59DD">
        <w:tc>
          <w:tcPr>
            <w:tcW w:w="2071" w:type="dxa"/>
          </w:tcPr>
          <w:p w:rsidR="001E0494" w:rsidRPr="000B47E1" w:rsidRDefault="001E0494" w:rsidP="003F25DC">
            <w:pPr>
              <w:spacing w:line="276" w:lineRule="auto"/>
              <w:rPr>
                <w:sz w:val="20"/>
                <w:szCs w:val="20"/>
              </w:rPr>
            </w:pPr>
            <w:r w:rsidRPr="000B47E1">
              <w:rPr>
                <w:sz w:val="20"/>
                <w:szCs w:val="20"/>
              </w:rPr>
              <w:t xml:space="preserve">   60-74y</w:t>
            </w:r>
          </w:p>
        </w:tc>
        <w:tc>
          <w:tcPr>
            <w:tcW w:w="1305" w:type="dxa"/>
          </w:tcPr>
          <w:p w:rsidR="001E0494" w:rsidRPr="000B47E1" w:rsidRDefault="001E0494" w:rsidP="003F25DC">
            <w:pPr>
              <w:spacing w:line="276" w:lineRule="auto"/>
              <w:jc w:val="right"/>
              <w:rPr>
                <w:sz w:val="20"/>
                <w:szCs w:val="20"/>
              </w:rPr>
            </w:pPr>
            <w:r w:rsidRPr="000B47E1">
              <w:rPr>
                <w:sz w:val="20"/>
                <w:szCs w:val="20"/>
              </w:rPr>
              <w:t>8.02/5.34%</w:t>
            </w:r>
          </w:p>
        </w:tc>
        <w:tc>
          <w:tcPr>
            <w:tcW w:w="959" w:type="dxa"/>
          </w:tcPr>
          <w:p w:rsidR="001E0494" w:rsidRPr="000B47E1" w:rsidRDefault="001E0494" w:rsidP="003F25DC">
            <w:pPr>
              <w:spacing w:line="276" w:lineRule="auto"/>
              <w:jc w:val="right"/>
              <w:rPr>
                <w:sz w:val="20"/>
                <w:szCs w:val="20"/>
              </w:rPr>
            </w:pPr>
            <w:r w:rsidRPr="000B47E1">
              <w:rPr>
                <w:sz w:val="20"/>
                <w:szCs w:val="20"/>
              </w:rPr>
              <w:t xml:space="preserve"> 0.05 / -</w:t>
            </w:r>
          </w:p>
        </w:tc>
        <w:tc>
          <w:tcPr>
            <w:tcW w:w="1228" w:type="dxa"/>
          </w:tcPr>
          <w:p w:rsidR="001E0494" w:rsidRPr="000B47E1" w:rsidRDefault="001E0494" w:rsidP="003F25DC">
            <w:pPr>
              <w:spacing w:line="276" w:lineRule="auto"/>
              <w:rPr>
                <w:sz w:val="20"/>
                <w:szCs w:val="20"/>
              </w:rPr>
            </w:pPr>
            <w:r w:rsidRPr="000B47E1">
              <w:rPr>
                <w:sz w:val="20"/>
                <w:szCs w:val="20"/>
              </w:rPr>
              <w:t>Normal</w:t>
            </w:r>
          </w:p>
        </w:tc>
        <w:tc>
          <w:tcPr>
            <w:tcW w:w="1020" w:type="dxa"/>
          </w:tcPr>
          <w:p w:rsidR="001E0494" w:rsidRPr="000B47E1" w:rsidRDefault="001E0494" w:rsidP="003F25DC">
            <w:pPr>
              <w:spacing w:line="276" w:lineRule="auto"/>
              <w:jc w:val="right"/>
              <w:rPr>
                <w:color w:val="000000"/>
                <w:sz w:val="20"/>
                <w:szCs w:val="20"/>
              </w:rPr>
            </w:pPr>
          </w:p>
        </w:tc>
        <w:tc>
          <w:tcPr>
            <w:tcW w:w="2574" w:type="dxa"/>
            <w:vAlign w:val="bottom"/>
          </w:tcPr>
          <w:p w:rsidR="001E0494" w:rsidRPr="000B47E1" w:rsidRDefault="001E0494" w:rsidP="003F25DC">
            <w:pPr>
              <w:spacing w:line="276" w:lineRule="auto"/>
              <w:jc w:val="right"/>
              <w:rPr>
                <w:color w:val="000000"/>
                <w:sz w:val="20"/>
                <w:szCs w:val="20"/>
              </w:rPr>
            </w:pPr>
          </w:p>
        </w:tc>
      </w:tr>
      <w:tr w:rsidR="001E0494" w:rsidTr="009A59DD">
        <w:tc>
          <w:tcPr>
            <w:tcW w:w="2071" w:type="dxa"/>
          </w:tcPr>
          <w:p w:rsidR="001E0494" w:rsidRPr="000B47E1" w:rsidRDefault="001E0494" w:rsidP="003F25DC">
            <w:pPr>
              <w:spacing w:line="276" w:lineRule="auto"/>
              <w:rPr>
                <w:sz w:val="20"/>
                <w:szCs w:val="20"/>
              </w:rPr>
            </w:pPr>
            <w:r w:rsidRPr="000B47E1">
              <w:rPr>
                <w:sz w:val="20"/>
                <w:szCs w:val="20"/>
              </w:rPr>
              <w:t xml:space="preserve">   ≥75y</w:t>
            </w:r>
          </w:p>
        </w:tc>
        <w:tc>
          <w:tcPr>
            <w:tcW w:w="1305" w:type="dxa"/>
          </w:tcPr>
          <w:p w:rsidR="001E0494" w:rsidRPr="000B47E1" w:rsidRDefault="001E0494" w:rsidP="003F25DC">
            <w:pPr>
              <w:spacing w:line="276" w:lineRule="auto"/>
              <w:jc w:val="right"/>
              <w:rPr>
                <w:sz w:val="20"/>
                <w:szCs w:val="20"/>
              </w:rPr>
            </w:pPr>
            <w:r w:rsidRPr="000B47E1">
              <w:rPr>
                <w:sz w:val="20"/>
                <w:szCs w:val="20"/>
              </w:rPr>
              <w:t>7.78/1.47%</w:t>
            </w:r>
          </w:p>
        </w:tc>
        <w:tc>
          <w:tcPr>
            <w:tcW w:w="959" w:type="dxa"/>
          </w:tcPr>
          <w:p w:rsidR="001E0494" w:rsidRPr="000B47E1" w:rsidRDefault="001E0494" w:rsidP="003F25DC">
            <w:pPr>
              <w:spacing w:line="276" w:lineRule="auto"/>
              <w:jc w:val="right"/>
              <w:rPr>
                <w:sz w:val="20"/>
                <w:szCs w:val="20"/>
              </w:rPr>
            </w:pPr>
            <w:r w:rsidRPr="000B47E1">
              <w:rPr>
                <w:sz w:val="20"/>
                <w:szCs w:val="20"/>
              </w:rPr>
              <w:t xml:space="preserve"> 0.06 / -</w:t>
            </w:r>
          </w:p>
        </w:tc>
        <w:tc>
          <w:tcPr>
            <w:tcW w:w="1228" w:type="dxa"/>
          </w:tcPr>
          <w:p w:rsidR="001E0494" w:rsidRPr="000B47E1" w:rsidRDefault="001E0494" w:rsidP="003F25DC">
            <w:pPr>
              <w:spacing w:line="276" w:lineRule="auto"/>
              <w:rPr>
                <w:sz w:val="20"/>
                <w:szCs w:val="20"/>
              </w:rPr>
            </w:pPr>
            <w:r w:rsidRPr="000B47E1">
              <w:rPr>
                <w:sz w:val="20"/>
                <w:szCs w:val="20"/>
              </w:rPr>
              <w:t>Normal</w:t>
            </w:r>
          </w:p>
        </w:tc>
        <w:tc>
          <w:tcPr>
            <w:tcW w:w="1020" w:type="dxa"/>
          </w:tcPr>
          <w:p w:rsidR="001E0494" w:rsidRPr="000B47E1" w:rsidRDefault="001E0494" w:rsidP="003F25DC">
            <w:pPr>
              <w:spacing w:line="276" w:lineRule="auto"/>
              <w:jc w:val="right"/>
              <w:rPr>
                <w:color w:val="000000"/>
                <w:sz w:val="20"/>
                <w:szCs w:val="20"/>
              </w:rPr>
            </w:pPr>
          </w:p>
        </w:tc>
        <w:tc>
          <w:tcPr>
            <w:tcW w:w="2574" w:type="dxa"/>
            <w:vAlign w:val="bottom"/>
          </w:tcPr>
          <w:p w:rsidR="001E0494" w:rsidRPr="000B47E1" w:rsidRDefault="001E0494" w:rsidP="003F25DC">
            <w:pPr>
              <w:spacing w:line="276" w:lineRule="auto"/>
              <w:jc w:val="right"/>
              <w:rPr>
                <w:color w:val="000000"/>
                <w:sz w:val="20"/>
                <w:szCs w:val="20"/>
              </w:rPr>
            </w:pPr>
          </w:p>
        </w:tc>
      </w:tr>
      <w:tr w:rsidR="001E0494" w:rsidTr="009A59DD">
        <w:tc>
          <w:tcPr>
            <w:tcW w:w="2071" w:type="dxa"/>
          </w:tcPr>
          <w:p w:rsidR="001E0494" w:rsidRPr="000B47E1" w:rsidRDefault="001E0494" w:rsidP="003F25DC">
            <w:pPr>
              <w:spacing w:line="276" w:lineRule="auto"/>
              <w:rPr>
                <w:sz w:val="20"/>
                <w:szCs w:val="20"/>
              </w:rPr>
            </w:pPr>
            <w:r w:rsidRPr="000B47E1">
              <w:rPr>
                <w:sz w:val="20"/>
                <w:szCs w:val="20"/>
              </w:rPr>
              <w:t>Cost per bed day</w:t>
            </w:r>
          </w:p>
        </w:tc>
        <w:tc>
          <w:tcPr>
            <w:tcW w:w="1305" w:type="dxa"/>
          </w:tcPr>
          <w:p w:rsidR="001E0494" w:rsidRPr="000B47E1" w:rsidRDefault="001E0494" w:rsidP="003F25DC">
            <w:pPr>
              <w:spacing w:line="276" w:lineRule="auto"/>
              <w:jc w:val="right"/>
              <w:rPr>
                <w:sz w:val="20"/>
                <w:szCs w:val="20"/>
              </w:rPr>
            </w:pPr>
          </w:p>
        </w:tc>
        <w:tc>
          <w:tcPr>
            <w:tcW w:w="959" w:type="dxa"/>
          </w:tcPr>
          <w:p w:rsidR="001E0494" w:rsidRPr="000B47E1" w:rsidRDefault="001E0494" w:rsidP="003F25DC">
            <w:pPr>
              <w:spacing w:line="276" w:lineRule="auto"/>
              <w:rPr>
                <w:sz w:val="20"/>
                <w:szCs w:val="20"/>
              </w:rPr>
            </w:pPr>
          </w:p>
        </w:tc>
        <w:tc>
          <w:tcPr>
            <w:tcW w:w="1228" w:type="dxa"/>
          </w:tcPr>
          <w:p w:rsidR="001E0494" w:rsidRPr="000B47E1" w:rsidRDefault="001E0494" w:rsidP="003F25DC">
            <w:pPr>
              <w:spacing w:line="276" w:lineRule="auto"/>
              <w:rPr>
                <w:sz w:val="20"/>
                <w:szCs w:val="20"/>
              </w:rPr>
            </w:pPr>
          </w:p>
        </w:tc>
        <w:tc>
          <w:tcPr>
            <w:tcW w:w="1020" w:type="dxa"/>
          </w:tcPr>
          <w:p w:rsidR="001E0494" w:rsidRPr="000B47E1" w:rsidRDefault="001E0494" w:rsidP="00D25242">
            <w:pPr>
              <w:spacing w:line="276" w:lineRule="auto"/>
              <w:rPr>
                <w:sz w:val="20"/>
                <w:szCs w:val="20"/>
              </w:rPr>
            </w:pPr>
          </w:p>
        </w:tc>
        <w:tc>
          <w:tcPr>
            <w:tcW w:w="2574" w:type="dxa"/>
          </w:tcPr>
          <w:p w:rsidR="001E0494" w:rsidRPr="00571D22" w:rsidRDefault="001E0494" w:rsidP="00FE70C7">
            <w:pPr>
              <w:spacing w:line="276" w:lineRule="auto"/>
              <w:rPr>
                <w:sz w:val="20"/>
                <w:szCs w:val="20"/>
                <w:lang w:val="en-US"/>
              </w:rPr>
            </w:pPr>
            <w:r w:rsidRPr="000B47E1">
              <w:rPr>
                <w:sz w:val="20"/>
                <w:szCs w:val="20"/>
              </w:rPr>
              <w:t xml:space="preserve">Dutch CE guideline, 2016 </w:t>
            </w:r>
            <w:r w:rsidR="00FE70C7">
              <w:rPr>
                <w:noProof/>
                <w:sz w:val="20"/>
                <w:szCs w:val="20"/>
              </w:rPr>
              <w:t>[17]</w:t>
            </w:r>
          </w:p>
        </w:tc>
      </w:tr>
      <w:tr w:rsidR="001E0494" w:rsidTr="009A59DD">
        <w:tc>
          <w:tcPr>
            <w:tcW w:w="2071" w:type="dxa"/>
          </w:tcPr>
          <w:p w:rsidR="001E0494" w:rsidRPr="000B47E1" w:rsidRDefault="001E0494" w:rsidP="003F25DC">
            <w:pPr>
              <w:spacing w:line="276" w:lineRule="auto"/>
              <w:rPr>
                <w:sz w:val="20"/>
                <w:szCs w:val="20"/>
              </w:rPr>
            </w:pPr>
            <w:r w:rsidRPr="000B47E1">
              <w:rPr>
                <w:i/>
                <w:sz w:val="20"/>
                <w:szCs w:val="20"/>
              </w:rPr>
              <w:t xml:space="preserve">   </w:t>
            </w:r>
            <w:r w:rsidRPr="000B47E1">
              <w:rPr>
                <w:sz w:val="20"/>
                <w:szCs w:val="20"/>
              </w:rPr>
              <w:t>Paediatric ward</w:t>
            </w:r>
          </w:p>
        </w:tc>
        <w:tc>
          <w:tcPr>
            <w:tcW w:w="1305" w:type="dxa"/>
          </w:tcPr>
          <w:p w:rsidR="001E0494" w:rsidRPr="000B47E1" w:rsidRDefault="001E0494" w:rsidP="003F25DC">
            <w:pPr>
              <w:spacing w:line="276" w:lineRule="auto"/>
              <w:jc w:val="right"/>
              <w:rPr>
                <w:sz w:val="20"/>
                <w:szCs w:val="20"/>
              </w:rPr>
            </w:pPr>
            <w:r>
              <w:rPr>
                <w:sz w:val="20"/>
                <w:szCs w:val="20"/>
              </w:rPr>
              <w:t>€</w:t>
            </w:r>
            <w:r w:rsidRPr="000B47E1">
              <w:rPr>
                <w:sz w:val="20"/>
                <w:szCs w:val="20"/>
              </w:rPr>
              <w:t>642</w:t>
            </w:r>
          </w:p>
        </w:tc>
        <w:tc>
          <w:tcPr>
            <w:tcW w:w="959" w:type="dxa"/>
          </w:tcPr>
          <w:p w:rsidR="001E0494" w:rsidRPr="000B47E1" w:rsidRDefault="001E0494" w:rsidP="003F25DC">
            <w:pPr>
              <w:spacing w:line="276" w:lineRule="auto"/>
              <w:rPr>
                <w:sz w:val="20"/>
                <w:szCs w:val="20"/>
              </w:rPr>
            </w:pPr>
          </w:p>
        </w:tc>
        <w:tc>
          <w:tcPr>
            <w:tcW w:w="1228" w:type="dxa"/>
          </w:tcPr>
          <w:p w:rsidR="001E0494" w:rsidRPr="000B47E1" w:rsidRDefault="001E0494" w:rsidP="003F25DC">
            <w:pPr>
              <w:spacing w:line="276" w:lineRule="auto"/>
              <w:rPr>
                <w:sz w:val="20"/>
                <w:szCs w:val="20"/>
              </w:rPr>
            </w:pPr>
          </w:p>
        </w:tc>
        <w:tc>
          <w:tcPr>
            <w:tcW w:w="1020" w:type="dxa"/>
          </w:tcPr>
          <w:p w:rsidR="001E0494" w:rsidRPr="000B47E1" w:rsidRDefault="001E0494" w:rsidP="003F25DC">
            <w:pPr>
              <w:spacing w:line="276" w:lineRule="auto"/>
              <w:rPr>
                <w:sz w:val="20"/>
                <w:szCs w:val="20"/>
                <w:lang w:val="nl-NL"/>
              </w:rPr>
            </w:pPr>
          </w:p>
        </w:tc>
        <w:tc>
          <w:tcPr>
            <w:tcW w:w="2574" w:type="dxa"/>
          </w:tcPr>
          <w:p w:rsidR="001E0494" w:rsidRPr="000B47E1" w:rsidRDefault="001E0494" w:rsidP="003F25DC">
            <w:pPr>
              <w:spacing w:line="276" w:lineRule="auto"/>
              <w:rPr>
                <w:sz w:val="20"/>
                <w:szCs w:val="20"/>
                <w:lang w:val="nl-NL"/>
              </w:rPr>
            </w:pPr>
          </w:p>
        </w:tc>
      </w:tr>
      <w:tr w:rsidR="001E0494" w:rsidTr="009A59DD">
        <w:tc>
          <w:tcPr>
            <w:tcW w:w="2071" w:type="dxa"/>
          </w:tcPr>
          <w:p w:rsidR="001E0494" w:rsidRPr="000B47E1" w:rsidRDefault="001E0494" w:rsidP="003F25DC">
            <w:pPr>
              <w:spacing w:line="276" w:lineRule="auto"/>
              <w:rPr>
                <w:sz w:val="20"/>
                <w:szCs w:val="20"/>
              </w:rPr>
            </w:pPr>
            <w:r w:rsidRPr="000B47E1">
              <w:rPr>
                <w:i/>
                <w:sz w:val="20"/>
                <w:szCs w:val="20"/>
              </w:rPr>
              <w:t xml:space="preserve">   </w:t>
            </w:r>
            <w:r w:rsidRPr="000B47E1">
              <w:rPr>
                <w:sz w:val="20"/>
                <w:szCs w:val="20"/>
              </w:rPr>
              <w:t>General ward</w:t>
            </w:r>
          </w:p>
        </w:tc>
        <w:tc>
          <w:tcPr>
            <w:tcW w:w="1305" w:type="dxa"/>
          </w:tcPr>
          <w:p w:rsidR="001E0494" w:rsidRPr="000B47E1" w:rsidRDefault="001E0494" w:rsidP="003F25DC">
            <w:pPr>
              <w:spacing w:line="276" w:lineRule="auto"/>
              <w:jc w:val="right"/>
              <w:rPr>
                <w:sz w:val="20"/>
                <w:szCs w:val="20"/>
              </w:rPr>
            </w:pPr>
            <w:r>
              <w:rPr>
                <w:sz w:val="20"/>
                <w:szCs w:val="20"/>
              </w:rPr>
              <w:t>€</w:t>
            </w:r>
            <w:r w:rsidRPr="000B47E1">
              <w:rPr>
                <w:sz w:val="20"/>
                <w:szCs w:val="20"/>
              </w:rPr>
              <w:t>487</w:t>
            </w:r>
          </w:p>
        </w:tc>
        <w:tc>
          <w:tcPr>
            <w:tcW w:w="959" w:type="dxa"/>
          </w:tcPr>
          <w:p w:rsidR="001E0494" w:rsidRPr="000B47E1" w:rsidRDefault="001E0494" w:rsidP="003F25DC">
            <w:pPr>
              <w:spacing w:line="276" w:lineRule="auto"/>
              <w:rPr>
                <w:sz w:val="20"/>
                <w:szCs w:val="20"/>
              </w:rPr>
            </w:pPr>
          </w:p>
        </w:tc>
        <w:tc>
          <w:tcPr>
            <w:tcW w:w="1228" w:type="dxa"/>
          </w:tcPr>
          <w:p w:rsidR="001E0494" w:rsidRPr="000B47E1" w:rsidRDefault="001E0494" w:rsidP="003F25DC">
            <w:pPr>
              <w:spacing w:line="276" w:lineRule="auto"/>
              <w:rPr>
                <w:sz w:val="20"/>
                <w:szCs w:val="20"/>
              </w:rPr>
            </w:pPr>
          </w:p>
        </w:tc>
        <w:tc>
          <w:tcPr>
            <w:tcW w:w="1020" w:type="dxa"/>
          </w:tcPr>
          <w:p w:rsidR="001E0494" w:rsidRPr="000B47E1" w:rsidRDefault="001E0494" w:rsidP="003F25DC">
            <w:pPr>
              <w:spacing w:line="276" w:lineRule="auto"/>
              <w:rPr>
                <w:sz w:val="20"/>
                <w:szCs w:val="20"/>
                <w:lang w:val="nl-NL"/>
              </w:rPr>
            </w:pPr>
          </w:p>
        </w:tc>
        <w:tc>
          <w:tcPr>
            <w:tcW w:w="2574" w:type="dxa"/>
          </w:tcPr>
          <w:p w:rsidR="001E0494" w:rsidRPr="000B47E1" w:rsidRDefault="001E0494" w:rsidP="003F25DC">
            <w:pPr>
              <w:spacing w:line="276" w:lineRule="auto"/>
              <w:rPr>
                <w:sz w:val="20"/>
                <w:szCs w:val="20"/>
                <w:lang w:val="nl-NL"/>
              </w:rPr>
            </w:pPr>
          </w:p>
        </w:tc>
      </w:tr>
      <w:tr w:rsidR="001E0494" w:rsidTr="009A59DD">
        <w:tc>
          <w:tcPr>
            <w:tcW w:w="2071" w:type="dxa"/>
          </w:tcPr>
          <w:p w:rsidR="001E0494" w:rsidRPr="000B47E1" w:rsidRDefault="001E0494" w:rsidP="003F25DC">
            <w:pPr>
              <w:spacing w:line="276" w:lineRule="auto"/>
              <w:rPr>
                <w:sz w:val="20"/>
                <w:szCs w:val="20"/>
              </w:rPr>
            </w:pPr>
            <w:r w:rsidRPr="000B47E1">
              <w:rPr>
                <w:i/>
                <w:sz w:val="20"/>
                <w:szCs w:val="20"/>
              </w:rPr>
              <w:t xml:space="preserve">   </w:t>
            </w:r>
            <w:r>
              <w:rPr>
                <w:sz w:val="20"/>
                <w:szCs w:val="20"/>
              </w:rPr>
              <w:t>ICU</w:t>
            </w:r>
          </w:p>
        </w:tc>
        <w:tc>
          <w:tcPr>
            <w:tcW w:w="1305" w:type="dxa"/>
          </w:tcPr>
          <w:p w:rsidR="001E0494" w:rsidRPr="000B47E1" w:rsidRDefault="001E0494" w:rsidP="003F25DC">
            <w:pPr>
              <w:spacing w:line="276" w:lineRule="auto"/>
              <w:jc w:val="right"/>
              <w:rPr>
                <w:sz w:val="20"/>
                <w:szCs w:val="20"/>
              </w:rPr>
            </w:pPr>
            <w:r>
              <w:rPr>
                <w:sz w:val="20"/>
                <w:szCs w:val="20"/>
              </w:rPr>
              <w:t>€</w:t>
            </w:r>
            <w:r w:rsidRPr="000B47E1">
              <w:rPr>
                <w:sz w:val="20"/>
                <w:szCs w:val="20"/>
              </w:rPr>
              <w:t>2,062</w:t>
            </w:r>
          </w:p>
        </w:tc>
        <w:tc>
          <w:tcPr>
            <w:tcW w:w="959" w:type="dxa"/>
          </w:tcPr>
          <w:p w:rsidR="001E0494" w:rsidRPr="000B47E1" w:rsidRDefault="001E0494" w:rsidP="003F25DC">
            <w:pPr>
              <w:spacing w:line="276" w:lineRule="auto"/>
              <w:rPr>
                <w:sz w:val="20"/>
                <w:szCs w:val="20"/>
              </w:rPr>
            </w:pPr>
          </w:p>
        </w:tc>
        <w:tc>
          <w:tcPr>
            <w:tcW w:w="1228" w:type="dxa"/>
          </w:tcPr>
          <w:p w:rsidR="001E0494" w:rsidRPr="000B47E1" w:rsidRDefault="001E0494" w:rsidP="003F25DC">
            <w:pPr>
              <w:spacing w:line="276" w:lineRule="auto"/>
              <w:rPr>
                <w:sz w:val="20"/>
                <w:szCs w:val="20"/>
              </w:rPr>
            </w:pPr>
          </w:p>
        </w:tc>
        <w:tc>
          <w:tcPr>
            <w:tcW w:w="1020" w:type="dxa"/>
          </w:tcPr>
          <w:p w:rsidR="001E0494" w:rsidRPr="000B47E1" w:rsidRDefault="001E0494" w:rsidP="003F25DC">
            <w:pPr>
              <w:spacing w:line="276" w:lineRule="auto"/>
              <w:rPr>
                <w:sz w:val="20"/>
                <w:szCs w:val="20"/>
                <w:lang w:val="nl-NL"/>
              </w:rPr>
            </w:pPr>
          </w:p>
        </w:tc>
        <w:tc>
          <w:tcPr>
            <w:tcW w:w="2574" w:type="dxa"/>
          </w:tcPr>
          <w:p w:rsidR="001E0494" w:rsidRPr="000B47E1" w:rsidRDefault="001E0494" w:rsidP="003F25DC">
            <w:pPr>
              <w:spacing w:line="276" w:lineRule="auto"/>
              <w:rPr>
                <w:sz w:val="20"/>
                <w:szCs w:val="20"/>
                <w:lang w:val="nl-NL"/>
              </w:rPr>
            </w:pPr>
          </w:p>
        </w:tc>
      </w:tr>
      <w:tr w:rsidR="001E0494" w:rsidRPr="008F1D67" w:rsidTr="009A59DD">
        <w:tc>
          <w:tcPr>
            <w:tcW w:w="2071" w:type="dxa"/>
          </w:tcPr>
          <w:p w:rsidR="001E0494" w:rsidRPr="000B47E1" w:rsidRDefault="001E0494" w:rsidP="003F25DC">
            <w:pPr>
              <w:spacing w:line="276" w:lineRule="auto"/>
              <w:rPr>
                <w:i/>
                <w:sz w:val="20"/>
                <w:szCs w:val="20"/>
              </w:rPr>
            </w:pPr>
            <w:r w:rsidRPr="000B47E1">
              <w:rPr>
                <w:i/>
                <w:sz w:val="20"/>
                <w:szCs w:val="20"/>
              </w:rPr>
              <w:t>Indirect healthcare costs</w:t>
            </w:r>
          </w:p>
        </w:tc>
        <w:tc>
          <w:tcPr>
            <w:tcW w:w="1305" w:type="dxa"/>
          </w:tcPr>
          <w:p w:rsidR="001E0494" w:rsidRPr="000B47E1" w:rsidRDefault="001E0494" w:rsidP="003F25DC">
            <w:pPr>
              <w:spacing w:line="276" w:lineRule="auto"/>
              <w:jc w:val="right"/>
              <w:rPr>
                <w:sz w:val="20"/>
                <w:szCs w:val="20"/>
              </w:rPr>
            </w:pPr>
            <w:r w:rsidRPr="000B47E1">
              <w:rPr>
                <w:sz w:val="20"/>
                <w:szCs w:val="20"/>
              </w:rPr>
              <w:t>Age-specific</w:t>
            </w:r>
          </w:p>
        </w:tc>
        <w:tc>
          <w:tcPr>
            <w:tcW w:w="959" w:type="dxa"/>
          </w:tcPr>
          <w:p w:rsidR="001E0494" w:rsidRPr="000B47E1" w:rsidRDefault="001E0494" w:rsidP="003F25DC">
            <w:pPr>
              <w:spacing w:line="276" w:lineRule="auto"/>
              <w:rPr>
                <w:sz w:val="20"/>
                <w:szCs w:val="20"/>
              </w:rPr>
            </w:pPr>
          </w:p>
        </w:tc>
        <w:tc>
          <w:tcPr>
            <w:tcW w:w="1228" w:type="dxa"/>
          </w:tcPr>
          <w:p w:rsidR="001E0494" w:rsidRPr="000B47E1" w:rsidRDefault="001E0494" w:rsidP="003F25DC">
            <w:pPr>
              <w:spacing w:line="276" w:lineRule="auto"/>
              <w:rPr>
                <w:sz w:val="20"/>
                <w:szCs w:val="20"/>
              </w:rPr>
            </w:pPr>
          </w:p>
        </w:tc>
        <w:tc>
          <w:tcPr>
            <w:tcW w:w="1020" w:type="dxa"/>
          </w:tcPr>
          <w:p w:rsidR="001E0494" w:rsidRPr="000B47E1" w:rsidRDefault="001E0494" w:rsidP="00D25242">
            <w:pPr>
              <w:spacing w:line="276" w:lineRule="auto"/>
              <w:rPr>
                <w:sz w:val="20"/>
                <w:szCs w:val="20"/>
                <w:lang w:val="nl-NL"/>
              </w:rPr>
            </w:pPr>
            <w:proofErr w:type="spellStart"/>
            <w:r>
              <w:rPr>
                <w:sz w:val="20"/>
                <w:szCs w:val="20"/>
                <w:lang w:val="nl-NL"/>
              </w:rPr>
              <w:t>Excluded</w:t>
            </w:r>
            <w:proofErr w:type="spellEnd"/>
          </w:p>
        </w:tc>
        <w:tc>
          <w:tcPr>
            <w:tcW w:w="2574" w:type="dxa"/>
          </w:tcPr>
          <w:p w:rsidR="001E0494" w:rsidRPr="00571D22" w:rsidRDefault="001E0494" w:rsidP="00FE70C7">
            <w:pPr>
              <w:spacing w:line="276" w:lineRule="auto"/>
              <w:rPr>
                <w:sz w:val="20"/>
                <w:szCs w:val="20"/>
                <w:lang w:val="nl-NL"/>
              </w:rPr>
            </w:pPr>
            <w:proofErr w:type="spellStart"/>
            <w:r w:rsidRPr="000B47E1">
              <w:rPr>
                <w:sz w:val="20"/>
                <w:szCs w:val="20"/>
                <w:lang w:val="nl-NL"/>
              </w:rPr>
              <w:t>Statistics</w:t>
            </w:r>
            <w:proofErr w:type="spellEnd"/>
            <w:r w:rsidRPr="000B47E1">
              <w:rPr>
                <w:sz w:val="20"/>
                <w:szCs w:val="20"/>
                <w:lang w:val="nl-NL"/>
              </w:rPr>
              <w:t xml:space="preserve"> </w:t>
            </w:r>
            <w:r w:rsidRPr="003F6623">
              <w:rPr>
                <w:sz w:val="20"/>
                <w:szCs w:val="20"/>
                <w:lang w:val="nl-NL"/>
              </w:rPr>
              <w:t>Netherlands, 2017;</w:t>
            </w:r>
            <w:r w:rsidRPr="000B47E1">
              <w:rPr>
                <w:sz w:val="20"/>
                <w:szCs w:val="20"/>
                <w:lang w:val="nl-NL"/>
              </w:rPr>
              <w:t xml:space="preserve"> Van Baal, 2011</w:t>
            </w:r>
            <w:r>
              <w:rPr>
                <w:sz w:val="20"/>
                <w:szCs w:val="20"/>
                <w:lang w:val="nl-NL"/>
              </w:rPr>
              <w:t xml:space="preserve"> </w:t>
            </w:r>
            <w:r w:rsidR="00FE70C7">
              <w:rPr>
                <w:noProof/>
                <w:sz w:val="20"/>
                <w:szCs w:val="20"/>
                <w:lang w:val="nl-NL"/>
              </w:rPr>
              <w:t>[18]</w:t>
            </w:r>
          </w:p>
        </w:tc>
      </w:tr>
      <w:tr w:rsidR="001E0494" w:rsidTr="009A59DD">
        <w:tc>
          <w:tcPr>
            <w:tcW w:w="2071" w:type="dxa"/>
          </w:tcPr>
          <w:p w:rsidR="001E0494" w:rsidRPr="000B47E1" w:rsidRDefault="001E0494" w:rsidP="003F25DC">
            <w:pPr>
              <w:spacing w:line="276" w:lineRule="auto"/>
              <w:rPr>
                <w:i/>
                <w:sz w:val="20"/>
                <w:szCs w:val="20"/>
              </w:rPr>
            </w:pPr>
            <w:r w:rsidRPr="000B47E1">
              <w:rPr>
                <w:i/>
                <w:sz w:val="20"/>
                <w:szCs w:val="20"/>
              </w:rPr>
              <w:t>Direct non-healthcare costs</w:t>
            </w:r>
          </w:p>
        </w:tc>
        <w:tc>
          <w:tcPr>
            <w:tcW w:w="1305" w:type="dxa"/>
          </w:tcPr>
          <w:p w:rsidR="001E0494" w:rsidRPr="000B47E1" w:rsidRDefault="001E0494" w:rsidP="003F25DC">
            <w:pPr>
              <w:spacing w:line="276" w:lineRule="auto"/>
              <w:jc w:val="right"/>
              <w:rPr>
                <w:sz w:val="20"/>
                <w:szCs w:val="20"/>
              </w:rPr>
            </w:pPr>
          </w:p>
        </w:tc>
        <w:tc>
          <w:tcPr>
            <w:tcW w:w="959" w:type="dxa"/>
          </w:tcPr>
          <w:p w:rsidR="001E0494" w:rsidRPr="000B47E1" w:rsidRDefault="001E0494" w:rsidP="003F25DC">
            <w:pPr>
              <w:spacing w:line="276" w:lineRule="auto"/>
              <w:rPr>
                <w:sz w:val="20"/>
                <w:szCs w:val="20"/>
              </w:rPr>
            </w:pPr>
          </w:p>
        </w:tc>
        <w:tc>
          <w:tcPr>
            <w:tcW w:w="1228" w:type="dxa"/>
          </w:tcPr>
          <w:p w:rsidR="001E0494" w:rsidRPr="000B47E1" w:rsidRDefault="001E0494" w:rsidP="003F25DC">
            <w:pPr>
              <w:spacing w:line="276" w:lineRule="auto"/>
              <w:rPr>
                <w:sz w:val="20"/>
                <w:szCs w:val="20"/>
              </w:rPr>
            </w:pPr>
          </w:p>
        </w:tc>
        <w:tc>
          <w:tcPr>
            <w:tcW w:w="1020" w:type="dxa"/>
          </w:tcPr>
          <w:p w:rsidR="001E0494" w:rsidRPr="000B47E1" w:rsidRDefault="001E0494" w:rsidP="003F25DC">
            <w:pPr>
              <w:spacing w:line="276" w:lineRule="auto"/>
              <w:rPr>
                <w:sz w:val="20"/>
                <w:szCs w:val="20"/>
              </w:rPr>
            </w:pPr>
          </w:p>
        </w:tc>
        <w:tc>
          <w:tcPr>
            <w:tcW w:w="2574" w:type="dxa"/>
          </w:tcPr>
          <w:p w:rsidR="001E0494" w:rsidRPr="000B47E1" w:rsidRDefault="001E0494" w:rsidP="003F25DC">
            <w:pPr>
              <w:spacing w:line="276" w:lineRule="auto"/>
              <w:rPr>
                <w:sz w:val="20"/>
                <w:szCs w:val="20"/>
              </w:rPr>
            </w:pPr>
          </w:p>
        </w:tc>
      </w:tr>
      <w:tr w:rsidR="001E0494" w:rsidRPr="008F1D67" w:rsidTr="009A59DD">
        <w:tc>
          <w:tcPr>
            <w:tcW w:w="2071" w:type="dxa"/>
          </w:tcPr>
          <w:p w:rsidR="001E0494" w:rsidRPr="000B47E1" w:rsidRDefault="001E0494" w:rsidP="003F25DC">
            <w:pPr>
              <w:spacing w:line="276" w:lineRule="auto"/>
              <w:rPr>
                <w:sz w:val="20"/>
                <w:szCs w:val="20"/>
              </w:rPr>
            </w:pPr>
            <w:r w:rsidRPr="000B47E1">
              <w:rPr>
                <w:sz w:val="20"/>
                <w:szCs w:val="20"/>
              </w:rPr>
              <w:lastRenderedPageBreak/>
              <w:t>Non-medically attended</w:t>
            </w:r>
          </w:p>
        </w:tc>
        <w:tc>
          <w:tcPr>
            <w:tcW w:w="1305" w:type="dxa"/>
          </w:tcPr>
          <w:p w:rsidR="001E0494" w:rsidRPr="000B47E1" w:rsidRDefault="001E0494" w:rsidP="003F25DC">
            <w:pPr>
              <w:spacing w:line="276" w:lineRule="auto"/>
              <w:jc w:val="right"/>
              <w:rPr>
                <w:color w:val="000000"/>
                <w:sz w:val="20"/>
                <w:szCs w:val="20"/>
                <w:lang w:val="nl-NL"/>
              </w:rPr>
            </w:pPr>
            <w:r>
              <w:rPr>
                <w:color w:val="000000"/>
                <w:sz w:val="20"/>
                <w:szCs w:val="20"/>
              </w:rPr>
              <w:t>€</w:t>
            </w:r>
            <w:r w:rsidRPr="000B47E1">
              <w:rPr>
                <w:color w:val="000000"/>
                <w:sz w:val="20"/>
                <w:szCs w:val="20"/>
              </w:rPr>
              <w:t>7.04</w:t>
            </w:r>
          </w:p>
        </w:tc>
        <w:tc>
          <w:tcPr>
            <w:tcW w:w="959" w:type="dxa"/>
          </w:tcPr>
          <w:p w:rsidR="001E0494" w:rsidRPr="000B47E1" w:rsidRDefault="001E0494" w:rsidP="003F25DC">
            <w:pPr>
              <w:spacing w:line="276" w:lineRule="auto"/>
              <w:jc w:val="right"/>
              <w:rPr>
                <w:color w:val="000000"/>
                <w:sz w:val="20"/>
                <w:szCs w:val="20"/>
              </w:rPr>
            </w:pPr>
            <w:r w:rsidRPr="000B47E1">
              <w:rPr>
                <w:color w:val="000000"/>
                <w:sz w:val="20"/>
                <w:szCs w:val="20"/>
              </w:rPr>
              <w:t>0.16</w:t>
            </w:r>
          </w:p>
        </w:tc>
        <w:tc>
          <w:tcPr>
            <w:tcW w:w="1228" w:type="dxa"/>
          </w:tcPr>
          <w:p w:rsidR="001E0494" w:rsidRPr="000B47E1" w:rsidRDefault="001E0494" w:rsidP="003F25DC">
            <w:pPr>
              <w:spacing w:line="276" w:lineRule="auto"/>
              <w:rPr>
                <w:sz w:val="20"/>
                <w:szCs w:val="20"/>
              </w:rPr>
            </w:pPr>
            <w:r w:rsidRPr="000B47E1">
              <w:rPr>
                <w:sz w:val="20"/>
                <w:szCs w:val="20"/>
              </w:rPr>
              <w:t>Normal</w:t>
            </w:r>
          </w:p>
        </w:tc>
        <w:tc>
          <w:tcPr>
            <w:tcW w:w="1020" w:type="dxa"/>
          </w:tcPr>
          <w:p w:rsidR="001E0494" w:rsidRPr="006C4659" w:rsidRDefault="001E0494" w:rsidP="00D25242">
            <w:pPr>
              <w:spacing w:line="276" w:lineRule="auto"/>
              <w:rPr>
                <w:sz w:val="20"/>
                <w:szCs w:val="20"/>
                <w:lang w:val="nl-NL"/>
              </w:rPr>
            </w:pPr>
          </w:p>
        </w:tc>
        <w:tc>
          <w:tcPr>
            <w:tcW w:w="2574" w:type="dxa"/>
          </w:tcPr>
          <w:p w:rsidR="001E0494" w:rsidRPr="006C4659" w:rsidRDefault="001E0494" w:rsidP="00FE70C7">
            <w:pPr>
              <w:spacing w:line="276" w:lineRule="auto"/>
              <w:rPr>
                <w:sz w:val="20"/>
                <w:szCs w:val="20"/>
                <w:lang w:val="nl-NL"/>
              </w:rPr>
            </w:pPr>
            <w:proofErr w:type="spellStart"/>
            <w:r w:rsidRPr="006C4659">
              <w:rPr>
                <w:sz w:val="20"/>
                <w:szCs w:val="20"/>
                <w:lang w:val="nl-NL"/>
              </w:rPr>
              <w:t>Bilcke</w:t>
            </w:r>
            <w:proofErr w:type="spellEnd"/>
            <w:r w:rsidRPr="006C4659">
              <w:rPr>
                <w:sz w:val="20"/>
                <w:szCs w:val="20"/>
                <w:lang w:val="nl-NL"/>
              </w:rPr>
              <w:t xml:space="preserve">, 2014 </w:t>
            </w:r>
            <w:r w:rsidR="00FE70C7">
              <w:rPr>
                <w:noProof/>
                <w:sz w:val="20"/>
                <w:szCs w:val="20"/>
              </w:rPr>
              <w:t>[11]</w:t>
            </w:r>
            <w:r w:rsidRPr="006C4659">
              <w:rPr>
                <w:sz w:val="20"/>
                <w:szCs w:val="20"/>
                <w:lang w:val="nl-NL"/>
              </w:rPr>
              <w:t xml:space="preserve"> drug </w:t>
            </w:r>
            <w:proofErr w:type="spellStart"/>
            <w:r w:rsidRPr="006C4659">
              <w:rPr>
                <w:sz w:val="20"/>
                <w:szCs w:val="20"/>
                <w:lang w:val="nl-NL"/>
              </w:rPr>
              <w:t>costs</w:t>
            </w:r>
            <w:proofErr w:type="spellEnd"/>
          </w:p>
        </w:tc>
      </w:tr>
      <w:tr w:rsidR="001E0494" w:rsidRPr="008F1D67" w:rsidTr="009A59DD">
        <w:tc>
          <w:tcPr>
            <w:tcW w:w="2071" w:type="dxa"/>
          </w:tcPr>
          <w:p w:rsidR="001E0494" w:rsidRPr="000B47E1" w:rsidRDefault="001E0494" w:rsidP="003F25DC">
            <w:pPr>
              <w:spacing w:line="276" w:lineRule="auto"/>
              <w:rPr>
                <w:sz w:val="20"/>
                <w:szCs w:val="20"/>
              </w:rPr>
            </w:pPr>
            <w:r w:rsidRPr="000B47E1">
              <w:rPr>
                <w:sz w:val="20"/>
                <w:szCs w:val="20"/>
              </w:rPr>
              <w:t>GP visit</w:t>
            </w:r>
          </w:p>
        </w:tc>
        <w:tc>
          <w:tcPr>
            <w:tcW w:w="1305" w:type="dxa"/>
          </w:tcPr>
          <w:p w:rsidR="001E0494" w:rsidRPr="000B47E1" w:rsidRDefault="001E0494" w:rsidP="003F25DC">
            <w:pPr>
              <w:spacing w:line="276" w:lineRule="auto"/>
              <w:jc w:val="right"/>
              <w:rPr>
                <w:color w:val="000000"/>
                <w:sz w:val="20"/>
                <w:szCs w:val="20"/>
                <w:lang w:val="nl-NL"/>
              </w:rPr>
            </w:pPr>
            <w:r>
              <w:rPr>
                <w:color w:val="000000"/>
                <w:sz w:val="20"/>
                <w:szCs w:val="20"/>
              </w:rPr>
              <w:t>€</w:t>
            </w:r>
            <w:r w:rsidRPr="000B47E1">
              <w:rPr>
                <w:color w:val="000000"/>
                <w:sz w:val="20"/>
                <w:szCs w:val="20"/>
              </w:rPr>
              <w:t>21.45</w:t>
            </w:r>
          </w:p>
        </w:tc>
        <w:tc>
          <w:tcPr>
            <w:tcW w:w="959" w:type="dxa"/>
          </w:tcPr>
          <w:p w:rsidR="001E0494" w:rsidRPr="000B47E1" w:rsidRDefault="001E0494" w:rsidP="003F25DC">
            <w:pPr>
              <w:spacing w:line="276" w:lineRule="auto"/>
              <w:jc w:val="right"/>
              <w:rPr>
                <w:color w:val="000000"/>
                <w:sz w:val="20"/>
                <w:szCs w:val="20"/>
              </w:rPr>
            </w:pPr>
            <w:r w:rsidRPr="000B47E1">
              <w:rPr>
                <w:color w:val="000000"/>
                <w:sz w:val="20"/>
                <w:szCs w:val="20"/>
              </w:rPr>
              <w:t>1.97</w:t>
            </w:r>
          </w:p>
        </w:tc>
        <w:tc>
          <w:tcPr>
            <w:tcW w:w="1228" w:type="dxa"/>
          </w:tcPr>
          <w:p w:rsidR="001E0494" w:rsidRPr="000B47E1" w:rsidRDefault="001E0494" w:rsidP="003F25DC">
            <w:pPr>
              <w:spacing w:line="276" w:lineRule="auto"/>
              <w:rPr>
                <w:sz w:val="20"/>
                <w:szCs w:val="20"/>
              </w:rPr>
            </w:pPr>
            <w:r w:rsidRPr="000B47E1">
              <w:rPr>
                <w:sz w:val="20"/>
                <w:szCs w:val="20"/>
              </w:rPr>
              <w:t>Normal</w:t>
            </w:r>
          </w:p>
        </w:tc>
        <w:tc>
          <w:tcPr>
            <w:tcW w:w="1020" w:type="dxa"/>
          </w:tcPr>
          <w:p w:rsidR="001E0494" w:rsidRPr="006C4659" w:rsidRDefault="001E0494" w:rsidP="00D25242">
            <w:pPr>
              <w:spacing w:line="276" w:lineRule="auto"/>
              <w:rPr>
                <w:sz w:val="20"/>
                <w:szCs w:val="20"/>
                <w:lang w:val="nl-NL"/>
              </w:rPr>
            </w:pPr>
          </w:p>
        </w:tc>
        <w:tc>
          <w:tcPr>
            <w:tcW w:w="2574" w:type="dxa"/>
          </w:tcPr>
          <w:p w:rsidR="001E0494" w:rsidRPr="006C4659" w:rsidRDefault="001E0494" w:rsidP="00FE70C7">
            <w:pPr>
              <w:spacing w:line="276" w:lineRule="auto"/>
              <w:rPr>
                <w:sz w:val="20"/>
                <w:szCs w:val="20"/>
                <w:lang w:val="nl-NL"/>
              </w:rPr>
            </w:pPr>
            <w:proofErr w:type="spellStart"/>
            <w:r w:rsidRPr="006C4659">
              <w:rPr>
                <w:sz w:val="20"/>
                <w:szCs w:val="20"/>
                <w:lang w:val="nl-NL"/>
              </w:rPr>
              <w:t>Mangen</w:t>
            </w:r>
            <w:proofErr w:type="spellEnd"/>
            <w:r w:rsidRPr="006C4659">
              <w:rPr>
                <w:sz w:val="20"/>
                <w:szCs w:val="20"/>
                <w:lang w:val="nl-NL"/>
              </w:rPr>
              <w:t xml:space="preserve">, 2015 </w:t>
            </w:r>
            <w:r w:rsidR="00FE70C7">
              <w:rPr>
                <w:noProof/>
                <w:sz w:val="20"/>
                <w:szCs w:val="20"/>
              </w:rPr>
              <w:t>[10]</w:t>
            </w:r>
          </w:p>
        </w:tc>
      </w:tr>
      <w:tr w:rsidR="001E0494" w:rsidRPr="008F1D67" w:rsidTr="009A59DD">
        <w:tc>
          <w:tcPr>
            <w:tcW w:w="2071" w:type="dxa"/>
          </w:tcPr>
          <w:p w:rsidR="001E0494" w:rsidRPr="000B47E1" w:rsidRDefault="001E0494" w:rsidP="003F25DC">
            <w:pPr>
              <w:spacing w:line="276" w:lineRule="auto"/>
              <w:rPr>
                <w:sz w:val="20"/>
                <w:szCs w:val="20"/>
              </w:rPr>
            </w:pPr>
            <w:r w:rsidRPr="000B47E1">
              <w:rPr>
                <w:sz w:val="20"/>
                <w:szCs w:val="20"/>
              </w:rPr>
              <w:t>Hospitalizatio</w:t>
            </w:r>
            <w:r>
              <w:rPr>
                <w:sz w:val="20"/>
                <w:szCs w:val="20"/>
              </w:rPr>
              <w:t>n</w:t>
            </w:r>
          </w:p>
        </w:tc>
        <w:tc>
          <w:tcPr>
            <w:tcW w:w="1305" w:type="dxa"/>
          </w:tcPr>
          <w:p w:rsidR="001E0494" w:rsidRPr="000B47E1" w:rsidRDefault="001E0494" w:rsidP="003F25DC">
            <w:pPr>
              <w:spacing w:line="276" w:lineRule="auto"/>
              <w:jc w:val="right"/>
              <w:rPr>
                <w:color w:val="000000"/>
                <w:sz w:val="20"/>
                <w:szCs w:val="20"/>
                <w:lang w:val="nl-NL"/>
              </w:rPr>
            </w:pPr>
            <w:r>
              <w:rPr>
                <w:color w:val="000000"/>
                <w:sz w:val="20"/>
                <w:szCs w:val="20"/>
              </w:rPr>
              <w:t>€</w:t>
            </w:r>
            <w:r w:rsidRPr="000B47E1">
              <w:rPr>
                <w:color w:val="000000"/>
                <w:sz w:val="20"/>
                <w:szCs w:val="20"/>
              </w:rPr>
              <w:t>128.21</w:t>
            </w:r>
          </w:p>
        </w:tc>
        <w:tc>
          <w:tcPr>
            <w:tcW w:w="959" w:type="dxa"/>
          </w:tcPr>
          <w:p w:rsidR="001E0494" w:rsidRPr="000B47E1" w:rsidRDefault="001E0494" w:rsidP="003F25DC">
            <w:pPr>
              <w:spacing w:line="276" w:lineRule="auto"/>
              <w:jc w:val="right"/>
              <w:rPr>
                <w:color w:val="000000"/>
                <w:sz w:val="20"/>
                <w:szCs w:val="20"/>
              </w:rPr>
            </w:pPr>
            <w:r w:rsidRPr="000B47E1">
              <w:rPr>
                <w:color w:val="000000"/>
                <w:sz w:val="20"/>
                <w:szCs w:val="20"/>
              </w:rPr>
              <w:t>25.64</w:t>
            </w:r>
          </w:p>
        </w:tc>
        <w:tc>
          <w:tcPr>
            <w:tcW w:w="1228" w:type="dxa"/>
          </w:tcPr>
          <w:p w:rsidR="001E0494" w:rsidRPr="000B47E1" w:rsidRDefault="001E0494" w:rsidP="003F25DC">
            <w:pPr>
              <w:spacing w:line="276" w:lineRule="auto"/>
              <w:rPr>
                <w:sz w:val="20"/>
                <w:szCs w:val="20"/>
              </w:rPr>
            </w:pPr>
            <w:r w:rsidRPr="000B47E1">
              <w:rPr>
                <w:sz w:val="20"/>
                <w:szCs w:val="20"/>
              </w:rPr>
              <w:t>Normal</w:t>
            </w:r>
          </w:p>
        </w:tc>
        <w:tc>
          <w:tcPr>
            <w:tcW w:w="1020" w:type="dxa"/>
          </w:tcPr>
          <w:p w:rsidR="001E0494" w:rsidRPr="006C4659" w:rsidRDefault="001E0494" w:rsidP="00D25242">
            <w:pPr>
              <w:spacing w:line="276" w:lineRule="auto"/>
              <w:rPr>
                <w:sz w:val="20"/>
                <w:szCs w:val="20"/>
                <w:lang w:val="nl-NL"/>
              </w:rPr>
            </w:pPr>
          </w:p>
        </w:tc>
        <w:tc>
          <w:tcPr>
            <w:tcW w:w="2574" w:type="dxa"/>
          </w:tcPr>
          <w:p w:rsidR="001E0494" w:rsidRPr="006C4659" w:rsidRDefault="001E0494" w:rsidP="00FE70C7">
            <w:pPr>
              <w:spacing w:line="276" w:lineRule="auto"/>
              <w:rPr>
                <w:sz w:val="20"/>
                <w:szCs w:val="20"/>
                <w:lang w:val="nl-NL"/>
              </w:rPr>
            </w:pPr>
            <w:r w:rsidRPr="006C4659">
              <w:rPr>
                <w:sz w:val="20"/>
                <w:szCs w:val="20"/>
                <w:lang w:val="nl-NL"/>
              </w:rPr>
              <w:t xml:space="preserve">Van Werkhoven, 2017 </w:t>
            </w:r>
            <w:r w:rsidR="00FE70C7">
              <w:rPr>
                <w:noProof/>
                <w:sz w:val="20"/>
                <w:szCs w:val="20"/>
              </w:rPr>
              <w:t>[20]</w:t>
            </w:r>
          </w:p>
        </w:tc>
      </w:tr>
      <w:tr w:rsidR="001E0494" w:rsidTr="009A59DD">
        <w:tc>
          <w:tcPr>
            <w:tcW w:w="2071" w:type="dxa"/>
          </w:tcPr>
          <w:p w:rsidR="001E0494" w:rsidRPr="000B47E1" w:rsidRDefault="001E0494" w:rsidP="003F25DC">
            <w:pPr>
              <w:spacing w:line="276" w:lineRule="auto"/>
              <w:rPr>
                <w:i/>
                <w:sz w:val="20"/>
                <w:szCs w:val="20"/>
              </w:rPr>
            </w:pPr>
            <w:r w:rsidRPr="000B47E1">
              <w:rPr>
                <w:i/>
                <w:sz w:val="20"/>
                <w:szCs w:val="20"/>
              </w:rPr>
              <w:t>Productivity losses</w:t>
            </w:r>
          </w:p>
        </w:tc>
        <w:tc>
          <w:tcPr>
            <w:tcW w:w="1305" w:type="dxa"/>
          </w:tcPr>
          <w:p w:rsidR="001E0494" w:rsidRPr="000B47E1" w:rsidRDefault="001E0494" w:rsidP="003F25DC">
            <w:pPr>
              <w:spacing w:line="276" w:lineRule="auto"/>
              <w:jc w:val="right"/>
              <w:rPr>
                <w:sz w:val="20"/>
                <w:szCs w:val="20"/>
              </w:rPr>
            </w:pPr>
          </w:p>
        </w:tc>
        <w:tc>
          <w:tcPr>
            <w:tcW w:w="959" w:type="dxa"/>
          </w:tcPr>
          <w:p w:rsidR="001E0494" w:rsidRPr="000B47E1" w:rsidRDefault="001E0494" w:rsidP="003F25DC">
            <w:pPr>
              <w:spacing w:line="276" w:lineRule="auto"/>
              <w:rPr>
                <w:sz w:val="20"/>
                <w:szCs w:val="20"/>
              </w:rPr>
            </w:pPr>
          </w:p>
        </w:tc>
        <w:tc>
          <w:tcPr>
            <w:tcW w:w="1228" w:type="dxa"/>
          </w:tcPr>
          <w:p w:rsidR="001E0494" w:rsidRPr="000B47E1" w:rsidRDefault="001E0494" w:rsidP="003F25DC">
            <w:pPr>
              <w:spacing w:line="276" w:lineRule="auto"/>
              <w:rPr>
                <w:sz w:val="20"/>
                <w:szCs w:val="20"/>
              </w:rPr>
            </w:pPr>
          </w:p>
        </w:tc>
        <w:tc>
          <w:tcPr>
            <w:tcW w:w="1020" w:type="dxa"/>
          </w:tcPr>
          <w:p w:rsidR="001E0494" w:rsidRPr="000B47E1" w:rsidRDefault="001E0494" w:rsidP="003F25DC">
            <w:pPr>
              <w:spacing w:line="276" w:lineRule="auto"/>
              <w:rPr>
                <w:sz w:val="20"/>
                <w:szCs w:val="20"/>
              </w:rPr>
            </w:pPr>
          </w:p>
        </w:tc>
        <w:tc>
          <w:tcPr>
            <w:tcW w:w="2574" w:type="dxa"/>
          </w:tcPr>
          <w:p w:rsidR="001E0494" w:rsidRPr="000B47E1" w:rsidRDefault="001E0494" w:rsidP="003F25DC">
            <w:pPr>
              <w:spacing w:line="276" w:lineRule="auto"/>
              <w:rPr>
                <w:sz w:val="20"/>
                <w:szCs w:val="20"/>
              </w:rPr>
            </w:pPr>
          </w:p>
        </w:tc>
      </w:tr>
      <w:tr w:rsidR="001E0494" w:rsidTr="009A59DD">
        <w:tc>
          <w:tcPr>
            <w:tcW w:w="2071" w:type="dxa"/>
          </w:tcPr>
          <w:p w:rsidR="001E0494" w:rsidRPr="000B47E1" w:rsidRDefault="001E0494" w:rsidP="0038167D">
            <w:pPr>
              <w:spacing w:line="276" w:lineRule="auto"/>
              <w:rPr>
                <w:sz w:val="20"/>
                <w:szCs w:val="20"/>
              </w:rPr>
            </w:pPr>
            <w:r>
              <w:rPr>
                <w:sz w:val="20"/>
                <w:szCs w:val="20"/>
              </w:rPr>
              <w:t>Employed patient (days of absence</w:t>
            </w:r>
            <w:r w:rsidRPr="000B47E1">
              <w:rPr>
                <w:sz w:val="20"/>
                <w:szCs w:val="20"/>
              </w:rPr>
              <w:t>)</w:t>
            </w:r>
          </w:p>
        </w:tc>
        <w:tc>
          <w:tcPr>
            <w:tcW w:w="1305" w:type="dxa"/>
          </w:tcPr>
          <w:p w:rsidR="001E0494" w:rsidRPr="000B47E1" w:rsidRDefault="001E0494" w:rsidP="003F25DC">
            <w:pPr>
              <w:spacing w:line="276" w:lineRule="auto"/>
              <w:jc w:val="right"/>
              <w:rPr>
                <w:sz w:val="20"/>
                <w:szCs w:val="20"/>
              </w:rPr>
            </w:pPr>
          </w:p>
        </w:tc>
        <w:tc>
          <w:tcPr>
            <w:tcW w:w="959" w:type="dxa"/>
          </w:tcPr>
          <w:p w:rsidR="001E0494" w:rsidRPr="000B47E1" w:rsidRDefault="001E0494" w:rsidP="003F25DC">
            <w:pPr>
              <w:spacing w:line="276" w:lineRule="auto"/>
              <w:rPr>
                <w:sz w:val="20"/>
                <w:szCs w:val="20"/>
              </w:rPr>
            </w:pPr>
          </w:p>
        </w:tc>
        <w:tc>
          <w:tcPr>
            <w:tcW w:w="1228" w:type="dxa"/>
          </w:tcPr>
          <w:p w:rsidR="001E0494" w:rsidRPr="000B47E1" w:rsidRDefault="001E0494" w:rsidP="003F25DC">
            <w:pPr>
              <w:spacing w:line="276" w:lineRule="auto"/>
              <w:rPr>
                <w:sz w:val="20"/>
                <w:szCs w:val="20"/>
              </w:rPr>
            </w:pPr>
          </w:p>
        </w:tc>
        <w:tc>
          <w:tcPr>
            <w:tcW w:w="1020" w:type="dxa"/>
          </w:tcPr>
          <w:p w:rsidR="001E0494" w:rsidRPr="000B47E1" w:rsidRDefault="001E0494" w:rsidP="003F25DC">
            <w:pPr>
              <w:spacing w:line="276" w:lineRule="auto"/>
              <w:rPr>
                <w:sz w:val="20"/>
                <w:szCs w:val="20"/>
              </w:rPr>
            </w:pPr>
          </w:p>
        </w:tc>
        <w:tc>
          <w:tcPr>
            <w:tcW w:w="2574" w:type="dxa"/>
          </w:tcPr>
          <w:p w:rsidR="001E0494" w:rsidRPr="000B47E1" w:rsidRDefault="001E0494" w:rsidP="003F25DC">
            <w:pPr>
              <w:spacing w:line="276" w:lineRule="auto"/>
              <w:rPr>
                <w:sz w:val="20"/>
                <w:szCs w:val="20"/>
              </w:rPr>
            </w:pPr>
          </w:p>
        </w:tc>
      </w:tr>
      <w:tr w:rsidR="001E0494" w:rsidTr="009A59DD">
        <w:tc>
          <w:tcPr>
            <w:tcW w:w="2071" w:type="dxa"/>
          </w:tcPr>
          <w:p w:rsidR="001E0494" w:rsidRPr="000B47E1" w:rsidRDefault="001E0494" w:rsidP="003F25DC">
            <w:pPr>
              <w:spacing w:line="276" w:lineRule="auto"/>
              <w:rPr>
                <w:sz w:val="20"/>
                <w:szCs w:val="20"/>
              </w:rPr>
            </w:pPr>
            <w:r w:rsidRPr="000B47E1">
              <w:rPr>
                <w:sz w:val="20"/>
                <w:szCs w:val="20"/>
              </w:rPr>
              <w:t xml:space="preserve">   Non-medically attended</w:t>
            </w:r>
          </w:p>
        </w:tc>
        <w:tc>
          <w:tcPr>
            <w:tcW w:w="1305" w:type="dxa"/>
          </w:tcPr>
          <w:p w:rsidR="001E0494" w:rsidRPr="000B47E1" w:rsidRDefault="001E0494" w:rsidP="003F25DC">
            <w:pPr>
              <w:spacing w:line="276" w:lineRule="auto"/>
              <w:jc w:val="right"/>
              <w:rPr>
                <w:sz w:val="20"/>
                <w:szCs w:val="20"/>
              </w:rPr>
            </w:pPr>
            <w:r w:rsidRPr="000B47E1">
              <w:rPr>
                <w:sz w:val="20"/>
                <w:szCs w:val="20"/>
              </w:rPr>
              <w:t xml:space="preserve"> </w:t>
            </w:r>
          </w:p>
        </w:tc>
        <w:tc>
          <w:tcPr>
            <w:tcW w:w="959" w:type="dxa"/>
          </w:tcPr>
          <w:p w:rsidR="001E0494" w:rsidRPr="000B47E1" w:rsidRDefault="001E0494" w:rsidP="003F25DC">
            <w:pPr>
              <w:spacing w:line="276" w:lineRule="auto"/>
              <w:rPr>
                <w:sz w:val="20"/>
                <w:szCs w:val="20"/>
              </w:rPr>
            </w:pPr>
          </w:p>
        </w:tc>
        <w:tc>
          <w:tcPr>
            <w:tcW w:w="1228" w:type="dxa"/>
          </w:tcPr>
          <w:p w:rsidR="001E0494" w:rsidRPr="000B47E1" w:rsidRDefault="001E0494" w:rsidP="003F25DC">
            <w:pPr>
              <w:spacing w:line="276" w:lineRule="auto"/>
              <w:rPr>
                <w:sz w:val="20"/>
                <w:szCs w:val="20"/>
              </w:rPr>
            </w:pPr>
          </w:p>
        </w:tc>
        <w:tc>
          <w:tcPr>
            <w:tcW w:w="1020" w:type="dxa"/>
          </w:tcPr>
          <w:p w:rsidR="001E0494" w:rsidRDefault="001E0494" w:rsidP="00D25242">
            <w:pPr>
              <w:spacing w:line="276" w:lineRule="auto"/>
              <w:rPr>
                <w:sz w:val="20"/>
                <w:szCs w:val="20"/>
              </w:rPr>
            </w:pPr>
          </w:p>
        </w:tc>
        <w:tc>
          <w:tcPr>
            <w:tcW w:w="2574" w:type="dxa"/>
            <w:vMerge w:val="restart"/>
          </w:tcPr>
          <w:p w:rsidR="001E0494" w:rsidRPr="000B47E1" w:rsidRDefault="001E0494" w:rsidP="00FE70C7">
            <w:pPr>
              <w:spacing w:line="276" w:lineRule="auto"/>
              <w:rPr>
                <w:sz w:val="20"/>
                <w:szCs w:val="20"/>
              </w:rPr>
            </w:pPr>
            <w:r>
              <w:rPr>
                <w:sz w:val="20"/>
                <w:szCs w:val="20"/>
              </w:rPr>
              <w:t xml:space="preserve">Self-reported data from a web-based surveillance system monitoring influenza symptoms (see </w:t>
            </w:r>
            <w:r w:rsidR="00FE70C7">
              <w:rPr>
                <w:noProof/>
                <w:sz w:val="20"/>
                <w:szCs w:val="20"/>
              </w:rPr>
              <w:t>[5]</w:t>
            </w:r>
            <w:r>
              <w:rPr>
                <w:sz w:val="20"/>
                <w:szCs w:val="20"/>
              </w:rPr>
              <w:t xml:space="preserve"> for more details)</w:t>
            </w:r>
          </w:p>
        </w:tc>
      </w:tr>
      <w:tr w:rsidR="001E0494" w:rsidTr="009A59DD">
        <w:tc>
          <w:tcPr>
            <w:tcW w:w="2071" w:type="dxa"/>
            <w:vAlign w:val="bottom"/>
          </w:tcPr>
          <w:p w:rsidR="001E0494" w:rsidRPr="000B47E1" w:rsidRDefault="001E0494" w:rsidP="003F25DC">
            <w:pPr>
              <w:spacing w:line="276" w:lineRule="auto"/>
              <w:rPr>
                <w:color w:val="000000"/>
                <w:sz w:val="20"/>
                <w:szCs w:val="20"/>
              </w:rPr>
            </w:pPr>
            <w:r w:rsidRPr="000B47E1">
              <w:rPr>
                <w:color w:val="000000"/>
                <w:sz w:val="20"/>
                <w:szCs w:val="20"/>
              </w:rPr>
              <w:t xml:space="preserve">     15-24</w:t>
            </w:r>
          </w:p>
        </w:tc>
        <w:tc>
          <w:tcPr>
            <w:tcW w:w="1305" w:type="dxa"/>
          </w:tcPr>
          <w:p w:rsidR="001E0494" w:rsidRPr="000B47E1" w:rsidRDefault="001E0494" w:rsidP="003F25DC">
            <w:pPr>
              <w:spacing w:line="276" w:lineRule="auto"/>
              <w:jc w:val="right"/>
              <w:rPr>
                <w:sz w:val="20"/>
                <w:szCs w:val="20"/>
              </w:rPr>
            </w:pPr>
            <w:r w:rsidRPr="000B47E1">
              <w:rPr>
                <w:sz w:val="20"/>
                <w:szCs w:val="20"/>
              </w:rPr>
              <w:t xml:space="preserve"> 3.29 </w:t>
            </w:r>
          </w:p>
        </w:tc>
        <w:tc>
          <w:tcPr>
            <w:tcW w:w="959" w:type="dxa"/>
          </w:tcPr>
          <w:p w:rsidR="001E0494" w:rsidRPr="000B47E1" w:rsidRDefault="001E0494" w:rsidP="003F25DC">
            <w:pPr>
              <w:spacing w:line="276" w:lineRule="auto"/>
              <w:rPr>
                <w:sz w:val="20"/>
                <w:szCs w:val="20"/>
              </w:rPr>
            </w:pPr>
            <w:r w:rsidRPr="000B47E1">
              <w:rPr>
                <w:sz w:val="20"/>
                <w:szCs w:val="20"/>
              </w:rPr>
              <w:t xml:space="preserve"> 0.15 </w:t>
            </w:r>
          </w:p>
        </w:tc>
        <w:tc>
          <w:tcPr>
            <w:tcW w:w="1228" w:type="dxa"/>
          </w:tcPr>
          <w:p w:rsidR="001E0494" w:rsidRPr="000B47E1" w:rsidRDefault="001E0494" w:rsidP="003F25DC">
            <w:pPr>
              <w:spacing w:line="276" w:lineRule="auto"/>
              <w:rPr>
                <w:sz w:val="20"/>
                <w:szCs w:val="20"/>
              </w:rPr>
            </w:pPr>
            <w:r w:rsidRPr="000B47E1">
              <w:rPr>
                <w:sz w:val="20"/>
                <w:szCs w:val="20"/>
              </w:rPr>
              <w:t>Normal</w:t>
            </w:r>
          </w:p>
        </w:tc>
        <w:tc>
          <w:tcPr>
            <w:tcW w:w="1020" w:type="dxa"/>
          </w:tcPr>
          <w:p w:rsidR="001E0494" w:rsidRPr="000B47E1" w:rsidRDefault="001E0494" w:rsidP="003F25DC">
            <w:pPr>
              <w:spacing w:line="276" w:lineRule="auto"/>
              <w:rPr>
                <w:sz w:val="20"/>
                <w:szCs w:val="20"/>
              </w:rPr>
            </w:pPr>
          </w:p>
        </w:tc>
        <w:tc>
          <w:tcPr>
            <w:tcW w:w="2574" w:type="dxa"/>
            <w:vMerge/>
          </w:tcPr>
          <w:p w:rsidR="001E0494" w:rsidRPr="000B47E1" w:rsidRDefault="001E0494" w:rsidP="003F25DC">
            <w:pPr>
              <w:spacing w:line="276" w:lineRule="auto"/>
              <w:rPr>
                <w:sz w:val="20"/>
                <w:szCs w:val="20"/>
              </w:rPr>
            </w:pPr>
          </w:p>
        </w:tc>
      </w:tr>
      <w:tr w:rsidR="001E0494" w:rsidTr="009A59DD">
        <w:tc>
          <w:tcPr>
            <w:tcW w:w="2071" w:type="dxa"/>
            <w:vAlign w:val="bottom"/>
          </w:tcPr>
          <w:p w:rsidR="001E0494" w:rsidRPr="000B47E1" w:rsidRDefault="001E0494" w:rsidP="003F25DC">
            <w:pPr>
              <w:spacing w:line="276" w:lineRule="auto"/>
              <w:rPr>
                <w:color w:val="000000"/>
                <w:sz w:val="20"/>
                <w:szCs w:val="20"/>
              </w:rPr>
            </w:pPr>
            <w:r w:rsidRPr="000B47E1">
              <w:rPr>
                <w:color w:val="000000"/>
                <w:sz w:val="20"/>
                <w:szCs w:val="20"/>
              </w:rPr>
              <w:t xml:space="preserve">     25-44</w:t>
            </w:r>
          </w:p>
        </w:tc>
        <w:tc>
          <w:tcPr>
            <w:tcW w:w="1305" w:type="dxa"/>
          </w:tcPr>
          <w:p w:rsidR="001E0494" w:rsidRPr="000B47E1" w:rsidRDefault="001E0494" w:rsidP="003F25DC">
            <w:pPr>
              <w:spacing w:line="276" w:lineRule="auto"/>
              <w:jc w:val="right"/>
              <w:rPr>
                <w:sz w:val="20"/>
                <w:szCs w:val="20"/>
              </w:rPr>
            </w:pPr>
            <w:r w:rsidRPr="000B47E1">
              <w:rPr>
                <w:sz w:val="20"/>
                <w:szCs w:val="20"/>
              </w:rPr>
              <w:t xml:space="preserve"> 3.41 </w:t>
            </w:r>
          </w:p>
        </w:tc>
        <w:tc>
          <w:tcPr>
            <w:tcW w:w="959" w:type="dxa"/>
          </w:tcPr>
          <w:p w:rsidR="001E0494" w:rsidRPr="000B47E1" w:rsidRDefault="001E0494" w:rsidP="003F25DC">
            <w:pPr>
              <w:spacing w:line="276" w:lineRule="auto"/>
              <w:rPr>
                <w:sz w:val="20"/>
                <w:szCs w:val="20"/>
              </w:rPr>
            </w:pPr>
            <w:r w:rsidRPr="000B47E1">
              <w:rPr>
                <w:sz w:val="20"/>
                <w:szCs w:val="20"/>
              </w:rPr>
              <w:t xml:space="preserve"> 0.04 </w:t>
            </w:r>
          </w:p>
        </w:tc>
        <w:tc>
          <w:tcPr>
            <w:tcW w:w="1228" w:type="dxa"/>
          </w:tcPr>
          <w:p w:rsidR="001E0494" w:rsidRPr="000B47E1" w:rsidRDefault="001E0494" w:rsidP="003F25DC">
            <w:pPr>
              <w:spacing w:line="276" w:lineRule="auto"/>
              <w:rPr>
                <w:sz w:val="20"/>
                <w:szCs w:val="20"/>
              </w:rPr>
            </w:pPr>
            <w:r w:rsidRPr="000B47E1">
              <w:rPr>
                <w:sz w:val="20"/>
                <w:szCs w:val="20"/>
              </w:rPr>
              <w:t>Normal</w:t>
            </w:r>
          </w:p>
        </w:tc>
        <w:tc>
          <w:tcPr>
            <w:tcW w:w="1020" w:type="dxa"/>
          </w:tcPr>
          <w:p w:rsidR="001E0494" w:rsidRPr="000B47E1" w:rsidRDefault="001E0494" w:rsidP="003F25DC">
            <w:pPr>
              <w:spacing w:line="276" w:lineRule="auto"/>
              <w:rPr>
                <w:sz w:val="20"/>
                <w:szCs w:val="20"/>
              </w:rPr>
            </w:pPr>
          </w:p>
        </w:tc>
        <w:tc>
          <w:tcPr>
            <w:tcW w:w="2574" w:type="dxa"/>
            <w:vMerge/>
          </w:tcPr>
          <w:p w:rsidR="001E0494" w:rsidRPr="000B47E1" w:rsidRDefault="001E0494" w:rsidP="003F25DC">
            <w:pPr>
              <w:spacing w:line="276" w:lineRule="auto"/>
              <w:rPr>
                <w:sz w:val="20"/>
                <w:szCs w:val="20"/>
              </w:rPr>
            </w:pPr>
          </w:p>
        </w:tc>
      </w:tr>
      <w:tr w:rsidR="001E0494" w:rsidTr="009A59DD">
        <w:tc>
          <w:tcPr>
            <w:tcW w:w="2071" w:type="dxa"/>
            <w:vAlign w:val="bottom"/>
          </w:tcPr>
          <w:p w:rsidR="001E0494" w:rsidRPr="000B47E1" w:rsidRDefault="001E0494" w:rsidP="003F25DC">
            <w:pPr>
              <w:spacing w:line="276" w:lineRule="auto"/>
              <w:rPr>
                <w:color w:val="000000"/>
                <w:sz w:val="20"/>
                <w:szCs w:val="20"/>
              </w:rPr>
            </w:pPr>
            <w:r w:rsidRPr="000B47E1">
              <w:rPr>
                <w:color w:val="000000"/>
                <w:sz w:val="20"/>
                <w:szCs w:val="20"/>
              </w:rPr>
              <w:t xml:space="preserve">     45-59</w:t>
            </w:r>
          </w:p>
        </w:tc>
        <w:tc>
          <w:tcPr>
            <w:tcW w:w="1305" w:type="dxa"/>
          </w:tcPr>
          <w:p w:rsidR="001E0494" w:rsidRPr="000B47E1" w:rsidRDefault="001E0494" w:rsidP="003F25DC">
            <w:pPr>
              <w:spacing w:line="276" w:lineRule="auto"/>
              <w:jc w:val="right"/>
              <w:rPr>
                <w:sz w:val="20"/>
                <w:szCs w:val="20"/>
              </w:rPr>
            </w:pPr>
            <w:r w:rsidRPr="000B47E1">
              <w:rPr>
                <w:sz w:val="20"/>
                <w:szCs w:val="20"/>
              </w:rPr>
              <w:t xml:space="preserve"> 3.89 </w:t>
            </w:r>
          </w:p>
        </w:tc>
        <w:tc>
          <w:tcPr>
            <w:tcW w:w="959" w:type="dxa"/>
          </w:tcPr>
          <w:p w:rsidR="001E0494" w:rsidRPr="000B47E1" w:rsidRDefault="001E0494" w:rsidP="003F25DC">
            <w:pPr>
              <w:spacing w:line="276" w:lineRule="auto"/>
              <w:rPr>
                <w:sz w:val="20"/>
                <w:szCs w:val="20"/>
              </w:rPr>
            </w:pPr>
            <w:r w:rsidRPr="000B47E1">
              <w:rPr>
                <w:sz w:val="20"/>
                <w:szCs w:val="20"/>
              </w:rPr>
              <w:t xml:space="preserve"> 0.06 </w:t>
            </w:r>
          </w:p>
        </w:tc>
        <w:tc>
          <w:tcPr>
            <w:tcW w:w="1228" w:type="dxa"/>
          </w:tcPr>
          <w:p w:rsidR="001E0494" w:rsidRPr="000B47E1" w:rsidRDefault="001E0494" w:rsidP="003F25DC">
            <w:pPr>
              <w:spacing w:line="276" w:lineRule="auto"/>
              <w:rPr>
                <w:sz w:val="20"/>
                <w:szCs w:val="20"/>
              </w:rPr>
            </w:pPr>
            <w:r w:rsidRPr="000B47E1">
              <w:rPr>
                <w:sz w:val="20"/>
                <w:szCs w:val="20"/>
              </w:rPr>
              <w:t>Normal</w:t>
            </w:r>
          </w:p>
        </w:tc>
        <w:tc>
          <w:tcPr>
            <w:tcW w:w="1020" w:type="dxa"/>
          </w:tcPr>
          <w:p w:rsidR="001E0494" w:rsidRPr="000B47E1" w:rsidRDefault="001E0494" w:rsidP="003F25DC">
            <w:pPr>
              <w:spacing w:line="276" w:lineRule="auto"/>
              <w:rPr>
                <w:sz w:val="20"/>
                <w:szCs w:val="20"/>
              </w:rPr>
            </w:pPr>
          </w:p>
        </w:tc>
        <w:tc>
          <w:tcPr>
            <w:tcW w:w="2574" w:type="dxa"/>
            <w:vMerge/>
          </w:tcPr>
          <w:p w:rsidR="001E0494" w:rsidRPr="000B47E1" w:rsidRDefault="001E0494" w:rsidP="003F25DC">
            <w:pPr>
              <w:spacing w:line="276" w:lineRule="auto"/>
              <w:rPr>
                <w:sz w:val="20"/>
                <w:szCs w:val="20"/>
              </w:rPr>
            </w:pPr>
          </w:p>
        </w:tc>
      </w:tr>
      <w:tr w:rsidR="001E0494" w:rsidTr="009A59DD">
        <w:tc>
          <w:tcPr>
            <w:tcW w:w="2071" w:type="dxa"/>
            <w:vAlign w:val="bottom"/>
          </w:tcPr>
          <w:p w:rsidR="001E0494" w:rsidRPr="000B47E1" w:rsidRDefault="001E0494" w:rsidP="003F25DC">
            <w:pPr>
              <w:spacing w:line="276" w:lineRule="auto"/>
              <w:rPr>
                <w:color w:val="000000"/>
                <w:sz w:val="20"/>
                <w:szCs w:val="20"/>
              </w:rPr>
            </w:pPr>
            <w:r w:rsidRPr="000B47E1">
              <w:rPr>
                <w:color w:val="000000"/>
                <w:sz w:val="20"/>
                <w:szCs w:val="20"/>
              </w:rPr>
              <w:t xml:space="preserve">     60-69</w:t>
            </w:r>
          </w:p>
        </w:tc>
        <w:tc>
          <w:tcPr>
            <w:tcW w:w="1305" w:type="dxa"/>
          </w:tcPr>
          <w:p w:rsidR="001E0494" w:rsidRPr="000B47E1" w:rsidRDefault="001E0494" w:rsidP="003F25DC">
            <w:pPr>
              <w:spacing w:line="276" w:lineRule="auto"/>
              <w:jc w:val="right"/>
              <w:rPr>
                <w:sz w:val="20"/>
                <w:szCs w:val="20"/>
              </w:rPr>
            </w:pPr>
            <w:r w:rsidRPr="000B47E1">
              <w:rPr>
                <w:sz w:val="20"/>
                <w:szCs w:val="20"/>
              </w:rPr>
              <w:t xml:space="preserve"> 3.49 </w:t>
            </w:r>
          </w:p>
        </w:tc>
        <w:tc>
          <w:tcPr>
            <w:tcW w:w="959" w:type="dxa"/>
          </w:tcPr>
          <w:p w:rsidR="001E0494" w:rsidRPr="000B47E1" w:rsidRDefault="001E0494" w:rsidP="003F25DC">
            <w:pPr>
              <w:spacing w:line="276" w:lineRule="auto"/>
              <w:rPr>
                <w:sz w:val="20"/>
                <w:szCs w:val="20"/>
              </w:rPr>
            </w:pPr>
            <w:r w:rsidRPr="000B47E1">
              <w:rPr>
                <w:sz w:val="20"/>
                <w:szCs w:val="20"/>
              </w:rPr>
              <w:t xml:space="preserve"> 0.17 </w:t>
            </w:r>
          </w:p>
        </w:tc>
        <w:tc>
          <w:tcPr>
            <w:tcW w:w="1228" w:type="dxa"/>
          </w:tcPr>
          <w:p w:rsidR="001E0494" w:rsidRPr="000B47E1" w:rsidRDefault="001E0494" w:rsidP="003F25DC">
            <w:pPr>
              <w:spacing w:line="276" w:lineRule="auto"/>
              <w:rPr>
                <w:sz w:val="20"/>
                <w:szCs w:val="20"/>
              </w:rPr>
            </w:pPr>
            <w:r w:rsidRPr="000B47E1">
              <w:rPr>
                <w:sz w:val="20"/>
                <w:szCs w:val="20"/>
              </w:rPr>
              <w:t>Normal</w:t>
            </w:r>
          </w:p>
        </w:tc>
        <w:tc>
          <w:tcPr>
            <w:tcW w:w="1020" w:type="dxa"/>
          </w:tcPr>
          <w:p w:rsidR="001E0494" w:rsidRPr="000B47E1" w:rsidRDefault="001E0494" w:rsidP="003F25DC">
            <w:pPr>
              <w:spacing w:line="276" w:lineRule="auto"/>
              <w:rPr>
                <w:sz w:val="20"/>
                <w:szCs w:val="20"/>
              </w:rPr>
            </w:pPr>
          </w:p>
        </w:tc>
        <w:tc>
          <w:tcPr>
            <w:tcW w:w="2574" w:type="dxa"/>
            <w:vMerge/>
          </w:tcPr>
          <w:p w:rsidR="001E0494" w:rsidRPr="000B47E1" w:rsidRDefault="001E0494" w:rsidP="003F25DC">
            <w:pPr>
              <w:spacing w:line="276" w:lineRule="auto"/>
              <w:rPr>
                <w:sz w:val="20"/>
                <w:szCs w:val="20"/>
              </w:rPr>
            </w:pPr>
          </w:p>
        </w:tc>
      </w:tr>
      <w:tr w:rsidR="001E0494" w:rsidTr="009A59DD">
        <w:tc>
          <w:tcPr>
            <w:tcW w:w="2071" w:type="dxa"/>
          </w:tcPr>
          <w:p w:rsidR="001E0494" w:rsidRPr="000B47E1" w:rsidRDefault="001E0494" w:rsidP="003F25DC">
            <w:pPr>
              <w:spacing w:line="276" w:lineRule="auto"/>
              <w:rPr>
                <w:sz w:val="20"/>
                <w:szCs w:val="20"/>
              </w:rPr>
            </w:pPr>
            <w:r w:rsidRPr="000B47E1">
              <w:rPr>
                <w:sz w:val="20"/>
                <w:szCs w:val="20"/>
              </w:rPr>
              <w:t xml:space="preserve">   GP visit</w:t>
            </w:r>
          </w:p>
        </w:tc>
        <w:tc>
          <w:tcPr>
            <w:tcW w:w="1305" w:type="dxa"/>
          </w:tcPr>
          <w:p w:rsidR="001E0494" w:rsidRPr="000B47E1" w:rsidRDefault="001E0494" w:rsidP="003F25DC">
            <w:pPr>
              <w:spacing w:line="276" w:lineRule="auto"/>
              <w:jc w:val="right"/>
              <w:rPr>
                <w:sz w:val="20"/>
                <w:szCs w:val="20"/>
              </w:rPr>
            </w:pPr>
          </w:p>
        </w:tc>
        <w:tc>
          <w:tcPr>
            <w:tcW w:w="959" w:type="dxa"/>
          </w:tcPr>
          <w:p w:rsidR="001E0494" w:rsidRPr="000B47E1" w:rsidRDefault="001E0494" w:rsidP="003F25DC">
            <w:pPr>
              <w:spacing w:line="276" w:lineRule="auto"/>
              <w:jc w:val="right"/>
              <w:rPr>
                <w:sz w:val="20"/>
                <w:szCs w:val="20"/>
              </w:rPr>
            </w:pPr>
          </w:p>
        </w:tc>
        <w:tc>
          <w:tcPr>
            <w:tcW w:w="1228" w:type="dxa"/>
          </w:tcPr>
          <w:p w:rsidR="001E0494" w:rsidRPr="000B47E1" w:rsidRDefault="001E0494" w:rsidP="003F25DC">
            <w:pPr>
              <w:spacing w:line="276" w:lineRule="auto"/>
              <w:rPr>
                <w:sz w:val="20"/>
                <w:szCs w:val="20"/>
              </w:rPr>
            </w:pPr>
          </w:p>
        </w:tc>
        <w:tc>
          <w:tcPr>
            <w:tcW w:w="1020" w:type="dxa"/>
          </w:tcPr>
          <w:p w:rsidR="001E0494" w:rsidRPr="000B47E1" w:rsidRDefault="001E0494" w:rsidP="003F25DC">
            <w:pPr>
              <w:spacing w:line="276" w:lineRule="auto"/>
              <w:rPr>
                <w:sz w:val="20"/>
                <w:szCs w:val="20"/>
              </w:rPr>
            </w:pPr>
          </w:p>
        </w:tc>
        <w:tc>
          <w:tcPr>
            <w:tcW w:w="2574" w:type="dxa"/>
            <w:vMerge/>
          </w:tcPr>
          <w:p w:rsidR="001E0494" w:rsidRPr="000B47E1" w:rsidRDefault="001E0494" w:rsidP="003F25DC">
            <w:pPr>
              <w:spacing w:line="276" w:lineRule="auto"/>
              <w:rPr>
                <w:sz w:val="20"/>
                <w:szCs w:val="20"/>
              </w:rPr>
            </w:pPr>
          </w:p>
        </w:tc>
      </w:tr>
      <w:tr w:rsidR="001E0494" w:rsidTr="009A59DD">
        <w:tc>
          <w:tcPr>
            <w:tcW w:w="2071" w:type="dxa"/>
            <w:vAlign w:val="bottom"/>
          </w:tcPr>
          <w:p w:rsidR="001E0494" w:rsidRPr="000B47E1" w:rsidRDefault="001E0494" w:rsidP="003F25DC">
            <w:pPr>
              <w:spacing w:line="276" w:lineRule="auto"/>
              <w:rPr>
                <w:color w:val="000000"/>
                <w:sz w:val="20"/>
                <w:szCs w:val="20"/>
              </w:rPr>
            </w:pPr>
            <w:r w:rsidRPr="000B47E1">
              <w:rPr>
                <w:color w:val="000000"/>
                <w:sz w:val="20"/>
                <w:szCs w:val="20"/>
              </w:rPr>
              <w:t xml:space="preserve">     15-24</w:t>
            </w:r>
          </w:p>
        </w:tc>
        <w:tc>
          <w:tcPr>
            <w:tcW w:w="1305" w:type="dxa"/>
          </w:tcPr>
          <w:p w:rsidR="001E0494" w:rsidRPr="000B47E1" w:rsidRDefault="001E0494" w:rsidP="003F25DC">
            <w:pPr>
              <w:spacing w:line="276" w:lineRule="auto"/>
              <w:jc w:val="right"/>
              <w:rPr>
                <w:sz w:val="20"/>
                <w:szCs w:val="20"/>
              </w:rPr>
            </w:pPr>
            <w:r w:rsidRPr="000B47E1">
              <w:rPr>
                <w:sz w:val="20"/>
                <w:szCs w:val="20"/>
              </w:rPr>
              <w:t xml:space="preserve"> 5.19 </w:t>
            </w:r>
          </w:p>
        </w:tc>
        <w:tc>
          <w:tcPr>
            <w:tcW w:w="959" w:type="dxa"/>
          </w:tcPr>
          <w:p w:rsidR="001E0494" w:rsidRPr="000B47E1" w:rsidRDefault="001E0494" w:rsidP="003F25DC">
            <w:pPr>
              <w:spacing w:line="276" w:lineRule="auto"/>
              <w:rPr>
                <w:sz w:val="20"/>
                <w:szCs w:val="20"/>
              </w:rPr>
            </w:pPr>
            <w:r w:rsidRPr="000B47E1">
              <w:rPr>
                <w:sz w:val="20"/>
                <w:szCs w:val="20"/>
              </w:rPr>
              <w:t xml:space="preserve"> 0.30 </w:t>
            </w:r>
          </w:p>
        </w:tc>
        <w:tc>
          <w:tcPr>
            <w:tcW w:w="1228" w:type="dxa"/>
          </w:tcPr>
          <w:p w:rsidR="001E0494" w:rsidRPr="000B47E1" w:rsidRDefault="001E0494" w:rsidP="003F25DC">
            <w:pPr>
              <w:spacing w:line="276" w:lineRule="auto"/>
              <w:rPr>
                <w:sz w:val="20"/>
                <w:szCs w:val="20"/>
              </w:rPr>
            </w:pPr>
            <w:r w:rsidRPr="000B47E1">
              <w:rPr>
                <w:sz w:val="20"/>
                <w:szCs w:val="20"/>
              </w:rPr>
              <w:t>Normal</w:t>
            </w:r>
          </w:p>
        </w:tc>
        <w:tc>
          <w:tcPr>
            <w:tcW w:w="1020" w:type="dxa"/>
          </w:tcPr>
          <w:p w:rsidR="001E0494" w:rsidRPr="000B47E1" w:rsidRDefault="001E0494" w:rsidP="003F25DC">
            <w:pPr>
              <w:spacing w:line="276" w:lineRule="auto"/>
              <w:rPr>
                <w:sz w:val="20"/>
                <w:szCs w:val="20"/>
              </w:rPr>
            </w:pPr>
          </w:p>
        </w:tc>
        <w:tc>
          <w:tcPr>
            <w:tcW w:w="2574" w:type="dxa"/>
            <w:vMerge/>
          </w:tcPr>
          <w:p w:rsidR="001E0494" w:rsidRPr="000B47E1" w:rsidRDefault="001E0494" w:rsidP="003F25DC">
            <w:pPr>
              <w:spacing w:line="276" w:lineRule="auto"/>
              <w:rPr>
                <w:sz w:val="20"/>
                <w:szCs w:val="20"/>
              </w:rPr>
            </w:pPr>
          </w:p>
        </w:tc>
      </w:tr>
      <w:tr w:rsidR="001E0494" w:rsidTr="009A59DD">
        <w:tc>
          <w:tcPr>
            <w:tcW w:w="2071" w:type="dxa"/>
            <w:vAlign w:val="bottom"/>
          </w:tcPr>
          <w:p w:rsidR="001E0494" w:rsidRPr="000B47E1" w:rsidRDefault="001E0494" w:rsidP="003F25DC">
            <w:pPr>
              <w:spacing w:line="276" w:lineRule="auto"/>
              <w:rPr>
                <w:color w:val="000000"/>
                <w:sz w:val="20"/>
                <w:szCs w:val="20"/>
              </w:rPr>
            </w:pPr>
            <w:r w:rsidRPr="000B47E1">
              <w:rPr>
                <w:color w:val="000000"/>
                <w:sz w:val="20"/>
                <w:szCs w:val="20"/>
              </w:rPr>
              <w:t xml:space="preserve">     25-44</w:t>
            </w:r>
          </w:p>
        </w:tc>
        <w:tc>
          <w:tcPr>
            <w:tcW w:w="1305" w:type="dxa"/>
          </w:tcPr>
          <w:p w:rsidR="001E0494" w:rsidRPr="000B47E1" w:rsidRDefault="001E0494" w:rsidP="003F25DC">
            <w:pPr>
              <w:spacing w:line="276" w:lineRule="auto"/>
              <w:jc w:val="right"/>
              <w:rPr>
                <w:sz w:val="20"/>
                <w:szCs w:val="20"/>
              </w:rPr>
            </w:pPr>
            <w:r w:rsidRPr="000B47E1">
              <w:rPr>
                <w:sz w:val="20"/>
                <w:szCs w:val="20"/>
              </w:rPr>
              <w:t xml:space="preserve"> 6.20 </w:t>
            </w:r>
          </w:p>
        </w:tc>
        <w:tc>
          <w:tcPr>
            <w:tcW w:w="959" w:type="dxa"/>
          </w:tcPr>
          <w:p w:rsidR="001E0494" w:rsidRPr="000B47E1" w:rsidRDefault="001E0494" w:rsidP="003F25DC">
            <w:pPr>
              <w:spacing w:line="276" w:lineRule="auto"/>
              <w:rPr>
                <w:sz w:val="20"/>
                <w:szCs w:val="20"/>
              </w:rPr>
            </w:pPr>
            <w:r w:rsidRPr="000B47E1">
              <w:rPr>
                <w:sz w:val="20"/>
                <w:szCs w:val="20"/>
              </w:rPr>
              <w:t xml:space="preserve"> 0.12 </w:t>
            </w:r>
          </w:p>
        </w:tc>
        <w:tc>
          <w:tcPr>
            <w:tcW w:w="1228" w:type="dxa"/>
          </w:tcPr>
          <w:p w:rsidR="001E0494" w:rsidRPr="000B47E1" w:rsidRDefault="001E0494" w:rsidP="003F25DC">
            <w:pPr>
              <w:spacing w:line="276" w:lineRule="auto"/>
              <w:rPr>
                <w:sz w:val="20"/>
                <w:szCs w:val="20"/>
              </w:rPr>
            </w:pPr>
            <w:r w:rsidRPr="000B47E1">
              <w:rPr>
                <w:sz w:val="20"/>
                <w:szCs w:val="20"/>
              </w:rPr>
              <w:t>Normal</w:t>
            </w:r>
          </w:p>
        </w:tc>
        <w:tc>
          <w:tcPr>
            <w:tcW w:w="1020" w:type="dxa"/>
          </w:tcPr>
          <w:p w:rsidR="001E0494" w:rsidRPr="000B47E1" w:rsidRDefault="001E0494" w:rsidP="003F25DC">
            <w:pPr>
              <w:spacing w:line="276" w:lineRule="auto"/>
              <w:rPr>
                <w:sz w:val="20"/>
                <w:szCs w:val="20"/>
              </w:rPr>
            </w:pPr>
          </w:p>
        </w:tc>
        <w:tc>
          <w:tcPr>
            <w:tcW w:w="2574" w:type="dxa"/>
            <w:vMerge/>
          </w:tcPr>
          <w:p w:rsidR="001E0494" w:rsidRPr="000B47E1" w:rsidRDefault="001E0494" w:rsidP="003F25DC">
            <w:pPr>
              <w:spacing w:line="276" w:lineRule="auto"/>
              <w:rPr>
                <w:sz w:val="20"/>
                <w:szCs w:val="20"/>
              </w:rPr>
            </w:pPr>
          </w:p>
        </w:tc>
      </w:tr>
      <w:tr w:rsidR="001E0494" w:rsidTr="009A59DD">
        <w:tc>
          <w:tcPr>
            <w:tcW w:w="2071" w:type="dxa"/>
            <w:vAlign w:val="bottom"/>
          </w:tcPr>
          <w:p w:rsidR="001E0494" w:rsidRPr="000B47E1" w:rsidRDefault="001E0494" w:rsidP="003F25DC">
            <w:pPr>
              <w:spacing w:line="276" w:lineRule="auto"/>
              <w:rPr>
                <w:color w:val="000000"/>
                <w:sz w:val="20"/>
                <w:szCs w:val="20"/>
              </w:rPr>
            </w:pPr>
            <w:r w:rsidRPr="000B47E1">
              <w:rPr>
                <w:color w:val="000000"/>
                <w:sz w:val="20"/>
                <w:szCs w:val="20"/>
              </w:rPr>
              <w:t xml:space="preserve">     45-59</w:t>
            </w:r>
          </w:p>
        </w:tc>
        <w:tc>
          <w:tcPr>
            <w:tcW w:w="1305" w:type="dxa"/>
          </w:tcPr>
          <w:p w:rsidR="001E0494" w:rsidRPr="000B47E1" w:rsidRDefault="001E0494" w:rsidP="003F25DC">
            <w:pPr>
              <w:spacing w:line="276" w:lineRule="auto"/>
              <w:jc w:val="right"/>
              <w:rPr>
                <w:sz w:val="20"/>
                <w:szCs w:val="20"/>
              </w:rPr>
            </w:pPr>
            <w:r w:rsidRPr="000B47E1">
              <w:rPr>
                <w:sz w:val="20"/>
                <w:szCs w:val="20"/>
              </w:rPr>
              <w:t xml:space="preserve"> 6.88 </w:t>
            </w:r>
          </w:p>
        </w:tc>
        <w:tc>
          <w:tcPr>
            <w:tcW w:w="959" w:type="dxa"/>
          </w:tcPr>
          <w:p w:rsidR="001E0494" w:rsidRPr="000B47E1" w:rsidRDefault="001E0494" w:rsidP="003F25DC">
            <w:pPr>
              <w:spacing w:line="276" w:lineRule="auto"/>
              <w:rPr>
                <w:sz w:val="20"/>
                <w:szCs w:val="20"/>
              </w:rPr>
            </w:pPr>
            <w:r w:rsidRPr="000B47E1">
              <w:rPr>
                <w:sz w:val="20"/>
                <w:szCs w:val="20"/>
              </w:rPr>
              <w:t xml:space="preserve"> 0.16 </w:t>
            </w:r>
          </w:p>
        </w:tc>
        <w:tc>
          <w:tcPr>
            <w:tcW w:w="1228" w:type="dxa"/>
          </w:tcPr>
          <w:p w:rsidR="001E0494" w:rsidRPr="000B47E1" w:rsidRDefault="001E0494" w:rsidP="003F25DC">
            <w:pPr>
              <w:spacing w:line="276" w:lineRule="auto"/>
              <w:rPr>
                <w:sz w:val="20"/>
                <w:szCs w:val="20"/>
              </w:rPr>
            </w:pPr>
            <w:r w:rsidRPr="000B47E1">
              <w:rPr>
                <w:sz w:val="20"/>
                <w:szCs w:val="20"/>
              </w:rPr>
              <w:t>Normal</w:t>
            </w:r>
          </w:p>
        </w:tc>
        <w:tc>
          <w:tcPr>
            <w:tcW w:w="1020" w:type="dxa"/>
          </w:tcPr>
          <w:p w:rsidR="001E0494" w:rsidRPr="000B47E1" w:rsidRDefault="001E0494" w:rsidP="003F25DC">
            <w:pPr>
              <w:spacing w:line="276" w:lineRule="auto"/>
              <w:rPr>
                <w:sz w:val="20"/>
                <w:szCs w:val="20"/>
              </w:rPr>
            </w:pPr>
          </w:p>
        </w:tc>
        <w:tc>
          <w:tcPr>
            <w:tcW w:w="2574" w:type="dxa"/>
            <w:vMerge/>
          </w:tcPr>
          <w:p w:rsidR="001E0494" w:rsidRPr="000B47E1" w:rsidRDefault="001E0494" w:rsidP="003F25DC">
            <w:pPr>
              <w:spacing w:line="276" w:lineRule="auto"/>
              <w:rPr>
                <w:sz w:val="20"/>
                <w:szCs w:val="20"/>
              </w:rPr>
            </w:pPr>
          </w:p>
        </w:tc>
      </w:tr>
      <w:tr w:rsidR="001E0494" w:rsidTr="009A59DD">
        <w:tc>
          <w:tcPr>
            <w:tcW w:w="2071" w:type="dxa"/>
            <w:vAlign w:val="bottom"/>
          </w:tcPr>
          <w:p w:rsidR="001E0494" w:rsidRPr="000B47E1" w:rsidRDefault="001E0494" w:rsidP="003F25DC">
            <w:pPr>
              <w:spacing w:line="276" w:lineRule="auto"/>
              <w:rPr>
                <w:color w:val="000000"/>
                <w:sz w:val="20"/>
                <w:szCs w:val="20"/>
              </w:rPr>
            </w:pPr>
            <w:r w:rsidRPr="000B47E1">
              <w:rPr>
                <w:color w:val="000000"/>
                <w:sz w:val="20"/>
                <w:szCs w:val="20"/>
              </w:rPr>
              <w:t xml:space="preserve">     60-69</w:t>
            </w:r>
          </w:p>
        </w:tc>
        <w:tc>
          <w:tcPr>
            <w:tcW w:w="1305" w:type="dxa"/>
          </w:tcPr>
          <w:p w:rsidR="001E0494" w:rsidRPr="000B47E1" w:rsidRDefault="001E0494" w:rsidP="003F25DC">
            <w:pPr>
              <w:spacing w:line="276" w:lineRule="auto"/>
              <w:jc w:val="right"/>
              <w:rPr>
                <w:sz w:val="20"/>
                <w:szCs w:val="20"/>
              </w:rPr>
            </w:pPr>
            <w:r w:rsidRPr="000B47E1">
              <w:rPr>
                <w:sz w:val="20"/>
                <w:szCs w:val="20"/>
              </w:rPr>
              <w:t xml:space="preserve"> 5.88 </w:t>
            </w:r>
          </w:p>
        </w:tc>
        <w:tc>
          <w:tcPr>
            <w:tcW w:w="959" w:type="dxa"/>
          </w:tcPr>
          <w:p w:rsidR="001E0494" w:rsidRPr="000B47E1" w:rsidRDefault="001E0494" w:rsidP="003F25DC">
            <w:pPr>
              <w:spacing w:line="276" w:lineRule="auto"/>
              <w:rPr>
                <w:sz w:val="20"/>
                <w:szCs w:val="20"/>
              </w:rPr>
            </w:pPr>
            <w:r w:rsidRPr="000B47E1">
              <w:rPr>
                <w:sz w:val="20"/>
                <w:szCs w:val="20"/>
              </w:rPr>
              <w:t xml:space="preserve"> 0.22 </w:t>
            </w:r>
          </w:p>
        </w:tc>
        <w:tc>
          <w:tcPr>
            <w:tcW w:w="1228" w:type="dxa"/>
          </w:tcPr>
          <w:p w:rsidR="001E0494" w:rsidRPr="000B47E1" w:rsidRDefault="001E0494" w:rsidP="003F25DC">
            <w:pPr>
              <w:spacing w:line="276" w:lineRule="auto"/>
              <w:rPr>
                <w:sz w:val="20"/>
                <w:szCs w:val="20"/>
              </w:rPr>
            </w:pPr>
            <w:r w:rsidRPr="000B47E1">
              <w:rPr>
                <w:sz w:val="20"/>
                <w:szCs w:val="20"/>
              </w:rPr>
              <w:t>Normal</w:t>
            </w:r>
          </w:p>
        </w:tc>
        <w:tc>
          <w:tcPr>
            <w:tcW w:w="1020" w:type="dxa"/>
          </w:tcPr>
          <w:p w:rsidR="001E0494" w:rsidRPr="000B47E1" w:rsidRDefault="001E0494" w:rsidP="003F25DC">
            <w:pPr>
              <w:spacing w:line="276" w:lineRule="auto"/>
              <w:rPr>
                <w:sz w:val="20"/>
                <w:szCs w:val="20"/>
              </w:rPr>
            </w:pPr>
          </w:p>
        </w:tc>
        <w:tc>
          <w:tcPr>
            <w:tcW w:w="2574" w:type="dxa"/>
            <w:vMerge/>
          </w:tcPr>
          <w:p w:rsidR="001E0494" w:rsidRPr="000B47E1" w:rsidRDefault="001E0494" w:rsidP="003F25DC">
            <w:pPr>
              <w:spacing w:line="276" w:lineRule="auto"/>
              <w:rPr>
                <w:sz w:val="20"/>
                <w:szCs w:val="20"/>
              </w:rPr>
            </w:pPr>
          </w:p>
        </w:tc>
      </w:tr>
      <w:tr w:rsidR="001E0494" w:rsidTr="009A59DD">
        <w:tc>
          <w:tcPr>
            <w:tcW w:w="2071" w:type="dxa"/>
          </w:tcPr>
          <w:p w:rsidR="001E0494" w:rsidRPr="000B47E1" w:rsidRDefault="001E0494" w:rsidP="003F25DC">
            <w:pPr>
              <w:spacing w:line="276" w:lineRule="auto"/>
              <w:rPr>
                <w:sz w:val="20"/>
                <w:szCs w:val="20"/>
              </w:rPr>
            </w:pPr>
            <w:r w:rsidRPr="000B47E1">
              <w:rPr>
                <w:sz w:val="20"/>
                <w:szCs w:val="20"/>
              </w:rPr>
              <w:t xml:space="preserve">   Hospitalization</w:t>
            </w:r>
          </w:p>
        </w:tc>
        <w:tc>
          <w:tcPr>
            <w:tcW w:w="1305" w:type="dxa"/>
          </w:tcPr>
          <w:p w:rsidR="001E0494" w:rsidRPr="000B47E1" w:rsidRDefault="001E0494" w:rsidP="003F25DC">
            <w:pPr>
              <w:spacing w:line="276" w:lineRule="auto"/>
              <w:jc w:val="right"/>
              <w:rPr>
                <w:sz w:val="20"/>
                <w:szCs w:val="20"/>
              </w:rPr>
            </w:pPr>
            <w:r w:rsidRPr="000B47E1">
              <w:rPr>
                <w:sz w:val="20"/>
                <w:szCs w:val="20"/>
              </w:rPr>
              <w:t>Equal to LOS</w:t>
            </w:r>
          </w:p>
        </w:tc>
        <w:tc>
          <w:tcPr>
            <w:tcW w:w="959" w:type="dxa"/>
          </w:tcPr>
          <w:p w:rsidR="001E0494" w:rsidRPr="000B47E1" w:rsidRDefault="001E0494" w:rsidP="003F25DC">
            <w:pPr>
              <w:spacing w:line="276" w:lineRule="auto"/>
              <w:rPr>
                <w:sz w:val="20"/>
                <w:szCs w:val="20"/>
              </w:rPr>
            </w:pPr>
          </w:p>
        </w:tc>
        <w:tc>
          <w:tcPr>
            <w:tcW w:w="1228" w:type="dxa"/>
          </w:tcPr>
          <w:p w:rsidR="001E0494" w:rsidRPr="000B47E1" w:rsidRDefault="001E0494" w:rsidP="003F25DC">
            <w:pPr>
              <w:spacing w:line="276" w:lineRule="auto"/>
              <w:rPr>
                <w:sz w:val="20"/>
                <w:szCs w:val="20"/>
              </w:rPr>
            </w:pPr>
          </w:p>
        </w:tc>
        <w:tc>
          <w:tcPr>
            <w:tcW w:w="1020" w:type="dxa"/>
          </w:tcPr>
          <w:p w:rsidR="001E0494" w:rsidRPr="000B47E1" w:rsidRDefault="001E0494" w:rsidP="003F25DC">
            <w:pPr>
              <w:spacing w:line="276" w:lineRule="auto"/>
              <w:rPr>
                <w:sz w:val="20"/>
                <w:szCs w:val="20"/>
              </w:rPr>
            </w:pPr>
          </w:p>
        </w:tc>
        <w:tc>
          <w:tcPr>
            <w:tcW w:w="2574" w:type="dxa"/>
          </w:tcPr>
          <w:p w:rsidR="001E0494" w:rsidRPr="000B47E1" w:rsidRDefault="001E0494" w:rsidP="003F25DC">
            <w:pPr>
              <w:spacing w:line="276" w:lineRule="auto"/>
              <w:rPr>
                <w:sz w:val="20"/>
                <w:szCs w:val="20"/>
              </w:rPr>
            </w:pPr>
            <w:r>
              <w:rPr>
                <w:sz w:val="20"/>
                <w:szCs w:val="20"/>
              </w:rPr>
              <w:t>Assumption</w:t>
            </w:r>
          </w:p>
        </w:tc>
      </w:tr>
      <w:tr w:rsidR="001E0494" w:rsidTr="009A59DD">
        <w:tc>
          <w:tcPr>
            <w:tcW w:w="2071" w:type="dxa"/>
          </w:tcPr>
          <w:p w:rsidR="001E0494" w:rsidRPr="000B47E1" w:rsidRDefault="001E0494" w:rsidP="003F25DC">
            <w:pPr>
              <w:spacing w:line="276" w:lineRule="auto"/>
              <w:rPr>
                <w:sz w:val="20"/>
                <w:szCs w:val="20"/>
              </w:rPr>
            </w:pPr>
            <w:r w:rsidRPr="000B47E1">
              <w:rPr>
                <w:sz w:val="20"/>
                <w:szCs w:val="20"/>
              </w:rPr>
              <w:t xml:space="preserve">   Death</w:t>
            </w:r>
          </w:p>
        </w:tc>
        <w:tc>
          <w:tcPr>
            <w:tcW w:w="1305" w:type="dxa"/>
          </w:tcPr>
          <w:p w:rsidR="001E0494" w:rsidRPr="000B47E1" w:rsidRDefault="001E0494" w:rsidP="003F25DC">
            <w:pPr>
              <w:spacing w:line="276" w:lineRule="auto"/>
              <w:jc w:val="right"/>
              <w:rPr>
                <w:sz w:val="20"/>
                <w:szCs w:val="20"/>
              </w:rPr>
            </w:pPr>
            <w:r w:rsidRPr="000B47E1">
              <w:rPr>
                <w:sz w:val="20"/>
                <w:szCs w:val="20"/>
              </w:rPr>
              <w:t>85</w:t>
            </w:r>
          </w:p>
        </w:tc>
        <w:tc>
          <w:tcPr>
            <w:tcW w:w="959" w:type="dxa"/>
          </w:tcPr>
          <w:p w:rsidR="001E0494" w:rsidRPr="000B47E1" w:rsidRDefault="001E0494" w:rsidP="003F25DC">
            <w:pPr>
              <w:spacing w:line="276" w:lineRule="auto"/>
              <w:rPr>
                <w:sz w:val="20"/>
                <w:szCs w:val="20"/>
              </w:rPr>
            </w:pPr>
          </w:p>
        </w:tc>
        <w:tc>
          <w:tcPr>
            <w:tcW w:w="1228" w:type="dxa"/>
          </w:tcPr>
          <w:p w:rsidR="001E0494" w:rsidRPr="000B47E1" w:rsidRDefault="001E0494" w:rsidP="003F25DC">
            <w:pPr>
              <w:spacing w:line="276" w:lineRule="auto"/>
              <w:rPr>
                <w:sz w:val="20"/>
                <w:szCs w:val="20"/>
              </w:rPr>
            </w:pPr>
          </w:p>
        </w:tc>
        <w:tc>
          <w:tcPr>
            <w:tcW w:w="1020" w:type="dxa"/>
          </w:tcPr>
          <w:p w:rsidR="001E0494" w:rsidRPr="000B47E1" w:rsidRDefault="001E0494" w:rsidP="00D25242">
            <w:pPr>
              <w:spacing w:line="276" w:lineRule="auto"/>
              <w:rPr>
                <w:sz w:val="20"/>
                <w:szCs w:val="20"/>
              </w:rPr>
            </w:pPr>
            <w:r>
              <w:rPr>
                <w:sz w:val="20"/>
                <w:szCs w:val="20"/>
              </w:rPr>
              <w:t>HCA</w:t>
            </w:r>
          </w:p>
        </w:tc>
        <w:tc>
          <w:tcPr>
            <w:tcW w:w="2574" w:type="dxa"/>
          </w:tcPr>
          <w:p w:rsidR="001E0494" w:rsidRPr="000B47E1" w:rsidRDefault="001E0494" w:rsidP="00FE70C7">
            <w:pPr>
              <w:spacing w:line="276" w:lineRule="auto"/>
              <w:rPr>
                <w:sz w:val="20"/>
                <w:szCs w:val="20"/>
              </w:rPr>
            </w:pPr>
            <w:r w:rsidRPr="000B47E1">
              <w:rPr>
                <w:sz w:val="20"/>
                <w:szCs w:val="20"/>
              </w:rPr>
              <w:t>Dutch CE guideline, 2016</w:t>
            </w:r>
            <w:r>
              <w:rPr>
                <w:sz w:val="20"/>
                <w:szCs w:val="20"/>
              </w:rPr>
              <w:t xml:space="preserve"> </w:t>
            </w:r>
            <w:r w:rsidR="00FE70C7">
              <w:rPr>
                <w:noProof/>
                <w:sz w:val="20"/>
                <w:szCs w:val="20"/>
              </w:rPr>
              <w:t>[17]</w:t>
            </w:r>
            <w:r>
              <w:rPr>
                <w:sz w:val="20"/>
                <w:szCs w:val="20"/>
              </w:rPr>
              <w:t>, friction period</w:t>
            </w:r>
          </w:p>
        </w:tc>
      </w:tr>
      <w:tr w:rsidR="001E0494" w:rsidTr="009A59DD">
        <w:tc>
          <w:tcPr>
            <w:tcW w:w="2071" w:type="dxa"/>
          </w:tcPr>
          <w:p w:rsidR="001E0494" w:rsidRPr="000B47E1" w:rsidRDefault="001E0494" w:rsidP="0038167D">
            <w:pPr>
              <w:spacing w:line="276" w:lineRule="auto"/>
              <w:rPr>
                <w:sz w:val="20"/>
                <w:szCs w:val="20"/>
              </w:rPr>
            </w:pPr>
            <w:r>
              <w:rPr>
                <w:sz w:val="20"/>
                <w:szCs w:val="20"/>
              </w:rPr>
              <w:t>Employed c</w:t>
            </w:r>
            <w:r w:rsidRPr="000B47E1">
              <w:rPr>
                <w:sz w:val="20"/>
                <w:szCs w:val="20"/>
              </w:rPr>
              <w:t>aregiver (days of absence)</w:t>
            </w:r>
          </w:p>
        </w:tc>
        <w:tc>
          <w:tcPr>
            <w:tcW w:w="1305" w:type="dxa"/>
          </w:tcPr>
          <w:p w:rsidR="001E0494" w:rsidRPr="000B47E1" w:rsidRDefault="001E0494" w:rsidP="003F25DC">
            <w:pPr>
              <w:spacing w:line="276" w:lineRule="auto"/>
              <w:jc w:val="right"/>
              <w:rPr>
                <w:sz w:val="20"/>
                <w:szCs w:val="20"/>
              </w:rPr>
            </w:pPr>
          </w:p>
        </w:tc>
        <w:tc>
          <w:tcPr>
            <w:tcW w:w="959" w:type="dxa"/>
          </w:tcPr>
          <w:p w:rsidR="001E0494" w:rsidRPr="000B47E1" w:rsidRDefault="001E0494" w:rsidP="003F25DC">
            <w:pPr>
              <w:spacing w:line="276" w:lineRule="auto"/>
              <w:rPr>
                <w:sz w:val="20"/>
                <w:szCs w:val="20"/>
              </w:rPr>
            </w:pPr>
          </w:p>
        </w:tc>
        <w:tc>
          <w:tcPr>
            <w:tcW w:w="1228" w:type="dxa"/>
          </w:tcPr>
          <w:p w:rsidR="001E0494" w:rsidRPr="000B47E1" w:rsidRDefault="001E0494" w:rsidP="003F25DC">
            <w:pPr>
              <w:spacing w:line="276" w:lineRule="auto"/>
              <w:rPr>
                <w:sz w:val="20"/>
                <w:szCs w:val="20"/>
              </w:rPr>
            </w:pPr>
          </w:p>
        </w:tc>
        <w:tc>
          <w:tcPr>
            <w:tcW w:w="1020" w:type="dxa"/>
          </w:tcPr>
          <w:p w:rsidR="001E0494" w:rsidRPr="000B47E1" w:rsidRDefault="001E0494" w:rsidP="003F25DC">
            <w:pPr>
              <w:spacing w:line="276" w:lineRule="auto"/>
              <w:rPr>
                <w:sz w:val="20"/>
                <w:szCs w:val="20"/>
              </w:rPr>
            </w:pPr>
          </w:p>
        </w:tc>
        <w:tc>
          <w:tcPr>
            <w:tcW w:w="2574" w:type="dxa"/>
          </w:tcPr>
          <w:p w:rsidR="001E0494" w:rsidRPr="000B47E1" w:rsidRDefault="001E0494" w:rsidP="003F25DC">
            <w:pPr>
              <w:spacing w:line="276" w:lineRule="auto"/>
              <w:rPr>
                <w:sz w:val="20"/>
                <w:szCs w:val="20"/>
              </w:rPr>
            </w:pPr>
          </w:p>
        </w:tc>
      </w:tr>
      <w:tr w:rsidR="001E0494" w:rsidRPr="008F1D67" w:rsidTr="009A59DD">
        <w:tc>
          <w:tcPr>
            <w:tcW w:w="2071" w:type="dxa"/>
          </w:tcPr>
          <w:p w:rsidR="001E0494" w:rsidRPr="000B47E1" w:rsidRDefault="001E0494" w:rsidP="003F25DC">
            <w:pPr>
              <w:spacing w:line="276" w:lineRule="auto"/>
              <w:rPr>
                <w:sz w:val="20"/>
                <w:szCs w:val="20"/>
              </w:rPr>
            </w:pPr>
            <w:r w:rsidRPr="000B47E1">
              <w:rPr>
                <w:sz w:val="20"/>
                <w:szCs w:val="20"/>
              </w:rPr>
              <w:t xml:space="preserve">   Non-hospitalized</w:t>
            </w:r>
          </w:p>
        </w:tc>
        <w:tc>
          <w:tcPr>
            <w:tcW w:w="1305" w:type="dxa"/>
          </w:tcPr>
          <w:p w:rsidR="001E0494" w:rsidRPr="000B47E1" w:rsidRDefault="001E0494" w:rsidP="003F25DC">
            <w:pPr>
              <w:spacing w:line="276" w:lineRule="auto"/>
              <w:jc w:val="right"/>
              <w:rPr>
                <w:sz w:val="20"/>
                <w:szCs w:val="20"/>
              </w:rPr>
            </w:pPr>
            <w:r w:rsidRPr="000B47E1">
              <w:rPr>
                <w:sz w:val="20"/>
                <w:szCs w:val="20"/>
              </w:rPr>
              <w:t xml:space="preserve"> 0.61 </w:t>
            </w:r>
          </w:p>
        </w:tc>
        <w:tc>
          <w:tcPr>
            <w:tcW w:w="959" w:type="dxa"/>
          </w:tcPr>
          <w:p w:rsidR="001E0494" w:rsidRPr="000B47E1" w:rsidRDefault="001E0494" w:rsidP="003F25DC">
            <w:pPr>
              <w:spacing w:line="276" w:lineRule="auto"/>
              <w:rPr>
                <w:sz w:val="20"/>
                <w:szCs w:val="20"/>
              </w:rPr>
            </w:pPr>
            <w:r w:rsidRPr="000B47E1">
              <w:rPr>
                <w:sz w:val="20"/>
                <w:szCs w:val="20"/>
              </w:rPr>
              <w:t xml:space="preserve"> 0.078 </w:t>
            </w:r>
          </w:p>
        </w:tc>
        <w:tc>
          <w:tcPr>
            <w:tcW w:w="1228" w:type="dxa"/>
          </w:tcPr>
          <w:p w:rsidR="001E0494" w:rsidRPr="000B47E1" w:rsidRDefault="001E0494" w:rsidP="003F25DC">
            <w:pPr>
              <w:spacing w:line="276" w:lineRule="auto"/>
              <w:rPr>
                <w:sz w:val="20"/>
                <w:szCs w:val="20"/>
              </w:rPr>
            </w:pPr>
            <w:r w:rsidRPr="000B47E1">
              <w:rPr>
                <w:sz w:val="20"/>
                <w:szCs w:val="20"/>
              </w:rPr>
              <w:t>Normal</w:t>
            </w:r>
          </w:p>
        </w:tc>
        <w:tc>
          <w:tcPr>
            <w:tcW w:w="1020" w:type="dxa"/>
          </w:tcPr>
          <w:p w:rsidR="001E0494" w:rsidRPr="006C4659" w:rsidRDefault="001E0494" w:rsidP="00D25242">
            <w:pPr>
              <w:spacing w:line="276" w:lineRule="auto"/>
              <w:rPr>
                <w:sz w:val="20"/>
                <w:szCs w:val="20"/>
                <w:lang w:val="nl-NL"/>
              </w:rPr>
            </w:pPr>
          </w:p>
        </w:tc>
        <w:tc>
          <w:tcPr>
            <w:tcW w:w="2574" w:type="dxa"/>
          </w:tcPr>
          <w:p w:rsidR="001E0494" w:rsidRPr="006C4659" w:rsidRDefault="001E0494" w:rsidP="00FE70C7">
            <w:pPr>
              <w:spacing w:line="276" w:lineRule="auto"/>
              <w:rPr>
                <w:sz w:val="20"/>
                <w:szCs w:val="20"/>
                <w:lang w:val="nl-NL"/>
              </w:rPr>
            </w:pPr>
            <w:proofErr w:type="spellStart"/>
            <w:r w:rsidRPr="006C4659">
              <w:rPr>
                <w:sz w:val="20"/>
                <w:szCs w:val="20"/>
                <w:lang w:val="nl-NL"/>
              </w:rPr>
              <w:t>Enserink</w:t>
            </w:r>
            <w:proofErr w:type="spellEnd"/>
            <w:r w:rsidRPr="006C4659">
              <w:rPr>
                <w:sz w:val="20"/>
                <w:szCs w:val="20"/>
                <w:lang w:val="nl-NL"/>
              </w:rPr>
              <w:t xml:space="preserve">, 2014 </w:t>
            </w:r>
            <w:r w:rsidR="00FE70C7">
              <w:rPr>
                <w:noProof/>
                <w:sz w:val="20"/>
                <w:szCs w:val="20"/>
              </w:rPr>
              <w:t>[13]</w:t>
            </w:r>
          </w:p>
        </w:tc>
      </w:tr>
      <w:tr w:rsidR="001E0494" w:rsidRPr="008F1D67" w:rsidTr="009A59DD">
        <w:tc>
          <w:tcPr>
            <w:tcW w:w="2071" w:type="dxa"/>
          </w:tcPr>
          <w:p w:rsidR="001E0494" w:rsidRPr="000B47E1" w:rsidRDefault="001E0494" w:rsidP="003F25DC">
            <w:pPr>
              <w:spacing w:line="276" w:lineRule="auto"/>
              <w:rPr>
                <w:sz w:val="20"/>
                <w:szCs w:val="20"/>
              </w:rPr>
            </w:pPr>
            <w:r w:rsidRPr="006C4659">
              <w:rPr>
                <w:sz w:val="20"/>
                <w:szCs w:val="20"/>
                <w:lang w:val="nl-NL"/>
              </w:rPr>
              <w:t xml:space="preserve">   </w:t>
            </w:r>
            <w:r w:rsidRPr="000B47E1">
              <w:rPr>
                <w:sz w:val="20"/>
                <w:szCs w:val="20"/>
              </w:rPr>
              <w:t>Hospitalized</w:t>
            </w:r>
          </w:p>
        </w:tc>
        <w:tc>
          <w:tcPr>
            <w:tcW w:w="1305" w:type="dxa"/>
          </w:tcPr>
          <w:p w:rsidR="001E0494" w:rsidRPr="000B47E1" w:rsidRDefault="001E0494" w:rsidP="003F25DC">
            <w:pPr>
              <w:spacing w:line="276" w:lineRule="auto"/>
              <w:jc w:val="right"/>
              <w:rPr>
                <w:sz w:val="20"/>
                <w:szCs w:val="20"/>
              </w:rPr>
            </w:pPr>
            <w:r w:rsidRPr="000B47E1">
              <w:rPr>
                <w:sz w:val="20"/>
                <w:szCs w:val="20"/>
              </w:rPr>
              <w:t>2.00</w:t>
            </w:r>
          </w:p>
        </w:tc>
        <w:tc>
          <w:tcPr>
            <w:tcW w:w="959" w:type="dxa"/>
          </w:tcPr>
          <w:p w:rsidR="001E0494" w:rsidRPr="000B47E1" w:rsidRDefault="001E0494" w:rsidP="003F25DC">
            <w:pPr>
              <w:spacing w:line="276" w:lineRule="auto"/>
              <w:rPr>
                <w:sz w:val="20"/>
                <w:szCs w:val="20"/>
              </w:rPr>
            </w:pPr>
            <w:r w:rsidRPr="000B47E1">
              <w:rPr>
                <w:sz w:val="20"/>
                <w:szCs w:val="20"/>
              </w:rPr>
              <w:t xml:space="preserve"> 0.26 </w:t>
            </w:r>
          </w:p>
        </w:tc>
        <w:tc>
          <w:tcPr>
            <w:tcW w:w="1228" w:type="dxa"/>
          </w:tcPr>
          <w:p w:rsidR="001E0494" w:rsidRPr="000B47E1" w:rsidRDefault="001E0494" w:rsidP="003F25DC">
            <w:pPr>
              <w:spacing w:line="276" w:lineRule="auto"/>
              <w:rPr>
                <w:sz w:val="20"/>
                <w:szCs w:val="20"/>
              </w:rPr>
            </w:pPr>
            <w:r w:rsidRPr="000B47E1">
              <w:rPr>
                <w:sz w:val="20"/>
                <w:szCs w:val="20"/>
              </w:rPr>
              <w:t>Normal</w:t>
            </w:r>
          </w:p>
        </w:tc>
        <w:tc>
          <w:tcPr>
            <w:tcW w:w="1020" w:type="dxa"/>
          </w:tcPr>
          <w:p w:rsidR="001E0494" w:rsidRPr="006C4659" w:rsidRDefault="001E0494" w:rsidP="00D25242">
            <w:pPr>
              <w:spacing w:line="276" w:lineRule="auto"/>
              <w:rPr>
                <w:sz w:val="20"/>
                <w:szCs w:val="20"/>
                <w:lang w:val="nl-NL"/>
              </w:rPr>
            </w:pPr>
          </w:p>
        </w:tc>
        <w:tc>
          <w:tcPr>
            <w:tcW w:w="2574" w:type="dxa"/>
          </w:tcPr>
          <w:p w:rsidR="001E0494" w:rsidRPr="006C4659" w:rsidRDefault="001E0494" w:rsidP="00FE70C7">
            <w:pPr>
              <w:spacing w:line="276" w:lineRule="auto"/>
              <w:rPr>
                <w:sz w:val="20"/>
                <w:szCs w:val="20"/>
                <w:lang w:val="nl-NL"/>
              </w:rPr>
            </w:pPr>
            <w:r w:rsidRPr="006C4659">
              <w:rPr>
                <w:sz w:val="20"/>
                <w:szCs w:val="20"/>
                <w:lang w:val="nl-NL"/>
              </w:rPr>
              <w:t xml:space="preserve">Miedema, 2001 </w:t>
            </w:r>
            <w:r w:rsidR="00FE70C7">
              <w:rPr>
                <w:noProof/>
                <w:sz w:val="20"/>
                <w:szCs w:val="20"/>
              </w:rPr>
              <w:t>[24]</w:t>
            </w:r>
          </w:p>
        </w:tc>
      </w:tr>
      <w:tr w:rsidR="001E0494" w:rsidTr="009A59DD">
        <w:tc>
          <w:tcPr>
            <w:tcW w:w="2071" w:type="dxa"/>
            <w:vAlign w:val="bottom"/>
          </w:tcPr>
          <w:p w:rsidR="001E0494" w:rsidRPr="000B47E1" w:rsidRDefault="001E0494" w:rsidP="003F25DC">
            <w:pPr>
              <w:spacing w:line="276" w:lineRule="auto"/>
              <w:rPr>
                <w:color w:val="000000"/>
                <w:sz w:val="20"/>
                <w:szCs w:val="20"/>
              </w:rPr>
            </w:pPr>
            <w:r w:rsidRPr="000B47E1">
              <w:rPr>
                <w:color w:val="000000"/>
                <w:sz w:val="20"/>
                <w:szCs w:val="20"/>
              </w:rPr>
              <w:t>Average number of work hours per week</w:t>
            </w:r>
          </w:p>
        </w:tc>
        <w:tc>
          <w:tcPr>
            <w:tcW w:w="1305" w:type="dxa"/>
          </w:tcPr>
          <w:p w:rsidR="001E0494" w:rsidRPr="000B47E1" w:rsidRDefault="001E0494" w:rsidP="003F25DC">
            <w:pPr>
              <w:spacing w:line="276" w:lineRule="auto"/>
              <w:jc w:val="right"/>
              <w:rPr>
                <w:sz w:val="20"/>
                <w:szCs w:val="20"/>
              </w:rPr>
            </w:pPr>
            <w:r w:rsidRPr="000B47E1">
              <w:rPr>
                <w:sz w:val="20"/>
                <w:szCs w:val="20"/>
              </w:rPr>
              <w:t>Age-specific</w:t>
            </w:r>
          </w:p>
        </w:tc>
        <w:tc>
          <w:tcPr>
            <w:tcW w:w="959" w:type="dxa"/>
          </w:tcPr>
          <w:p w:rsidR="001E0494" w:rsidRPr="000B47E1" w:rsidRDefault="001E0494" w:rsidP="003F25DC">
            <w:pPr>
              <w:spacing w:line="276" w:lineRule="auto"/>
              <w:rPr>
                <w:sz w:val="20"/>
                <w:szCs w:val="20"/>
              </w:rPr>
            </w:pPr>
          </w:p>
        </w:tc>
        <w:tc>
          <w:tcPr>
            <w:tcW w:w="1228" w:type="dxa"/>
          </w:tcPr>
          <w:p w:rsidR="001E0494" w:rsidRPr="000B47E1" w:rsidRDefault="001E0494" w:rsidP="003F25DC">
            <w:pPr>
              <w:spacing w:line="276" w:lineRule="auto"/>
              <w:rPr>
                <w:sz w:val="20"/>
                <w:szCs w:val="20"/>
              </w:rPr>
            </w:pPr>
          </w:p>
        </w:tc>
        <w:tc>
          <w:tcPr>
            <w:tcW w:w="1020" w:type="dxa"/>
          </w:tcPr>
          <w:p w:rsidR="001E0494" w:rsidRPr="000B47E1" w:rsidRDefault="001E0494" w:rsidP="00D25242">
            <w:pPr>
              <w:spacing w:line="276" w:lineRule="auto"/>
              <w:rPr>
                <w:sz w:val="20"/>
                <w:szCs w:val="20"/>
              </w:rPr>
            </w:pPr>
          </w:p>
        </w:tc>
        <w:tc>
          <w:tcPr>
            <w:tcW w:w="2574" w:type="dxa"/>
          </w:tcPr>
          <w:p w:rsidR="001E0494" w:rsidRPr="000B47E1" w:rsidRDefault="001E0494" w:rsidP="00FE70C7">
            <w:pPr>
              <w:spacing w:line="276" w:lineRule="auto"/>
              <w:rPr>
                <w:sz w:val="20"/>
                <w:szCs w:val="20"/>
              </w:rPr>
            </w:pPr>
            <w:r w:rsidRPr="000B47E1">
              <w:rPr>
                <w:sz w:val="20"/>
                <w:szCs w:val="20"/>
              </w:rPr>
              <w:t>Statistics Netherlands</w:t>
            </w:r>
            <w:r>
              <w:rPr>
                <w:sz w:val="20"/>
                <w:szCs w:val="20"/>
              </w:rPr>
              <w:t xml:space="preserve"> </w:t>
            </w:r>
            <w:r w:rsidR="00FE70C7">
              <w:rPr>
                <w:noProof/>
                <w:sz w:val="20"/>
                <w:szCs w:val="20"/>
              </w:rPr>
              <w:t>[21]</w:t>
            </w:r>
          </w:p>
        </w:tc>
      </w:tr>
      <w:tr w:rsidR="001E0494" w:rsidTr="009A59DD">
        <w:tc>
          <w:tcPr>
            <w:tcW w:w="2071" w:type="dxa"/>
            <w:vAlign w:val="bottom"/>
          </w:tcPr>
          <w:p w:rsidR="001E0494" w:rsidRPr="000B47E1" w:rsidRDefault="001E0494" w:rsidP="003F25DC">
            <w:pPr>
              <w:spacing w:line="276" w:lineRule="auto"/>
              <w:rPr>
                <w:color w:val="000000"/>
                <w:sz w:val="20"/>
                <w:szCs w:val="20"/>
              </w:rPr>
            </w:pPr>
            <w:r w:rsidRPr="000B47E1">
              <w:rPr>
                <w:color w:val="000000"/>
                <w:sz w:val="20"/>
                <w:szCs w:val="20"/>
              </w:rPr>
              <w:t>Labour participation rate</w:t>
            </w:r>
          </w:p>
        </w:tc>
        <w:tc>
          <w:tcPr>
            <w:tcW w:w="1305" w:type="dxa"/>
          </w:tcPr>
          <w:p w:rsidR="001E0494" w:rsidRPr="000B47E1" w:rsidRDefault="001E0494" w:rsidP="003F25DC">
            <w:pPr>
              <w:spacing w:line="276" w:lineRule="auto"/>
              <w:jc w:val="right"/>
              <w:rPr>
                <w:sz w:val="20"/>
                <w:szCs w:val="20"/>
              </w:rPr>
            </w:pPr>
            <w:r w:rsidRPr="000B47E1">
              <w:rPr>
                <w:sz w:val="20"/>
                <w:szCs w:val="20"/>
              </w:rPr>
              <w:t>Age-specific</w:t>
            </w:r>
          </w:p>
        </w:tc>
        <w:tc>
          <w:tcPr>
            <w:tcW w:w="959" w:type="dxa"/>
          </w:tcPr>
          <w:p w:rsidR="001E0494" w:rsidRPr="000B47E1" w:rsidRDefault="001E0494" w:rsidP="003F25DC">
            <w:pPr>
              <w:spacing w:line="276" w:lineRule="auto"/>
              <w:rPr>
                <w:sz w:val="20"/>
                <w:szCs w:val="20"/>
              </w:rPr>
            </w:pPr>
          </w:p>
        </w:tc>
        <w:tc>
          <w:tcPr>
            <w:tcW w:w="1228" w:type="dxa"/>
          </w:tcPr>
          <w:p w:rsidR="001E0494" w:rsidRPr="000B47E1" w:rsidRDefault="001E0494" w:rsidP="003F25DC">
            <w:pPr>
              <w:spacing w:line="276" w:lineRule="auto"/>
              <w:rPr>
                <w:sz w:val="20"/>
                <w:szCs w:val="20"/>
              </w:rPr>
            </w:pPr>
          </w:p>
        </w:tc>
        <w:tc>
          <w:tcPr>
            <w:tcW w:w="1020" w:type="dxa"/>
          </w:tcPr>
          <w:p w:rsidR="001E0494" w:rsidRPr="000B47E1" w:rsidRDefault="001E0494" w:rsidP="00D25242">
            <w:pPr>
              <w:spacing w:line="276" w:lineRule="auto"/>
              <w:rPr>
                <w:sz w:val="20"/>
                <w:szCs w:val="20"/>
              </w:rPr>
            </w:pPr>
          </w:p>
        </w:tc>
        <w:tc>
          <w:tcPr>
            <w:tcW w:w="2574" w:type="dxa"/>
          </w:tcPr>
          <w:p w:rsidR="001E0494" w:rsidRPr="000B47E1" w:rsidRDefault="001E0494" w:rsidP="00FE70C7">
            <w:pPr>
              <w:spacing w:line="276" w:lineRule="auto"/>
              <w:rPr>
                <w:sz w:val="20"/>
                <w:szCs w:val="20"/>
              </w:rPr>
            </w:pPr>
            <w:r w:rsidRPr="000B47E1">
              <w:rPr>
                <w:sz w:val="20"/>
                <w:szCs w:val="20"/>
              </w:rPr>
              <w:t>Statistics Netherlands</w:t>
            </w:r>
            <w:r>
              <w:rPr>
                <w:sz w:val="20"/>
                <w:szCs w:val="20"/>
              </w:rPr>
              <w:t xml:space="preserve"> </w:t>
            </w:r>
            <w:r w:rsidR="00FE70C7">
              <w:rPr>
                <w:noProof/>
                <w:sz w:val="20"/>
                <w:szCs w:val="20"/>
              </w:rPr>
              <w:t>[22]</w:t>
            </w:r>
          </w:p>
        </w:tc>
      </w:tr>
      <w:tr w:rsidR="001E0494" w:rsidTr="009A59DD">
        <w:tc>
          <w:tcPr>
            <w:tcW w:w="2071" w:type="dxa"/>
            <w:vAlign w:val="bottom"/>
          </w:tcPr>
          <w:p w:rsidR="001E0494" w:rsidRPr="000B47E1" w:rsidRDefault="001E0494" w:rsidP="003F25DC">
            <w:pPr>
              <w:spacing w:line="276" w:lineRule="auto"/>
              <w:rPr>
                <w:color w:val="000000"/>
                <w:sz w:val="20"/>
                <w:szCs w:val="20"/>
              </w:rPr>
            </w:pPr>
            <w:r>
              <w:rPr>
                <w:color w:val="000000"/>
                <w:sz w:val="20"/>
                <w:szCs w:val="20"/>
              </w:rPr>
              <w:t>Productivity loss per hour</w:t>
            </w:r>
          </w:p>
        </w:tc>
        <w:tc>
          <w:tcPr>
            <w:tcW w:w="1305" w:type="dxa"/>
          </w:tcPr>
          <w:p w:rsidR="001E0494" w:rsidRPr="000B47E1" w:rsidRDefault="001E0494" w:rsidP="003F25DC">
            <w:pPr>
              <w:spacing w:line="276" w:lineRule="auto"/>
              <w:jc w:val="right"/>
              <w:rPr>
                <w:sz w:val="20"/>
                <w:szCs w:val="20"/>
              </w:rPr>
            </w:pPr>
            <w:r>
              <w:rPr>
                <w:sz w:val="20"/>
                <w:szCs w:val="20"/>
              </w:rPr>
              <w:t>€35.55</w:t>
            </w:r>
          </w:p>
        </w:tc>
        <w:tc>
          <w:tcPr>
            <w:tcW w:w="959" w:type="dxa"/>
          </w:tcPr>
          <w:p w:rsidR="001E0494" w:rsidRPr="000B47E1" w:rsidRDefault="001E0494" w:rsidP="003F25DC">
            <w:pPr>
              <w:spacing w:line="276" w:lineRule="auto"/>
              <w:rPr>
                <w:sz w:val="20"/>
                <w:szCs w:val="20"/>
              </w:rPr>
            </w:pPr>
          </w:p>
        </w:tc>
        <w:tc>
          <w:tcPr>
            <w:tcW w:w="1228" w:type="dxa"/>
          </w:tcPr>
          <w:p w:rsidR="001E0494" w:rsidRPr="000B47E1" w:rsidRDefault="001E0494" w:rsidP="003F25DC">
            <w:pPr>
              <w:spacing w:line="276" w:lineRule="auto"/>
              <w:rPr>
                <w:sz w:val="20"/>
                <w:szCs w:val="20"/>
              </w:rPr>
            </w:pPr>
          </w:p>
        </w:tc>
        <w:tc>
          <w:tcPr>
            <w:tcW w:w="1020" w:type="dxa"/>
          </w:tcPr>
          <w:p w:rsidR="001E0494" w:rsidRPr="000B47E1" w:rsidRDefault="001E0494" w:rsidP="00D25242">
            <w:pPr>
              <w:spacing w:line="276" w:lineRule="auto"/>
              <w:rPr>
                <w:sz w:val="20"/>
                <w:szCs w:val="20"/>
              </w:rPr>
            </w:pPr>
          </w:p>
        </w:tc>
        <w:tc>
          <w:tcPr>
            <w:tcW w:w="2574" w:type="dxa"/>
          </w:tcPr>
          <w:p w:rsidR="001E0494" w:rsidRPr="000B47E1" w:rsidRDefault="001E0494" w:rsidP="00FE70C7">
            <w:pPr>
              <w:spacing w:line="276" w:lineRule="auto"/>
              <w:rPr>
                <w:sz w:val="20"/>
                <w:szCs w:val="20"/>
              </w:rPr>
            </w:pPr>
            <w:r w:rsidRPr="000B47E1">
              <w:rPr>
                <w:sz w:val="20"/>
                <w:szCs w:val="20"/>
              </w:rPr>
              <w:t>Dutch CE guideline, 2016</w:t>
            </w:r>
            <w:r>
              <w:rPr>
                <w:sz w:val="20"/>
                <w:szCs w:val="20"/>
              </w:rPr>
              <w:t xml:space="preserve"> </w:t>
            </w:r>
            <w:r w:rsidR="00FE70C7">
              <w:rPr>
                <w:noProof/>
                <w:sz w:val="20"/>
                <w:szCs w:val="20"/>
              </w:rPr>
              <w:t>[17]</w:t>
            </w:r>
          </w:p>
        </w:tc>
      </w:tr>
      <w:tr w:rsidR="001E0494" w:rsidTr="009A59DD">
        <w:tc>
          <w:tcPr>
            <w:tcW w:w="2071" w:type="dxa"/>
            <w:vAlign w:val="bottom"/>
          </w:tcPr>
          <w:p w:rsidR="001E0494" w:rsidRPr="000B47E1" w:rsidRDefault="001E0494" w:rsidP="003F25DC">
            <w:pPr>
              <w:spacing w:line="276" w:lineRule="auto"/>
              <w:rPr>
                <w:i/>
                <w:color w:val="000000"/>
                <w:sz w:val="20"/>
                <w:szCs w:val="20"/>
              </w:rPr>
            </w:pPr>
            <w:r w:rsidRPr="000B47E1">
              <w:rPr>
                <w:i/>
                <w:color w:val="000000"/>
                <w:sz w:val="20"/>
                <w:szCs w:val="20"/>
              </w:rPr>
              <w:t>QALY losses</w:t>
            </w:r>
          </w:p>
        </w:tc>
        <w:tc>
          <w:tcPr>
            <w:tcW w:w="1305" w:type="dxa"/>
          </w:tcPr>
          <w:p w:rsidR="001E0494" w:rsidRPr="000B47E1" w:rsidRDefault="001E0494" w:rsidP="003F25DC">
            <w:pPr>
              <w:spacing w:line="276" w:lineRule="auto"/>
              <w:jc w:val="right"/>
              <w:rPr>
                <w:sz w:val="20"/>
                <w:szCs w:val="20"/>
              </w:rPr>
            </w:pPr>
          </w:p>
        </w:tc>
        <w:tc>
          <w:tcPr>
            <w:tcW w:w="959" w:type="dxa"/>
          </w:tcPr>
          <w:p w:rsidR="001E0494" w:rsidRPr="000B47E1" w:rsidRDefault="001E0494" w:rsidP="003F25DC">
            <w:pPr>
              <w:spacing w:line="276" w:lineRule="auto"/>
              <w:rPr>
                <w:sz w:val="20"/>
                <w:szCs w:val="20"/>
              </w:rPr>
            </w:pPr>
          </w:p>
        </w:tc>
        <w:tc>
          <w:tcPr>
            <w:tcW w:w="1228" w:type="dxa"/>
          </w:tcPr>
          <w:p w:rsidR="001E0494" w:rsidRPr="000B47E1" w:rsidRDefault="001E0494" w:rsidP="003F25DC">
            <w:pPr>
              <w:spacing w:line="276" w:lineRule="auto"/>
              <w:rPr>
                <w:sz w:val="20"/>
                <w:szCs w:val="20"/>
              </w:rPr>
            </w:pPr>
          </w:p>
        </w:tc>
        <w:tc>
          <w:tcPr>
            <w:tcW w:w="1020" w:type="dxa"/>
          </w:tcPr>
          <w:p w:rsidR="001E0494" w:rsidRPr="000B47E1" w:rsidRDefault="001E0494" w:rsidP="003F25DC">
            <w:pPr>
              <w:spacing w:line="276" w:lineRule="auto"/>
              <w:rPr>
                <w:sz w:val="20"/>
                <w:szCs w:val="20"/>
              </w:rPr>
            </w:pPr>
          </w:p>
        </w:tc>
        <w:tc>
          <w:tcPr>
            <w:tcW w:w="2574" w:type="dxa"/>
          </w:tcPr>
          <w:p w:rsidR="001E0494" w:rsidRPr="000B47E1" w:rsidRDefault="001E0494" w:rsidP="003F25DC">
            <w:pPr>
              <w:spacing w:line="276" w:lineRule="auto"/>
              <w:rPr>
                <w:sz w:val="20"/>
                <w:szCs w:val="20"/>
              </w:rPr>
            </w:pPr>
          </w:p>
        </w:tc>
      </w:tr>
      <w:tr w:rsidR="001E0494" w:rsidTr="009A59DD">
        <w:tc>
          <w:tcPr>
            <w:tcW w:w="2071" w:type="dxa"/>
          </w:tcPr>
          <w:p w:rsidR="001E0494" w:rsidRPr="000B47E1" w:rsidRDefault="001E0494" w:rsidP="003F25DC">
            <w:pPr>
              <w:spacing w:line="276" w:lineRule="auto"/>
              <w:rPr>
                <w:color w:val="000000"/>
                <w:sz w:val="20"/>
                <w:szCs w:val="20"/>
              </w:rPr>
            </w:pPr>
            <w:r w:rsidRPr="000B47E1">
              <w:rPr>
                <w:color w:val="000000"/>
                <w:sz w:val="20"/>
                <w:szCs w:val="20"/>
              </w:rPr>
              <w:t>Non-medically attended</w:t>
            </w:r>
          </w:p>
        </w:tc>
        <w:tc>
          <w:tcPr>
            <w:tcW w:w="1305" w:type="dxa"/>
          </w:tcPr>
          <w:p w:rsidR="001E0494" w:rsidRPr="000B47E1" w:rsidRDefault="001E0494" w:rsidP="003F25DC">
            <w:pPr>
              <w:spacing w:line="276" w:lineRule="auto"/>
              <w:jc w:val="right"/>
              <w:rPr>
                <w:color w:val="000000"/>
                <w:sz w:val="20"/>
                <w:szCs w:val="20"/>
              </w:rPr>
            </w:pPr>
            <w:r w:rsidRPr="000B47E1">
              <w:rPr>
                <w:color w:val="000000"/>
                <w:sz w:val="20"/>
                <w:szCs w:val="20"/>
              </w:rPr>
              <w:t>0.0038</w:t>
            </w:r>
          </w:p>
        </w:tc>
        <w:tc>
          <w:tcPr>
            <w:tcW w:w="959" w:type="dxa"/>
          </w:tcPr>
          <w:p w:rsidR="001E0494" w:rsidRPr="000B47E1" w:rsidRDefault="001E0494" w:rsidP="003F25DC">
            <w:pPr>
              <w:spacing w:line="276" w:lineRule="auto"/>
              <w:jc w:val="right"/>
              <w:rPr>
                <w:color w:val="000000"/>
                <w:sz w:val="20"/>
                <w:szCs w:val="20"/>
              </w:rPr>
            </w:pPr>
            <w:r w:rsidRPr="000B47E1">
              <w:rPr>
                <w:color w:val="000000"/>
                <w:sz w:val="20"/>
                <w:szCs w:val="20"/>
              </w:rPr>
              <w:t>0.0004</w:t>
            </w:r>
          </w:p>
        </w:tc>
        <w:tc>
          <w:tcPr>
            <w:tcW w:w="1228" w:type="dxa"/>
          </w:tcPr>
          <w:p w:rsidR="001E0494" w:rsidRPr="000B47E1" w:rsidRDefault="001E0494" w:rsidP="003F25DC">
            <w:pPr>
              <w:spacing w:line="276" w:lineRule="auto"/>
              <w:rPr>
                <w:sz w:val="20"/>
                <w:szCs w:val="20"/>
              </w:rPr>
            </w:pPr>
            <w:r w:rsidRPr="000B47E1">
              <w:rPr>
                <w:sz w:val="20"/>
                <w:szCs w:val="20"/>
              </w:rPr>
              <w:t>Normal</w:t>
            </w:r>
          </w:p>
        </w:tc>
        <w:tc>
          <w:tcPr>
            <w:tcW w:w="1020" w:type="dxa"/>
          </w:tcPr>
          <w:p w:rsidR="001E0494" w:rsidRDefault="001E0494" w:rsidP="00D25242">
            <w:pPr>
              <w:spacing w:line="276" w:lineRule="auto"/>
              <w:rPr>
                <w:sz w:val="20"/>
                <w:szCs w:val="20"/>
              </w:rPr>
            </w:pPr>
            <w:r>
              <w:rPr>
                <w:sz w:val="20"/>
                <w:szCs w:val="20"/>
              </w:rPr>
              <w:t>0.0083</w:t>
            </w:r>
          </w:p>
        </w:tc>
        <w:tc>
          <w:tcPr>
            <w:tcW w:w="2574" w:type="dxa"/>
          </w:tcPr>
          <w:p w:rsidR="001E0494" w:rsidRPr="000B47E1" w:rsidRDefault="001E0494" w:rsidP="00FE70C7">
            <w:pPr>
              <w:spacing w:line="276" w:lineRule="auto"/>
              <w:rPr>
                <w:sz w:val="20"/>
                <w:szCs w:val="20"/>
              </w:rPr>
            </w:pPr>
            <w:r>
              <w:rPr>
                <w:sz w:val="20"/>
                <w:szCs w:val="20"/>
              </w:rPr>
              <w:t xml:space="preserve">Adjusted QALY loss of GP visit using </w:t>
            </w:r>
            <w:proofErr w:type="spellStart"/>
            <w:r>
              <w:rPr>
                <w:sz w:val="20"/>
                <w:szCs w:val="20"/>
              </w:rPr>
              <w:t>Bilcke</w:t>
            </w:r>
            <w:proofErr w:type="spellEnd"/>
            <w:r>
              <w:rPr>
                <w:sz w:val="20"/>
                <w:szCs w:val="20"/>
              </w:rPr>
              <w:t xml:space="preserve">, 2014 </w:t>
            </w:r>
            <w:r w:rsidR="00FE70C7">
              <w:rPr>
                <w:noProof/>
                <w:sz w:val="20"/>
                <w:szCs w:val="20"/>
              </w:rPr>
              <w:t>[11]</w:t>
            </w:r>
          </w:p>
        </w:tc>
      </w:tr>
      <w:tr w:rsidR="001E0494" w:rsidTr="009A59DD">
        <w:tc>
          <w:tcPr>
            <w:tcW w:w="2071" w:type="dxa"/>
          </w:tcPr>
          <w:p w:rsidR="001E0494" w:rsidRPr="000B47E1" w:rsidRDefault="001E0494" w:rsidP="0038167D">
            <w:pPr>
              <w:spacing w:line="276" w:lineRule="auto"/>
              <w:rPr>
                <w:color w:val="000000"/>
                <w:sz w:val="20"/>
                <w:szCs w:val="20"/>
              </w:rPr>
            </w:pPr>
            <w:r w:rsidRPr="000B47E1">
              <w:rPr>
                <w:color w:val="000000"/>
                <w:sz w:val="20"/>
                <w:szCs w:val="20"/>
              </w:rPr>
              <w:t>GP visit</w:t>
            </w:r>
          </w:p>
        </w:tc>
        <w:tc>
          <w:tcPr>
            <w:tcW w:w="1305" w:type="dxa"/>
          </w:tcPr>
          <w:p w:rsidR="001E0494" w:rsidRPr="000B47E1" w:rsidRDefault="001E0494" w:rsidP="0038167D">
            <w:pPr>
              <w:spacing w:line="276" w:lineRule="auto"/>
              <w:jc w:val="right"/>
              <w:rPr>
                <w:color w:val="000000"/>
                <w:sz w:val="20"/>
                <w:szCs w:val="20"/>
              </w:rPr>
            </w:pPr>
            <w:r w:rsidRPr="000B47E1">
              <w:rPr>
                <w:color w:val="000000"/>
                <w:sz w:val="20"/>
                <w:szCs w:val="20"/>
              </w:rPr>
              <w:t>0.0045</w:t>
            </w:r>
          </w:p>
        </w:tc>
        <w:tc>
          <w:tcPr>
            <w:tcW w:w="959" w:type="dxa"/>
          </w:tcPr>
          <w:p w:rsidR="001E0494" w:rsidRPr="000B47E1" w:rsidRDefault="001E0494" w:rsidP="0038167D">
            <w:pPr>
              <w:spacing w:line="276" w:lineRule="auto"/>
              <w:jc w:val="right"/>
              <w:rPr>
                <w:color w:val="000000"/>
                <w:sz w:val="20"/>
                <w:szCs w:val="20"/>
              </w:rPr>
            </w:pPr>
            <w:r w:rsidRPr="000B47E1">
              <w:rPr>
                <w:color w:val="000000"/>
                <w:sz w:val="20"/>
                <w:szCs w:val="20"/>
              </w:rPr>
              <w:t>0.00051</w:t>
            </w:r>
          </w:p>
        </w:tc>
        <w:tc>
          <w:tcPr>
            <w:tcW w:w="1228" w:type="dxa"/>
          </w:tcPr>
          <w:p w:rsidR="001E0494" w:rsidRPr="000B47E1" w:rsidRDefault="001E0494" w:rsidP="003F25DC">
            <w:pPr>
              <w:spacing w:line="276" w:lineRule="auto"/>
              <w:rPr>
                <w:sz w:val="20"/>
                <w:szCs w:val="20"/>
              </w:rPr>
            </w:pPr>
            <w:r w:rsidRPr="000B47E1">
              <w:rPr>
                <w:sz w:val="20"/>
                <w:szCs w:val="20"/>
              </w:rPr>
              <w:t>Normal</w:t>
            </w:r>
          </w:p>
        </w:tc>
        <w:tc>
          <w:tcPr>
            <w:tcW w:w="1020" w:type="dxa"/>
          </w:tcPr>
          <w:p w:rsidR="001E0494" w:rsidRPr="00D25242" w:rsidRDefault="001E0494" w:rsidP="00D25242">
            <w:pPr>
              <w:spacing w:line="276" w:lineRule="auto"/>
              <w:rPr>
                <w:sz w:val="20"/>
                <w:szCs w:val="20"/>
                <w:lang w:val="en-US"/>
              </w:rPr>
            </w:pPr>
            <w:r>
              <w:rPr>
                <w:sz w:val="20"/>
                <w:szCs w:val="20"/>
                <w:lang w:val="en-US"/>
              </w:rPr>
              <w:t>0.010</w:t>
            </w:r>
          </w:p>
        </w:tc>
        <w:tc>
          <w:tcPr>
            <w:tcW w:w="2574" w:type="dxa"/>
          </w:tcPr>
          <w:p w:rsidR="001E0494" w:rsidRPr="000B47E1" w:rsidRDefault="001E0494" w:rsidP="00FE70C7">
            <w:pPr>
              <w:spacing w:line="276" w:lineRule="auto"/>
              <w:rPr>
                <w:sz w:val="20"/>
                <w:szCs w:val="20"/>
              </w:rPr>
            </w:pPr>
            <w:proofErr w:type="spellStart"/>
            <w:r w:rsidRPr="00D25242">
              <w:rPr>
                <w:sz w:val="20"/>
                <w:szCs w:val="20"/>
                <w:lang w:val="en-US"/>
              </w:rPr>
              <w:t>Mangen</w:t>
            </w:r>
            <w:proofErr w:type="spellEnd"/>
            <w:r w:rsidRPr="00D25242">
              <w:rPr>
                <w:sz w:val="20"/>
                <w:szCs w:val="20"/>
                <w:lang w:val="en-US"/>
              </w:rPr>
              <w:t xml:space="preserve">, 2015 </w:t>
            </w:r>
            <w:r w:rsidR="00FE70C7">
              <w:rPr>
                <w:noProof/>
                <w:sz w:val="20"/>
                <w:szCs w:val="20"/>
              </w:rPr>
              <w:t>[10]</w:t>
            </w:r>
            <w:r w:rsidRPr="00D25242">
              <w:rPr>
                <w:sz w:val="20"/>
                <w:szCs w:val="20"/>
                <w:lang w:val="en-US"/>
              </w:rPr>
              <w:t xml:space="preserve"> </w:t>
            </w:r>
            <w:r>
              <w:rPr>
                <w:sz w:val="20"/>
                <w:szCs w:val="20"/>
                <w:lang w:val="en-US"/>
              </w:rPr>
              <w:t>; U</w:t>
            </w:r>
            <w:proofErr w:type="spellStart"/>
            <w:r>
              <w:rPr>
                <w:sz w:val="20"/>
                <w:szCs w:val="20"/>
              </w:rPr>
              <w:t>nivariate</w:t>
            </w:r>
            <w:proofErr w:type="spellEnd"/>
            <w:r>
              <w:rPr>
                <w:sz w:val="20"/>
                <w:szCs w:val="20"/>
              </w:rPr>
              <w:t xml:space="preserve"> SA based on </w:t>
            </w:r>
            <w:proofErr w:type="spellStart"/>
            <w:r>
              <w:rPr>
                <w:sz w:val="20"/>
                <w:szCs w:val="20"/>
              </w:rPr>
              <w:t>Lugner</w:t>
            </w:r>
            <w:proofErr w:type="spellEnd"/>
            <w:r>
              <w:rPr>
                <w:sz w:val="20"/>
                <w:szCs w:val="20"/>
              </w:rPr>
              <w:t xml:space="preserve">, 2010 </w:t>
            </w:r>
            <w:r w:rsidR="00FE70C7">
              <w:rPr>
                <w:noProof/>
                <w:sz w:val="20"/>
                <w:szCs w:val="20"/>
              </w:rPr>
              <w:t>[12]</w:t>
            </w:r>
          </w:p>
        </w:tc>
      </w:tr>
      <w:tr w:rsidR="001E0494" w:rsidTr="009A59DD">
        <w:tc>
          <w:tcPr>
            <w:tcW w:w="2071" w:type="dxa"/>
          </w:tcPr>
          <w:p w:rsidR="001E0494" w:rsidRPr="000B47E1" w:rsidRDefault="001E0494" w:rsidP="0038167D">
            <w:pPr>
              <w:spacing w:line="276" w:lineRule="auto"/>
              <w:rPr>
                <w:color w:val="000000"/>
                <w:sz w:val="20"/>
                <w:szCs w:val="20"/>
              </w:rPr>
            </w:pPr>
            <w:r w:rsidRPr="000B47E1">
              <w:rPr>
                <w:color w:val="000000"/>
                <w:sz w:val="20"/>
                <w:szCs w:val="20"/>
              </w:rPr>
              <w:t>Hospitalization</w:t>
            </w:r>
          </w:p>
        </w:tc>
        <w:tc>
          <w:tcPr>
            <w:tcW w:w="1305" w:type="dxa"/>
          </w:tcPr>
          <w:p w:rsidR="001E0494" w:rsidRPr="000B47E1" w:rsidRDefault="001E0494" w:rsidP="0038167D">
            <w:pPr>
              <w:spacing w:line="276" w:lineRule="auto"/>
              <w:jc w:val="right"/>
              <w:rPr>
                <w:color w:val="000000"/>
                <w:sz w:val="20"/>
                <w:szCs w:val="20"/>
              </w:rPr>
            </w:pPr>
            <w:r w:rsidRPr="000B47E1">
              <w:rPr>
                <w:color w:val="000000"/>
                <w:sz w:val="20"/>
                <w:szCs w:val="20"/>
              </w:rPr>
              <w:t>0.0118</w:t>
            </w:r>
          </w:p>
        </w:tc>
        <w:tc>
          <w:tcPr>
            <w:tcW w:w="959" w:type="dxa"/>
          </w:tcPr>
          <w:p w:rsidR="001E0494" w:rsidRPr="000B47E1" w:rsidRDefault="001E0494" w:rsidP="0038167D">
            <w:pPr>
              <w:spacing w:line="276" w:lineRule="auto"/>
              <w:jc w:val="right"/>
              <w:rPr>
                <w:color w:val="000000"/>
                <w:sz w:val="20"/>
                <w:szCs w:val="20"/>
              </w:rPr>
            </w:pPr>
            <w:r w:rsidRPr="000B47E1">
              <w:rPr>
                <w:color w:val="000000"/>
                <w:sz w:val="20"/>
                <w:szCs w:val="20"/>
              </w:rPr>
              <w:t>0.00030</w:t>
            </w:r>
          </w:p>
        </w:tc>
        <w:tc>
          <w:tcPr>
            <w:tcW w:w="1228" w:type="dxa"/>
          </w:tcPr>
          <w:p w:rsidR="001E0494" w:rsidRPr="000B47E1" w:rsidRDefault="001E0494" w:rsidP="003F25DC">
            <w:pPr>
              <w:spacing w:line="276" w:lineRule="auto"/>
              <w:rPr>
                <w:sz w:val="20"/>
                <w:szCs w:val="20"/>
              </w:rPr>
            </w:pPr>
            <w:r w:rsidRPr="000B47E1">
              <w:rPr>
                <w:sz w:val="20"/>
                <w:szCs w:val="20"/>
              </w:rPr>
              <w:t>Normal</w:t>
            </w:r>
          </w:p>
        </w:tc>
        <w:tc>
          <w:tcPr>
            <w:tcW w:w="1020" w:type="dxa"/>
          </w:tcPr>
          <w:p w:rsidR="001E0494" w:rsidRPr="00D25242" w:rsidRDefault="001E0494" w:rsidP="00D25242">
            <w:pPr>
              <w:spacing w:line="276" w:lineRule="auto"/>
              <w:rPr>
                <w:sz w:val="20"/>
                <w:szCs w:val="20"/>
                <w:lang w:val="en-US"/>
              </w:rPr>
            </w:pPr>
            <w:r>
              <w:rPr>
                <w:sz w:val="20"/>
                <w:szCs w:val="20"/>
                <w:lang w:val="en-US"/>
              </w:rPr>
              <w:t>0.0217</w:t>
            </w:r>
          </w:p>
        </w:tc>
        <w:tc>
          <w:tcPr>
            <w:tcW w:w="2574" w:type="dxa"/>
          </w:tcPr>
          <w:p w:rsidR="001E0494" w:rsidRPr="000B47E1" w:rsidRDefault="001E0494" w:rsidP="00FE70C7">
            <w:pPr>
              <w:spacing w:line="276" w:lineRule="auto"/>
              <w:rPr>
                <w:sz w:val="20"/>
                <w:szCs w:val="20"/>
              </w:rPr>
            </w:pPr>
            <w:proofErr w:type="spellStart"/>
            <w:r w:rsidRPr="00D25242">
              <w:rPr>
                <w:sz w:val="20"/>
                <w:szCs w:val="20"/>
                <w:lang w:val="en-US"/>
              </w:rPr>
              <w:t>Mangen</w:t>
            </w:r>
            <w:proofErr w:type="spellEnd"/>
            <w:r w:rsidRPr="00D25242">
              <w:rPr>
                <w:sz w:val="20"/>
                <w:szCs w:val="20"/>
                <w:lang w:val="en-US"/>
              </w:rPr>
              <w:t xml:space="preserve">, 2013 </w:t>
            </w:r>
            <w:r w:rsidR="00FE70C7">
              <w:rPr>
                <w:noProof/>
                <w:sz w:val="20"/>
                <w:szCs w:val="20"/>
              </w:rPr>
              <w:t>[9]</w:t>
            </w:r>
            <w:r>
              <w:rPr>
                <w:sz w:val="20"/>
                <w:szCs w:val="20"/>
                <w:lang w:val="en-US"/>
              </w:rPr>
              <w:t>; U</w:t>
            </w:r>
            <w:proofErr w:type="spellStart"/>
            <w:r>
              <w:rPr>
                <w:sz w:val="20"/>
                <w:szCs w:val="20"/>
              </w:rPr>
              <w:t>nivariate</w:t>
            </w:r>
            <w:proofErr w:type="spellEnd"/>
            <w:r>
              <w:rPr>
                <w:sz w:val="20"/>
                <w:szCs w:val="20"/>
              </w:rPr>
              <w:t xml:space="preserve"> SA based on </w:t>
            </w:r>
            <w:proofErr w:type="spellStart"/>
            <w:r>
              <w:rPr>
                <w:sz w:val="20"/>
                <w:szCs w:val="20"/>
              </w:rPr>
              <w:t>Lugner</w:t>
            </w:r>
            <w:proofErr w:type="spellEnd"/>
            <w:r>
              <w:rPr>
                <w:sz w:val="20"/>
                <w:szCs w:val="20"/>
              </w:rPr>
              <w:t xml:space="preserve">, 2010 </w:t>
            </w:r>
            <w:r w:rsidR="00FE70C7">
              <w:rPr>
                <w:noProof/>
                <w:sz w:val="20"/>
                <w:szCs w:val="20"/>
              </w:rPr>
              <w:t>[12]</w:t>
            </w:r>
            <w:r>
              <w:rPr>
                <w:sz w:val="20"/>
                <w:szCs w:val="20"/>
              </w:rPr>
              <w:t xml:space="preserve"> </w:t>
            </w:r>
          </w:p>
        </w:tc>
      </w:tr>
      <w:tr w:rsidR="001E0494" w:rsidTr="009A59DD">
        <w:tc>
          <w:tcPr>
            <w:tcW w:w="2071" w:type="dxa"/>
            <w:vAlign w:val="bottom"/>
          </w:tcPr>
          <w:p w:rsidR="001E0494" w:rsidRPr="000B47E1" w:rsidRDefault="001E0494" w:rsidP="003F25DC">
            <w:pPr>
              <w:spacing w:line="276" w:lineRule="auto"/>
              <w:rPr>
                <w:color w:val="000000"/>
                <w:sz w:val="20"/>
                <w:szCs w:val="20"/>
              </w:rPr>
            </w:pPr>
            <w:r w:rsidRPr="000B47E1">
              <w:rPr>
                <w:color w:val="000000"/>
                <w:sz w:val="20"/>
                <w:szCs w:val="20"/>
              </w:rPr>
              <w:t>Death</w:t>
            </w:r>
          </w:p>
        </w:tc>
        <w:tc>
          <w:tcPr>
            <w:tcW w:w="1305" w:type="dxa"/>
          </w:tcPr>
          <w:p w:rsidR="001E0494" w:rsidRPr="000B47E1" w:rsidRDefault="001E0494" w:rsidP="003F25DC">
            <w:pPr>
              <w:spacing w:line="276" w:lineRule="auto"/>
              <w:jc w:val="right"/>
              <w:rPr>
                <w:sz w:val="20"/>
                <w:szCs w:val="20"/>
              </w:rPr>
            </w:pPr>
          </w:p>
        </w:tc>
        <w:tc>
          <w:tcPr>
            <w:tcW w:w="959" w:type="dxa"/>
          </w:tcPr>
          <w:p w:rsidR="001E0494" w:rsidRPr="000B47E1" w:rsidRDefault="001E0494" w:rsidP="003F25DC">
            <w:pPr>
              <w:spacing w:line="276" w:lineRule="auto"/>
              <w:rPr>
                <w:sz w:val="20"/>
                <w:szCs w:val="20"/>
              </w:rPr>
            </w:pPr>
          </w:p>
        </w:tc>
        <w:tc>
          <w:tcPr>
            <w:tcW w:w="1228" w:type="dxa"/>
          </w:tcPr>
          <w:p w:rsidR="001E0494" w:rsidRPr="000B47E1" w:rsidRDefault="001E0494" w:rsidP="003F25DC">
            <w:pPr>
              <w:spacing w:line="276" w:lineRule="auto"/>
              <w:rPr>
                <w:sz w:val="20"/>
                <w:szCs w:val="20"/>
              </w:rPr>
            </w:pPr>
          </w:p>
        </w:tc>
        <w:tc>
          <w:tcPr>
            <w:tcW w:w="1020" w:type="dxa"/>
          </w:tcPr>
          <w:p w:rsidR="001E0494" w:rsidRPr="000B47E1" w:rsidRDefault="001E0494" w:rsidP="003F25DC">
            <w:pPr>
              <w:spacing w:line="276" w:lineRule="auto"/>
              <w:rPr>
                <w:sz w:val="20"/>
                <w:szCs w:val="20"/>
              </w:rPr>
            </w:pPr>
          </w:p>
        </w:tc>
        <w:tc>
          <w:tcPr>
            <w:tcW w:w="2574" w:type="dxa"/>
          </w:tcPr>
          <w:p w:rsidR="001E0494" w:rsidRPr="000B47E1" w:rsidRDefault="001E0494" w:rsidP="003F25DC">
            <w:pPr>
              <w:spacing w:line="276" w:lineRule="auto"/>
              <w:rPr>
                <w:sz w:val="20"/>
                <w:szCs w:val="20"/>
              </w:rPr>
            </w:pPr>
          </w:p>
        </w:tc>
      </w:tr>
      <w:tr w:rsidR="001E0494" w:rsidTr="009A59DD">
        <w:tc>
          <w:tcPr>
            <w:tcW w:w="2071" w:type="dxa"/>
          </w:tcPr>
          <w:p w:rsidR="001E0494" w:rsidRPr="000B47E1" w:rsidRDefault="001E0494" w:rsidP="0038167D">
            <w:pPr>
              <w:spacing w:line="276" w:lineRule="auto"/>
              <w:rPr>
                <w:color w:val="000000"/>
                <w:sz w:val="20"/>
                <w:szCs w:val="20"/>
              </w:rPr>
            </w:pPr>
            <w:r>
              <w:rPr>
                <w:color w:val="000000"/>
                <w:sz w:val="20"/>
                <w:szCs w:val="20"/>
              </w:rPr>
              <w:t xml:space="preserve">   Life years lost</w:t>
            </w:r>
          </w:p>
        </w:tc>
        <w:tc>
          <w:tcPr>
            <w:tcW w:w="1305" w:type="dxa"/>
          </w:tcPr>
          <w:p w:rsidR="001E0494" w:rsidRPr="000B47E1" w:rsidRDefault="001E0494" w:rsidP="003F25DC">
            <w:pPr>
              <w:spacing w:line="276" w:lineRule="auto"/>
              <w:jc w:val="right"/>
              <w:rPr>
                <w:sz w:val="20"/>
                <w:szCs w:val="20"/>
              </w:rPr>
            </w:pPr>
            <w:r w:rsidRPr="000B47E1">
              <w:rPr>
                <w:sz w:val="20"/>
                <w:szCs w:val="20"/>
              </w:rPr>
              <w:t>Age-specific</w:t>
            </w:r>
          </w:p>
        </w:tc>
        <w:tc>
          <w:tcPr>
            <w:tcW w:w="959" w:type="dxa"/>
          </w:tcPr>
          <w:p w:rsidR="001E0494" w:rsidRPr="000B47E1" w:rsidRDefault="001E0494" w:rsidP="003F25DC">
            <w:pPr>
              <w:spacing w:line="276" w:lineRule="auto"/>
              <w:rPr>
                <w:sz w:val="20"/>
                <w:szCs w:val="20"/>
              </w:rPr>
            </w:pPr>
          </w:p>
        </w:tc>
        <w:tc>
          <w:tcPr>
            <w:tcW w:w="1228" w:type="dxa"/>
          </w:tcPr>
          <w:p w:rsidR="001E0494" w:rsidRPr="000B47E1" w:rsidRDefault="001E0494" w:rsidP="003F25DC">
            <w:pPr>
              <w:spacing w:line="276" w:lineRule="auto"/>
              <w:rPr>
                <w:sz w:val="20"/>
                <w:szCs w:val="20"/>
              </w:rPr>
            </w:pPr>
          </w:p>
        </w:tc>
        <w:tc>
          <w:tcPr>
            <w:tcW w:w="1020" w:type="dxa"/>
          </w:tcPr>
          <w:p w:rsidR="001E0494" w:rsidRPr="000B47E1" w:rsidRDefault="001E0494" w:rsidP="00D25242">
            <w:pPr>
              <w:spacing w:line="276" w:lineRule="auto"/>
              <w:rPr>
                <w:sz w:val="20"/>
                <w:szCs w:val="20"/>
              </w:rPr>
            </w:pPr>
            <w:r>
              <w:rPr>
                <w:sz w:val="20"/>
                <w:szCs w:val="20"/>
              </w:rPr>
              <w:t>Halved for ≥70y</w:t>
            </w:r>
          </w:p>
        </w:tc>
        <w:tc>
          <w:tcPr>
            <w:tcW w:w="2574" w:type="dxa"/>
          </w:tcPr>
          <w:p w:rsidR="001E0494" w:rsidRPr="000B47E1" w:rsidRDefault="001E0494" w:rsidP="00FE70C7">
            <w:pPr>
              <w:spacing w:line="276" w:lineRule="auto"/>
              <w:rPr>
                <w:sz w:val="20"/>
                <w:szCs w:val="20"/>
              </w:rPr>
            </w:pPr>
            <w:r w:rsidRPr="000B47E1">
              <w:rPr>
                <w:sz w:val="20"/>
                <w:szCs w:val="20"/>
              </w:rPr>
              <w:t>Statistics Netherlands</w:t>
            </w:r>
            <w:r>
              <w:rPr>
                <w:sz w:val="20"/>
                <w:szCs w:val="20"/>
              </w:rPr>
              <w:t xml:space="preserve"> </w:t>
            </w:r>
            <w:r w:rsidR="00FE70C7">
              <w:rPr>
                <w:noProof/>
                <w:sz w:val="20"/>
                <w:szCs w:val="20"/>
              </w:rPr>
              <w:t>[30]</w:t>
            </w:r>
          </w:p>
        </w:tc>
      </w:tr>
      <w:tr w:rsidR="001E0494" w:rsidRPr="008F1D67" w:rsidTr="009A59DD">
        <w:tc>
          <w:tcPr>
            <w:tcW w:w="2071" w:type="dxa"/>
            <w:tcBorders>
              <w:bottom w:val="single" w:sz="4" w:space="0" w:color="auto"/>
            </w:tcBorders>
          </w:tcPr>
          <w:p w:rsidR="001E0494" w:rsidRPr="000B47E1" w:rsidRDefault="001E0494" w:rsidP="0038167D">
            <w:pPr>
              <w:spacing w:line="276" w:lineRule="auto"/>
              <w:rPr>
                <w:color w:val="000000"/>
                <w:sz w:val="20"/>
                <w:szCs w:val="20"/>
              </w:rPr>
            </w:pPr>
            <w:r>
              <w:rPr>
                <w:color w:val="000000"/>
                <w:sz w:val="20"/>
                <w:szCs w:val="20"/>
              </w:rPr>
              <w:t xml:space="preserve">   QoL population norms  </w:t>
            </w:r>
          </w:p>
        </w:tc>
        <w:tc>
          <w:tcPr>
            <w:tcW w:w="1305" w:type="dxa"/>
            <w:tcBorders>
              <w:bottom w:val="single" w:sz="4" w:space="0" w:color="auto"/>
            </w:tcBorders>
          </w:tcPr>
          <w:p w:rsidR="001E0494" w:rsidRPr="000B47E1" w:rsidRDefault="001E0494" w:rsidP="003F25DC">
            <w:pPr>
              <w:spacing w:line="276" w:lineRule="auto"/>
              <w:jc w:val="right"/>
              <w:rPr>
                <w:sz w:val="20"/>
                <w:szCs w:val="20"/>
              </w:rPr>
            </w:pPr>
            <w:r>
              <w:rPr>
                <w:sz w:val="20"/>
                <w:szCs w:val="20"/>
              </w:rPr>
              <w:t>Age-specific</w:t>
            </w:r>
          </w:p>
        </w:tc>
        <w:tc>
          <w:tcPr>
            <w:tcW w:w="959" w:type="dxa"/>
            <w:tcBorders>
              <w:bottom w:val="single" w:sz="4" w:space="0" w:color="auto"/>
            </w:tcBorders>
          </w:tcPr>
          <w:p w:rsidR="001E0494" w:rsidRPr="000B47E1" w:rsidRDefault="001E0494" w:rsidP="003F25DC">
            <w:pPr>
              <w:spacing w:line="276" w:lineRule="auto"/>
              <w:rPr>
                <w:sz w:val="20"/>
                <w:szCs w:val="20"/>
              </w:rPr>
            </w:pPr>
          </w:p>
        </w:tc>
        <w:tc>
          <w:tcPr>
            <w:tcW w:w="1228" w:type="dxa"/>
            <w:tcBorders>
              <w:bottom w:val="single" w:sz="4" w:space="0" w:color="auto"/>
            </w:tcBorders>
          </w:tcPr>
          <w:p w:rsidR="001E0494" w:rsidRPr="000B47E1" w:rsidRDefault="001E0494" w:rsidP="003F25DC">
            <w:pPr>
              <w:spacing w:line="276" w:lineRule="auto"/>
              <w:rPr>
                <w:sz w:val="20"/>
                <w:szCs w:val="20"/>
              </w:rPr>
            </w:pPr>
          </w:p>
        </w:tc>
        <w:tc>
          <w:tcPr>
            <w:tcW w:w="1020" w:type="dxa"/>
            <w:tcBorders>
              <w:bottom w:val="single" w:sz="4" w:space="0" w:color="auto"/>
            </w:tcBorders>
          </w:tcPr>
          <w:p w:rsidR="001E0494" w:rsidRPr="006C4659" w:rsidRDefault="001E0494" w:rsidP="00D25242">
            <w:pPr>
              <w:spacing w:line="276" w:lineRule="auto"/>
              <w:rPr>
                <w:sz w:val="20"/>
                <w:szCs w:val="20"/>
                <w:lang w:val="nl-NL"/>
              </w:rPr>
            </w:pPr>
          </w:p>
        </w:tc>
        <w:tc>
          <w:tcPr>
            <w:tcW w:w="2574" w:type="dxa"/>
            <w:tcBorders>
              <w:bottom w:val="single" w:sz="4" w:space="0" w:color="auto"/>
            </w:tcBorders>
          </w:tcPr>
          <w:p w:rsidR="001E0494" w:rsidRPr="006C4659" w:rsidRDefault="001E0494" w:rsidP="00FE70C7">
            <w:pPr>
              <w:spacing w:line="276" w:lineRule="auto"/>
              <w:rPr>
                <w:sz w:val="20"/>
                <w:szCs w:val="20"/>
                <w:lang w:val="nl-NL"/>
              </w:rPr>
            </w:pPr>
            <w:r w:rsidRPr="006C4659">
              <w:rPr>
                <w:sz w:val="20"/>
                <w:szCs w:val="20"/>
                <w:lang w:val="nl-NL"/>
              </w:rPr>
              <w:t xml:space="preserve">Versteegh, 2016 </w:t>
            </w:r>
            <w:r w:rsidR="00FE70C7">
              <w:rPr>
                <w:noProof/>
                <w:sz w:val="20"/>
                <w:szCs w:val="20"/>
              </w:rPr>
              <w:t>[31]</w:t>
            </w:r>
            <w:r w:rsidRPr="006C4659">
              <w:rPr>
                <w:sz w:val="20"/>
                <w:szCs w:val="20"/>
                <w:lang w:val="nl-NL"/>
              </w:rPr>
              <w:t xml:space="preserve"> </w:t>
            </w:r>
          </w:p>
        </w:tc>
      </w:tr>
    </w:tbl>
    <w:p w:rsidR="003F25DC" w:rsidRPr="006C54FD" w:rsidRDefault="003F25DC" w:rsidP="006C54FD">
      <w:pPr>
        <w:spacing w:line="276" w:lineRule="auto"/>
        <w:rPr>
          <w:sz w:val="20"/>
          <w:szCs w:val="20"/>
        </w:rPr>
      </w:pPr>
      <w:r w:rsidRPr="006C54FD">
        <w:rPr>
          <w:sz w:val="20"/>
          <w:szCs w:val="20"/>
        </w:rPr>
        <w:t xml:space="preserve">CE: Cost-effectiveness, GP: General practitioner, </w:t>
      </w:r>
      <w:r w:rsidR="001E0494">
        <w:rPr>
          <w:sz w:val="20"/>
          <w:szCs w:val="20"/>
        </w:rPr>
        <w:t xml:space="preserve">HCA: Human capital approach, </w:t>
      </w:r>
      <w:r w:rsidRPr="006C54FD">
        <w:rPr>
          <w:sz w:val="20"/>
          <w:szCs w:val="20"/>
        </w:rPr>
        <w:t xml:space="preserve">ICU: Intense care unit, LOS: Length of stay, QALY: Quality-adjusted life year, QoL: Quality of life, Q-LAIV: Quadrivalent live-attenuated influenza vaccine, </w:t>
      </w:r>
      <w:r w:rsidR="001E0494">
        <w:rPr>
          <w:sz w:val="20"/>
          <w:szCs w:val="20"/>
        </w:rPr>
        <w:t xml:space="preserve">PSA: Probabilistic sensitivity analysis, </w:t>
      </w:r>
      <w:r w:rsidRPr="006C54FD">
        <w:rPr>
          <w:sz w:val="20"/>
          <w:szCs w:val="20"/>
        </w:rPr>
        <w:t xml:space="preserve">SA: Sensitivity analysis, SNPG: </w:t>
      </w:r>
      <w:proofErr w:type="spellStart"/>
      <w:r w:rsidRPr="006C54FD">
        <w:rPr>
          <w:sz w:val="20"/>
          <w:szCs w:val="20"/>
        </w:rPr>
        <w:t>Stichting</w:t>
      </w:r>
      <w:proofErr w:type="spellEnd"/>
      <w:r w:rsidRPr="006C54FD">
        <w:rPr>
          <w:sz w:val="20"/>
          <w:szCs w:val="20"/>
        </w:rPr>
        <w:t xml:space="preserve"> </w:t>
      </w:r>
      <w:proofErr w:type="spellStart"/>
      <w:r w:rsidRPr="006C54FD">
        <w:rPr>
          <w:sz w:val="20"/>
          <w:szCs w:val="20"/>
        </w:rPr>
        <w:t>nationaal</w:t>
      </w:r>
      <w:proofErr w:type="spellEnd"/>
      <w:r w:rsidRPr="006C54FD">
        <w:rPr>
          <w:sz w:val="20"/>
          <w:szCs w:val="20"/>
        </w:rPr>
        <w:t xml:space="preserve"> </w:t>
      </w:r>
      <w:proofErr w:type="spellStart"/>
      <w:r w:rsidRPr="006C54FD">
        <w:rPr>
          <w:sz w:val="20"/>
          <w:szCs w:val="20"/>
        </w:rPr>
        <w:t>programma</w:t>
      </w:r>
      <w:proofErr w:type="spellEnd"/>
      <w:r w:rsidRPr="006C54FD">
        <w:rPr>
          <w:sz w:val="20"/>
          <w:szCs w:val="20"/>
        </w:rPr>
        <w:t xml:space="preserve"> </w:t>
      </w:r>
      <w:proofErr w:type="spellStart"/>
      <w:r w:rsidRPr="006C54FD">
        <w:rPr>
          <w:sz w:val="20"/>
          <w:szCs w:val="20"/>
        </w:rPr>
        <w:t>grieppreventie</w:t>
      </w:r>
      <w:proofErr w:type="spellEnd"/>
      <w:r w:rsidRPr="006C54FD">
        <w:rPr>
          <w:sz w:val="20"/>
          <w:szCs w:val="20"/>
        </w:rPr>
        <w:t>, TIV: Trivalent inactivated vaccine.</w:t>
      </w:r>
    </w:p>
    <w:p w:rsidR="003F25DC" w:rsidRDefault="003F25DC" w:rsidP="003F25DC"/>
    <w:p w:rsidR="000173E4" w:rsidRDefault="000173E4" w:rsidP="0038167D">
      <w:pPr>
        <w:pStyle w:val="Heading3"/>
        <w:rPr>
          <w:lang w:val="en-US"/>
        </w:rPr>
      </w:pPr>
      <w:r>
        <w:rPr>
          <w:lang w:val="en-US"/>
        </w:rPr>
        <w:lastRenderedPageBreak/>
        <w:t>Sensitivity analysis</w:t>
      </w:r>
      <w:r w:rsidR="001B2A90">
        <w:rPr>
          <w:lang w:val="en-US"/>
        </w:rPr>
        <w:t xml:space="preserve"> of duration of protection of Q-LAIV </w:t>
      </w:r>
    </w:p>
    <w:p w:rsidR="008F15E6" w:rsidRDefault="001B2A90" w:rsidP="008F15E6">
      <w:pPr>
        <w:rPr>
          <w:noProof/>
        </w:rPr>
      </w:pPr>
      <w:r>
        <w:rPr>
          <w:noProof/>
        </w:rPr>
        <w:t xml:space="preserve">In the main analysis, </w:t>
      </w:r>
      <w:r w:rsidR="008F15E6">
        <w:rPr>
          <w:noProof/>
        </w:rPr>
        <w:t>Q</w:t>
      </w:r>
      <w:r>
        <w:rPr>
          <w:noProof/>
        </w:rPr>
        <w:t>-</w:t>
      </w:r>
      <w:r w:rsidR="008F15E6">
        <w:rPr>
          <w:noProof/>
        </w:rPr>
        <w:t>LAIV</w:t>
      </w:r>
      <w:r>
        <w:rPr>
          <w:noProof/>
        </w:rPr>
        <w:t xml:space="preserve"> used in children</w:t>
      </w:r>
      <w:r w:rsidR="008F15E6">
        <w:rPr>
          <w:noProof/>
        </w:rPr>
        <w:t xml:space="preserve"> was assumed to have similar characteristics as TIV used in the current program, i.e. a vaccine protection of 1 year and an average vaccine match of 56%. To allow for a longer </w:t>
      </w:r>
      <w:r>
        <w:rPr>
          <w:noProof/>
        </w:rPr>
        <w:t xml:space="preserve">duration of </w:t>
      </w:r>
      <w:r w:rsidR="008F15E6">
        <w:rPr>
          <w:noProof/>
        </w:rPr>
        <w:t xml:space="preserve">protection </w:t>
      </w:r>
      <w:r>
        <w:rPr>
          <w:noProof/>
        </w:rPr>
        <w:t xml:space="preserve">of Q-LAIV, </w:t>
      </w:r>
      <w:r w:rsidR="008F15E6">
        <w:rPr>
          <w:noProof/>
        </w:rPr>
        <w:t>the original model is extended with two additional compartments (Fig. S1.1B): one compartment to hold vaccinated low-risk children (Q</w:t>
      </w:r>
      <w:r w:rsidR="008F15E6" w:rsidRPr="00EB558E">
        <w:rPr>
          <w:noProof/>
          <w:vertAlign w:val="subscript"/>
        </w:rPr>
        <w:t>V</w:t>
      </w:r>
      <w:r w:rsidR="008F15E6">
        <w:rPr>
          <w:noProof/>
        </w:rPr>
        <w:t>) and one compartment to hold low-risk children that were previously vaccinated (Q).</w:t>
      </w:r>
      <w:r w:rsidR="008F15E6" w:rsidRPr="003904B0">
        <w:rPr>
          <w:noProof/>
        </w:rPr>
        <w:t xml:space="preserve"> </w:t>
      </w:r>
      <w:r w:rsidR="008F15E6">
        <w:rPr>
          <w:noProof/>
        </w:rPr>
        <w:t xml:space="preserve">High-risk children </w:t>
      </w:r>
      <w:r>
        <w:rPr>
          <w:noProof/>
        </w:rPr>
        <w:t>remain</w:t>
      </w:r>
      <w:r w:rsidR="008F15E6">
        <w:rPr>
          <w:noProof/>
        </w:rPr>
        <w:t xml:space="preserve"> vaccinated with TIV, as they </w:t>
      </w:r>
      <w:r>
        <w:rPr>
          <w:noProof/>
        </w:rPr>
        <w:t>could</w:t>
      </w:r>
      <w:r w:rsidR="008F15E6">
        <w:rPr>
          <w:noProof/>
        </w:rPr>
        <w:t xml:space="preserve"> have a contra-indication </w:t>
      </w:r>
      <w:r>
        <w:rPr>
          <w:noProof/>
        </w:rPr>
        <w:t>to</w:t>
      </w:r>
      <w:r w:rsidR="008F15E6">
        <w:rPr>
          <w:noProof/>
        </w:rPr>
        <w:t xml:space="preserve"> Q</w:t>
      </w:r>
      <w:r>
        <w:rPr>
          <w:noProof/>
        </w:rPr>
        <w:t>-</w:t>
      </w:r>
      <w:r w:rsidR="008F15E6">
        <w:rPr>
          <w:noProof/>
        </w:rPr>
        <w:t xml:space="preserve">LAIV. </w:t>
      </w:r>
      <w:r>
        <w:rPr>
          <w:noProof/>
        </w:rPr>
        <w:t xml:space="preserve">In the extended model, </w:t>
      </w:r>
      <w:r w:rsidR="008F15E6">
        <w:rPr>
          <w:noProof/>
        </w:rPr>
        <w:t>Q</w:t>
      </w:r>
      <w:r>
        <w:rPr>
          <w:noProof/>
        </w:rPr>
        <w:t>-</w:t>
      </w:r>
      <w:r w:rsidR="008F15E6">
        <w:rPr>
          <w:noProof/>
        </w:rPr>
        <w:t>LAIV protection lasts at least one year, after which children</w:t>
      </w:r>
      <w:r w:rsidR="00975BBC">
        <w:rPr>
          <w:noProof/>
        </w:rPr>
        <w:t xml:space="preserve"> that are not vaccinated in the next season</w:t>
      </w:r>
      <w:r w:rsidR="008F15E6">
        <w:rPr>
          <w:noProof/>
        </w:rPr>
        <w:t xml:space="preserve"> move to the Q compartment. When the </w:t>
      </w:r>
      <w:r w:rsidR="00975BBC">
        <w:rPr>
          <w:noProof/>
        </w:rPr>
        <w:t>duration of protection of</w:t>
      </w:r>
      <w:r w:rsidR="008F15E6">
        <w:rPr>
          <w:noProof/>
        </w:rPr>
        <w:t xml:space="preserve"> Q</w:t>
      </w:r>
      <w:r>
        <w:rPr>
          <w:noProof/>
        </w:rPr>
        <w:t>-</w:t>
      </w:r>
      <w:r w:rsidR="008F15E6">
        <w:rPr>
          <w:noProof/>
        </w:rPr>
        <w:t>LAIV (D</w:t>
      </w:r>
      <w:r w:rsidR="008F15E6" w:rsidRPr="003904B0">
        <w:rPr>
          <w:noProof/>
          <w:vertAlign w:val="subscript"/>
        </w:rPr>
        <w:t>Q</w:t>
      </w:r>
      <w:r w:rsidR="008F15E6">
        <w:rPr>
          <w:noProof/>
        </w:rPr>
        <w:t>) is less than two years, they will be proportionally divided between the Q (D</w:t>
      </w:r>
      <w:r w:rsidR="008F15E6" w:rsidRPr="003904B0">
        <w:rPr>
          <w:noProof/>
          <w:vertAlign w:val="subscript"/>
        </w:rPr>
        <w:t>Q</w:t>
      </w:r>
      <w:r w:rsidR="008F15E6">
        <w:rPr>
          <w:noProof/>
        </w:rPr>
        <w:t xml:space="preserve"> – 1)and S compartment (2 – D</w:t>
      </w:r>
      <w:r w:rsidR="008F15E6" w:rsidRPr="003904B0">
        <w:rPr>
          <w:noProof/>
          <w:vertAlign w:val="subscript"/>
        </w:rPr>
        <w:t>Q</w:t>
      </w:r>
      <w:r w:rsidR="008F15E6">
        <w:rPr>
          <w:noProof/>
        </w:rPr>
        <w:t>). When the total Q</w:t>
      </w:r>
      <w:r w:rsidR="00975BBC">
        <w:rPr>
          <w:noProof/>
        </w:rPr>
        <w:t>-</w:t>
      </w:r>
      <w:r w:rsidR="008F15E6">
        <w:rPr>
          <w:noProof/>
        </w:rPr>
        <w:t>LAIV protection is more than two years the vaccine protection wanes with an annual rate of (1/(D</w:t>
      </w:r>
      <w:r w:rsidR="008F15E6" w:rsidRPr="003904B0">
        <w:rPr>
          <w:noProof/>
          <w:vertAlign w:val="subscript"/>
        </w:rPr>
        <w:t>Q</w:t>
      </w:r>
      <w:r w:rsidR="008F15E6">
        <w:rPr>
          <w:noProof/>
        </w:rPr>
        <w:t xml:space="preserve"> – 1)). The children in the Q</w:t>
      </w:r>
      <w:r w:rsidR="008F15E6" w:rsidRPr="0072499B">
        <w:rPr>
          <w:noProof/>
          <w:vertAlign w:val="subscript"/>
        </w:rPr>
        <w:t>V</w:t>
      </w:r>
      <w:r w:rsidR="008F15E6">
        <w:rPr>
          <w:noProof/>
        </w:rPr>
        <w:t xml:space="preserve"> and Q compartments can still be infected, depending on the vaccine match. In the new model, Q</w:t>
      </w:r>
      <w:r w:rsidR="00975BBC">
        <w:rPr>
          <w:noProof/>
        </w:rPr>
        <w:t>-</w:t>
      </w:r>
      <w:r w:rsidR="008F15E6">
        <w:rPr>
          <w:noProof/>
        </w:rPr>
        <w:t>LAIV can</w:t>
      </w:r>
      <w:r w:rsidR="00975BBC">
        <w:rPr>
          <w:noProof/>
        </w:rPr>
        <w:t xml:space="preserve"> also</w:t>
      </w:r>
      <w:r w:rsidR="008F15E6">
        <w:rPr>
          <w:noProof/>
        </w:rPr>
        <w:t xml:space="preserve"> be assumed to have a higher efficacy</w:t>
      </w:r>
      <w:r w:rsidR="00975BBC">
        <w:rPr>
          <w:noProof/>
        </w:rPr>
        <w:t xml:space="preserve"> than TIV</w:t>
      </w:r>
      <w:r w:rsidR="008F15E6">
        <w:rPr>
          <w:noProof/>
        </w:rPr>
        <w:t xml:space="preserve"> by multiplying the vaccine match with a factor.</w:t>
      </w:r>
      <w:r w:rsidR="008F15E6">
        <w:rPr>
          <w:noProof/>
        </w:rPr>
        <w:br w:type="page"/>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3608"/>
        <w:gridCol w:w="4708"/>
      </w:tblGrid>
      <w:tr w:rsidR="008F15E6" w:rsidRPr="00BF7FA4" w:rsidTr="008F15E6">
        <w:tc>
          <w:tcPr>
            <w:tcW w:w="3683" w:type="dxa"/>
            <w:tcBorders>
              <w:right w:val="single" w:sz="4" w:space="0" w:color="auto"/>
            </w:tcBorders>
            <w:shd w:val="clear" w:color="auto" w:fill="D9D9D9" w:themeFill="background1" w:themeFillShade="D9"/>
            <w:tcMar>
              <w:left w:w="0" w:type="dxa"/>
              <w:right w:w="0" w:type="dxa"/>
            </w:tcMar>
            <w:vAlign w:val="bottom"/>
          </w:tcPr>
          <w:p w:rsidR="008F15E6" w:rsidRPr="008F15E6" w:rsidRDefault="008F15E6" w:rsidP="00047A4C">
            <w:pPr>
              <w:ind w:left="360"/>
              <w:rPr>
                <w:b/>
                <w:noProof/>
                <w:sz w:val="20"/>
                <w:szCs w:val="20"/>
              </w:rPr>
            </w:pPr>
            <w:r w:rsidRPr="008F15E6">
              <w:rPr>
                <w:b/>
                <w:noProof/>
                <w:sz w:val="20"/>
                <w:szCs w:val="20"/>
              </w:rPr>
              <w:lastRenderedPageBreak/>
              <w:t>A               Original model</w:t>
            </w:r>
          </w:p>
        </w:tc>
        <w:tc>
          <w:tcPr>
            <w:tcW w:w="4633" w:type="dxa"/>
            <w:tcBorders>
              <w:top w:val="single" w:sz="4" w:space="0" w:color="auto"/>
              <w:left w:val="single" w:sz="4" w:space="0" w:color="auto"/>
              <w:bottom w:val="nil"/>
            </w:tcBorders>
            <w:shd w:val="clear" w:color="auto" w:fill="D9D9D9" w:themeFill="background1" w:themeFillShade="D9"/>
            <w:tcMar>
              <w:left w:w="0" w:type="dxa"/>
              <w:right w:w="0" w:type="dxa"/>
            </w:tcMar>
            <w:vAlign w:val="bottom"/>
          </w:tcPr>
          <w:p w:rsidR="008F15E6" w:rsidRPr="008F15E6" w:rsidRDefault="008F15E6" w:rsidP="00047A4C">
            <w:pPr>
              <w:rPr>
                <w:b/>
                <w:noProof/>
                <w:sz w:val="20"/>
                <w:szCs w:val="20"/>
              </w:rPr>
            </w:pPr>
            <w:r w:rsidRPr="008F15E6">
              <w:rPr>
                <w:b/>
                <w:noProof/>
                <w:sz w:val="20"/>
                <w:szCs w:val="20"/>
              </w:rPr>
              <w:t xml:space="preserve">  B        Model with extended protection by QLAIV</w:t>
            </w:r>
          </w:p>
        </w:tc>
      </w:tr>
      <w:tr w:rsidR="008F15E6" w:rsidTr="008F15E6">
        <w:tc>
          <w:tcPr>
            <w:tcW w:w="3683" w:type="dxa"/>
            <w:tcBorders>
              <w:right w:val="single" w:sz="4" w:space="0" w:color="auto"/>
            </w:tcBorders>
            <w:tcMar>
              <w:left w:w="0" w:type="dxa"/>
              <w:right w:w="0" w:type="dxa"/>
            </w:tcMar>
            <w:vAlign w:val="bottom"/>
          </w:tcPr>
          <w:p w:rsidR="008F15E6" w:rsidRDefault="008F15E6" w:rsidP="00047A4C">
            <w:pPr>
              <w:spacing w:line="276" w:lineRule="auto"/>
              <w:rPr>
                <w:noProof/>
              </w:rPr>
            </w:pPr>
            <w:r>
              <w:rPr>
                <w:noProof/>
                <w:lang w:val="en-US"/>
              </w:rPr>
              <w:drawing>
                <wp:inline distT="0" distB="0" distL="0" distR="0" wp14:anchorId="10EB56AE" wp14:editId="2F691685">
                  <wp:extent cx="2302329" cy="1548781"/>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01168" cy="1548000"/>
                          </a:xfrm>
                          <a:prstGeom prst="rect">
                            <a:avLst/>
                          </a:prstGeom>
                          <a:noFill/>
                          <a:ln>
                            <a:noFill/>
                          </a:ln>
                        </pic:spPr>
                      </pic:pic>
                    </a:graphicData>
                  </a:graphic>
                </wp:inline>
              </w:drawing>
            </w:r>
          </w:p>
        </w:tc>
        <w:tc>
          <w:tcPr>
            <w:tcW w:w="4633" w:type="dxa"/>
            <w:tcBorders>
              <w:top w:val="nil"/>
              <w:left w:val="single" w:sz="4" w:space="0" w:color="auto"/>
              <w:bottom w:val="single" w:sz="4" w:space="0" w:color="auto"/>
            </w:tcBorders>
            <w:tcMar>
              <w:left w:w="0" w:type="dxa"/>
              <w:right w:w="0" w:type="dxa"/>
            </w:tcMar>
            <w:vAlign w:val="bottom"/>
          </w:tcPr>
          <w:p w:rsidR="008F15E6" w:rsidRDefault="008F15E6" w:rsidP="00124F84">
            <w:pPr>
              <w:keepNext/>
              <w:spacing w:line="276" w:lineRule="auto"/>
              <w:rPr>
                <w:noProof/>
              </w:rPr>
            </w:pPr>
            <w:r>
              <w:rPr>
                <w:noProof/>
                <w:lang w:val="en-US"/>
              </w:rPr>
              <w:drawing>
                <wp:inline distT="0" distB="0" distL="0" distR="0" wp14:anchorId="7CE6635E" wp14:editId="2D7F0C14">
                  <wp:extent cx="3004457" cy="2445275"/>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07805" cy="2448000"/>
                          </a:xfrm>
                          <a:prstGeom prst="rect">
                            <a:avLst/>
                          </a:prstGeom>
                          <a:noFill/>
                          <a:ln>
                            <a:noFill/>
                          </a:ln>
                        </pic:spPr>
                      </pic:pic>
                    </a:graphicData>
                  </a:graphic>
                </wp:inline>
              </w:drawing>
            </w:r>
          </w:p>
        </w:tc>
      </w:tr>
    </w:tbl>
    <w:p w:rsidR="000173E4" w:rsidRPr="000173E4" w:rsidRDefault="00D435E2" w:rsidP="00124F84">
      <w:pPr>
        <w:rPr>
          <w:rFonts w:ascii="Arial" w:hAnsi="Arial" w:cs="Arial"/>
          <w:sz w:val="22"/>
          <w:szCs w:val="28"/>
          <w:lang w:val="en-US"/>
        </w:rPr>
      </w:pPr>
      <w:r>
        <w:t>Figure S</w:t>
      </w:r>
      <w:r>
        <w:rPr>
          <w:noProof/>
        </w:rPr>
        <w:t>2</w:t>
      </w:r>
      <w:r>
        <w:t xml:space="preserve">: </w:t>
      </w:r>
      <w:r w:rsidR="008F15E6" w:rsidRPr="007E5A14">
        <w:t xml:space="preserve">Overview of the influenza model. </w:t>
      </w:r>
      <w:r w:rsidR="008F15E6" w:rsidRPr="007E5A14">
        <w:rPr>
          <w:rFonts w:cs="CMBX9"/>
        </w:rPr>
        <w:t>A</w:t>
      </w:r>
      <w:r w:rsidR="006C4659">
        <w:t>)</w:t>
      </w:r>
      <w:r w:rsidR="008F15E6" w:rsidRPr="007E5A14">
        <w:t xml:space="preserve"> Original compartmental model for discrete time steps of one year, with</w:t>
      </w:r>
      <w:r w:rsidR="008F15E6">
        <w:t xml:space="preserve"> </w:t>
      </w:r>
      <w:r w:rsidR="008F15E6" w:rsidRPr="007E5A14">
        <w:t>classification according to vaccination and infection status: fully susceptible (</w:t>
      </w:r>
      <w:r w:rsidR="008F15E6" w:rsidRPr="007E5A14">
        <w:rPr>
          <w:rFonts w:cs="CMMI9"/>
        </w:rPr>
        <w:t xml:space="preserve">S </w:t>
      </w:r>
      <w:r w:rsidR="008F15E6" w:rsidRPr="007E5A14">
        <w:t xml:space="preserve">and </w:t>
      </w:r>
      <w:r w:rsidR="008F15E6" w:rsidRPr="007E5A14">
        <w:rPr>
          <w:rFonts w:cs="CMMI9"/>
        </w:rPr>
        <w:t>S</w:t>
      </w:r>
      <w:r w:rsidR="008F15E6" w:rsidRPr="007E5A14">
        <w:rPr>
          <w:rFonts w:cs="CMR6"/>
        </w:rPr>
        <w:t>V</w:t>
      </w:r>
      <w:r w:rsidR="008F15E6" w:rsidRPr="007E5A14">
        <w:t>), immune through natural</w:t>
      </w:r>
      <w:r w:rsidR="008F15E6">
        <w:t xml:space="preserve"> </w:t>
      </w:r>
      <w:r w:rsidR="008F15E6" w:rsidRPr="007E5A14">
        <w:t>infection (</w:t>
      </w:r>
      <w:r w:rsidR="008F15E6" w:rsidRPr="007E5A14">
        <w:rPr>
          <w:rFonts w:cs="CMMI9"/>
        </w:rPr>
        <w:t xml:space="preserve">R </w:t>
      </w:r>
      <w:r w:rsidR="008F15E6" w:rsidRPr="007E5A14">
        <w:t xml:space="preserve">and </w:t>
      </w:r>
      <w:r w:rsidR="008F15E6" w:rsidRPr="007E5A14">
        <w:rPr>
          <w:rFonts w:cs="CMMI9"/>
        </w:rPr>
        <w:t>R</w:t>
      </w:r>
      <w:r w:rsidR="008F15E6" w:rsidRPr="007E5A14">
        <w:rPr>
          <w:rFonts w:cs="CMR6"/>
        </w:rPr>
        <w:t>V</w:t>
      </w:r>
      <w:r w:rsidR="008F15E6" w:rsidRPr="007E5A14">
        <w:t>), and partially protected by vaccination (</w:t>
      </w:r>
      <w:r w:rsidR="008F15E6" w:rsidRPr="007E5A14">
        <w:rPr>
          <w:rFonts w:cs="CMMI9"/>
        </w:rPr>
        <w:t>P</w:t>
      </w:r>
      <w:r w:rsidR="008F15E6" w:rsidRPr="007E5A14">
        <w:rPr>
          <w:rFonts w:cs="CMR6"/>
        </w:rPr>
        <w:t>V</w:t>
      </w:r>
      <w:r w:rsidR="008F15E6" w:rsidRPr="007E5A14">
        <w:t>), where subscript V denotes a vaccinated</w:t>
      </w:r>
      <w:r w:rsidR="006C4659">
        <w:t xml:space="preserve"> </w:t>
      </w:r>
      <w:r w:rsidR="008F15E6" w:rsidRPr="007E5A14">
        <w:t>compartment. The model lacks an explicit infectious compartment because of the use of final size calculations.</w:t>
      </w:r>
      <w:r w:rsidR="006C4659">
        <w:t xml:space="preserve"> </w:t>
      </w:r>
      <w:r w:rsidR="008F15E6" w:rsidRPr="007E5A14">
        <w:t>B</w:t>
      </w:r>
      <w:r w:rsidR="006C4659">
        <w:t>)</w:t>
      </w:r>
      <w:r w:rsidR="008F15E6" w:rsidRPr="007E5A14">
        <w:t xml:space="preserve"> </w:t>
      </w:r>
      <w:r w:rsidR="008F15E6">
        <w:t>Adapted</w:t>
      </w:r>
      <w:r w:rsidR="008F15E6" w:rsidRPr="007E5A14">
        <w:t xml:space="preserve"> model to allow for extended protection by QLAIV. When vaccinated low-risk children in the Q</w:t>
      </w:r>
      <w:r w:rsidR="008F15E6" w:rsidRPr="007E5A14">
        <w:rPr>
          <w:vertAlign w:val="subscript"/>
        </w:rPr>
        <w:t>V</w:t>
      </w:r>
      <w:r w:rsidR="008F15E6" w:rsidRPr="007E5A14">
        <w:t xml:space="preserve"> compartment are not vaccinated the following season, they move to the unvaccinated Q compartment, where they will still be partially protected against infection for an extended period until the vaccine protection wanes.</w:t>
      </w:r>
      <w:r w:rsidR="000173E4" w:rsidRPr="000173E4">
        <w:rPr>
          <w:lang w:val="en-US"/>
        </w:rPr>
        <w:br w:type="page"/>
      </w:r>
    </w:p>
    <w:p w:rsidR="003F25DC" w:rsidRPr="00047A4C" w:rsidRDefault="003F25DC" w:rsidP="003F25DC">
      <w:pPr>
        <w:pStyle w:val="Heading2"/>
        <w:rPr>
          <w:lang w:val="en-US"/>
        </w:rPr>
      </w:pPr>
      <w:r w:rsidRPr="00047A4C">
        <w:rPr>
          <w:lang w:val="en-US"/>
        </w:rPr>
        <w:lastRenderedPageBreak/>
        <w:t>References</w:t>
      </w:r>
    </w:p>
    <w:p w:rsidR="00124F84" w:rsidRPr="00124F84" w:rsidRDefault="00124F84" w:rsidP="00124F84">
      <w:pPr>
        <w:pStyle w:val="EndNoteBibliography"/>
        <w:ind w:left="720" w:hanging="720"/>
      </w:pPr>
      <w:r w:rsidRPr="00124F84">
        <w:t>1.</w:t>
      </w:r>
      <w:r w:rsidRPr="00124F84">
        <w:tab/>
        <w:t>Backer JA, Wallinga J, Meijer A, Donker GA, van der Hoek W, van Boven M. The impact of influenza vaccination on infection, hospitalisation and mortality in the Netherlands between 2003 and 2015. Epidemics 2019, 26:77-85.</w:t>
      </w:r>
    </w:p>
    <w:p w:rsidR="00124F84" w:rsidRPr="00124F84" w:rsidRDefault="00124F84" w:rsidP="00124F84">
      <w:pPr>
        <w:pStyle w:val="EndNoteBibliography"/>
        <w:ind w:left="720" w:hanging="720"/>
      </w:pPr>
      <w:r w:rsidRPr="00124F84">
        <w:t>2.</w:t>
      </w:r>
      <w:r w:rsidRPr="00124F84">
        <w:tab/>
        <w:t>Van de Kassteele J, Van Eijkeren J, Wallinga J. Efficient estimation of age-specific contact rates between men and women. Ann Appl Stat 2017, 11:320.</w:t>
      </w:r>
    </w:p>
    <w:p w:rsidR="00124F84" w:rsidRPr="00124F84" w:rsidRDefault="00124F84" w:rsidP="00124F84">
      <w:pPr>
        <w:pStyle w:val="EndNoteBibliography"/>
        <w:ind w:left="720" w:hanging="720"/>
      </w:pPr>
      <w:r w:rsidRPr="00124F84">
        <w:t>3.</w:t>
      </w:r>
      <w:r w:rsidRPr="00124F84">
        <w:tab/>
        <w:t>Tacken MA, Jansen B, Mulder J, Campbell SM, Braspenning JC. Dutch influenza vaccination rate drops for fifth consecutive year. Vaccine 2015, 33(38):4886-4891.</w:t>
      </w:r>
    </w:p>
    <w:p w:rsidR="00124F84" w:rsidRPr="009A59DD" w:rsidRDefault="00124F84" w:rsidP="00124F84">
      <w:pPr>
        <w:pStyle w:val="EndNoteBibliography"/>
        <w:ind w:left="720" w:hanging="720"/>
        <w:rPr>
          <w:lang w:val="nl-NL"/>
        </w:rPr>
      </w:pPr>
      <w:r w:rsidRPr="00124F84">
        <w:t>4.</w:t>
      </w:r>
      <w:r w:rsidRPr="00124F84">
        <w:tab/>
        <w:t xml:space="preserve">Carrat F, Vergu E, Ferguson NM, Lemaitre M, Cauchemez S, Leach S, Valleron AJ. Time lines of infection and disease in human influenza: a review of volunteer challenge studies. </w:t>
      </w:r>
      <w:r w:rsidRPr="009A59DD">
        <w:rPr>
          <w:lang w:val="nl-NL"/>
        </w:rPr>
        <w:t>Am J Epidemiol 2008, 167(7):775-785.</w:t>
      </w:r>
    </w:p>
    <w:p w:rsidR="00124F84" w:rsidRPr="00124F84" w:rsidRDefault="00124F84" w:rsidP="00124F84">
      <w:pPr>
        <w:pStyle w:val="EndNoteBibliography"/>
        <w:ind w:left="720" w:hanging="720"/>
      </w:pPr>
      <w:r w:rsidRPr="009A59DD">
        <w:rPr>
          <w:lang w:val="nl-NL"/>
        </w:rPr>
        <w:t>5.</w:t>
      </w:r>
      <w:r w:rsidRPr="009A59DD">
        <w:rPr>
          <w:lang w:val="nl-NL"/>
        </w:rPr>
        <w:tab/>
        <w:t xml:space="preserve">Friesema IH, Koppeschaar CE, Donker GA, Dijkstra F, van Noort SP, Smallenburg R, van der Hoek W, van der Sande MA. </w:t>
      </w:r>
      <w:r w:rsidRPr="00124F84">
        <w:t>Internet-based monitoring of influenza-like illness in the general population: experience of five influenza seasons in The Netherlands. Vaccine 2009, 27(45):6353-6357.</w:t>
      </w:r>
    </w:p>
    <w:p w:rsidR="00124F84" w:rsidRPr="00124F84" w:rsidRDefault="00124F84" w:rsidP="00124F84">
      <w:pPr>
        <w:pStyle w:val="EndNoteBibliography"/>
        <w:ind w:left="720" w:hanging="720"/>
      </w:pPr>
      <w:r w:rsidRPr="00124F84">
        <w:t>6.</w:t>
      </w:r>
      <w:r w:rsidRPr="00124F84">
        <w:tab/>
        <w:t>Cromer D, van Hoek AJ, Jit M, Edmunds WJ, Fleming D, Miller E. The burden of influenza in England by age and clinical risk group: a statistical analysis to inform vaccine policy. J Infect 2014, 68(4):363-371.</w:t>
      </w:r>
    </w:p>
    <w:p w:rsidR="00124F84" w:rsidRPr="00124F84" w:rsidRDefault="00124F84" w:rsidP="00124F84">
      <w:pPr>
        <w:pStyle w:val="EndNoteBibliography"/>
        <w:ind w:left="720" w:hanging="720"/>
      </w:pPr>
      <w:r w:rsidRPr="00124F84">
        <w:t>7.</w:t>
      </w:r>
      <w:r w:rsidRPr="00124F84">
        <w:tab/>
        <w:t>McDonald SA, van Wijhe M, van Asten L, van der Hoek W, Wallinga J. Years of life lost due to influenza-attributable mortality in older adults in the Netherlands: a competing risks approach. Am J Epidemiol 2018, 187(8):1791-1798.</w:t>
      </w:r>
    </w:p>
    <w:p w:rsidR="00124F84" w:rsidRPr="00124F84" w:rsidRDefault="00124F84" w:rsidP="00124F84">
      <w:pPr>
        <w:pStyle w:val="EndNoteBibliography"/>
        <w:ind w:left="720" w:hanging="720"/>
      </w:pPr>
      <w:r w:rsidRPr="00124F84">
        <w:t>8.</w:t>
      </w:r>
      <w:r w:rsidRPr="00124F84">
        <w:tab/>
        <w:t>Matias G, Taylor RJ, Haguinet F, Schuck-Paim C, Lustig RL, Fleming DM. Modelling estimates of age-specific influenza-related hospitalisation and mortality in the United Kingdom. BMC Public Health 2016, 16:481.</w:t>
      </w:r>
    </w:p>
    <w:p w:rsidR="00124F84" w:rsidRPr="009A59DD" w:rsidRDefault="00124F84" w:rsidP="00124F84">
      <w:pPr>
        <w:pStyle w:val="EndNoteBibliography"/>
        <w:ind w:left="720" w:hanging="720"/>
        <w:rPr>
          <w:lang w:val="nl-NL"/>
        </w:rPr>
      </w:pPr>
      <w:r w:rsidRPr="00124F84">
        <w:t>9.</w:t>
      </w:r>
      <w:r w:rsidRPr="00124F84">
        <w:tab/>
        <w:t xml:space="preserve">Mangen MJ, Bonten MJ, de Wit GA. Rationale and design of the costs, health status and outcomes in community-acquired pneumonia (CHO-CAP) study in elderly persons hospitalized with CAP. </w:t>
      </w:r>
      <w:r w:rsidRPr="009A59DD">
        <w:rPr>
          <w:lang w:val="nl-NL"/>
        </w:rPr>
        <w:t>BMC Infect Dis 2013, 13:597.</w:t>
      </w:r>
    </w:p>
    <w:p w:rsidR="00124F84" w:rsidRPr="00124F84" w:rsidRDefault="00124F84" w:rsidP="00124F84">
      <w:pPr>
        <w:pStyle w:val="EndNoteBibliography"/>
        <w:ind w:left="720" w:hanging="720"/>
      </w:pPr>
      <w:r w:rsidRPr="009A59DD">
        <w:rPr>
          <w:lang w:val="nl-NL"/>
        </w:rPr>
        <w:t>10.</w:t>
      </w:r>
      <w:r w:rsidRPr="009A59DD">
        <w:rPr>
          <w:lang w:val="nl-NL"/>
        </w:rPr>
        <w:tab/>
        <w:t>Mangen MJ, Rozenbaum MH, Huijts SM, van Werkhoven CH, Postma DF, Atwood M, van Deursen AM, van der Ende A, Grobbee DE, Sanders EA</w:t>
      </w:r>
      <w:r w:rsidRPr="009A59DD">
        <w:rPr>
          <w:i/>
          <w:lang w:val="nl-NL"/>
        </w:rPr>
        <w:t xml:space="preserve"> et al</w:t>
      </w:r>
      <w:r w:rsidRPr="009A59DD">
        <w:rPr>
          <w:lang w:val="nl-NL"/>
        </w:rPr>
        <w:t xml:space="preserve">. </w:t>
      </w:r>
      <w:r w:rsidRPr="00124F84">
        <w:t>Cost-effectiveness of adult pneumococcal conjugate vaccination in the Netherlands. Eur Respir J 2015, 46(5):1407-1416.</w:t>
      </w:r>
    </w:p>
    <w:p w:rsidR="00124F84" w:rsidRPr="00124F84" w:rsidRDefault="00124F84" w:rsidP="00124F84">
      <w:pPr>
        <w:pStyle w:val="EndNoteBibliography"/>
        <w:ind w:left="720" w:hanging="720"/>
      </w:pPr>
      <w:r w:rsidRPr="00124F84">
        <w:t>11.</w:t>
      </w:r>
      <w:r w:rsidRPr="00124F84">
        <w:tab/>
        <w:t>Bilcke J, Coenen S, Beutels P. Influenza-like-illness and clinically diagnosed flu: disease burden, costs and quality of life for patients seeking ambulatory care or no professional care at all. PLoS One 2014, 9(7):e102634.</w:t>
      </w:r>
    </w:p>
    <w:p w:rsidR="00124F84" w:rsidRPr="00124F84" w:rsidRDefault="00124F84" w:rsidP="00124F84">
      <w:pPr>
        <w:pStyle w:val="EndNoteBibliography"/>
        <w:ind w:left="720" w:hanging="720"/>
      </w:pPr>
      <w:r w:rsidRPr="00124F84">
        <w:t>12.</w:t>
      </w:r>
      <w:r w:rsidRPr="00124F84">
        <w:tab/>
        <w:t>Lugner AK, Mylius SD, Wallinga J. Dynamic versus static models in cost-effectiveness analyses of anti-viral drug therapy to mitigate an influenza pandemic. Health Econ 2010, 19(5):518-531.</w:t>
      </w:r>
    </w:p>
    <w:p w:rsidR="00124F84" w:rsidRPr="00124F84" w:rsidRDefault="00124F84" w:rsidP="00124F84">
      <w:pPr>
        <w:pStyle w:val="EndNoteBibliography"/>
        <w:ind w:left="720" w:hanging="720"/>
      </w:pPr>
      <w:r w:rsidRPr="00124F84">
        <w:t>13.</w:t>
      </w:r>
      <w:r w:rsidRPr="00124F84">
        <w:tab/>
        <w:t>Enserink R, Lugner A, Suijkerbuijk A, Bruijning-Verhagen P, Smit HA, van Pelt W. Gastrointestinal and respiratory illness in children that do and do not attend child day care centers: a cost-of-illness study. PLoS One 2014, 9(8):e104940.</w:t>
      </w:r>
    </w:p>
    <w:p w:rsidR="00124F84" w:rsidRPr="00124F84" w:rsidRDefault="00124F84" w:rsidP="00124F84">
      <w:pPr>
        <w:pStyle w:val="EndNoteBibliography"/>
        <w:ind w:left="720" w:hanging="720"/>
      </w:pPr>
      <w:r w:rsidRPr="00124F84">
        <w:t>14.</w:t>
      </w:r>
      <w:r w:rsidRPr="00124F84">
        <w:tab/>
        <w:t>Dekker ARJ. Rational antibiotic prescribing for children with respiratory tract infections; Chapter 5: Cost-effectiveness analysis of a general practitioner- and parentdirected intervention to reduce antibiotic prescribing for children with respiratory tract infections in primary care (Doctoral thesis). Utrecht, the Netherlands; 2018.</w:t>
      </w:r>
    </w:p>
    <w:p w:rsidR="00124F84" w:rsidRPr="00124F84" w:rsidRDefault="00124F84" w:rsidP="00124F84">
      <w:pPr>
        <w:pStyle w:val="EndNoteBibliography"/>
        <w:ind w:left="720" w:hanging="720"/>
      </w:pPr>
      <w:r w:rsidRPr="00124F84">
        <w:t>15.</w:t>
      </w:r>
      <w:r w:rsidRPr="00124F84">
        <w:tab/>
        <w:t xml:space="preserve">Statistics Netherlands. Children and yearly hours spend in formal day care by type of care and age of the child (at end of the year), 2015 (in Dutch) 2016 </w:t>
      </w:r>
      <w:r w:rsidRPr="00797CD0">
        <w:lastRenderedPageBreak/>
        <w:t>https://www.cbs.nl/-/media/_excel/2016/23/kinderopvangtoeslag.xlsx</w:t>
      </w:r>
      <w:r w:rsidRPr="00124F84">
        <w:t>. Accessed at Sep 1 2018.</w:t>
      </w:r>
    </w:p>
    <w:p w:rsidR="00124F84" w:rsidRPr="00124F84" w:rsidRDefault="00124F84" w:rsidP="00124F84">
      <w:pPr>
        <w:pStyle w:val="EndNoteBibliography"/>
        <w:ind w:left="720" w:hanging="720"/>
      </w:pPr>
      <w:r w:rsidRPr="00797CD0">
        <w:rPr>
          <w:lang w:val="nl-NL"/>
        </w:rPr>
        <w:t>16.</w:t>
      </w:r>
      <w:r w:rsidRPr="00797CD0">
        <w:rPr>
          <w:lang w:val="nl-NL"/>
        </w:rPr>
        <w:tab/>
        <w:t xml:space="preserve">Rozenbaum MH, Mangen MJ, Huijts SM, van der Werf TS, Postma MJ. </w:t>
      </w:r>
      <w:r w:rsidRPr="00124F84">
        <w:t>Incidence, direct costs and duration of hospitalization of patients hospitalized with community acquired pneumonia: A nationwide retrospective claims database analysis. Vaccine 2015, 33(28):3193-3199.</w:t>
      </w:r>
    </w:p>
    <w:p w:rsidR="00124F84" w:rsidRPr="00124F84" w:rsidRDefault="00124F84" w:rsidP="00124F84">
      <w:pPr>
        <w:pStyle w:val="EndNoteBibliography"/>
        <w:ind w:left="720" w:hanging="720"/>
      </w:pPr>
      <w:r w:rsidRPr="00124F84">
        <w:t>17.</w:t>
      </w:r>
      <w:r w:rsidRPr="00124F84">
        <w:tab/>
        <w:t xml:space="preserve">National Health Care Institute. Guideline for economic evaluations in healthcare 2016 </w:t>
      </w:r>
      <w:r w:rsidRPr="00797CD0">
        <w:t>https://english.zorginstituutnederland.nl/publications/reports/2016/06/16/guideline-for-economic-evaluations-in-healthcare</w:t>
      </w:r>
      <w:r w:rsidRPr="00124F84">
        <w:t>. Accessed at Dec 1 2017.</w:t>
      </w:r>
    </w:p>
    <w:p w:rsidR="00124F84" w:rsidRPr="00124F84" w:rsidRDefault="00124F84" w:rsidP="00124F84">
      <w:pPr>
        <w:pStyle w:val="EndNoteBibliography"/>
        <w:ind w:left="720" w:hanging="720"/>
      </w:pPr>
      <w:r w:rsidRPr="00124F84">
        <w:t>18.</w:t>
      </w:r>
      <w:r w:rsidRPr="00124F84">
        <w:tab/>
        <w:t>van Baal PH, Wong A, Slobbe LC, Polder JJ, Brouwer WB, de Wit GA. Standardizing the inclusion of indirect medical costs in economic evaluations. Pharmacoeconomics 2011, 29(3):175-187.</w:t>
      </w:r>
    </w:p>
    <w:p w:rsidR="00124F84" w:rsidRPr="00797CD0" w:rsidRDefault="00124F84" w:rsidP="00124F84">
      <w:pPr>
        <w:pStyle w:val="EndNoteBibliography"/>
        <w:ind w:left="720" w:hanging="720"/>
      </w:pPr>
      <w:r w:rsidRPr="00124F84">
        <w:t>19.</w:t>
      </w:r>
      <w:r w:rsidRPr="00124F84">
        <w:tab/>
        <w:t xml:space="preserve">Statistics Netherlands. Population; Gender, age, marital status and region, 1 January 2017 </w:t>
      </w:r>
      <w:r w:rsidRPr="00797CD0">
        <w:t>http://statline.cbs.nl/Statweb/publication/?DM=SLNL&amp;PA=03759ned&amp;D1=0-2&amp;D2=0-117&amp;D3=0&amp;D4=l&amp;HDR=T&amp;STB=G2,G3,G1&amp;VW=T</w:t>
      </w:r>
      <w:r w:rsidRPr="00124F84">
        <w:t xml:space="preserve">. </w:t>
      </w:r>
      <w:r w:rsidRPr="00797CD0">
        <w:t>Accessed at Dec 1 2017.</w:t>
      </w:r>
    </w:p>
    <w:p w:rsidR="00124F84" w:rsidRPr="00124F84" w:rsidRDefault="00124F84" w:rsidP="00124F84">
      <w:pPr>
        <w:pStyle w:val="EndNoteBibliography"/>
        <w:ind w:left="720" w:hanging="720"/>
      </w:pPr>
      <w:r w:rsidRPr="009A59DD">
        <w:rPr>
          <w:lang w:val="nl-NL"/>
        </w:rPr>
        <w:t>20.</w:t>
      </w:r>
      <w:r w:rsidRPr="009A59DD">
        <w:rPr>
          <w:lang w:val="nl-NL"/>
        </w:rPr>
        <w:tab/>
        <w:t xml:space="preserve">van Werkhoven CH, Postma DF, Mangen MJ, Oosterheert JJ, Bonten MJ, group C-Ss. </w:t>
      </w:r>
      <w:r w:rsidRPr="00124F84">
        <w:t>Cost-effectiveness of antibiotic treatment strategies for community-acquired pneumonia: results from a cluster randomized cross-over trial. BMC Infect Dis 2017, 17(1):52.</w:t>
      </w:r>
    </w:p>
    <w:p w:rsidR="00124F84" w:rsidRPr="00124F84" w:rsidRDefault="00124F84" w:rsidP="00124F84">
      <w:pPr>
        <w:pStyle w:val="EndNoteBibliography"/>
        <w:ind w:left="720" w:hanging="720"/>
      </w:pPr>
      <w:r w:rsidRPr="00124F84">
        <w:t>21.</w:t>
      </w:r>
      <w:r w:rsidRPr="00124F84">
        <w:tab/>
        <w:t xml:space="preserve">Statistics Netherlands. Working population; working time [In Dutch] 2017 </w:t>
      </w:r>
      <w:r w:rsidRPr="00797CD0">
        <w:t>https://statline.cbs.nl/Statweb/publication/?DM=SLNL&amp;PA=82647ned&amp;D1=a&amp;D2=0&amp;D3=1-8&amp;D4=74&amp;HDR=G3&amp;STB=G1,G2,T&amp;P=T&amp;VW=T</w:t>
      </w:r>
      <w:r w:rsidRPr="00124F84">
        <w:t>. Accessed at 1 Feb 2019.</w:t>
      </w:r>
    </w:p>
    <w:p w:rsidR="00124F84" w:rsidRPr="00124F84" w:rsidRDefault="00124F84" w:rsidP="00124F84">
      <w:pPr>
        <w:pStyle w:val="EndNoteBibliography"/>
        <w:ind w:left="720" w:hanging="720"/>
      </w:pPr>
      <w:r w:rsidRPr="00124F84">
        <w:t>22.</w:t>
      </w:r>
      <w:r w:rsidRPr="00124F84">
        <w:tab/>
        <w:t xml:space="preserve">Statistics Netherlands. Labour participation; Key figures 2016 </w:t>
      </w:r>
      <w:r w:rsidRPr="00797CD0">
        <w:t>http://statline.cbs.nl/Statweb/publication/?DM=SLNL&amp;PA=82309NED&amp;D1=22-23&amp;D2=a&amp;D3=18-22&amp;D4=0&amp;D5=69&amp;HDR=G1,T&amp;STB=G2,G3,G4&amp;VW=T</w:t>
      </w:r>
      <w:r w:rsidRPr="00124F84">
        <w:t>. Accessed at 1 Dec 2017.</w:t>
      </w:r>
    </w:p>
    <w:p w:rsidR="00124F84" w:rsidRPr="00124F84" w:rsidRDefault="00124F84" w:rsidP="00124F84">
      <w:pPr>
        <w:pStyle w:val="EndNoteBibliography"/>
        <w:ind w:left="720" w:hanging="720"/>
      </w:pPr>
      <w:r w:rsidRPr="00124F84">
        <w:t>23.</w:t>
      </w:r>
      <w:r w:rsidRPr="00124F84">
        <w:tab/>
        <w:t>Koopmanschap MA, Rutten FF, van Ineveld BM, van Roijen L. The friction cost method for measuring indirect costs of disease. J Health Econ 1995, 14(2):171-189.</w:t>
      </w:r>
    </w:p>
    <w:p w:rsidR="00124F84" w:rsidRPr="00124F84" w:rsidRDefault="00124F84" w:rsidP="00124F84">
      <w:pPr>
        <w:pStyle w:val="EndNoteBibliography"/>
        <w:ind w:left="720" w:hanging="720"/>
      </w:pPr>
      <w:r w:rsidRPr="00124F84">
        <w:t>24.</w:t>
      </w:r>
      <w:r w:rsidRPr="00124F84">
        <w:tab/>
        <w:t>Miedema CJ, Kors AW, Tjon ATWE, Kimpen JL. Medical consumption and socioeconomic effects of infection with respiratory syncytial virus in The Netherlands. Pediatr Infect Dis J 2001, 20(2):160-163.</w:t>
      </w:r>
    </w:p>
    <w:p w:rsidR="00124F84" w:rsidRPr="00124F84" w:rsidRDefault="00124F84" w:rsidP="00124F84">
      <w:pPr>
        <w:pStyle w:val="EndNoteBibliography"/>
        <w:ind w:left="720" w:hanging="720"/>
      </w:pPr>
      <w:r w:rsidRPr="00124F84">
        <w:t>25.</w:t>
      </w:r>
      <w:r w:rsidRPr="00124F84">
        <w:tab/>
        <w:t xml:space="preserve">National Health Care Institute. Medicijnkosten.nl 2018 </w:t>
      </w:r>
      <w:r w:rsidRPr="00797CD0">
        <w:t>www.medicijnkosten.nl</w:t>
      </w:r>
      <w:r w:rsidRPr="00124F84">
        <w:t>. Accessed at 1 Aug 2018.</w:t>
      </w:r>
    </w:p>
    <w:p w:rsidR="00124F84" w:rsidRPr="00124F84" w:rsidRDefault="00124F84" w:rsidP="00124F84">
      <w:pPr>
        <w:pStyle w:val="EndNoteBibliography"/>
        <w:ind w:left="720" w:hanging="720"/>
      </w:pPr>
      <w:r w:rsidRPr="00124F84">
        <w:t>26.</w:t>
      </w:r>
      <w:r w:rsidRPr="00124F84">
        <w:tab/>
        <w:t xml:space="preserve">Centers for Disease Control and Prevention (CDC). CDC Vaccine Price List 2019 </w:t>
      </w:r>
      <w:r w:rsidRPr="00797CD0">
        <w:t>https://www.cdc.gov/vaccines/programs/vfc/awardees/vaccine-management/price-list/index.html</w:t>
      </w:r>
      <w:r w:rsidRPr="00124F84">
        <w:t>. Accessed at 21 Jan 2019.</w:t>
      </w:r>
    </w:p>
    <w:p w:rsidR="00124F84" w:rsidRPr="00124F84" w:rsidRDefault="00124F84" w:rsidP="00124F84">
      <w:pPr>
        <w:pStyle w:val="EndNoteBibliography"/>
        <w:ind w:left="720" w:hanging="720"/>
      </w:pPr>
      <w:r w:rsidRPr="00124F84">
        <w:t>27.</w:t>
      </w:r>
      <w:r w:rsidRPr="00124F84">
        <w:tab/>
        <w:t xml:space="preserve">Organisation for Economic Co-operation and Development (OECD). Purchasing power parities (PPP) 2018 </w:t>
      </w:r>
      <w:r w:rsidRPr="00797CD0">
        <w:t>https://data.oecd.org/conversion/purchasing-power-parities-ppp.htm</w:t>
      </w:r>
      <w:r w:rsidRPr="00124F84">
        <w:t>. Accessed at 1 Feb 2019.</w:t>
      </w:r>
    </w:p>
    <w:p w:rsidR="00124F84" w:rsidRPr="00124F84" w:rsidRDefault="00124F84" w:rsidP="00124F84">
      <w:pPr>
        <w:pStyle w:val="EndNoteBibliography"/>
        <w:ind w:left="720" w:hanging="720"/>
      </w:pPr>
      <w:r w:rsidRPr="00797CD0">
        <w:rPr>
          <w:lang w:val="nl-NL"/>
        </w:rPr>
        <w:t>28.</w:t>
      </w:r>
      <w:r w:rsidRPr="00797CD0">
        <w:rPr>
          <w:lang w:val="nl-NL"/>
        </w:rPr>
        <w:tab/>
        <w:t xml:space="preserve">Stichting Nationaal Programma Grieppreventie (SNPG). </w:t>
      </w:r>
      <w:r w:rsidRPr="00124F84">
        <w:t xml:space="preserve">News letter SNPG November 2017 for health-care organizations (In Dutch) 2017 </w:t>
      </w:r>
      <w:r w:rsidRPr="00797CD0">
        <w:t>https://www.snpg.nl/2017/11/23/nieuwsbrief-snpg-november-2017-zorgorganisaties/</w:t>
      </w:r>
      <w:r w:rsidRPr="00124F84">
        <w:t>. Accessed at 1 Aug 2018.</w:t>
      </w:r>
    </w:p>
    <w:p w:rsidR="00124F84" w:rsidRPr="00124F84" w:rsidRDefault="00124F84" w:rsidP="00124F84">
      <w:pPr>
        <w:pStyle w:val="EndNoteBibliography"/>
        <w:ind w:left="720" w:hanging="720"/>
      </w:pPr>
      <w:r w:rsidRPr="00124F84">
        <w:lastRenderedPageBreak/>
        <w:t>29.</w:t>
      </w:r>
      <w:r w:rsidRPr="00124F84">
        <w:tab/>
        <w:t xml:space="preserve">Stichting Nationaal Programma Grieppreventie (SNPG). Fee (In Dutch) 2017 </w:t>
      </w:r>
      <w:r w:rsidRPr="00797CD0">
        <w:t>https://www.snpg.nl/article/declareren-griepvaccinaties/vergoeding/</w:t>
      </w:r>
      <w:r w:rsidRPr="00124F84">
        <w:t>. Accessed at 1 Dec 2017.</w:t>
      </w:r>
    </w:p>
    <w:p w:rsidR="00124F84" w:rsidRPr="00797CD0" w:rsidRDefault="00124F84" w:rsidP="00124F84">
      <w:pPr>
        <w:pStyle w:val="EndNoteBibliography"/>
        <w:ind w:left="720" w:hanging="720"/>
      </w:pPr>
      <w:r w:rsidRPr="00124F84">
        <w:t>30.</w:t>
      </w:r>
      <w:r w:rsidRPr="00124F84">
        <w:tab/>
        <w:t xml:space="preserve">Statistics Netherlands. Projected Demograpich Development, 2015-2060 [In Dutch] 2014 </w:t>
      </w:r>
      <w:r w:rsidRPr="00797CD0">
        <w:t>https://statline.cbs.nl/Statweb/publication/?DM=SLNL&amp;PA=83224NED&amp;D1=a&amp;D2=0,5,10,15,20,25,30,35,40,l&amp;VW=T</w:t>
      </w:r>
      <w:r w:rsidRPr="00124F84">
        <w:t xml:space="preserve">. </w:t>
      </w:r>
      <w:r w:rsidRPr="00797CD0">
        <w:t>Accessed at 1 Jul 2016.</w:t>
      </w:r>
    </w:p>
    <w:p w:rsidR="00124F84" w:rsidRPr="00124F84" w:rsidRDefault="00124F84" w:rsidP="00124F84">
      <w:pPr>
        <w:pStyle w:val="EndNoteBibliography"/>
        <w:ind w:left="720" w:hanging="720"/>
      </w:pPr>
      <w:r w:rsidRPr="009A59DD">
        <w:rPr>
          <w:lang w:val="nl-NL"/>
        </w:rPr>
        <w:t>31.</w:t>
      </w:r>
      <w:r w:rsidRPr="009A59DD">
        <w:rPr>
          <w:lang w:val="nl-NL"/>
        </w:rPr>
        <w:tab/>
        <w:t xml:space="preserve">Versteegh MM, Vermeulen KM, Evers SMAA, de Wit GA, Prenger R, Stolk EA. </w:t>
      </w:r>
      <w:r w:rsidRPr="00124F84">
        <w:t>Dutch Tariff for the Five-Level Version of EQ-5D. Value Health 2016, 19(4):343-352.</w:t>
      </w:r>
    </w:p>
    <w:p w:rsidR="00A035FF" w:rsidRDefault="00A035FF"/>
    <w:sectPr w:rsidR="00A035FF" w:rsidSect="003F25DC">
      <w:foot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2B69" w:rsidRDefault="00FB2B69">
      <w:pPr>
        <w:spacing w:line="240" w:lineRule="auto"/>
      </w:pPr>
      <w:r>
        <w:separator/>
      </w:r>
    </w:p>
  </w:endnote>
  <w:endnote w:type="continuationSeparator" w:id="0">
    <w:p w:rsidR="00FB2B69" w:rsidRDefault="00FB2B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MR10">
    <w:altName w:val="Calibri"/>
    <w:panose1 w:val="00000000000000000000"/>
    <w:charset w:val="00"/>
    <w:family w:val="auto"/>
    <w:notTrueType/>
    <w:pitch w:val="default"/>
    <w:sig w:usb0="00000003" w:usb1="00000000" w:usb2="00000000" w:usb3="00000000" w:csb0="00000001" w:csb1="00000000"/>
  </w:font>
  <w:font w:name="CMSS8">
    <w:panose1 w:val="00000000000000000000"/>
    <w:charset w:val="00"/>
    <w:family w:val="auto"/>
    <w:notTrueType/>
    <w:pitch w:val="default"/>
    <w:sig w:usb0="00000003" w:usb1="00000000" w:usb2="00000000" w:usb3="00000000" w:csb0="00000001" w:csb1="00000000"/>
  </w:font>
  <w:font w:name="CMMI9">
    <w:panose1 w:val="00000000000000000000"/>
    <w:charset w:val="00"/>
    <w:family w:val="auto"/>
    <w:notTrueType/>
    <w:pitch w:val="default"/>
    <w:sig w:usb0="00000003" w:usb1="00000000" w:usb2="00000000" w:usb3="00000000" w:csb0="00000001" w:csb1="00000000"/>
  </w:font>
  <w:font w:name="CMR6">
    <w:panose1 w:val="00000000000000000000"/>
    <w:charset w:val="00"/>
    <w:family w:val="auto"/>
    <w:notTrueType/>
    <w:pitch w:val="default"/>
    <w:sig w:usb0="00000003" w:usb1="00000000" w:usb2="00000000" w:usb3="00000000" w:csb0="00000001" w:csb1="00000000"/>
  </w:font>
  <w:font w:name="CMBX9">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2B69" w:rsidRDefault="00FB2B69">
    <w:pPr>
      <w:pStyle w:val="Footer"/>
    </w:pPr>
    <w:r>
      <w:rPr>
        <w:lang w:val="en-US"/>
      </w:rPr>
      <w:tab/>
      <w:t xml:space="preserve">- </w:t>
    </w:r>
    <w:r>
      <w:rPr>
        <w:lang w:val="en-US"/>
      </w:rPr>
      <w:fldChar w:fldCharType="begin"/>
    </w:r>
    <w:r>
      <w:rPr>
        <w:lang w:val="en-US"/>
      </w:rPr>
      <w:instrText xml:space="preserve"> PAGE </w:instrText>
    </w:r>
    <w:r>
      <w:rPr>
        <w:lang w:val="en-US"/>
      </w:rPr>
      <w:fldChar w:fldCharType="separate"/>
    </w:r>
    <w:r>
      <w:rPr>
        <w:noProof/>
        <w:lang w:val="en-US"/>
      </w:rPr>
      <w:t>14</w:t>
    </w:r>
    <w:r>
      <w:rPr>
        <w:lang w:val="en-US"/>
      </w:rPr>
      <w:fldChar w:fldCharType="end"/>
    </w:r>
    <w:r>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2B69" w:rsidRDefault="00FB2B69">
      <w:pPr>
        <w:spacing w:line="240" w:lineRule="auto"/>
      </w:pPr>
      <w:r>
        <w:separator/>
      </w:r>
    </w:p>
  </w:footnote>
  <w:footnote w:type="continuationSeparator" w:id="0">
    <w:p w:rsidR="00FB2B69" w:rsidRDefault="00FB2B6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E21725"/>
    <w:multiLevelType w:val="hybridMultilevel"/>
    <w:tmpl w:val="43FED2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8867584"/>
    <w:multiLevelType w:val="hybridMultilevel"/>
    <w:tmpl w:val="18E42F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8762C3"/>
    <w:multiLevelType w:val="hybridMultilevel"/>
    <w:tmpl w:val="EEC20BF4"/>
    <w:lvl w:ilvl="0" w:tplc="16D4282E">
      <w:start w:val="43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DD81663"/>
    <w:multiLevelType w:val="hybridMultilevel"/>
    <w:tmpl w:val="AF3075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A71FF6"/>
    <w:multiLevelType w:val="multilevel"/>
    <w:tmpl w:val="B00EBEB4"/>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49F3F72"/>
    <w:multiLevelType w:val="multilevel"/>
    <w:tmpl w:val="88E8970E"/>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3"/>
  </w:num>
  <w:num w:numId="3">
    <w:abstractNumId w:val="4"/>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BMC Medicine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pa2eae2b9tpt6eadz9xd9pr09z055vp5srp&quot;&gt;RIVM&lt;record-ids&gt;&lt;item&gt;81&lt;/item&gt;&lt;item&gt;85&lt;/item&gt;&lt;item&gt;89&lt;/item&gt;&lt;item&gt;161&lt;/item&gt;&lt;item&gt;163&lt;/item&gt;&lt;item&gt;171&lt;/item&gt;&lt;item&gt;172&lt;/item&gt;&lt;item&gt;174&lt;/item&gt;&lt;item&gt;185&lt;/item&gt;&lt;item&gt;308&lt;/item&gt;&lt;item&gt;348&lt;/item&gt;&lt;item&gt;350&lt;/item&gt;&lt;item&gt;351&lt;/item&gt;&lt;item&gt;352&lt;/item&gt;&lt;item&gt;353&lt;/item&gt;&lt;item&gt;354&lt;/item&gt;&lt;item&gt;355&lt;/item&gt;&lt;item&gt;356&lt;/item&gt;&lt;item&gt;362&lt;/item&gt;&lt;item&gt;385&lt;/item&gt;&lt;item&gt;386&lt;/item&gt;&lt;item&gt;387&lt;/item&gt;&lt;item&gt;401&lt;/item&gt;&lt;item&gt;402&lt;/item&gt;&lt;item&gt;403&lt;/item&gt;&lt;item&gt;404&lt;/item&gt;&lt;item&gt;441&lt;/item&gt;&lt;item&gt;442&lt;/item&gt;&lt;item&gt;446&lt;/item&gt;&lt;item&gt;459&lt;/item&gt;&lt;item&gt;464&lt;/item&gt;&lt;/record-ids&gt;&lt;/item&gt;&lt;/Libraries&gt;"/>
  </w:docVars>
  <w:rsids>
    <w:rsidRoot w:val="003F25DC"/>
    <w:rsid w:val="000173E4"/>
    <w:rsid w:val="00041F0F"/>
    <w:rsid w:val="00047A4C"/>
    <w:rsid w:val="000E3011"/>
    <w:rsid w:val="0010721A"/>
    <w:rsid w:val="00124F84"/>
    <w:rsid w:val="00144389"/>
    <w:rsid w:val="00161810"/>
    <w:rsid w:val="00183030"/>
    <w:rsid w:val="001A4754"/>
    <w:rsid w:val="001B006B"/>
    <w:rsid w:val="001B2A90"/>
    <w:rsid w:val="001D3EC3"/>
    <w:rsid w:val="001E0494"/>
    <w:rsid w:val="002064CE"/>
    <w:rsid w:val="0031598D"/>
    <w:rsid w:val="00345682"/>
    <w:rsid w:val="0038167D"/>
    <w:rsid w:val="003859F0"/>
    <w:rsid w:val="003E4CEC"/>
    <w:rsid w:val="003F2004"/>
    <w:rsid w:val="003F25DC"/>
    <w:rsid w:val="004430C7"/>
    <w:rsid w:val="004B7C40"/>
    <w:rsid w:val="00556ADD"/>
    <w:rsid w:val="005A3EA4"/>
    <w:rsid w:val="00601A4F"/>
    <w:rsid w:val="0061067F"/>
    <w:rsid w:val="00656937"/>
    <w:rsid w:val="00697932"/>
    <w:rsid w:val="006B40AA"/>
    <w:rsid w:val="006B6B2A"/>
    <w:rsid w:val="006C4659"/>
    <w:rsid w:val="006C54FD"/>
    <w:rsid w:val="00717909"/>
    <w:rsid w:val="00733147"/>
    <w:rsid w:val="007533BC"/>
    <w:rsid w:val="00782070"/>
    <w:rsid w:val="00797CD0"/>
    <w:rsid w:val="00832C9C"/>
    <w:rsid w:val="00841FA8"/>
    <w:rsid w:val="00850449"/>
    <w:rsid w:val="0089466D"/>
    <w:rsid w:val="008A115D"/>
    <w:rsid w:val="008F15E6"/>
    <w:rsid w:val="008F1D67"/>
    <w:rsid w:val="009103EE"/>
    <w:rsid w:val="00922290"/>
    <w:rsid w:val="00927F6B"/>
    <w:rsid w:val="00975BBC"/>
    <w:rsid w:val="009A59DD"/>
    <w:rsid w:val="00A035FF"/>
    <w:rsid w:val="00A27084"/>
    <w:rsid w:val="00A74540"/>
    <w:rsid w:val="00AA684C"/>
    <w:rsid w:val="00BB183C"/>
    <w:rsid w:val="00BD79E8"/>
    <w:rsid w:val="00C5301C"/>
    <w:rsid w:val="00CC602B"/>
    <w:rsid w:val="00CF1A3E"/>
    <w:rsid w:val="00D23E5F"/>
    <w:rsid w:val="00D25242"/>
    <w:rsid w:val="00D435E2"/>
    <w:rsid w:val="00D856C0"/>
    <w:rsid w:val="00DB2C18"/>
    <w:rsid w:val="00DE4B71"/>
    <w:rsid w:val="00E53A4D"/>
    <w:rsid w:val="00E84340"/>
    <w:rsid w:val="00EB27DA"/>
    <w:rsid w:val="00EB4FEF"/>
    <w:rsid w:val="00EC4CAC"/>
    <w:rsid w:val="00F51D90"/>
    <w:rsid w:val="00F76425"/>
    <w:rsid w:val="00FB2B69"/>
    <w:rsid w:val="00FE70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17DD3C-AB3A-40CD-8369-1E12A357A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F25DC"/>
    <w:pPr>
      <w:spacing w:after="0" w:line="48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3F25DC"/>
    <w:pPr>
      <w:keepNext/>
      <w:spacing w:before="240" w:after="60" w:line="240" w:lineRule="auto"/>
      <w:outlineLvl w:val="0"/>
    </w:pPr>
    <w:rPr>
      <w:rFonts w:ascii="Arial" w:hAnsi="Arial" w:cs="Arial"/>
      <w:b/>
      <w:bCs/>
      <w:kern w:val="32"/>
      <w:sz w:val="32"/>
      <w:szCs w:val="32"/>
    </w:rPr>
  </w:style>
  <w:style w:type="paragraph" w:styleId="Heading2">
    <w:name w:val="heading 2"/>
    <w:basedOn w:val="Normal"/>
    <w:next w:val="Normal"/>
    <w:link w:val="Heading2Char"/>
    <w:qFormat/>
    <w:rsid w:val="003F25DC"/>
    <w:pPr>
      <w:keepNext/>
      <w:spacing w:before="120" w:after="120" w:line="240" w:lineRule="auto"/>
      <w:outlineLvl w:val="1"/>
    </w:pPr>
    <w:rPr>
      <w:rFonts w:ascii="Arial" w:hAnsi="Arial" w:cs="Arial"/>
      <w:b/>
      <w:bCs/>
      <w:sz w:val="22"/>
      <w:szCs w:val="28"/>
    </w:rPr>
  </w:style>
  <w:style w:type="paragraph" w:styleId="Heading3">
    <w:name w:val="heading 3"/>
    <w:basedOn w:val="Normal"/>
    <w:next w:val="Normal"/>
    <w:link w:val="Heading3Char"/>
    <w:qFormat/>
    <w:rsid w:val="003F25DC"/>
    <w:pPr>
      <w:keepNext/>
      <w:outlineLvl w:val="2"/>
    </w:pPr>
    <w:rPr>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F25DC"/>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rsid w:val="003F25DC"/>
    <w:rPr>
      <w:rFonts w:ascii="Arial" w:eastAsia="Times New Roman" w:hAnsi="Arial" w:cs="Arial"/>
      <w:b/>
      <w:bCs/>
      <w:szCs w:val="28"/>
      <w:lang w:val="en-GB"/>
    </w:rPr>
  </w:style>
  <w:style w:type="character" w:customStyle="1" w:styleId="Heading3Char">
    <w:name w:val="Heading 3 Char"/>
    <w:basedOn w:val="DefaultParagraphFont"/>
    <w:link w:val="Heading3"/>
    <w:rsid w:val="003F25DC"/>
    <w:rPr>
      <w:rFonts w:ascii="Times New Roman" w:eastAsia="Times New Roman" w:hAnsi="Times New Roman" w:cs="Times New Roman"/>
      <w:bCs/>
      <w:i/>
      <w:sz w:val="24"/>
      <w:szCs w:val="24"/>
      <w:lang w:val="en-GB"/>
    </w:rPr>
  </w:style>
  <w:style w:type="paragraph" w:styleId="BodyTextIndent">
    <w:name w:val="Body Text Indent"/>
    <w:basedOn w:val="Normal"/>
    <w:link w:val="BodyTextIndentChar"/>
    <w:semiHidden/>
    <w:rsid w:val="003F25DC"/>
    <w:pPr>
      <w:ind w:left="720"/>
    </w:pPr>
  </w:style>
  <w:style w:type="character" w:customStyle="1" w:styleId="BodyTextIndentChar">
    <w:name w:val="Body Text Indent Char"/>
    <w:basedOn w:val="DefaultParagraphFont"/>
    <w:link w:val="BodyTextIndent"/>
    <w:semiHidden/>
    <w:rsid w:val="003F25DC"/>
    <w:rPr>
      <w:rFonts w:ascii="Times New Roman" w:eastAsia="Times New Roman" w:hAnsi="Times New Roman" w:cs="Times New Roman"/>
      <w:sz w:val="24"/>
      <w:szCs w:val="24"/>
      <w:lang w:val="en-GB"/>
    </w:rPr>
  </w:style>
  <w:style w:type="character" w:customStyle="1" w:styleId="entity1">
    <w:name w:val="entity1"/>
    <w:basedOn w:val="DefaultParagraphFont"/>
    <w:rsid w:val="003F25DC"/>
    <w:rPr>
      <w:rFonts w:ascii="Times New Roman" w:hAnsi="Times New Roman" w:cs="Times New Roman" w:hint="default"/>
    </w:rPr>
  </w:style>
  <w:style w:type="paragraph" w:customStyle="1" w:styleId="justify">
    <w:name w:val="justify"/>
    <w:basedOn w:val="Normal"/>
    <w:rsid w:val="003F25DC"/>
    <w:pPr>
      <w:spacing w:before="100" w:beforeAutospacing="1" w:after="100" w:afterAutospacing="1"/>
      <w:jc w:val="both"/>
    </w:pPr>
    <w:rPr>
      <w:rFonts w:ascii="Verdana" w:eastAsia="Arial Unicode MS" w:hAnsi="Verdana" w:cs="Arial Unicode MS"/>
      <w:sz w:val="20"/>
      <w:szCs w:val="20"/>
    </w:rPr>
  </w:style>
  <w:style w:type="character" w:customStyle="1" w:styleId="smallhead">
    <w:name w:val="smallhead"/>
    <w:basedOn w:val="DefaultParagraphFont"/>
    <w:rsid w:val="003F25DC"/>
  </w:style>
  <w:style w:type="character" w:styleId="Hyperlink">
    <w:name w:val="Hyperlink"/>
    <w:basedOn w:val="DefaultParagraphFont"/>
    <w:semiHidden/>
    <w:rsid w:val="003F25DC"/>
    <w:rPr>
      <w:color w:val="0000FF"/>
      <w:u w:val="single"/>
    </w:rPr>
  </w:style>
  <w:style w:type="character" w:customStyle="1" w:styleId="HeaderChar">
    <w:name w:val="Header Char"/>
    <w:basedOn w:val="DefaultParagraphFont"/>
    <w:link w:val="Header"/>
    <w:semiHidden/>
    <w:rsid w:val="003F25DC"/>
    <w:rPr>
      <w:rFonts w:ascii="Times New Roman" w:eastAsia="Times New Roman" w:hAnsi="Times New Roman" w:cs="Times New Roman"/>
      <w:sz w:val="24"/>
      <w:szCs w:val="24"/>
      <w:lang w:val="en-GB"/>
    </w:rPr>
  </w:style>
  <w:style w:type="paragraph" w:styleId="Header">
    <w:name w:val="header"/>
    <w:basedOn w:val="Normal"/>
    <w:link w:val="HeaderChar"/>
    <w:semiHidden/>
    <w:rsid w:val="003F25DC"/>
    <w:pPr>
      <w:tabs>
        <w:tab w:val="center" w:pos="4153"/>
        <w:tab w:val="right" w:pos="8306"/>
      </w:tabs>
    </w:pPr>
  </w:style>
  <w:style w:type="character" w:customStyle="1" w:styleId="FooterChar">
    <w:name w:val="Footer Char"/>
    <w:basedOn w:val="DefaultParagraphFont"/>
    <w:link w:val="Footer"/>
    <w:semiHidden/>
    <w:rsid w:val="003F25DC"/>
    <w:rPr>
      <w:rFonts w:ascii="Times New Roman" w:eastAsia="Times New Roman" w:hAnsi="Times New Roman" w:cs="Times New Roman"/>
      <w:sz w:val="24"/>
      <w:szCs w:val="24"/>
      <w:lang w:val="en-GB"/>
    </w:rPr>
  </w:style>
  <w:style w:type="paragraph" w:styleId="Footer">
    <w:name w:val="footer"/>
    <w:basedOn w:val="Normal"/>
    <w:link w:val="FooterChar"/>
    <w:semiHidden/>
    <w:rsid w:val="003F25DC"/>
    <w:pPr>
      <w:tabs>
        <w:tab w:val="center" w:pos="4153"/>
        <w:tab w:val="right" w:pos="8306"/>
      </w:tabs>
    </w:pPr>
  </w:style>
  <w:style w:type="table" w:styleId="TableGrid">
    <w:name w:val="Table Grid"/>
    <w:basedOn w:val="TableNormal"/>
    <w:uiPriority w:val="59"/>
    <w:rsid w:val="003F25D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F25D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5DC"/>
    <w:rPr>
      <w:rFonts w:ascii="Tahoma" w:eastAsia="Times New Roman" w:hAnsi="Tahoma" w:cs="Tahoma"/>
      <w:sz w:val="16"/>
      <w:szCs w:val="16"/>
      <w:lang w:val="en-GB"/>
    </w:rPr>
  </w:style>
  <w:style w:type="paragraph" w:customStyle="1" w:styleId="EndNoteBibliographyTitle">
    <w:name w:val="EndNote Bibliography Title"/>
    <w:basedOn w:val="Normal"/>
    <w:link w:val="EndNoteBibliographyTitleChar"/>
    <w:rsid w:val="003F25DC"/>
    <w:pPr>
      <w:jc w:val="center"/>
    </w:pPr>
    <w:rPr>
      <w:noProof/>
      <w:lang w:val="en-US"/>
    </w:rPr>
  </w:style>
  <w:style w:type="character" w:customStyle="1" w:styleId="EndNoteBibliographyTitleChar">
    <w:name w:val="EndNote Bibliography Title Char"/>
    <w:basedOn w:val="DefaultParagraphFont"/>
    <w:link w:val="EndNoteBibliographyTitle"/>
    <w:rsid w:val="003F25DC"/>
    <w:rPr>
      <w:rFonts w:ascii="Times New Roman" w:eastAsia="Times New Roman" w:hAnsi="Times New Roman" w:cs="Times New Roman"/>
      <w:noProof/>
      <w:sz w:val="24"/>
      <w:szCs w:val="24"/>
    </w:rPr>
  </w:style>
  <w:style w:type="paragraph" w:customStyle="1" w:styleId="EndNoteBibliography">
    <w:name w:val="EndNote Bibliography"/>
    <w:basedOn w:val="Normal"/>
    <w:link w:val="EndNoteBibliographyChar"/>
    <w:rsid w:val="003F25DC"/>
    <w:pPr>
      <w:spacing w:line="240" w:lineRule="auto"/>
    </w:pPr>
    <w:rPr>
      <w:noProof/>
      <w:lang w:val="en-US"/>
    </w:rPr>
  </w:style>
  <w:style w:type="character" w:customStyle="1" w:styleId="EndNoteBibliographyChar">
    <w:name w:val="EndNote Bibliography Char"/>
    <w:basedOn w:val="DefaultParagraphFont"/>
    <w:link w:val="EndNoteBibliography"/>
    <w:rsid w:val="003F25DC"/>
    <w:rPr>
      <w:rFonts w:ascii="Times New Roman" w:eastAsia="Times New Roman" w:hAnsi="Times New Roman" w:cs="Times New Roman"/>
      <w:noProof/>
      <w:sz w:val="24"/>
      <w:szCs w:val="24"/>
    </w:rPr>
  </w:style>
  <w:style w:type="paragraph" w:styleId="CommentText">
    <w:name w:val="annotation text"/>
    <w:basedOn w:val="Normal"/>
    <w:link w:val="CommentTextChar"/>
    <w:uiPriority w:val="99"/>
    <w:semiHidden/>
    <w:unhideWhenUsed/>
    <w:rsid w:val="003F25DC"/>
    <w:pPr>
      <w:spacing w:line="240" w:lineRule="auto"/>
    </w:pPr>
    <w:rPr>
      <w:sz w:val="20"/>
      <w:szCs w:val="20"/>
    </w:rPr>
  </w:style>
  <w:style w:type="character" w:customStyle="1" w:styleId="CommentTextChar">
    <w:name w:val="Comment Text Char"/>
    <w:basedOn w:val="DefaultParagraphFont"/>
    <w:link w:val="CommentText"/>
    <w:uiPriority w:val="99"/>
    <w:semiHidden/>
    <w:rsid w:val="003F25DC"/>
    <w:rPr>
      <w:rFonts w:ascii="Times New Roman" w:eastAsia="Times New Roman" w:hAnsi="Times New Roman" w:cs="Times New Roman"/>
      <w:sz w:val="20"/>
      <w:szCs w:val="20"/>
      <w:lang w:val="en-GB"/>
    </w:rPr>
  </w:style>
  <w:style w:type="character" w:customStyle="1" w:styleId="CommentSubjectChar">
    <w:name w:val="Comment Subject Char"/>
    <w:basedOn w:val="CommentTextChar"/>
    <w:link w:val="CommentSubject"/>
    <w:uiPriority w:val="99"/>
    <w:semiHidden/>
    <w:rsid w:val="003F25DC"/>
    <w:rPr>
      <w:rFonts w:ascii="Times New Roman" w:eastAsia="Times New Roman" w:hAnsi="Times New Roman" w:cs="Times New Roman"/>
      <w:b/>
      <w:bCs/>
      <w:sz w:val="20"/>
      <w:szCs w:val="20"/>
      <w:lang w:val="en-GB"/>
    </w:rPr>
  </w:style>
  <w:style w:type="paragraph" w:styleId="CommentSubject">
    <w:name w:val="annotation subject"/>
    <w:basedOn w:val="CommentText"/>
    <w:next w:val="CommentText"/>
    <w:link w:val="CommentSubjectChar"/>
    <w:uiPriority w:val="99"/>
    <w:semiHidden/>
    <w:unhideWhenUsed/>
    <w:rsid w:val="003F25DC"/>
    <w:rPr>
      <w:b/>
      <w:bCs/>
    </w:rPr>
  </w:style>
  <w:style w:type="paragraph" w:styleId="ListParagraph">
    <w:name w:val="List Paragraph"/>
    <w:basedOn w:val="Normal"/>
    <w:uiPriority w:val="34"/>
    <w:qFormat/>
    <w:rsid w:val="003F25DC"/>
    <w:pPr>
      <w:ind w:left="720"/>
      <w:contextualSpacing/>
    </w:pPr>
  </w:style>
  <w:style w:type="paragraph" w:styleId="Caption">
    <w:name w:val="caption"/>
    <w:basedOn w:val="Normal"/>
    <w:next w:val="Normal"/>
    <w:uiPriority w:val="35"/>
    <w:unhideWhenUsed/>
    <w:qFormat/>
    <w:rsid w:val="003F25DC"/>
    <w:pPr>
      <w:spacing w:after="200" w:line="240" w:lineRule="auto"/>
    </w:pPr>
    <w:rPr>
      <w:b/>
      <w:bCs/>
      <w:color w:val="4F81BD" w:themeColor="accent1"/>
      <w:sz w:val="18"/>
      <w:szCs w:val="18"/>
    </w:rPr>
  </w:style>
  <w:style w:type="character" w:styleId="LineNumber">
    <w:name w:val="line number"/>
    <w:basedOn w:val="DefaultParagraphFont"/>
    <w:uiPriority w:val="99"/>
    <w:semiHidden/>
    <w:unhideWhenUsed/>
    <w:rsid w:val="0010721A"/>
  </w:style>
  <w:style w:type="character" w:styleId="CommentReference">
    <w:name w:val="annotation reference"/>
    <w:basedOn w:val="DefaultParagraphFont"/>
    <w:uiPriority w:val="99"/>
    <w:semiHidden/>
    <w:unhideWhenUsed/>
    <w:rsid w:val="008F15E6"/>
    <w:rPr>
      <w:sz w:val="16"/>
      <w:szCs w:val="16"/>
    </w:rPr>
  </w:style>
  <w:style w:type="paragraph" w:styleId="Revision">
    <w:name w:val="Revision"/>
    <w:hidden/>
    <w:uiPriority w:val="99"/>
    <w:semiHidden/>
    <w:rsid w:val="008F15E6"/>
    <w:pPr>
      <w:spacing w:after="0" w:line="240" w:lineRule="auto"/>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2634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E54AB1-E548-490F-ACDB-24EADF4E4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DA586022</Template>
  <TotalTime>1</TotalTime>
  <Pages>16</Pages>
  <Words>4201</Words>
  <Characters>23109</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SSC-Campus</Company>
  <LinksUpToDate>false</LinksUpToDate>
  <CharactersWithSpaces>27256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Pieter de Boer</dc:creator>
  <cp:lastModifiedBy>Pieter de Boer</cp:lastModifiedBy>
  <cp:revision>2</cp:revision>
  <dcterms:created xsi:type="dcterms:W3CDTF">2019-11-15T09:00:00Z</dcterms:created>
  <dcterms:modified xsi:type="dcterms:W3CDTF">2019-11-15T09:00:00Z</dcterms:modified>
</cp:coreProperties>
</file>