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19A6B" w14:textId="77777777" w:rsidR="000E4993" w:rsidRPr="00BD52A9" w:rsidRDefault="000E4993" w:rsidP="000E4993">
      <w:pPr>
        <w:rPr>
          <w:b/>
          <w:sz w:val="28"/>
          <w:lang w:val="en-US"/>
        </w:rPr>
      </w:pPr>
      <w:bookmarkStart w:id="0" w:name="_Hlk23259618"/>
      <w:bookmarkStart w:id="1" w:name="_GoBack"/>
      <w:r w:rsidRPr="00BD52A9">
        <w:rPr>
          <w:b/>
          <w:sz w:val="28"/>
          <w:lang w:val="en-US"/>
        </w:rPr>
        <w:t xml:space="preserve">Additional file </w:t>
      </w:r>
      <w:r w:rsidR="00C16849">
        <w:rPr>
          <w:b/>
          <w:sz w:val="28"/>
          <w:lang w:val="en-US"/>
        </w:rPr>
        <w:t>3</w:t>
      </w:r>
    </w:p>
    <w:p w14:paraId="46BDDD40" w14:textId="42F40088" w:rsidR="000E4993" w:rsidRPr="00BD52A9" w:rsidRDefault="000E4993" w:rsidP="000112B1">
      <w:pPr>
        <w:rPr>
          <w:rFonts w:cs="Times New Roman"/>
          <w:szCs w:val="24"/>
          <w:lang w:val="en-US"/>
        </w:rPr>
      </w:pPr>
      <w:r w:rsidRPr="00BD52A9">
        <w:rPr>
          <w:rFonts w:cs="Times New Roman"/>
          <w:szCs w:val="24"/>
          <w:lang w:val="en-US"/>
        </w:rPr>
        <w:t xml:space="preserve">Supplemental </w:t>
      </w:r>
      <w:r w:rsidR="00BD52A9">
        <w:rPr>
          <w:rFonts w:cs="Times New Roman"/>
          <w:szCs w:val="24"/>
          <w:lang w:val="en-US"/>
        </w:rPr>
        <w:t>s</w:t>
      </w:r>
      <w:r w:rsidR="00DB2710">
        <w:rPr>
          <w:rFonts w:cs="Times New Roman"/>
          <w:szCs w:val="24"/>
          <w:lang w:val="en-US"/>
        </w:rPr>
        <w:t>imulations on A/H3N2</w:t>
      </w:r>
      <w:r w:rsidR="00C16849">
        <w:rPr>
          <w:rFonts w:cs="Times New Roman"/>
          <w:szCs w:val="24"/>
          <w:lang w:val="en-US"/>
        </w:rPr>
        <w:t xml:space="preserve"> </w:t>
      </w:r>
      <w:r w:rsidRPr="00BD52A9">
        <w:rPr>
          <w:rFonts w:cs="Times New Roman"/>
          <w:szCs w:val="24"/>
          <w:lang w:val="en-US"/>
        </w:rPr>
        <w:t xml:space="preserve">to: </w:t>
      </w:r>
    </w:p>
    <w:p w14:paraId="7CDDCD0B" w14:textId="77777777" w:rsidR="000E4993" w:rsidRPr="00BD52A9" w:rsidRDefault="000E4993" w:rsidP="000112B1">
      <w:pPr>
        <w:rPr>
          <w:rFonts w:cs="Times New Roman"/>
          <w:szCs w:val="24"/>
          <w:lang w:val="en-US"/>
        </w:rPr>
      </w:pPr>
      <w:r w:rsidRPr="00BD52A9">
        <w:rPr>
          <w:rFonts w:cs="Times New Roman"/>
          <w:i/>
          <w:szCs w:val="24"/>
          <w:lang w:val="en-US"/>
        </w:rPr>
        <w:t xml:space="preserve">Title: </w:t>
      </w:r>
      <w:r w:rsidRPr="00BD52A9">
        <w:rPr>
          <w:rFonts w:cs="Times New Roman"/>
          <w:szCs w:val="24"/>
          <w:lang w:val="en-US"/>
        </w:rPr>
        <w:t>Vaccinating children against influenza: overall cost-effective with potential for undesirable outcomes</w:t>
      </w:r>
    </w:p>
    <w:p w14:paraId="6410154E" w14:textId="77777777" w:rsidR="000E4993" w:rsidRPr="005A245E" w:rsidRDefault="000E4993" w:rsidP="000112B1">
      <w:pPr>
        <w:rPr>
          <w:rFonts w:cs="Times New Roman"/>
          <w:szCs w:val="24"/>
        </w:rPr>
      </w:pPr>
      <w:r w:rsidRPr="000112B1">
        <w:rPr>
          <w:rFonts w:cs="Times New Roman"/>
          <w:szCs w:val="24"/>
        </w:rPr>
        <w:t>Pieter. T. de Boer, Jantien A. Backer, Albert Jan van Hoek, Jacco Wallinga</w:t>
      </w:r>
    </w:p>
    <w:p w14:paraId="580E4A58" w14:textId="77777777" w:rsidR="000E4993" w:rsidRPr="00BD52A9" w:rsidRDefault="000E4993" w:rsidP="000112B1">
      <w:pPr>
        <w:rPr>
          <w:rFonts w:cs="Times New Roman"/>
          <w:szCs w:val="24"/>
          <w:lang w:val="en-US"/>
        </w:rPr>
      </w:pPr>
      <w:r w:rsidRPr="00BD52A9">
        <w:rPr>
          <w:rFonts w:cs="Times New Roman"/>
          <w:szCs w:val="24"/>
          <w:lang w:val="en-US"/>
        </w:rPr>
        <w:t xml:space="preserve">Centre for Infectious Disease Control, National Institute for Public Health and the Environment, </w:t>
      </w:r>
      <w:proofErr w:type="spellStart"/>
      <w:r w:rsidRPr="00BD52A9">
        <w:rPr>
          <w:rFonts w:cs="Times New Roman"/>
          <w:szCs w:val="24"/>
          <w:lang w:val="en-US"/>
        </w:rPr>
        <w:t>Bilthoven</w:t>
      </w:r>
      <w:proofErr w:type="spellEnd"/>
      <w:r w:rsidRPr="00BD52A9">
        <w:rPr>
          <w:rFonts w:cs="Times New Roman"/>
          <w:szCs w:val="24"/>
          <w:lang w:val="en-US"/>
        </w:rPr>
        <w:t>, The Netherlands</w:t>
      </w:r>
    </w:p>
    <w:p w14:paraId="3746F939" w14:textId="77777777" w:rsidR="000E4993" w:rsidRDefault="000E4993">
      <w:pPr>
        <w:rPr>
          <w:rFonts w:cs="Times New Roman"/>
          <w:b/>
          <w:noProof/>
          <w:szCs w:val="24"/>
          <w:lang w:val="en-US"/>
        </w:rPr>
      </w:pPr>
      <w:r>
        <w:rPr>
          <w:rFonts w:cs="Times New Roman"/>
          <w:b/>
          <w:noProof/>
          <w:szCs w:val="24"/>
          <w:lang w:val="en-US"/>
        </w:rPr>
        <w:br w:type="page"/>
      </w:r>
    </w:p>
    <w:bookmarkEnd w:id="0"/>
    <w:p w14:paraId="627BC1A2" w14:textId="05EDCC23" w:rsidR="00BD52A9" w:rsidRPr="000112B1" w:rsidRDefault="00BD52A9" w:rsidP="00BD52A9">
      <w:pPr>
        <w:pStyle w:val="Heading2"/>
        <w:rPr>
          <w:noProof/>
          <w:lang w:val="en-US"/>
        </w:rPr>
      </w:pPr>
      <w:r w:rsidRPr="00442C1C">
        <w:rPr>
          <w:noProof/>
          <w:lang w:val="en-US"/>
        </w:rPr>
        <w:lastRenderedPageBreak/>
        <w:t xml:space="preserve">Model results for influenza </w:t>
      </w:r>
      <w:r w:rsidRPr="000112B1">
        <w:rPr>
          <w:noProof/>
          <w:lang w:val="en-US"/>
        </w:rPr>
        <w:t>A/H3N2</w:t>
      </w:r>
    </w:p>
    <w:p w14:paraId="2BD1AC8A" w14:textId="005FC4C7" w:rsidR="00BD52A9" w:rsidRDefault="00BD52A9" w:rsidP="00BD52A9">
      <w:pPr>
        <w:rPr>
          <w:lang w:val="en-US"/>
        </w:rPr>
      </w:pPr>
      <w:r w:rsidRPr="0040422A">
        <w:rPr>
          <w:lang w:val="en-US"/>
        </w:rPr>
        <w:t xml:space="preserve">In the original analysis, </w:t>
      </w:r>
      <w:r w:rsidRPr="00613182">
        <w:rPr>
          <w:lang w:val="en-US"/>
        </w:rPr>
        <w:t xml:space="preserve">we used a model that captures the susceptibility against the current circulating influenza strain. </w:t>
      </w:r>
      <w:r w:rsidRPr="00C736FA">
        <w:rPr>
          <w:lang w:val="en-US"/>
        </w:rPr>
        <w:t xml:space="preserve">For any individual, the influenza infection dynamics are described irrespective of the type or subtype of the influenza strain that caused </w:t>
      </w:r>
      <w:r>
        <w:rPr>
          <w:lang w:val="en-US"/>
        </w:rPr>
        <w:t xml:space="preserve">a </w:t>
      </w:r>
      <w:r w:rsidRPr="00C736FA">
        <w:rPr>
          <w:lang w:val="en-US"/>
        </w:rPr>
        <w:t>previous infection; a person becomes susceptible to infection by the circulating strain again after on average 5.1 (</w:t>
      </w:r>
      <w:r>
        <w:rPr>
          <w:lang w:val="en-US"/>
        </w:rPr>
        <w:t xml:space="preserve">95% interval: </w:t>
      </w:r>
      <w:r w:rsidRPr="00C736FA">
        <w:rPr>
          <w:lang w:val="en-US"/>
        </w:rPr>
        <w:t>2.9 – 8.1) years after the last infection. The waning rate of protection thus captures both the loss of (cross)immunity and the rate of antigenic drift of specific types and subtypes. This approach matches the purpose of the model to study long-term effects of childhood vaccination.</w:t>
      </w:r>
    </w:p>
    <w:p w14:paraId="25D50493" w14:textId="77777777" w:rsidR="00BD52A9" w:rsidRPr="000112B1" w:rsidRDefault="00BD52A9" w:rsidP="00BD52A9">
      <w:pPr>
        <w:rPr>
          <w:lang w:val="en-US"/>
        </w:rPr>
      </w:pPr>
    </w:p>
    <w:p w14:paraId="781D3817" w14:textId="3586AB8F" w:rsidR="00BD52A9" w:rsidRPr="00C736FA" w:rsidRDefault="00BD52A9" w:rsidP="00BD52A9">
      <w:pPr>
        <w:rPr>
          <w:lang w:val="en-US"/>
        </w:rPr>
      </w:pPr>
      <w:r w:rsidRPr="0040422A">
        <w:rPr>
          <w:lang w:val="en-US"/>
        </w:rPr>
        <w:t xml:space="preserve">An alternative approach would be to model the infection dynamics for each influenza type and subtype separately. </w:t>
      </w:r>
      <w:r w:rsidRPr="00613182">
        <w:rPr>
          <w:lang w:val="en-US"/>
        </w:rPr>
        <w:t xml:space="preserve">The parametrization of the resulting model will </w:t>
      </w:r>
      <w:r w:rsidRPr="00C736FA">
        <w:rPr>
          <w:lang w:val="en-US"/>
        </w:rPr>
        <w:t xml:space="preserve">be different. </w:t>
      </w:r>
      <w:r>
        <w:rPr>
          <w:lang w:val="en-US"/>
        </w:rPr>
        <w:t>Here</w:t>
      </w:r>
      <w:r w:rsidRPr="000112B1">
        <w:rPr>
          <w:lang w:val="en-US"/>
        </w:rPr>
        <w:t xml:space="preserve"> we demonstrate that similar outcomes are obtained as those reported in the main text, even when the model reflects only one subtype (influenza A</w:t>
      </w:r>
      <w:r w:rsidRPr="0040422A">
        <w:rPr>
          <w:lang w:val="en-US"/>
        </w:rPr>
        <w:t xml:space="preserve">/H3N2) </w:t>
      </w:r>
      <w:r>
        <w:rPr>
          <w:lang w:val="en-US"/>
        </w:rPr>
        <w:t xml:space="preserve">and </w:t>
      </w:r>
      <w:r w:rsidRPr="0040422A">
        <w:rPr>
          <w:lang w:val="en-US"/>
        </w:rPr>
        <w:t>is fitted to observations for that subtype.</w:t>
      </w:r>
    </w:p>
    <w:p w14:paraId="13FDCF82" w14:textId="77777777" w:rsidR="00BD52A9" w:rsidRPr="00C736FA" w:rsidRDefault="00BD52A9" w:rsidP="00BD52A9">
      <w:pPr>
        <w:rPr>
          <w:lang w:val="en-US"/>
        </w:rPr>
      </w:pPr>
    </w:p>
    <w:p w14:paraId="0B0E592A" w14:textId="77777777" w:rsidR="00BD52A9" w:rsidRPr="00C736FA" w:rsidRDefault="00BD52A9" w:rsidP="00BD52A9">
      <w:pPr>
        <w:pStyle w:val="Heading3"/>
        <w:rPr>
          <w:lang w:val="en-US"/>
        </w:rPr>
      </w:pPr>
      <w:r w:rsidRPr="00C736FA">
        <w:rPr>
          <w:lang w:val="en-US"/>
        </w:rPr>
        <w:t>Parameter estimation</w:t>
      </w:r>
    </w:p>
    <w:p w14:paraId="407F56CE" w14:textId="04C2689F" w:rsidR="00BD52A9" w:rsidRPr="000112B1" w:rsidRDefault="00BD52A9" w:rsidP="00BD52A9">
      <w:pPr>
        <w:rPr>
          <w:lang w:val="en-US"/>
        </w:rPr>
      </w:pPr>
      <w:r w:rsidRPr="000112B1">
        <w:rPr>
          <w:lang w:val="en-US"/>
        </w:rPr>
        <w:t xml:space="preserve">As explained in reference </w:t>
      </w:r>
      <w:r w:rsidRPr="00613182">
        <w:rPr>
          <w:noProof/>
          <w:lang w:val="en-US"/>
        </w:rPr>
        <w:t>[1]</w:t>
      </w:r>
      <w:r w:rsidRPr="00613182">
        <w:rPr>
          <w:lang w:val="en-US"/>
        </w:rPr>
        <w:t xml:space="preserve">, the </w:t>
      </w:r>
      <w:r w:rsidRPr="00C736FA">
        <w:rPr>
          <w:lang w:val="en-US"/>
        </w:rPr>
        <w:t xml:space="preserve">seasonal influenza attack rate in the Netherlands over the period 2003-2015 was inferred from ILI data from GP’s, using virological data, estimated probabilities to visit the GP and the influenza symptomatic rate. The infection attack rate for influenza A/H3N2 is obtained from this total infection attack rate by multiplication with the proportion influenza A/H3N2 in the circulating strains in each season (see Fig. S4A in </w:t>
      </w:r>
      <w:r w:rsidRPr="006C5C68">
        <w:rPr>
          <w:noProof/>
          <w:lang w:val="en-US"/>
        </w:rPr>
        <w:t>[1]</w:t>
      </w:r>
      <w:r w:rsidRPr="000112B1">
        <w:rPr>
          <w:lang w:val="en-US"/>
        </w:rPr>
        <w:t xml:space="preserve">), yielding </w:t>
      </w:r>
      <w:r>
        <w:rPr>
          <w:lang w:val="en-US"/>
        </w:rPr>
        <w:t xml:space="preserve">an </w:t>
      </w:r>
      <w:r w:rsidRPr="000112B1">
        <w:rPr>
          <w:lang w:val="en-US"/>
        </w:rPr>
        <w:t>annual infection attack rate of</w:t>
      </w:r>
      <w:r>
        <w:rPr>
          <w:lang w:val="en-US"/>
        </w:rPr>
        <w:t xml:space="preserve"> on average</w:t>
      </w:r>
      <w:r w:rsidRPr="000112B1">
        <w:rPr>
          <w:lang w:val="en-US"/>
        </w:rPr>
        <w:t xml:space="preserve"> 4.3</w:t>
      </w:r>
      <w:r>
        <w:rPr>
          <w:lang w:val="en-US"/>
        </w:rPr>
        <w:t xml:space="preserve">%, varying from 0.13% to 13% </w:t>
      </w:r>
      <w:r w:rsidRPr="0040422A">
        <w:rPr>
          <w:lang w:val="en-US"/>
        </w:rPr>
        <w:t>for influenza A</w:t>
      </w:r>
      <w:r w:rsidRPr="00613182">
        <w:rPr>
          <w:lang w:val="en-US"/>
        </w:rPr>
        <w:t xml:space="preserve">/H3N2. The vaccine effectiveness against influenza A/H3N2 is taken from literature as 36 (13 – 61)% (see Fig. S4B in </w:t>
      </w:r>
      <w:r w:rsidRPr="006C5C68">
        <w:rPr>
          <w:noProof/>
          <w:lang w:val="en-US"/>
        </w:rPr>
        <w:t>[1]</w:t>
      </w:r>
      <w:r w:rsidRPr="000112B1">
        <w:rPr>
          <w:lang w:val="en-US"/>
        </w:rPr>
        <w:t>).</w:t>
      </w:r>
    </w:p>
    <w:p w14:paraId="7031FFAA" w14:textId="2B017869" w:rsidR="00BD52A9" w:rsidRPr="0040422A" w:rsidRDefault="00BD52A9" w:rsidP="00BD52A9">
      <w:pPr>
        <w:rPr>
          <w:lang w:val="en-US"/>
        </w:rPr>
      </w:pPr>
      <w:r w:rsidRPr="000112B1">
        <w:rPr>
          <w:lang w:val="en-US"/>
        </w:rPr>
        <w:lastRenderedPageBreak/>
        <w:t xml:space="preserve">Following the same procedure as outlined in </w:t>
      </w:r>
      <w:r w:rsidRPr="006C5C68">
        <w:rPr>
          <w:noProof/>
          <w:lang w:val="en-US"/>
        </w:rPr>
        <w:t>[1]</w:t>
      </w:r>
      <w:r w:rsidRPr="000112B1">
        <w:rPr>
          <w:lang w:val="en-US"/>
        </w:rPr>
        <w:t>, the infection attack rate distribution and the vaccine effectiveness distribution are used to estimate the model parameters</w:t>
      </w:r>
      <w:r w:rsidRPr="0040422A">
        <w:rPr>
          <w:lang w:val="en-US"/>
        </w:rPr>
        <w:t>. The estimated values are presented in</w:t>
      </w:r>
      <w:r>
        <w:rPr>
          <w:lang w:val="en-US"/>
        </w:rPr>
        <w:t xml:space="preserve"> </w:t>
      </w:r>
      <w:r w:rsidR="000346EC" w:rsidRPr="00613182">
        <w:rPr>
          <w:lang w:val="en-US"/>
        </w:rPr>
        <w:t>Table S</w:t>
      </w:r>
      <w:r w:rsidR="000346EC">
        <w:rPr>
          <w:noProof/>
          <w:lang w:val="en-US"/>
        </w:rPr>
        <w:t>1</w:t>
      </w:r>
      <w:r w:rsidRPr="000112B1">
        <w:rPr>
          <w:lang w:val="en-US"/>
        </w:rPr>
        <w:t>. The average period for a person infected by influenza A</w:t>
      </w:r>
      <w:r>
        <w:rPr>
          <w:lang w:val="en-US"/>
        </w:rPr>
        <w:t>/</w:t>
      </w:r>
      <w:r w:rsidRPr="000112B1">
        <w:rPr>
          <w:lang w:val="en-US"/>
        </w:rPr>
        <w:t xml:space="preserve">H3N2 to become susceptible again </w:t>
      </w:r>
      <w:r>
        <w:rPr>
          <w:lang w:val="en-US"/>
        </w:rPr>
        <w:t>to</w:t>
      </w:r>
      <w:r w:rsidRPr="000112B1">
        <w:rPr>
          <w:lang w:val="en-US"/>
        </w:rPr>
        <w:t xml:space="preserve"> influenza A</w:t>
      </w:r>
      <w:r>
        <w:rPr>
          <w:lang w:val="en-US"/>
        </w:rPr>
        <w:t>/</w:t>
      </w:r>
      <w:r w:rsidRPr="000112B1">
        <w:rPr>
          <w:lang w:val="en-US"/>
        </w:rPr>
        <w:t xml:space="preserve">H3N2 infection is 11 (3.8 – 17) years. </w:t>
      </w:r>
    </w:p>
    <w:p w14:paraId="492A0D00" w14:textId="77777777" w:rsidR="00BD52A9" w:rsidRPr="00613182" w:rsidRDefault="00BD52A9" w:rsidP="00BD52A9">
      <w:pPr>
        <w:rPr>
          <w:lang w:val="en-US"/>
        </w:rPr>
      </w:pPr>
    </w:p>
    <w:p w14:paraId="6D4196BC" w14:textId="7F179A33" w:rsidR="00BD52A9" w:rsidRPr="00613182" w:rsidRDefault="00BD52A9" w:rsidP="00BD52A9">
      <w:pPr>
        <w:pStyle w:val="Caption"/>
        <w:keepNext/>
        <w:rPr>
          <w:lang w:val="en-US"/>
        </w:rPr>
      </w:pPr>
      <w:bookmarkStart w:id="2" w:name="_Ref23236616"/>
      <w:r w:rsidRPr="00613182">
        <w:rPr>
          <w:lang w:val="en-US"/>
        </w:rPr>
        <w:t>Table S</w:t>
      </w:r>
      <w:r w:rsidR="000346EC">
        <w:rPr>
          <w:noProof/>
          <w:lang w:val="en-US"/>
        </w:rPr>
        <w:t>1</w:t>
      </w:r>
      <w:bookmarkEnd w:id="2"/>
      <w:r w:rsidRPr="00613182">
        <w:rPr>
          <w:lang w:val="en-US"/>
        </w:rPr>
        <w:t xml:space="preserve">: </w:t>
      </w:r>
      <w:r w:rsidRPr="006C5C68">
        <w:rPr>
          <w:szCs w:val="24"/>
          <w:lang w:val="en-US"/>
        </w:rPr>
        <w:t xml:space="preserve">Estimated parameters (median and 95% credible interval) for </w:t>
      </w:r>
      <w:r>
        <w:rPr>
          <w:szCs w:val="24"/>
          <w:lang w:val="en-US"/>
        </w:rPr>
        <w:t>i</w:t>
      </w:r>
      <w:r w:rsidRPr="006C5C68">
        <w:rPr>
          <w:szCs w:val="24"/>
          <w:lang w:val="en-US"/>
        </w:rPr>
        <w:t>nfluenza A</w:t>
      </w:r>
      <w:r>
        <w:rPr>
          <w:szCs w:val="24"/>
          <w:lang w:val="en-US"/>
        </w:rPr>
        <w:t>/</w:t>
      </w:r>
      <w:r w:rsidRPr="006C5C68">
        <w:rPr>
          <w:szCs w:val="24"/>
          <w:lang w:val="en-US"/>
        </w:rPr>
        <w:t>H3N2 and circulating strain model.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BD52A9" w:rsidRPr="00C736FA" w14:paraId="588A4431" w14:textId="77777777" w:rsidTr="00CD3B1A">
        <w:tc>
          <w:tcPr>
            <w:tcW w:w="3005" w:type="dxa"/>
            <w:tcBorders>
              <w:top w:val="single" w:sz="4" w:space="0" w:color="auto"/>
              <w:bottom w:val="single" w:sz="4" w:space="0" w:color="auto"/>
            </w:tcBorders>
            <w:shd w:val="clear" w:color="auto" w:fill="auto"/>
          </w:tcPr>
          <w:p w14:paraId="08408D0E" w14:textId="77777777" w:rsidR="00BD52A9" w:rsidRPr="00613182" w:rsidRDefault="00BD52A9" w:rsidP="00CD3B1A">
            <w:pPr>
              <w:spacing w:line="360" w:lineRule="auto"/>
              <w:rPr>
                <w:sz w:val="20"/>
                <w:lang w:val="en-US"/>
              </w:rPr>
            </w:pPr>
            <w:r w:rsidRPr="00613182">
              <w:rPr>
                <w:sz w:val="20"/>
                <w:lang w:val="en-US"/>
              </w:rPr>
              <w:t>Parameter</w:t>
            </w:r>
          </w:p>
        </w:tc>
        <w:tc>
          <w:tcPr>
            <w:tcW w:w="3005" w:type="dxa"/>
            <w:tcBorders>
              <w:top w:val="single" w:sz="4" w:space="0" w:color="auto"/>
              <w:bottom w:val="single" w:sz="4" w:space="0" w:color="auto"/>
            </w:tcBorders>
            <w:shd w:val="clear" w:color="auto" w:fill="auto"/>
          </w:tcPr>
          <w:p w14:paraId="2F701526" w14:textId="0E173D92" w:rsidR="00BD52A9" w:rsidRPr="00613182" w:rsidRDefault="00BD52A9" w:rsidP="00CD3B1A">
            <w:pPr>
              <w:spacing w:line="360" w:lineRule="auto"/>
              <w:rPr>
                <w:sz w:val="20"/>
                <w:lang w:val="en-US"/>
              </w:rPr>
            </w:pPr>
            <w:r w:rsidRPr="00613182">
              <w:rPr>
                <w:sz w:val="20"/>
                <w:lang w:val="en-US"/>
              </w:rPr>
              <w:t>Influenza A/H3N2</w:t>
            </w:r>
          </w:p>
        </w:tc>
        <w:tc>
          <w:tcPr>
            <w:tcW w:w="3006" w:type="dxa"/>
            <w:tcBorders>
              <w:top w:val="single" w:sz="4" w:space="0" w:color="auto"/>
              <w:bottom w:val="single" w:sz="4" w:space="0" w:color="auto"/>
            </w:tcBorders>
            <w:shd w:val="clear" w:color="auto" w:fill="auto"/>
          </w:tcPr>
          <w:p w14:paraId="79E81C15" w14:textId="7D7C11B2" w:rsidR="00BD52A9" w:rsidRPr="00613182" w:rsidRDefault="00BD52A9" w:rsidP="00CD3B1A">
            <w:pPr>
              <w:spacing w:line="360" w:lineRule="auto"/>
              <w:rPr>
                <w:sz w:val="20"/>
                <w:lang w:val="en-US"/>
              </w:rPr>
            </w:pPr>
            <w:r w:rsidRPr="00613182">
              <w:rPr>
                <w:sz w:val="20"/>
                <w:lang w:val="en-US"/>
              </w:rPr>
              <w:t>Circulating strain</w:t>
            </w:r>
            <w:r w:rsidR="00F421FC">
              <w:rPr>
                <w:sz w:val="20"/>
                <w:lang w:val="en-US"/>
              </w:rPr>
              <w:t>s</w:t>
            </w:r>
          </w:p>
        </w:tc>
      </w:tr>
      <w:tr w:rsidR="00BD52A9" w:rsidRPr="00613182" w14:paraId="7A4103A2" w14:textId="77777777" w:rsidTr="00CD3B1A">
        <w:tc>
          <w:tcPr>
            <w:tcW w:w="3005" w:type="dxa"/>
            <w:tcBorders>
              <w:top w:val="single" w:sz="4" w:space="0" w:color="auto"/>
            </w:tcBorders>
          </w:tcPr>
          <w:p w14:paraId="4B6701AA" w14:textId="77777777" w:rsidR="00BD52A9" w:rsidRPr="00613182" w:rsidRDefault="00BD52A9" w:rsidP="00CD3B1A">
            <w:pPr>
              <w:spacing w:line="360" w:lineRule="auto"/>
              <w:rPr>
                <w:sz w:val="20"/>
                <w:vertAlign w:val="subscript"/>
                <w:lang w:val="en-US"/>
              </w:rPr>
            </w:pPr>
            <w:r w:rsidRPr="00613182">
              <w:rPr>
                <w:sz w:val="20"/>
                <w:lang w:val="en-US"/>
              </w:rPr>
              <w:t>R</w:t>
            </w:r>
            <w:r w:rsidRPr="00613182">
              <w:rPr>
                <w:sz w:val="20"/>
                <w:vertAlign w:val="subscript"/>
                <w:lang w:val="en-US"/>
              </w:rPr>
              <w:t>0</w:t>
            </w:r>
          </w:p>
        </w:tc>
        <w:tc>
          <w:tcPr>
            <w:tcW w:w="3005" w:type="dxa"/>
            <w:tcBorders>
              <w:top w:val="single" w:sz="4" w:space="0" w:color="auto"/>
            </w:tcBorders>
          </w:tcPr>
          <w:p w14:paraId="49B7A5E2" w14:textId="77777777" w:rsidR="00BD52A9" w:rsidRPr="00613182" w:rsidRDefault="00BD52A9" w:rsidP="00CD3B1A">
            <w:pPr>
              <w:spacing w:line="360" w:lineRule="auto"/>
              <w:rPr>
                <w:sz w:val="20"/>
                <w:lang w:val="en-US"/>
              </w:rPr>
            </w:pPr>
            <w:r w:rsidRPr="00613182">
              <w:rPr>
                <w:sz w:val="20"/>
                <w:lang w:val="en-US"/>
              </w:rPr>
              <w:t>2.0 (1.2 – 2.8)</w:t>
            </w:r>
          </w:p>
        </w:tc>
        <w:tc>
          <w:tcPr>
            <w:tcW w:w="3006" w:type="dxa"/>
            <w:tcBorders>
              <w:top w:val="single" w:sz="4" w:space="0" w:color="auto"/>
            </w:tcBorders>
          </w:tcPr>
          <w:p w14:paraId="2563A1C0" w14:textId="77777777" w:rsidR="00BD52A9" w:rsidRPr="00613182" w:rsidRDefault="00BD52A9" w:rsidP="00CD3B1A">
            <w:pPr>
              <w:spacing w:line="360" w:lineRule="auto"/>
              <w:rPr>
                <w:sz w:val="20"/>
                <w:lang w:val="en-US"/>
              </w:rPr>
            </w:pPr>
            <w:r w:rsidRPr="00613182">
              <w:rPr>
                <w:sz w:val="20"/>
                <w:lang w:val="en-US"/>
              </w:rPr>
              <w:t>1.8 (1.3 – 2.7)</w:t>
            </w:r>
          </w:p>
        </w:tc>
      </w:tr>
      <w:tr w:rsidR="00BD52A9" w:rsidRPr="00C736FA" w14:paraId="776BAAFD" w14:textId="77777777" w:rsidTr="00CD3B1A">
        <w:tc>
          <w:tcPr>
            <w:tcW w:w="3005" w:type="dxa"/>
          </w:tcPr>
          <w:p w14:paraId="2B356998" w14:textId="1894958B" w:rsidR="00BD52A9" w:rsidRPr="00613182" w:rsidRDefault="00BD52A9" w:rsidP="00CD3B1A">
            <w:pPr>
              <w:spacing w:line="360" w:lineRule="auto"/>
              <w:rPr>
                <w:sz w:val="20"/>
                <w:lang w:val="en-US"/>
              </w:rPr>
            </w:pPr>
            <w:r w:rsidRPr="00613182">
              <w:rPr>
                <w:sz w:val="20"/>
                <w:lang w:val="en-US"/>
              </w:rPr>
              <w:t>Mean waning rate (/year)</w:t>
            </w:r>
          </w:p>
        </w:tc>
        <w:tc>
          <w:tcPr>
            <w:tcW w:w="3005" w:type="dxa"/>
          </w:tcPr>
          <w:p w14:paraId="3B20BCEB" w14:textId="77777777" w:rsidR="00BD52A9" w:rsidRPr="00613182" w:rsidRDefault="00BD52A9" w:rsidP="00CD3B1A">
            <w:pPr>
              <w:spacing w:line="360" w:lineRule="auto"/>
              <w:rPr>
                <w:sz w:val="20"/>
                <w:lang w:val="en-US"/>
              </w:rPr>
            </w:pPr>
            <w:r w:rsidRPr="00613182">
              <w:rPr>
                <w:sz w:val="20"/>
                <w:lang w:val="en-US"/>
              </w:rPr>
              <w:t>0.087 (0.060 – 0.26)</w:t>
            </w:r>
          </w:p>
        </w:tc>
        <w:tc>
          <w:tcPr>
            <w:tcW w:w="3006" w:type="dxa"/>
          </w:tcPr>
          <w:p w14:paraId="71FC4EE5" w14:textId="77777777" w:rsidR="00BD52A9" w:rsidRPr="00613182" w:rsidRDefault="00BD52A9" w:rsidP="00CD3B1A">
            <w:pPr>
              <w:spacing w:line="360" w:lineRule="auto"/>
              <w:rPr>
                <w:sz w:val="20"/>
                <w:lang w:val="en-US"/>
              </w:rPr>
            </w:pPr>
            <w:r w:rsidRPr="00613182">
              <w:rPr>
                <w:sz w:val="20"/>
                <w:lang w:val="en-US"/>
              </w:rPr>
              <w:t>0.19 (0.12 – 0.35)</w:t>
            </w:r>
          </w:p>
        </w:tc>
      </w:tr>
      <w:tr w:rsidR="00BD52A9" w:rsidRPr="00C736FA" w14:paraId="366F96D5" w14:textId="77777777" w:rsidTr="00CD3B1A">
        <w:tc>
          <w:tcPr>
            <w:tcW w:w="3005" w:type="dxa"/>
          </w:tcPr>
          <w:p w14:paraId="788B993A" w14:textId="727AF756" w:rsidR="00BD52A9" w:rsidRPr="00613182" w:rsidRDefault="00BD52A9" w:rsidP="00CD3B1A">
            <w:pPr>
              <w:spacing w:line="360" w:lineRule="auto"/>
              <w:rPr>
                <w:sz w:val="20"/>
                <w:lang w:val="en-US"/>
              </w:rPr>
            </w:pPr>
            <w:r w:rsidRPr="00613182">
              <w:rPr>
                <w:sz w:val="20"/>
                <w:lang w:val="en-US"/>
              </w:rPr>
              <w:t>Sd waning rate (/year)</w:t>
            </w:r>
          </w:p>
        </w:tc>
        <w:tc>
          <w:tcPr>
            <w:tcW w:w="3005" w:type="dxa"/>
          </w:tcPr>
          <w:p w14:paraId="1E8246E0" w14:textId="77777777" w:rsidR="00BD52A9" w:rsidRPr="00613182" w:rsidRDefault="00BD52A9" w:rsidP="00CD3B1A">
            <w:pPr>
              <w:spacing w:line="360" w:lineRule="auto"/>
              <w:rPr>
                <w:sz w:val="20"/>
                <w:lang w:val="en-US"/>
              </w:rPr>
            </w:pPr>
            <w:r w:rsidRPr="00613182">
              <w:rPr>
                <w:sz w:val="20"/>
                <w:lang w:val="en-US"/>
              </w:rPr>
              <w:t>0.017 (0.0055 – 0.045)</w:t>
            </w:r>
          </w:p>
        </w:tc>
        <w:tc>
          <w:tcPr>
            <w:tcW w:w="3006" w:type="dxa"/>
          </w:tcPr>
          <w:p w14:paraId="06E5BC25" w14:textId="77777777" w:rsidR="00BD52A9" w:rsidRPr="00613182" w:rsidRDefault="00BD52A9" w:rsidP="00CD3B1A">
            <w:pPr>
              <w:spacing w:line="360" w:lineRule="auto"/>
              <w:rPr>
                <w:sz w:val="20"/>
                <w:lang w:val="en-US"/>
              </w:rPr>
            </w:pPr>
            <w:r w:rsidRPr="00613182">
              <w:rPr>
                <w:sz w:val="20"/>
                <w:lang w:val="en-US"/>
              </w:rPr>
              <w:t>0.031 (0.011 – 0.067)</w:t>
            </w:r>
          </w:p>
        </w:tc>
      </w:tr>
      <w:tr w:rsidR="00BD52A9" w:rsidRPr="00C736FA" w14:paraId="6B0F0939" w14:textId="77777777" w:rsidTr="00CD3B1A">
        <w:tc>
          <w:tcPr>
            <w:tcW w:w="3005" w:type="dxa"/>
          </w:tcPr>
          <w:p w14:paraId="71FA367A" w14:textId="480C88D5" w:rsidR="00BD52A9" w:rsidRPr="00613182" w:rsidRDefault="00BD52A9" w:rsidP="00CD3B1A">
            <w:pPr>
              <w:spacing w:line="360" w:lineRule="auto"/>
              <w:rPr>
                <w:sz w:val="20"/>
                <w:lang w:val="en-US"/>
              </w:rPr>
            </w:pPr>
            <w:r w:rsidRPr="00613182">
              <w:rPr>
                <w:sz w:val="20"/>
                <w:lang w:val="en-US"/>
              </w:rPr>
              <w:t>Mean vaccine match</w:t>
            </w:r>
          </w:p>
        </w:tc>
        <w:tc>
          <w:tcPr>
            <w:tcW w:w="3005" w:type="dxa"/>
          </w:tcPr>
          <w:p w14:paraId="2708E301" w14:textId="77777777" w:rsidR="00BD52A9" w:rsidRPr="00613182" w:rsidRDefault="00BD52A9" w:rsidP="00CD3B1A">
            <w:pPr>
              <w:spacing w:line="360" w:lineRule="auto"/>
              <w:rPr>
                <w:sz w:val="20"/>
                <w:lang w:val="en-US"/>
              </w:rPr>
            </w:pPr>
            <w:r w:rsidRPr="00613182">
              <w:rPr>
                <w:sz w:val="20"/>
                <w:lang w:val="en-US"/>
              </w:rPr>
              <w:t>0.49 (0.37 – 0.60)</w:t>
            </w:r>
          </w:p>
        </w:tc>
        <w:tc>
          <w:tcPr>
            <w:tcW w:w="3006" w:type="dxa"/>
          </w:tcPr>
          <w:p w14:paraId="1AF95A6F" w14:textId="77777777" w:rsidR="00BD52A9" w:rsidRPr="00613182" w:rsidRDefault="00BD52A9" w:rsidP="00CD3B1A">
            <w:pPr>
              <w:spacing w:line="360" w:lineRule="auto"/>
              <w:rPr>
                <w:sz w:val="20"/>
                <w:lang w:val="en-US"/>
              </w:rPr>
            </w:pPr>
            <w:r w:rsidRPr="00613182">
              <w:rPr>
                <w:sz w:val="20"/>
                <w:lang w:val="en-US"/>
              </w:rPr>
              <w:t>0.56 (0.49 – 0.66)</w:t>
            </w:r>
          </w:p>
        </w:tc>
      </w:tr>
      <w:tr w:rsidR="00BD52A9" w:rsidRPr="00C736FA" w14:paraId="18138DF7" w14:textId="77777777" w:rsidTr="00CD3B1A">
        <w:tc>
          <w:tcPr>
            <w:tcW w:w="3005" w:type="dxa"/>
          </w:tcPr>
          <w:p w14:paraId="3AE1B2B0" w14:textId="33CF52EF" w:rsidR="00BD52A9" w:rsidRPr="00613182" w:rsidRDefault="00BD52A9" w:rsidP="00CD3B1A">
            <w:pPr>
              <w:spacing w:line="360" w:lineRule="auto"/>
              <w:rPr>
                <w:sz w:val="20"/>
                <w:lang w:val="en-US"/>
              </w:rPr>
            </w:pPr>
            <w:r w:rsidRPr="00613182">
              <w:rPr>
                <w:sz w:val="20"/>
                <w:lang w:val="en-US"/>
              </w:rPr>
              <w:t>Sd vaccine match</w:t>
            </w:r>
          </w:p>
        </w:tc>
        <w:tc>
          <w:tcPr>
            <w:tcW w:w="3005" w:type="dxa"/>
          </w:tcPr>
          <w:p w14:paraId="7F90E1D3" w14:textId="77777777" w:rsidR="00BD52A9" w:rsidRPr="00613182" w:rsidRDefault="00BD52A9" w:rsidP="00CD3B1A">
            <w:pPr>
              <w:spacing w:line="360" w:lineRule="auto"/>
              <w:rPr>
                <w:sz w:val="20"/>
                <w:lang w:val="en-US"/>
              </w:rPr>
            </w:pPr>
            <w:r w:rsidRPr="00613182">
              <w:rPr>
                <w:sz w:val="20"/>
                <w:lang w:val="en-US"/>
              </w:rPr>
              <w:t>0.12 (0.086 – 0.14)</w:t>
            </w:r>
          </w:p>
        </w:tc>
        <w:tc>
          <w:tcPr>
            <w:tcW w:w="3006" w:type="dxa"/>
          </w:tcPr>
          <w:p w14:paraId="74345E53" w14:textId="77777777" w:rsidR="00BD52A9" w:rsidRPr="00613182" w:rsidRDefault="00BD52A9" w:rsidP="00CD3B1A">
            <w:pPr>
              <w:spacing w:line="360" w:lineRule="auto"/>
              <w:rPr>
                <w:sz w:val="20"/>
                <w:lang w:val="en-US"/>
              </w:rPr>
            </w:pPr>
            <w:r w:rsidRPr="00613182">
              <w:rPr>
                <w:sz w:val="20"/>
                <w:lang w:val="en-US"/>
              </w:rPr>
              <w:t>0.11 (0.078 – 0.14)</w:t>
            </w:r>
          </w:p>
        </w:tc>
      </w:tr>
    </w:tbl>
    <w:p w14:paraId="69505570" w14:textId="77777777" w:rsidR="00BD52A9" w:rsidRPr="00C736FA" w:rsidRDefault="00BD52A9" w:rsidP="00BD52A9">
      <w:pPr>
        <w:rPr>
          <w:lang w:val="en-US"/>
        </w:rPr>
      </w:pPr>
    </w:p>
    <w:p w14:paraId="49EA968F" w14:textId="77777777" w:rsidR="00BD52A9" w:rsidRPr="00C736FA" w:rsidRDefault="00BD52A9" w:rsidP="00BD52A9">
      <w:pPr>
        <w:rPr>
          <w:b/>
          <w:i/>
          <w:lang w:val="en-US"/>
        </w:rPr>
      </w:pPr>
      <w:r w:rsidRPr="00C736FA">
        <w:rPr>
          <w:b/>
          <w:i/>
          <w:lang w:val="en-US"/>
        </w:rPr>
        <w:br w:type="page"/>
      </w:r>
    </w:p>
    <w:p w14:paraId="479EC2DE" w14:textId="6466819F" w:rsidR="00BD52A9" w:rsidRPr="00613182" w:rsidRDefault="00BD52A9" w:rsidP="00BD52A9">
      <w:pPr>
        <w:pStyle w:val="Heading3"/>
        <w:rPr>
          <w:lang w:val="en-US"/>
        </w:rPr>
      </w:pPr>
      <w:r w:rsidRPr="00613182">
        <w:rPr>
          <w:lang w:val="en-US"/>
        </w:rPr>
        <w:lastRenderedPageBreak/>
        <w:t xml:space="preserve">Childhood vaccination </w:t>
      </w:r>
    </w:p>
    <w:p w14:paraId="30A68D1A" w14:textId="65AD3C07" w:rsidR="00BD52A9" w:rsidRPr="00613182" w:rsidRDefault="00BD52A9" w:rsidP="00BD52A9">
      <w:pPr>
        <w:rPr>
          <w:lang w:val="en-US"/>
        </w:rPr>
      </w:pPr>
      <w:r w:rsidRPr="000112B1">
        <w:rPr>
          <w:lang w:val="en-US"/>
        </w:rPr>
        <w:t xml:space="preserve">With the estimated parameter values, the effect of the </w:t>
      </w:r>
      <w:r w:rsidRPr="005A245E">
        <w:rPr>
          <w:lang w:val="en-US"/>
        </w:rPr>
        <w:t>childhood vaccination program</w:t>
      </w:r>
      <w:r w:rsidRPr="000507AA">
        <w:rPr>
          <w:lang w:val="en-US"/>
        </w:rPr>
        <w:t xml:space="preserve"> </w:t>
      </w:r>
      <w:r w:rsidRPr="0040422A">
        <w:rPr>
          <w:lang w:val="en-US"/>
        </w:rPr>
        <w:t xml:space="preserve">on the infection attack rate of influenza </w:t>
      </w:r>
      <w:r>
        <w:rPr>
          <w:lang w:val="en-US"/>
        </w:rPr>
        <w:t>A/H3N2</w:t>
      </w:r>
      <w:r w:rsidRPr="0040422A">
        <w:rPr>
          <w:lang w:val="en-US"/>
        </w:rPr>
        <w:t xml:space="preserve"> is simulated for a range </w:t>
      </w:r>
      <w:r>
        <w:rPr>
          <w:lang w:val="en-US"/>
        </w:rPr>
        <w:t xml:space="preserve">of </w:t>
      </w:r>
      <w:r w:rsidRPr="0040422A">
        <w:rPr>
          <w:lang w:val="en-US"/>
        </w:rPr>
        <w:t xml:space="preserve">vaccination coverages, as was done in </w:t>
      </w:r>
      <w:r>
        <w:rPr>
          <w:noProof/>
          <w:lang w:val="en-US"/>
        </w:rPr>
        <w:t>[2]</w:t>
      </w:r>
      <w:r w:rsidRPr="000112B1">
        <w:rPr>
          <w:lang w:val="en-US"/>
        </w:rPr>
        <w:t xml:space="preserve"> and </w:t>
      </w:r>
      <w:r w:rsidR="00F36F7D">
        <w:rPr>
          <w:lang w:val="en-US"/>
        </w:rPr>
        <w:t xml:space="preserve">Additional file 2: </w:t>
      </w:r>
      <w:r w:rsidRPr="00BD52A9">
        <w:rPr>
          <w:lang w:val="en-US"/>
        </w:rPr>
        <w:t>Figure S</w:t>
      </w:r>
      <w:r w:rsidRPr="00BD52A9">
        <w:rPr>
          <w:noProof/>
          <w:lang w:val="en-US"/>
        </w:rPr>
        <w:t>4</w:t>
      </w:r>
      <w:r w:rsidRPr="000112B1">
        <w:rPr>
          <w:lang w:val="en-US"/>
        </w:rPr>
        <w:t xml:space="preserve">. </w:t>
      </w:r>
      <w:r w:rsidR="000346EC" w:rsidRPr="00613182">
        <w:rPr>
          <w:lang w:val="en-US"/>
        </w:rPr>
        <w:t>Figure S</w:t>
      </w:r>
      <w:r w:rsidR="000346EC">
        <w:rPr>
          <w:noProof/>
          <w:lang w:val="en-US"/>
        </w:rPr>
        <w:t>1</w:t>
      </w:r>
      <w:r w:rsidR="00F36F7D">
        <w:rPr>
          <w:lang w:val="en-US"/>
        </w:rPr>
        <w:t xml:space="preserve"> shows</w:t>
      </w:r>
      <w:r w:rsidRPr="000112B1">
        <w:rPr>
          <w:lang w:val="en-US"/>
        </w:rPr>
        <w:t xml:space="preserve"> that </w:t>
      </w:r>
      <w:r w:rsidR="00F36F7D">
        <w:rPr>
          <w:lang w:val="en-US"/>
        </w:rPr>
        <w:t xml:space="preserve">childhood </w:t>
      </w:r>
      <w:r w:rsidRPr="000112B1">
        <w:rPr>
          <w:lang w:val="en-US"/>
        </w:rPr>
        <w:t>vaccinati</w:t>
      </w:r>
      <w:r w:rsidR="00F36F7D">
        <w:rPr>
          <w:lang w:val="en-US"/>
        </w:rPr>
        <w:t>on</w:t>
      </w:r>
      <w:r w:rsidRPr="000112B1">
        <w:rPr>
          <w:lang w:val="en-US"/>
        </w:rPr>
        <w:t xml:space="preserve"> increases </w:t>
      </w:r>
      <w:r w:rsidR="00F36F7D">
        <w:rPr>
          <w:lang w:val="en-US"/>
        </w:rPr>
        <w:t xml:space="preserve">the </w:t>
      </w:r>
      <w:r w:rsidRPr="000112B1">
        <w:rPr>
          <w:lang w:val="en-US"/>
        </w:rPr>
        <w:t xml:space="preserve">variability </w:t>
      </w:r>
      <w:r w:rsidR="00F36F7D">
        <w:rPr>
          <w:lang w:val="en-US"/>
        </w:rPr>
        <w:t>in</w:t>
      </w:r>
      <w:r w:rsidRPr="000112B1">
        <w:rPr>
          <w:lang w:val="en-US"/>
        </w:rPr>
        <w:t xml:space="preserve"> epidemic size for influenza </w:t>
      </w:r>
      <w:r>
        <w:rPr>
          <w:lang w:val="en-US"/>
        </w:rPr>
        <w:t>A/H3N2</w:t>
      </w:r>
      <w:r w:rsidRPr="0040422A">
        <w:rPr>
          <w:lang w:val="en-US"/>
        </w:rPr>
        <w:t xml:space="preserve">. These results demonstrate that </w:t>
      </w:r>
      <w:r w:rsidRPr="00613182">
        <w:rPr>
          <w:lang w:val="en-US"/>
        </w:rPr>
        <w:t>similar outcomes are obtained to those reported in the main text, even when the model is applied to types and subtypes separately.</w:t>
      </w:r>
    </w:p>
    <w:p w14:paraId="007FD8BE" w14:textId="77777777" w:rsidR="00BD52A9" w:rsidRDefault="00BD52A9" w:rsidP="00BD52A9">
      <w:pPr>
        <w:keepNext/>
        <w:autoSpaceDE w:val="0"/>
        <w:autoSpaceDN w:val="0"/>
        <w:adjustRightInd w:val="0"/>
      </w:pPr>
      <w:r w:rsidRPr="00613182">
        <w:rPr>
          <w:noProof/>
        </w:rPr>
        <w:drawing>
          <wp:inline distT="0" distB="0" distL="0" distR="0" wp14:anchorId="010CF22B" wp14:editId="68B30BB9">
            <wp:extent cx="5731510" cy="3444240"/>
            <wp:effectExtent l="0" t="0" r="254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444240"/>
                    </a:xfrm>
                    <a:prstGeom prst="rect">
                      <a:avLst/>
                    </a:prstGeom>
                    <a:noFill/>
                    <a:ln>
                      <a:noFill/>
                    </a:ln>
                  </pic:spPr>
                </pic:pic>
              </a:graphicData>
            </a:graphic>
          </wp:inline>
        </w:drawing>
      </w:r>
    </w:p>
    <w:p w14:paraId="06473F3A" w14:textId="47D60162" w:rsidR="00BD52A9" w:rsidRPr="00C736FA" w:rsidRDefault="00BD52A9" w:rsidP="00BD52A9">
      <w:pPr>
        <w:pStyle w:val="Caption"/>
        <w:rPr>
          <w:szCs w:val="24"/>
          <w:lang w:val="en-US"/>
        </w:rPr>
      </w:pPr>
      <w:bookmarkStart w:id="3" w:name="_Ref23260371"/>
      <w:r w:rsidRPr="00613182">
        <w:rPr>
          <w:lang w:val="en-US"/>
        </w:rPr>
        <w:t>Figure S</w:t>
      </w:r>
      <w:r w:rsidR="000346EC">
        <w:rPr>
          <w:noProof/>
          <w:lang w:val="en-US"/>
        </w:rPr>
        <w:t>1</w:t>
      </w:r>
      <w:bookmarkEnd w:id="3"/>
      <w:r w:rsidRPr="00613182">
        <w:rPr>
          <w:lang w:val="en-US"/>
        </w:rPr>
        <w:t xml:space="preserve">: </w:t>
      </w:r>
      <w:r w:rsidRPr="00613182">
        <w:rPr>
          <w:szCs w:val="24"/>
          <w:lang w:val="en-US"/>
        </w:rPr>
        <w:t xml:space="preserve">Infection attack rate (IAR) distribution after roll-out of the </w:t>
      </w:r>
      <w:r>
        <w:rPr>
          <w:szCs w:val="24"/>
          <w:lang w:val="en-US"/>
        </w:rPr>
        <w:t>childhood</w:t>
      </w:r>
      <w:r w:rsidRPr="00613182">
        <w:rPr>
          <w:szCs w:val="24"/>
          <w:lang w:val="en-US"/>
        </w:rPr>
        <w:t xml:space="preserve"> vaccination program (averaged</w:t>
      </w:r>
      <w:r>
        <w:rPr>
          <w:szCs w:val="24"/>
          <w:lang w:val="en-US"/>
        </w:rPr>
        <w:t xml:space="preserve"> </w:t>
      </w:r>
      <w:r w:rsidRPr="00613182">
        <w:rPr>
          <w:szCs w:val="24"/>
          <w:lang w:val="en-US"/>
        </w:rPr>
        <w:t>over the period 2040-2045) for 2-16 year</w:t>
      </w:r>
      <w:r>
        <w:rPr>
          <w:szCs w:val="24"/>
          <w:lang w:val="en-US"/>
        </w:rPr>
        <w:t>-</w:t>
      </w:r>
      <w:r w:rsidRPr="00C736FA">
        <w:rPr>
          <w:szCs w:val="24"/>
          <w:lang w:val="en-US"/>
        </w:rPr>
        <w:t>olds as a function of vaccination coverage for the original (top) and adapted (bottom) model; mean (black line), median (white line), interquartile range (dark red area) and 95% range (light red area).</w:t>
      </w:r>
    </w:p>
    <w:p w14:paraId="7651431F" w14:textId="77777777" w:rsidR="00BD52A9" w:rsidRPr="000112B1" w:rsidRDefault="00BD52A9" w:rsidP="00BD52A9">
      <w:pPr>
        <w:rPr>
          <w:lang w:val="en-US"/>
        </w:rPr>
      </w:pPr>
    </w:p>
    <w:p w14:paraId="2688FF2A" w14:textId="77777777" w:rsidR="00BD52A9" w:rsidRPr="000112B1" w:rsidRDefault="00BD52A9" w:rsidP="00BD52A9">
      <w:pPr>
        <w:rPr>
          <w:b/>
          <w:i/>
          <w:lang w:val="en-US"/>
        </w:rPr>
      </w:pPr>
      <w:r w:rsidRPr="000112B1">
        <w:rPr>
          <w:b/>
          <w:i/>
          <w:lang w:val="en-US"/>
        </w:rPr>
        <w:br w:type="page"/>
      </w:r>
    </w:p>
    <w:p w14:paraId="70B1AE52" w14:textId="712B5622" w:rsidR="00BD52A9" w:rsidRPr="00C736FA" w:rsidRDefault="00BD52A9" w:rsidP="00BD52A9">
      <w:pPr>
        <w:pStyle w:val="Heading3"/>
        <w:rPr>
          <w:lang w:val="en-US"/>
        </w:rPr>
      </w:pPr>
      <w:r w:rsidRPr="00C736FA">
        <w:rPr>
          <w:lang w:val="en-US"/>
        </w:rPr>
        <w:lastRenderedPageBreak/>
        <w:t xml:space="preserve">Sensitivity to </w:t>
      </w:r>
      <w:r>
        <w:rPr>
          <w:lang w:val="en-US"/>
        </w:rPr>
        <w:t>Q-LAIV</w:t>
      </w:r>
      <w:r w:rsidRPr="00C736FA">
        <w:rPr>
          <w:lang w:val="en-US"/>
        </w:rPr>
        <w:t xml:space="preserve"> characteristics</w:t>
      </w:r>
    </w:p>
    <w:p w14:paraId="6B79653D" w14:textId="56F586F1" w:rsidR="00BD52A9" w:rsidRPr="00B357C2" w:rsidRDefault="00BD52A9" w:rsidP="00BD52A9">
      <w:pPr>
        <w:rPr>
          <w:noProof/>
          <w:lang w:val="en-US"/>
        </w:rPr>
      </w:pPr>
      <w:r w:rsidRPr="000112B1">
        <w:rPr>
          <w:lang w:val="en-US"/>
        </w:rPr>
        <w:t xml:space="preserve">In the original model simulations as well as in the simulations </w:t>
      </w:r>
      <w:r>
        <w:rPr>
          <w:lang w:val="en-US"/>
        </w:rPr>
        <w:t>of</w:t>
      </w:r>
      <w:r w:rsidRPr="000112B1">
        <w:rPr>
          <w:lang w:val="en-US"/>
        </w:rPr>
        <w:t xml:space="preserve"> the previous section</w:t>
      </w:r>
      <w:r>
        <w:rPr>
          <w:lang w:val="en-US"/>
        </w:rPr>
        <w:t>,</w:t>
      </w:r>
      <w:r w:rsidRPr="000112B1">
        <w:rPr>
          <w:lang w:val="en-US"/>
        </w:rPr>
        <w:t xml:space="preserve"> the influenza vaccine used for children was assumed to have the same </w:t>
      </w:r>
      <w:r>
        <w:rPr>
          <w:lang w:val="en-US"/>
        </w:rPr>
        <w:t xml:space="preserve">vaccine </w:t>
      </w:r>
      <w:r w:rsidRPr="000112B1">
        <w:rPr>
          <w:lang w:val="en-US"/>
        </w:rPr>
        <w:t xml:space="preserve">efficacy as TIV and provide protection for one year. As </w:t>
      </w:r>
      <w:r w:rsidR="00F421FC">
        <w:rPr>
          <w:lang w:val="en-US"/>
        </w:rPr>
        <w:t xml:space="preserve">in Additional file 2: </w:t>
      </w:r>
      <w:r w:rsidRPr="00BD52A9">
        <w:rPr>
          <w:lang w:val="en-US"/>
        </w:rPr>
        <w:t>Table S</w:t>
      </w:r>
      <w:r w:rsidRPr="00BD52A9">
        <w:rPr>
          <w:noProof/>
          <w:lang w:val="en-US"/>
        </w:rPr>
        <w:t>7</w:t>
      </w:r>
      <w:r>
        <w:rPr>
          <w:lang w:val="en-US"/>
        </w:rPr>
        <w:t>,</w:t>
      </w:r>
      <w:r w:rsidRPr="000112B1">
        <w:rPr>
          <w:lang w:val="en-US"/>
        </w:rPr>
        <w:t xml:space="preserve"> </w:t>
      </w:r>
      <w:r w:rsidRPr="0040422A">
        <w:rPr>
          <w:lang w:val="en-US"/>
        </w:rPr>
        <w:t xml:space="preserve">the </w:t>
      </w:r>
      <w:r w:rsidRPr="0040422A">
        <w:rPr>
          <w:noProof/>
          <w:lang w:val="en-US"/>
        </w:rPr>
        <w:t>simulations are repeated at 50% coverage with various Q</w:t>
      </w:r>
      <w:r>
        <w:rPr>
          <w:noProof/>
          <w:lang w:val="en-US"/>
        </w:rPr>
        <w:t>-</w:t>
      </w:r>
      <w:r w:rsidRPr="0040422A">
        <w:rPr>
          <w:noProof/>
          <w:lang w:val="en-US"/>
        </w:rPr>
        <w:t>LAIV protection durations (1, 2, and 11 years) and various Q</w:t>
      </w:r>
      <w:r>
        <w:rPr>
          <w:noProof/>
          <w:lang w:val="en-US"/>
        </w:rPr>
        <w:t>-</w:t>
      </w:r>
      <w:r w:rsidRPr="0040422A">
        <w:rPr>
          <w:noProof/>
          <w:lang w:val="en-US"/>
        </w:rPr>
        <w:t xml:space="preserve">LAIV efficacies (identical to TIV, 50% higher than TIV and inducing full </w:t>
      </w:r>
      <w:r w:rsidR="009224CD">
        <w:rPr>
          <w:noProof/>
          <w:lang w:val="en-US"/>
        </w:rPr>
        <w:t>protection</w:t>
      </w:r>
      <w:r w:rsidRPr="0040422A">
        <w:rPr>
          <w:noProof/>
          <w:lang w:val="en-US"/>
        </w:rPr>
        <w:t xml:space="preserve">). The results in </w:t>
      </w:r>
      <w:r w:rsidR="000346EC" w:rsidRPr="00C736FA">
        <w:rPr>
          <w:lang w:val="en-US"/>
        </w:rPr>
        <w:t>Table S</w:t>
      </w:r>
      <w:r w:rsidR="000346EC">
        <w:rPr>
          <w:noProof/>
          <w:lang w:val="en-US"/>
        </w:rPr>
        <w:t>2</w:t>
      </w:r>
      <w:r>
        <w:rPr>
          <w:noProof/>
          <w:lang w:val="en-US"/>
        </w:rPr>
        <w:t xml:space="preserve"> </w:t>
      </w:r>
      <w:r w:rsidRPr="000507AA">
        <w:rPr>
          <w:noProof/>
          <w:lang w:val="en-US"/>
        </w:rPr>
        <w:t>reveal similar</w:t>
      </w:r>
      <w:r w:rsidRPr="0040422A">
        <w:rPr>
          <w:noProof/>
          <w:lang w:val="en-US"/>
        </w:rPr>
        <w:t xml:space="preserve"> trends as those reported in the main text: the </w:t>
      </w:r>
      <w:r>
        <w:rPr>
          <w:noProof/>
          <w:lang w:val="en-US"/>
        </w:rPr>
        <w:t>Q-LAIV</w:t>
      </w:r>
      <w:r w:rsidRPr="0040422A">
        <w:rPr>
          <w:noProof/>
          <w:lang w:val="en-US"/>
        </w:rPr>
        <w:t xml:space="preserve"> duration has limited impact on the infection attack rate of influenza A</w:t>
      </w:r>
      <w:r>
        <w:rPr>
          <w:noProof/>
          <w:lang w:val="en-US"/>
        </w:rPr>
        <w:t>/</w:t>
      </w:r>
      <w:r w:rsidRPr="0040422A">
        <w:rPr>
          <w:noProof/>
          <w:lang w:val="en-US"/>
        </w:rPr>
        <w:t>H3N2 and the variation in epidemic size</w:t>
      </w:r>
      <w:r>
        <w:rPr>
          <w:noProof/>
          <w:lang w:val="en-US"/>
        </w:rPr>
        <w:t xml:space="preserve"> persists. </w:t>
      </w:r>
    </w:p>
    <w:p w14:paraId="2B2DD344" w14:textId="77777777" w:rsidR="00BD52A9" w:rsidRPr="00C736FA" w:rsidRDefault="00BD52A9" w:rsidP="00BD52A9">
      <w:pPr>
        <w:rPr>
          <w:lang w:val="en-US"/>
        </w:rPr>
      </w:pPr>
    </w:p>
    <w:p w14:paraId="180EA628" w14:textId="7E021E74" w:rsidR="00BD52A9" w:rsidRPr="00C736FA" w:rsidRDefault="00BD52A9" w:rsidP="00BD52A9">
      <w:pPr>
        <w:pStyle w:val="Caption"/>
        <w:keepNext/>
        <w:rPr>
          <w:lang w:val="en-US"/>
        </w:rPr>
      </w:pPr>
      <w:bookmarkStart w:id="4" w:name="_Ref23250138"/>
      <w:r w:rsidRPr="00C736FA">
        <w:rPr>
          <w:lang w:val="en-US"/>
        </w:rPr>
        <w:t>Table S</w:t>
      </w:r>
      <w:r w:rsidR="000346EC">
        <w:rPr>
          <w:noProof/>
          <w:lang w:val="en-US"/>
        </w:rPr>
        <w:t>2</w:t>
      </w:r>
      <w:bookmarkEnd w:id="4"/>
      <w:r w:rsidRPr="00C736FA">
        <w:rPr>
          <w:lang w:val="en-US"/>
        </w:rPr>
        <w:t xml:space="preserve">: </w:t>
      </w:r>
      <w:r w:rsidRPr="006C5C68">
        <w:rPr>
          <w:noProof/>
          <w:szCs w:val="24"/>
          <w:lang w:val="en-US"/>
        </w:rPr>
        <w:t xml:space="preserve">Simulated infection attack rate for influenza </w:t>
      </w:r>
      <w:r>
        <w:rPr>
          <w:noProof/>
          <w:szCs w:val="24"/>
          <w:lang w:val="en-US"/>
        </w:rPr>
        <w:t>A/H3N2</w:t>
      </w:r>
      <w:r w:rsidRPr="006C5C68">
        <w:rPr>
          <w:noProof/>
          <w:szCs w:val="24"/>
          <w:lang w:val="en-US"/>
        </w:rPr>
        <w:t xml:space="preserve"> (mean (95% interval)) </w:t>
      </w:r>
      <w:r w:rsidRPr="006C5C68">
        <w:rPr>
          <w:szCs w:val="24"/>
          <w:lang w:val="en-US"/>
        </w:rPr>
        <w:t>after roll-out of the pediatric vaccination program (averaged over the period 2040-2045) for 2-16 year</w:t>
      </w:r>
      <w:r>
        <w:rPr>
          <w:szCs w:val="24"/>
          <w:lang w:val="en-US"/>
        </w:rPr>
        <w:t>-</w:t>
      </w:r>
      <w:r w:rsidRPr="006C5C68">
        <w:rPr>
          <w:szCs w:val="24"/>
          <w:lang w:val="en-US"/>
        </w:rPr>
        <w:t xml:space="preserve">olds at 50% coverage, for various characteristics of </w:t>
      </w:r>
      <w:r>
        <w:rPr>
          <w:szCs w:val="24"/>
          <w:lang w:val="en-US"/>
        </w:rPr>
        <w:t>Q-LAIV</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275"/>
        <w:gridCol w:w="2245"/>
        <w:gridCol w:w="2262"/>
        <w:gridCol w:w="2234"/>
      </w:tblGrid>
      <w:tr w:rsidR="00BD52A9" w:rsidRPr="00C736FA" w14:paraId="681AACE8" w14:textId="77777777" w:rsidTr="00CD3B1A">
        <w:tc>
          <w:tcPr>
            <w:tcW w:w="2275" w:type="dxa"/>
            <w:vMerge w:val="restart"/>
            <w:tcBorders>
              <w:top w:val="single" w:sz="4" w:space="0" w:color="auto"/>
              <w:left w:val="nil"/>
              <w:bottom w:val="single" w:sz="4" w:space="0" w:color="auto"/>
              <w:right w:val="nil"/>
            </w:tcBorders>
            <w:shd w:val="clear" w:color="auto" w:fill="auto"/>
          </w:tcPr>
          <w:p w14:paraId="050906D4" w14:textId="2E01D86B" w:rsidR="00BD52A9" w:rsidRPr="00C736FA" w:rsidRDefault="00BD52A9" w:rsidP="00CD3B1A">
            <w:pPr>
              <w:spacing w:line="360" w:lineRule="auto"/>
              <w:rPr>
                <w:noProof/>
                <w:sz w:val="20"/>
                <w:lang w:val="en-US"/>
              </w:rPr>
            </w:pPr>
            <w:r w:rsidRPr="00C736FA">
              <w:rPr>
                <w:noProof/>
                <w:sz w:val="20"/>
              </w:rPr>
              <w:t>Q-LAIV efficacy</w:t>
            </w:r>
          </w:p>
        </w:tc>
        <w:tc>
          <w:tcPr>
            <w:tcW w:w="2245" w:type="dxa"/>
            <w:tcBorders>
              <w:left w:val="nil"/>
              <w:bottom w:val="nil"/>
            </w:tcBorders>
            <w:shd w:val="clear" w:color="auto" w:fill="auto"/>
          </w:tcPr>
          <w:p w14:paraId="4657B2A1" w14:textId="77777777" w:rsidR="00BD52A9" w:rsidRPr="00C736FA" w:rsidRDefault="00BD52A9" w:rsidP="00CD3B1A">
            <w:pPr>
              <w:spacing w:line="360" w:lineRule="auto"/>
              <w:rPr>
                <w:noProof/>
                <w:sz w:val="20"/>
                <w:lang w:val="en-US"/>
              </w:rPr>
            </w:pPr>
          </w:p>
        </w:tc>
        <w:tc>
          <w:tcPr>
            <w:tcW w:w="2262" w:type="dxa"/>
            <w:tcBorders>
              <w:bottom w:val="nil"/>
            </w:tcBorders>
            <w:shd w:val="clear" w:color="auto" w:fill="auto"/>
          </w:tcPr>
          <w:p w14:paraId="2D6CAC7F" w14:textId="5466D5F7" w:rsidR="00BD52A9" w:rsidRPr="00C736FA" w:rsidRDefault="00BD52A9" w:rsidP="00CD3B1A">
            <w:pPr>
              <w:spacing w:line="360" w:lineRule="auto"/>
              <w:rPr>
                <w:noProof/>
                <w:sz w:val="20"/>
              </w:rPr>
            </w:pPr>
            <w:r w:rsidRPr="00C736FA">
              <w:rPr>
                <w:noProof/>
                <w:sz w:val="20"/>
              </w:rPr>
              <w:t>Q-LAIV duration</w:t>
            </w:r>
          </w:p>
        </w:tc>
        <w:tc>
          <w:tcPr>
            <w:tcW w:w="2234" w:type="dxa"/>
            <w:tcBorders>
              <w:bottom w:val="nil"/>
            </w:tcBorders>
            <w:shd w:val="clear" w:color="auto" w:fill="auto"/>
          </w:tcPr>
          <w:p w14:paraId="3D224E17" w14:textId="77777777" w:rsidR="00BD52A9" w:rsidRPr="00C736FA" w:rsidRDefault="00BD52A9" w:rsidP="00CD3B1A">
            <w:pPr>
              <w:spacing w:line="360" w:lineRule="auto"/>
              <w:rPr>
                <w:noProof/>
                <w:sz w:val="20"/>
              </w:rPr>
            </w:pPr>
          </w:p>
        </w:tc>
      </w:tr>
      <w:tr w:rsidR="00BD52A9" w:rsidRPr="00C736FA" w14:paraId="2E3C34EB" w14:textId="77777777" w:rsidTr="00CD3B1A">
        <w:tc>
          <w:tcPr>
            <w:tcW w:w="2275" w:type="dxa"/>
            <w:vMerge/>
            <w:tcBorders>
              <w:top w:val="single" w:sz="4" w:space="0" w:color="auto"/>
              <w:left w:val="nil"/>
              <w:bottom w:val="single" w:sz="4" w:space="0" w:color="auto"/>
              <w:right w:val="nil"/>
            </w:tcBorders>
            <w:shd w:val="clear" w:color="auto" w:fill="auto"/>
          </w:tcPr>
          <w:p w14:paraId="62683757" w14:textId="77777777" w:rsidR="00BD52A9" w:rsidRPr="00F421FC" w:rsidRDefault="00BD52A9" w:rsidP="00F421FC">
            <w:pPr>
              <w:spacing w:line="360" w:lineRule="auto"/>
              <w:rPr>
                <w:noProof/>
                <w:sz w:val="20"/>
              </w:rPr>
            </w:pPr>
          </w:p>
        </w:tc>
        <w:tc>
          <w:tcPr>
            <w:tcW w:w="2245" w:type="dxa"/>
            <w:tcBorders>
              <w:top w:val="nil"/>
              <w:left w:val="nil"/>
              <w:bottom w:val="single" w:sz="4" w:space="0" w:color="auto"/>
            </w:tcBorders>
            <w:shd w:val="clear" w:color="auto" w:fill="auto"/>
          </w:tcPr>
          <w:p w14:paraId="531FF67F" w14:textId="77777777" w:rsidR="00BD52A9" w:rsidRPr="00C736FA" w:rsidRDefault="00BD52A9" w:rsidP="00F421FC">
            <w:pPr>
              <w:spacing w:line="360" w:lineRule="auto"/>
              <w:rPr>
                <w:noProof/>
                <w:sz w:val="20"/>
              </w:rPr>
            </w:pPr>
            <w:r w:rsidRPr="00C736FA">
              <w:rPr>
                <w:noProof/>
                <w:sz w:val="20"/>
              </w:rPr>
              <w:t>1 year</w:t>
            </w:r>
          </w:p>
        </w:tc>
        <w:tc>
          <w:tcPr>
            <w:tcW w:w="2262" w:type="dxa"/>
            <w:tcBorders>
              <w:top w:val="nil"/>
              <w:bottom w:val="single" w:sz="4" w:space="0" w:color="auto"/>
            </w:tcBorders>
            <w:shd w:val="clear" w:color="auto" w:fill="auto"/>
          </w:tcPr>
          <w:p w14:paraId="0C404393" w14:textId="77777777" w:rsidR="00BD52A9" w:rsidRPr="00C736FA" w:rsidRDefault="00BD52A9" w:rsidP="00F421FC">
            <w:pPr>
              <w:spacing w:line="360" w:lineRule="auto"/>
              <w:rPr>
                <w:noProof/>
                <w:sz w:val="20"/>
              </w:rPr>
            </w:pPr>
            <w:r w:rsidRPr="00C736FA">
              <w:rPr>
                <w:noProof/>
                <w:sz w:val="20"/>
              </w:rPr>
              <w:t>2 years</w:t>
            </w:r>
          </w:p>
        </w:tc>
        <w:tc>
          <w:tcPr>
            <w:tcW w:w="2234" w:type="dxa"/>
            <w:tcBorders>
              <w:top w:val="nil"/>
              <w:bottom w:val="single" w:sz="4" w:space="0" w:color="auto"/>
            </w:tcBorders>
            <w:shd w:val="clear" w:color="auto" w:fill="auto"/>
          </w:tcPr>
          <w:p w14:paraId="186D254A" w14:textId="77777777" w:rsidR="00BD52A9" w:rsidRPr="00C736FA" w:rsidRDefault="00BD52A9" w:rsidP="00F421FC">
            <w:pPr>
              <w:spacing w:line="360" w:lineRule="auto"/>
              <w:rPr>
                <w:noProof/>
                <w:sz w:val="20"/>
              </w:rPr>
            </w:pPr>
            <w:r w:rsidRPr="00C736FA">
              <w:rPr>
                <w:noProof/>
                <w:sz w:val="20"/>
              </w:rPr>
              <w:t>11 years</w:t>
            </w:r>
          </w:p>
        </w:tc>
      </w:tr>
      <w:tr w:rsidR="00BD52A9" w:rsidRPr="00C736FA" w14:paraId="48E3FF4C" w14:textId="77777777" w:rsidTr="00CD3B1A">
        <w:tc>
          <w:tcPr>
            <w:tcW w:w="2275" w:type="dxa"/>
            <w:tcBorders>
              <w:top w:val="single" w:sz="4" w:space="0" w:color="auto"/>
              <w:left w:val="nil"/>
              <w:bottom w:val="nil"/>
              <w:right w:val="nil"/>
            </w:tcBorders>
            <w:shd w:val="clear" w:color="auto" w:fill="auto"/>
          </w:tcPr>
          <w:p w14:paraId="56C6D537" w14:textId="7AD16778" w:rsidR="00BD52A9" w:rsidRPr="00C736FA" w:rsidRDefault="00BD52A9" w:rsidP="00CD3B1A">
            <w:pPr>
              <w:spacing w:line="360" w:lineRule="auto"/>
              <w:rPr>
                <w:noProof/>
                <w:sz w:val="20"/>
              </w:rPr>
            </w:pPr>
            <w:r w:rsidRPr="00C736FA">
              <w:rPr>
                <w:noProof/>
                <w:sz w:val="20"/>
              </w:rPr>
              <w:t>Identical to TIV</w:t>
            </w:r>
          </w:p>
        </w:tc>
        <w:tc>
          <w:tcPr>
            <w:tcW w:w="2245" w:type="dxa"/>
            <w:tcBorders>
              <w:top w:val="single" w:sz="4" w:space="0" w:color="auto"/>
              <w:left w:val="nil"/>
            </w:tcBorders>
            <w:shd w:val="clear" w:color="auto" w:fill="auto"/>
          </w:tcPr>
          <w:p w14:paraId="24EE8183" w14:textId="13463AC3" w:rsidR="00BD52A9" w:rsidRPr="00C736FA" w:rsidRDefault="00BD52A9" w:rsidP="00CD3B1A">
            <w:pPr>
              <w:spacing w:line="360" w:lineRule="auto"/>
              <w:rPr>
                <w:noProof/>
                <w:sz w:val="20"/>
              </w:rPr>
            </w:pPr>
            <w:r w:rsidRPr="00C736FA">
              <w:rPr>
                <w:noProof/>
                <w:sz w:val="20"/>
              </w:rPr>
              <w:t>2.7% (0 – 11.3)</w:t>
            </w:r>
            <w:r w:rsidRPr="00C736FA">
              <w:rPr>
                <w:noProof/>
                <w:sz w:val="20"/>
                <w:vertAlign w:val="superscript"/>
              </w:rPr>
              <w:t>a</w:t>
            </w:r>
          </w:p>
        </w:tc>
        <w:tc>
          <w:tcPr>
            <w:tcW w:w="2262" w:type="dxa"/>
            <w:tcBorders>
              <w:top w:val="single" w:sz="4" w:space="0" w:color="auto"/>
            </w:tcBorders>
            <w:shd w:val="clear" w:color="auto" w:fill="auto"/>
          </w:tcPr>
          <w:p w14:paraId="6CEB52F5" w14:textId="77777777" w:rsidR="00BD52A9" w:rsidRPr="00C736FA" w:rsidRDefault="00BD52A9" w:rsidP="00CD3B1A">
            <w:pPr>
              <w:spacing w:line="360" w:lineRule="auto"/>
              <w:rPr>
                <w:noProof/>
                <w:sz w:val="20"/>
              </w:rPr>
            </w:pPr>
            <w:r w:rsidRPr="00C736FA">
              <w:rPr>
                <w:noProof/>
                <w:sz w:val="20"/>
              </w:rPr>
              <w:t>2.7% (0 – 11.2)</w:t>
            </w:r>
          </w:p>
        </w:tc>
        <w:tc>
          <w:tcPr>
            <w:tcW w:w="2234" w:type="dxa"/>
            <w:tcBorders>
              <w:top w:val="single" w:sz="4" w:space="0" w:color="auto"/>
            </w:tcBorders>
            <w:shd w:val="clear" w:color="auto" w:fill="auto"/>
          </w:tcPr>
          <w:p w14:paraId="1ADA6F13" w14:textId="77777777" w:rsidR="00BD52A9" w:rsidRPr="00C736FA" w:rsidRDefault="00BD52A9" w:rsidP="00CD3B1A">
            <w:pPr>
              <w:spacing w:line="360" w:lineRule="auto"/>
              <w:rPr>
                <w:noProof/>
                <w:sz w:val="20"/>
              </w:rPr>
            </w:pPr>
            <w:r w:rsidRPr="00C736FA">
              <w:rPr>
                <w:noProof/>
                <w:sz w:val="20"/>
              </w:rPr>
              <w:t>2.5% (0 – 11.2)</w:t>
            </w:r>
          </w:p>
        </w:tc>
      </w:tr>
      <w:tr w:rsidR="00BD52A9" w:rsidRPr="00C736FA" w14:paraId="0DBCBDFE" w14:textId="77777777" w:rsidTr="00CD3B1A">
        <w:tc>
          <w:tcPr>
            <w:tcW w:w="2275" w:type="dxa"/>
            <w:tcBorders>
              <w:top w:val="nil"/>
              <w:left w:val="nil"/>
              <w:bottom w:val="nil"/>
              <w:right w:val="nil"/>
            </w:tcBorders>
            <w:shd w:val="clear" w:color="auto" w:fill="auto"/>
          </w:tcPr>
          <w:p w14:paraId="6DC5E6D1" w14:textId="77777777" w:rsidR="00BD52A9" w:rsidRPr="00C736FA" w:rsidRDefault="00BD52A9" w:rsidP="00CD3B1A">
            <w:pPr>
              <w:spacing w:line="360" w:lineRule="auto"/>
              <w:rPr>
                <w:noProof/>
                <w:sz w:val="20"/>
              </w:rPr>
            </w:pPr>
            <w:r w:rsidRPr="00C736FA">
              <w:rPr>
                <w:noProof/>
                <w:sz w:val="20"/>
              </w:rPr>
              <w:t>50% higher than TIV</w:t>
            </w:r>
          </w:p>
        </w:tc>
        <w:tc>
          <w:tcPr>
            <w:tcW w:w="2245" w:type="dxa"/>
            <w:tcBorders>
              <w:left w:val="nil"/>
            </w:tcBorders>
            <w:shd w:val="clear" w:color="auto" w:fill="auto"/>
          </w:tcPr>
          <w:p w14:paraId="5C34C275" w14:textId="77777777" w:rsidR="00BD52A9" w:rsidRPr="00C736FA" w:rsidRDefault="00BD52A9" w:rsidP="00CD3B1A">
            <w:pPr>
              <w:spacing w:line="360" w:lineRule="auto"/>
              <w:rPr>
                <w:noProof/>
                <w:sz w:val="20"/>
              </w:rPr>
            </w:pPr>
            <w:r w:rsidRPr="00C736FA">
              <w:rPr>
                <w:noProof/>
                <w:sz w:val="20"/>
              </w:rPr>
              <w:t>2.6% (0 – 12.9)</w:t>
            </w:r>
          </w:p>
        </w:tc>
        <w:tc>
          <w:tcPr>
            <w:tcW w:w="2262" w:type="dxa"/>
            <w:shd w:val="clear" w:color="auto" w:fill="auto"/>
          </w:tcPr>
          <w:p w14:paraId="6F14D6F2" w14:textId="77777777" w:rsidR="00BD52A9" w:rsidRPr="00C736FA" w:rsidRDefault="00BD52A9" w:rsidP="00CD3B1A">
            <w:pPr>
              <w:spacing w:line="360" w:lineRule="auto"/>
              <w:rPr>
                <w:noProof/>
                <w:sz w:val="20"/>
              </w:rPr>
            </w:pPr>
            <w:r w:rsidRPr="00C736FA">
              <w:rPr>
                <w:noProof/>
                <w:sz w:val="20"/>
              </w:rPr>
              <w:t>2.6% (0 – 12.9)</w:t>
            </w:r>
          </w:p>
        </w:tc>
        <w:tc>
          <w:tcPr>
            <w:tcW w:w="2234" w:type="dxa"/>
            <w:shd w:val="clear" w:color="auto" w:fill="auto"/>
          </w:tcPr>
          <w:p w14:paraId="0D86F6F5" w14:textId="77777777" w:rsidR="00BD52A9" w:rsidRPr="00C736FA" w:rsidRDefault="00BD52A9" w:rsidP="00CD3B1A">
            <w:pPr>
              <w:spacing w:line="360" w:lineRule="auto"/>
              <w:rPr>
                <w:noProof/>
                <w:sz w:val="20"/>
              </w:rPr>
            </w:pPr>
            <w:r w:rsidRPr="00C736FA">
              <w:rPr>
                <w:noProof/>
                <w:sz w:val="20"/>
              </w:rPr>
              <w:t>2.4% (0 – 13.0)</w:t>
            </w:r>
          </w:p>
        </w:tc>
      </w:tr>
      <w:tr w:rsidR="00BD52A9" w:rsidRPr="00C736FA" w14:paraId="1F094BFA" w14:textId="77777777" w:rsidTr="00CD3B1A">
        <w:tc>
          <w:tcPr>
            <w:tcW w:w="2275" w:type="dxa"/>
            <w:tcBorders>
              <w:top w:val="nil"/>
              <w:left w:val="nil"/>
              <w:bottom w:val="single" w:sz="4" w:space="0" w:color="auto"/>
              <w:right w:val="nil"/>
            </w:tcBorders>
            <w:shd w:val="clear" w:color="auto" w:fill="auto"/>
          </w:tcPr>
          <w:p w14:paraId="1CD17A77" w14:textId="58DE0207" w:rsidR="00BD52A9" w:rsidRPr="00C736FA" w:rsidRDefault="00BD52A9" w:rsidP="00CD3B1A">
            <w:pPr>
              <w:spacing w:line="360" w:lineRule="auto"/>
              <w:rPr>
                <w:noProof/>
                <w:sz w:val="20"/>
              </w:rPr>
            </w:pPr>
            <w:r w:rsidRPr="00C736FA">
              <w:rPr>
                <w:noProof/>
                <w:sz w:val="20"/>
              </w:rPr>
              <w:t xml:space="preserve">Inducing full </w:t>
            </w:r>
            <w:r w:rsidR="00933D8C">
              <w:rPr>
                <w:noProof/>
                <w:sz w:val="20"/>
              </w:rPr>
              <w:t>protection</w:t>
            </w:r>
          </w:p>
        </w:tc>
        <w:tc>
          <w:tcPr>
            <w:tcW w:w="2245" w:type="dxa"/>
            <w:tcBorders>
              <w:left w:val="nil"/>
            </w:tcBorders>
            <w:shd w:val="clear" w:color="auto" w:fill="auto"/>
          </w:tcPr>
          <w:p w14:paraId="2B53DBC2" w14:textId="77777777" w:rsidR="00BD52A9" w:rsidRPr="00C736FA" w:rsidRDefault="00BD52A9" w:rsidP="00CD3B1A">
            <w:pPr>
              <w:spacing w:line="360" w:lineRule="auto"/>
              <w:rPr>
                <w:noProof/>
                <w:sz w:val="20"/>
              </w:rPr>
            </w:pPr>
            <w:r w:rsidRPr="00C736FA">
              <w:rPr>
                <w:noProof/>
                <w:sz w:val="20"/>
              </w:rPr>
              <w:t>2.3% (0 – 7.7)</w:t>
            </w:r>
          </w:p>
        </w:tc>
        <w:tc>
          <w:tcPr>
            <w:tcW w:w="2262" w:type="dxa"/>
            <w:shd w:val="clear" w:color="auto" w:fill="auto"/>
          </w:tcPr>
          <w:p w14:paraId="4B22619D" w14:textId="77777777" w:rsidR="00BD52A9" w:rsidRPr="00C736FA" w:rsidRDefault="00BD52A9" w:rsidP="00CD3B1A">
            <w:pPr>
              <w:spacing w:line="360" w:lineRule="auto"/>
              <w:rPr>
                <w:noProof/>
                <w:sz w:val="20"/>
              </w:rPr>
            </w:pPr>
            <w:r w:rsidRPr="00C736FA">
              <w:rPr>
                <w:noProof/>
                <w:sz w:val="20"/>
              </w:rPr>
              <w:t>2.2% (0 – 7.6)</w:t>
            </w:r>
          </w:p>
        </w:tc>
        <w:tc>
          <w:tcPr>
            <w:tcW w:w="2234" w:type="dxa"/>
            <w:shd w:val="clear" w:color="auto" w:fill="auto"/>
          </w:tcPr>
          <w:p w14:paraId="0107B076" w14:textId="77777777" w:rsidR="00BD52A9" w:rsidRPr="00C736FA" w:rsidRDefault="00BD52A9" w:rsidP="00CD3B1A">
            <w:pPr>
              <w:spacing w:line="360" w:lineRule="auto"/>
              <w:rPr>
                <w:noProof/>
                <w:sz w:val="20"/>
              </w:rPr>
            </w:pPr>
            <w:r w:rsidRPr="00C736FA">
              <w:rPr>
                <w:noProof/>
                <w:sz w:val="20"/>
              </w:rPr>
              <w:t>1.7% (0 – 6.8)</w:t>
            </w:r>
          </w:p>
        </w:tc>
      </w:tr>
    </w:tbl>
    <w:p w14:paraId="42B476A2" w14:textId="5844EFA2" w:rsidR="00BD52A9" w:rsidRDefault="00BD52A9" w:rsidP="00BD52A9">
      <w:pPr>
        <w:rPr>
          <w:noProof/>
          <w:lang w:val="en-US"/>
        </w:rPr>
      </w:pPr>
      <w:r>
        <w:rPr>
          <w:vertAlign w:val="superscript"/>
          <w:lang w:val="en-US"/>
        </w:rPr>
        <w:t>a</w:t>
      </w:r>
      <w:r>
        <w:rPr>
          <w:lang w:val="en-US"/>
        </w:rPr>
        <w:t>:</w:t>
      </w:r>
      <w:r w:rsidRPr="006C5C68">
        <w:rPr>
          <w:lang w:val="en-US"/>
        </w:rPr>
        <w:t xml:space="preserve"> used in </w:t>
      </w:r>
      <w:r>
        <w:rPr>
          <w:lang w:val="en-US"/>
        </w:rPr>
        <w:t xml:space="preserve">the simulations of </w:t>
      </w:r>
      <w:r w:rsidR="000346EC" w:rsidRPr="00613182">
        <w:rPr>
          <w:lang w:val="en-US"/>
        </w:rPr>
        <w:t>Figure S</w:t>
      </w:r>
      <w:r w:rsidR="000346EC">
        <w:rPr>
          <w:noProof/>
          <w:lang w:val="en-US"/>
        </w:rPr>
        <w:t>1</w:t>
      </w:r>
    </w:p>
    <w:p w14:paraId="219B3232" w14:textId="77777777" w:rsidR="00BD52A9" w:rsidRPr="000112B1" w:rsidRDefault="00BD52A9" w:rsidP="00BD52A9">
      <w:pPr>
        <w:rPr>
          <w:lang w:val="en-US"/>
        </w:rPr>
      </w:pPr>
    </w:p>
    <w:p w14:paraId="59E17C75" w14:textId="1FC51B31" w:rsidR="00BD52A9" w:rsidRPr="00C736FA" w:rsidRDefault="00BD52A9" w:rsidP="00BD52A9">
      <w:pPr>
        <w:pStyle w:val="Heading3"/>
        <w:rPr>
          <w:lang w:val="en-US"/>
        </w:rPr>
      </w:pPr>
      <w:r w:rsidRPr="00C736FA">
        <w:rPr>
          <w:lang w:val="en-US"/>
        </w:rPr>
        <w:t xml:space="preserve">Number of seasons with large </w:t>
      </w:r>
      <w:r w:rsidR="00F36F7D">
        <w:rPr>
          <w:lang w:val="en-US"/>
        </w:rPr>
        <w:t>epidemics</w:t>
      </w:r>
    </w:p>
    <w:p w14:paraId="0842C0C1" w14:textId="406FD805" w:rsidR="00BD52A9" w:rsidRPr="00C736FA" w:rsidRDefault="00BD52A9" w:rsidP="00BD52A9">
      <w:pPr>
        <w:rPr>
          <w:lang w:val="en-US"/>
        </w:rPr>
      </w:pPr>
      <w:r w:rsidRPr="000112B1">
        <w:rPr>
          <w:lang w:val="en-US"/>
        </w:rPr>
        <w:t xml:space="preserve">Finally, we examine the number of seasons </w:t>
      </w:r>
      <w:r w:rsidRPr="005A245E">
        <w:rPr>
          <w:lang w:val="en-US"/>
        </w:rPr>
        <w:t xml:space="preserve">with large </w:t>
      </w:r>
      <w:r w:rsidR="00F36F7D">
        <w:rPr>
          <w:lang w:val="en-US"/>
        </w:rPr>
        <w:t>epidemics</w:t>
      </w:r>
      <w:r w:rsidRPr="005A245E">
        <w:rPr>
          <w:lang w:val="en-US"/>
        </w:rPr>
        <w:t xml:space="preserve"> </w:t>
      </w:r>
      <w:r w:rsidRPr="000507AA">
        <w:rPr>
          <w:lang w:val="en-US"/>
        </w:rPr>
        <w:t xml:space="preserve">caused by influenza </w:t>
      </w:r>
      <w:r>
        <w:rPr>
          <w:lang w:val="en-US"/>
        </w:rPr>
        <w:t>A/H3N2</w:t>
      </w:r>
      <w:r w:rsidRPr="000507AA">
        <w:rPr>
          <w:lang w:val="en-US"/>
        </w:rPr>
        <w:t xml:space="preserve">. Based on the observed seasons, a </w:t>
      </w:r>
      <w:r w:rsidRPr="0040422A">
        <w:rPr>
          <w:lang w:val="en-US"/>
        </w:rPr>
        <w:t xml:space="preserve">season with a large </w:t>
      </w:r>
      <w:r w:rsidR="000346EC">
        <w:rPr>
          <w:lang w:val="en-US"/>
        </w:rPr>
        <w:t>epidemic</w:t>
      </w:r>
      <w:r w:rsidRPr="0040422A">
        <w:rPr>
          <w:lang w:val="en-US"/>
        </w:rPr>
        <w:t xml:space="preserve"> is defined as a season with a symptomatic infection attack rate of 4% or higher. We find that in 33% of the simulations childhood vaccination at a 50% coverage leads to an increase in the number of seasons with large </w:t>
      </w:r>
      <w:r w:rsidR="000346EC">
        <w:rPr>
          <w:lang w:val="en-US"/>
        </w:rPr>
        <w:t>epidemic</w:t>
      </w:r>
      <w:r w:rsidRPr="0040422A">
        <w:rPr>
          <w:lang w:val="en-US"/>
        </w:rPr>
        <w:t xml:space="preserve">s </w:t>
      </w:r>
      <w:r w:rsidRPr="00613182">
        <w:rPr>
          <w:lang w:val="en-US"/>
        </w:rPr>
        <w:t xml:space="preserve">over 20 years. These results demonstrate that similar outcomes </w:t>
      </w:r>
      <w:r w:rsidRPr="00613182">
        <w:rPr>
          <w:lang w:val="en-US"/>
        </w:rPr>
        <w:lastRenderedPageBreak/>
        <w:t>are obtained to those reported in the main text, even when the model is applied to types and subtypes separately.</w:t>
      </w:r>
    </w:p>
    <w:p w14:paraId="03E95E9E" w14:textId="77777777" w:rsidR="00BD52A9" w:rsidRPr="00C736FA" w:rsidRDefault="00BD52A9" w:rsidP="00BD52A9">
      <w:pPr>
        <w:rPr>
          <w:lang w:val="en-US"/>
        </w:rPr>
      </w:pPr>
    </w:p>
    <w:p w14:paraId="2ADF9736" w14:textId="77777777" w:rsidR="00BD52A9" w:rsidRPr="00C736FA" w:rsidRDefault="00BD52A9" w:rsidP="00BD52A9">
      <w:pPr>
        <w:pStyle w:val="Heading2"/>
        <w:rPr>
          <w:lang w:val="en-US"/>
        </w:rPr>
      </w:pPr>
      <w:r w:rsidRPr="00C736FA">
        <w:rPr>
          <w:lang w:val="en-US"/>
        </w:rPr>
        <w:t>References</w:t>
      </w:r>
    </w:p>
    <w:p w14:paraId="03FE1FDB" w14:textId="3DB26221" w:rsidR="00F36F7D" w:rsidRPr="00933D8C" w:rsidRDefault="00F36F7D" w:rsidP="00F36F7D">
      <w:pPr>
        <w:pStyle w:val="EndNoteBibliography"/>
        <w:ind w:left="720" w:hanging="720"/>
        <w:rPr>
          <w:lang w:val="en-US"/>
        </w:rPr>
      </w:pPr>
      <w:r w:rsidRPr="00933D8C">
        <w:rPr>
          <w:lang w:val="en-US"/>
        </w:rPr>
        <w:t>1.</w:t>
      </w:r>
      <w:r w:rsidRPr="00933D8C">
        <w:rPr>
          <w:lang w:val="en-US"/>
        </w:rPr>
        <w:tab/>
        <w:t>Backer JA, Wallinga J, Meijer A, Donker GA, van der Hoek W, van Boven M. The impact of influenza vaccination on infection, hospitalisation and mortality in the Netherlands between 2003 and 2015. Epidemics 2019, 26:77-85.</w:t>
      </w:r>
    </w:p>
    <w:p w14:paraId="10D000EE" w14:textId="77777777" w:rsidR="00F36F7D" w:rsidRPr="00F36F7D" w:rsidRDefault="00F36F7D" w:rsidP="00F36F7D">
      <w:pPr>
        <w:pStyle w:val="EndNoteBibliography"/>
        <w:ind w:left="720" w:hanging="720"/>
      </w:pPr>
      <w:r w:rsidRPr="00933D8C">
        <w:rPr>
          <w:lang w:val="en-US"/>
        </w:rPr>
        <w:t>2.</w:t>
      </w:r>
      <w:r w:rsidRPr="00933D8C">
        <w:rPr>
          <w:lang w:val="en-US"/>
        </w:rPr>
        <w:tab/>
        <w:t xml:space="preserve">Backer JA, van Boven M, van der Hoek W, Wallinga J. Vaccinating children against influenza increases variability in epidemic size. </w:t>
      </w:r>
      <w:r w:rsidRPr="00F36F7D">
        <w:t>Epidemics 2019, 26:95-103.</w:t>
      </w:r>
    </w:p>
    <w:bookmarkEnd w:id="1"/>
    <w:p w14:paraId="494FC9B8" w14:textId="5B71F434" w:rsidR="00C83943" w:rsidRPr="00BD52A9" w:rsidRDefault="00C83943" w:rsidP="00BD52A9">
      <w:pPr>
        <w:rPr>
          <w:rFonts w:cs="Times New Roman"/>
          <w:szCs w:val="24"/>
          <w:lang w:val="en-US"/>
        </w:rPr>
      </w:pPr>
    </w:p>
    <w:sectPr w:rsidR="00C83943" w:rsidRPr="00BD5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pa2eae2b9tpt6eadz9xd9pr09z055vp5srp&quot;&gt;RIVM&lt;record-ids&gt;&lt;item&gt;387&lt;/item&gt;&lt;item&gt;453&lt;/item&gt;&lt;/record-ids&gt;&lt;/item&gt;&lt;/Libraries&gt;"/>
  </w:docVars>
  <w:rsids>
    <w:rsidRoot w:val="00F56E9C"/>
    <w:rsid w:val="000112B1"/>
    <w:rsid w:val="000346EC"/>
    <w:rsid w:val="000507AA"/>
    <w:rsid w:val="000C4591"/>
    <w:rsid w:val="000E4993"/>
    <w:rsid w:val="001D4189"/>
    <w:rsid w:val="001E4E8F"/>
    <w:rsid w:val="001F44A6"/>
    <w:rsid w:val="002315E9"/>
    <w:rsid w:val="002B3897"/>
    <w:rsid w:val="002B4519"/>
    <w:rsid w:val="002D143D"/>
    <w:rsid w:val="002F06D6"/>
    <w:rsid w:val="003923CA"/>
    <w:rsid w:val="003A72A5"/>
    <w:rsid w:val="003E1EC0"/>
    <w:rsid w:val="0040422A"/>
    <w:rsid w:val="00442C1C"/>
    <w:rsid w:val="0049583D"/>
    <w:rsid w:val="00544AA0"/>
    <w:rsid w:val="0056201D"/>
    <w:rsid w:val="005A245E"/>
    <w:rsid w:val="005A5395"/>
    <w:rsid w:val="005C2E4A"/>
    <w:rsid w:val="006A2F21"/>
    <w:rsid w:val="006C3AED"/>
    <w:rsid w:val="007C372F"/>
    <w:rsid w:val="007C5F53"/>
    <w:rsid w:val="007E0812"/>
    <w:rsid w:val="007E496E"/>
    <w:rsid w:val="0086524B"/>
    <w:rsid w:val="00881BC2"/>
    <w:rsid w:val="00890CC9"/>
    <w:rsid w:val="009224CD"/>
    <w:rsid w:val="00933D8C"/>
    <w:rsid w:val="0095560B"/>
    <w:rsid w:val="00966875"/>
    <w:rsid w:val="009B577D"/>
    <w:rsid w:val="00A83CED"/>
    <w:rsid w:val="00A86A84"/>
    <w:rsid w:val="00AE4236"/>
    <w:rsid w:val="00B01288"/>
    <w:rsid w:val="00B91A1B"/>
    <w:rsid w:val="00BD1FC4"/>
    <w:rsid w:val="00BD52A9"/>
    <w:rsid w:val="00C06E0E"/>
    <w:rsid w:val="00C143C9"/>
    <w:rsid w:val="00C16849"/>
    <w:rsid w:val="00C30EDE"/>
    <w:rsid w:val="00C8148F"/>
    <w:rsid w:val="00C83943"/>
    <w:rsid w:val="00C90E8F"/>
    <w:rsid w:val="00C96BFC"/>
    <w:rsid w:val="00CA580F"/>
    <w:rsid w:val="00D501ED"/>
    <w:rsid w:val="00D5150C"/>
    <w:rsid w:val="00D61272"/>
    <w:rsid w:val="00D70780"/>
    <w:rsid w:val="00DB2710"/>
    <w:rsid w:val="00E127BD"/>
    <w:rsid w:val="00E221B2"/>
    <w:rsid w:val="00E639A9"/>
    <w:rsid w:val="00E70830"/>
    <w:rsid w:val="00E71BF6"/>
    <w:rsid w:val="00E736CD"/>
    <w:rsid w:val="00EC1F48"/>
    <w:rsid w:val="00F060E0"/>
    <w:rsid w:val="00F36F7D"/>
    <w:rsid w:val="00F421FC"/>
    <w:rsid w:val="00F53126"/>
    <w:rsid w:val="00F56E9C"/>
    <w:rsid w:val="00F73355"/>
    <w:rsid w:val="00F93C7C"/>
    <w:rsid w:val="00FB6D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EBBB0"/>
  <w15:chartTrackingRefBased/>
  <w15:docId w15:val="{0072BA72-21FE-4F80-83B7-F6C84E15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2C1C"/>
    <w:pPr>
      <w:spacing w:after="0" w:line="480" w:lineRule="auto"/>
    </w:pPr>
    <w:rPr>
      <w:rFonts w:ascii="Times New Roman" w:hAnsi="Times New Roman"/>
      <w:sz w:val="24"/>
    </w:rPr>
  </w:style>
  <w:style w:type="paragraph" w:styleId="Heading2">
    <w:name w:val="heading 2"/>
    <w:basedOn w:val="Normal"/>
    <w:next w:val="Normal"/>
    <w:link w:val="Heading2Char"/>
    <w:uiPriority w:val="9"/>
    <w:unhideWhenUsed/>
    <w:qFormat/>
    <w:rsid w:val="000E4993"/>
    <w:pPr>
      <w:keepNext/>
      <w:keepLines/>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rsid w:val="000E4993"/>
    <w:pPr>
      <w:keepNext/>
      <w:keepLines/>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56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nl-NL"/>
    </w:rPr>
  </w:style>
  <w:style w:type="character" w:customStyle="1" w:styleId="HTMLPreformattedChar">
    <w:name w:val="HTML Preformatted Char"/>
    <w:basedOn w:val="DefaultParagraphFont"/>
    <w:link w:val="HTMLPreformatted"/>
    <w:uiPriority w:val="99"/>
    <w:semiHidden/>
    <w:rsid w:val="00F56E9C"/>
    <w:rPr>
      <w:rFonts w:ascii="Courier New" w:eastAsia="Times New Roman" w:hAnsi="Courier New" w:cs="Courier New"/>
      <w:sz w:val="20"/>
      <w:szCs w:val="20"/>
      <w:lang w:eastAsia="nl-NL"/>
    </w:rPr>
  </w:style>
  <w:style w:type="character" w:customStyle="1" w:styleId="gnkrckgcgsb">
    <w:name w:val="gnkrckgcgsb"/>
    <w:basedOn w:val="DefaultParagraphFont"/>
    <w:rsid w:val="00F56E9C"/>
  </w:style>
  <w:style w:type="character" w:customStyle="1" w:styleId="gnkrckgcmrb">
    <w:name w:val="gnkrckgcmrb"/>
    <w:basedOn w:val="DefaultParagraphFont"/>
    <w:rsid w:val="00F56E9C"/>
  </w:style>
  <w:style w:type="paragraph" w:customStyle="1" w:styleId="EndNoteBibliography">
    <w:name w:val="EndNote Bibliography"/>
    <w:basedOn w:val="Normal"/>
    <w:link w:val="EndNoteBibliographyChar"/>
    <w:rsid w:val="007C5F53"/>
    <w:pPr>
      <w:overflowPunct w:val="0"/>
      <w:autoSpaceDE w:val="0"/>
      <w:autoSpaceDN w:val="0"/>
      <w:adjustRightInd w:val="0"/>
      <w:spacing w:line="480" w:lineRule="atLeast"/>
      <w:textAlignment w:val="baseline"/>
    </w:pPr>
    <w:rPr>
      <w:rFonts w:eastAsia="MS Mincho" w:cs="Times New Roman"/>
      <w:noProof/>
      <w:szCs w:val="20"/>
      <w:lang w:eastAsia="nl-NL"/>
    </w:rPr>
  </w:style>
  <w:style w:type="character" w:customStyle="1" w:styleId="EndNoteBibliographyChar">
    <w:name w:val="EndNote Bibliography Char"/>
    <w:basedOn w:val="DefaultParagraphFont"/>
    <w:link w:val="EndNoteBibliography"/>
    <w:rsid w:val="007C5F53"/>
    <w:rPr>
      <w:rFonts w:ascii="Times New Roman" w:eastAsia="MS Mincho" w:hAnsi="Times New Roman" w:cs="Times New Roman"/>
      <w:noProof/>
      <w:sz w:val="24"/>
      <w:szCs w:val="20"/>
      <w:lang w:eastAsia="nl-NL"/>
    </w:rPr>
  </w:style>
  <w:style w:type="table" w:styleId="TableGrid">
    <w:name w:val="Table Grid"/>
    <w:basedOn w:val="TableNormal"/>
    <w:uiPriority w:val="59"/>
    <w:rsid w:val="00B91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44A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AA0"/>
    <w:rPr>
      <w:rFonts w:ascii="Segoe UI" w:hAnsi="Segoe UI" w:cs="Segoe UI"/>
      <w:sz w:val="18"/>
      <w:szCs w:val="18"/>
    </w:rPr>
  </w:style>
  <w:style w:type="paragraph" w:customStyle="1" w:styleId="EndNoteBibliographyTitle">
    <w:name w:val="EndNote Bibliography Title"/>
    <w:basedOn w:val="Normal"/>
    <w:link w:val="EndNoteBibliographyTitleChar"/>
    <w:rsid w:val="002D143D"/>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2D143D"/>
    <w:rPr>
      <w:rFonts w:ascii="Times New Roman" w:hAnsi="Times New Roman" w:cs="Times New Roman"/>
      <w:noProof/>
      <w:sz w:val="24"/>
      <w:lang w:val="en-US"/>
    </w:rPr>
  </w:style>
  <w:style w:type="character" w:customStyle="1" w:styleId="Heading2Char">
    <w:name w:val="Heading 2 Char"/>
    <w:basedOn w:val="DefaultParagraphFont"/>
    <w:link w:val="Heading2"/>
    <w:uiPriority w:val="9"/>
    <w:rsid w:val="000E4993"/>
    <w:rPr>
      <w:rFonts w:ascii="Arial" w:eastAsiaTheme="majorEastAsia" w:hAnsi="Arial" w:cstheme="majorBidi"/>
      <w:b/>
      <w:sz w:val="24"/>
      <w:szCs w:val="26"/>
    </w:rPr>
  </w:style>
  <w:style w:type="character" w:customStyle="1" w:styleId="Heading3Char">
    <w:name w:val="Heading 3 Char"/>
    <w:basedOn w:val="DefaultParagraphFont"/>
    <w:link w:val="Heading3"/>
    <w:uiPriority w:val="9"/>
    <w:rsid w:val="000E4993"/>
    <w:rPr>
      <w:rFonts w:ascii="Times New Roman" w:eastAsiaTheme="majorEastAsia" w:hAnsi="Times New Roman" w:cstheme="majorBidi"/>
      <w:i/>
      <w:sz w:val="24"/>
      <w:szCs w:val="24"/>
    </w:rPr>
  </w:style>
  <w:style w:type="paragraph" w:styleId="Caption">
    <w:name w:val="caption"/>
    <w:basedOn w:val="Normal"/>
    <w:next w:val="Normal"/>
    <w:uiPriority w:val="35"/>
    <w:unhideWhenUsed/>
    <w:qFormat/>
    <w:rsid w:val="0095560B"/>
    <w:rPr>
      <w:iCs/>
      <w:szCs w:val="18"/>
    </w:rPr>
  </w:style>
  <w:style w:type="character" w:styleId="CommentReference">
    <w:name w:val="annotation reference"/>
    <w:basedOn w:val="DefaultParagraphFont"/>
    <w:uiPriority w:val="99"/>
    <w:semiHidden/>
    <w:unhideWhenUsed/>
    <w:rsid w:val="00E70830"/>
    <w:rPr>
      <w:sz w:val="16"/>
      <w:szCs w:val="16"/>
    </w:rPr>
  </w:style>
  <w:style w:type="paragraph" w:styleId="CommentText">
    <w:name w:val="annotation text"/>
    <w:basedOn w:val="Normal"/>
    <w:link w:val="CommentTextChar"/>
    <w:uiPriority w:val="99"/>
    <w:semiHidden/>
    <w:unhideWhenUsed/>
    <w:rsid w:val="00E70830"/>
    <w:pPr>
      <w:spacing w:line="240" w:lineRule="auto"/>
    </w:pPr>
    <w:rPr>
      <w:sz w:val="20"/>
      <w:szCs w:val="20"/>
    </w:rPr>
  </w:style>
  <w:style w:type="character" w:customStyle="1" w:styleId="CommentTextChar">
    <w:name w:val="Comment Text Char"/>
    <w:basedOn w:val="DefaultParagraphFont"/>
    <w:link w:val="CommentText"/>
    <w:uiPriority w:val="99"/>
    <w:semiHidden/>
    <w:rsid w:val="00E7083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70830"/>
    <w:rPr>
      <w:b/>
      <w:bCs/>
    </w:rPr>
  </w:style>
  <w:style w:type="character" w:customStyle="1" w:styleId="CommentSubjectChar">
    <w:name w:val="Comment Subject Char"/>
    <w:basedOn w:val="CommentTextChar"/>
    <w:link w:val="CommentSubject"/>
    <w:uiPriority w:val="99"/>
    <w:semiHidden/>
    <w:rsid w:val="00E70830"/>
    <w:rPr>
      <w:rFonts w:ascii="Times New Roman" w:hAnsi="Times New Roman"/>
      <w:b/>
      <w:bCs/>
      <w:sz w:val="20"/>
      <w:szCs w:val="20"/>
    </w:rPr>
  </w:style>
  <w:style w:type="paragraph" w:styleId="Revision">
    <w:name w:val="Revision"/>
    <w:hidden/>
    <w:uiPriority w:val="99"/>
    <w:semiHidden/>
    <w:rsid w:val="00BD52A9"/>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90264">
      <w:bodyDiv w:val="1"/>
      <w:marLeft w:val="0"/>
      <w:marRight w:val="0"/>
      <w:marTop w:val="0"/>
      <w:marBottom w:val="0"/>
      <w:divBdr>
        <w:top w:val="none" w:sz="0" w:space="0" w:color="auto"/>
        <w:left w:val="none" w:sz="0" w:space="0" w:color="auto"/>
        <w:bottom w:val="none" w:sz="0" w:space="0" w:color="auto"/>
        <w:right w:val="none" w:sz="0" w:space="0" w:color="auto"/>
      </w:divBdr>
    </w:div>
    <w:div w:id="110653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98EA7-26FE-4633-8E71-97F5F37F0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1CF7B1F2</Template>
  <TotalTime>1</TotalTime>
  <Pages>6</Pages>
  <Words>947</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Jantien Backer</dc:creator>
  <cp:keywords/>
  <dc:description/>
  <cp:lastModifiedBy>Pieter de Boer</cp:lastModifiedBy>
  <cp:revision>3</cp:revision>
  <cp:lastPrinted>2019-10-28T09:16:00Z</cp:lastPrinted>
  <dcterms:created xsi:type="dcterms:W3CDTF">2019-11-15T08:55:00Z</dcterms:created>
  <dcterms:modified xsi:type="dcterms:W3CDTF">2019-11-15T08:55:00Z</dcterms:modified>
</cp:coreProperties>
</file>