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B68" w:rsidRDefault="00D66B68" w:rsidP="00D66B68">
      <w:pPr>
        <w:rPr>
          <w:b/>
        </w:rPr>
      </w:pPr>
      <w:r>
        <w:rPr>
          <w:b/>
        </w:rPr>
        <w:t>S6 Table</w:t>
      </w:r>
      <w:r w:rsidRPr="00323E95">
        <w:rPr>
          <w:b/>
        </w:rPr>
        <w:t xml:space="preserve">: </w:t>
      </w:r>
      <w:r>
        <w:rPr>
          <w:b/>
        </w:rPr>
        <w:t>Sensitivit</w:t>
      </w:r>
      <w:r w:rsidR="0092608B">
        <w:rPr>
          <w:b/>
        </w:rPr>
        <w:t>y analyses of primary and secondary study outcomes - comparison</w:t>
      </w:r>
      <w:r w:rsidR="0092608B" w:rsidRPr="00323E95">
        <w:rPr>
          <w:b/>
        </w:rPr>
        <w:t xml:space="preserve"> of </w:t>
      </w:r>
      <w:r w:rsidR="0092608B">
        <w:rPr>
          <w:b/>
        </w:rPr>
        <w:t>m</w:t>
      </w:r>
      <w:r w:rsidR="0092608B" w:rsidRPr="00323E95">
        <w:rPr>
          <w:b/>
        </w:rPr>
        <w:t xml:space="preserve">ortality </w:t>
      </w:r>
      <w:r w:rsidR="0092608B">
        <w:rPr>
          <w:b/>
        </w:rPr>
        <w:t>rates between</w:t>
      </w:r>
      <w:r w:rsidR="0092608B" w:rsidRPr="00323E95">
        <w:rPr>
          <w:b/>
        </w:rPr>
        <w:t xml:space="preserve"> </w:t>
      </w:r>
      <w:r w:rsidR="0092608B">
        <w:rPr>
          <w:b/>
        </w:rPr>
        <w:t>study phases</w:t>
      </w:r>
    </w:p>
    <w:p w:rsidR="00D66B68" w:rsidRDefault="00D66B68" w:rsidP="00D66B68">
      <w:pPr>
        <w:rPr>
          <w:b/>
        </w:rPr>
      </w:pPr>
    </w:p>
    <w:tbl>
      <w:tblPr>
        <w:tblW w:w="1552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983"/>
        <w:gridCol w:w="990"/>
        <w:gridCol w:w="990"/>
        <w:gridCol w:w="720"/>
        <w:gridCol w:w="1170"/>
        <w:gridCol w:w="720"/>
        <w:gridCol w:w="962"/>
        <w:gridCol w:w="902"/>
        <w:gridCol w:w="817"/>
        <w:gridCol w:w="1180"/>
        <w:gridCol w:w="727"/>
        <w:gridCol w:w="902"/>
        <w:gridCol w:w="900"/>
        <w:gridCol w:w="744"/>
        <w:gridCol w:w="1180"/>
        <w:gridCol w:w="729"/>
      </w:tblGrid>
      <w:tr w:rsidR="00B464B6" w:rsidRPr="001A0490" w:rsidTr="00543E65">
        <w:trPr>
          <w:trHeight w:val="71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B464B6" w:rsidRPr="001A0490" w:rsidRDefault="00B464B6" w:rsidP="00EC54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64B6" w:rsidRPr="001A0490" w:rsidRDefault="00B464B6" w:rsidP="00EC547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4B6" w:rsidRPr="001A0490" w:rsidRDefault="00B464B6" w:rsidP="00EC54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Pre-specified Multivariable Model</w:t>
            </w:r>
            <w:r w:rsidRPr="00C273BC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8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64B6" w:rsidRPr="001A0490" w:rsidRDefault="00B464B6" w:rsidP="00123B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Model 1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(Sensitivity Analysis)</w:t>
            </w:r>
            <w:r w:rsidRPr="00C273BC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55" w:type="dxa"/>
            <w:gridSpan w:val="5"/>
            <w:tcBorders>
              <w:left w:val="single" w:sz="4" w:space="0" w:color="auto"/>
              <w:bottom w:val="nil"/>
            </w:tcBorders>
          </w:tcPr>
          <w:p w:rsidR="00B464B6" w:rsidRPr="001A0490" w:rsidRDefault="00B464B6" w:rsidP="00123B3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Model 2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(Sensitivity Analysis)</w:t>
            </w:r>
            <w:r w:rsidRPr="00C273BC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E7F24" w:rsidRPr="001A0490" w:rsidTr="00C07D52">
        <w:trPr>
          <w:trHeight w:val="1278"/>
          <w:jc w:val="center"/>
        </w:trPr>
        <w:tc>
          <w:tcPr>
            <w:tcW w:w="907" w:type="dxa"/>
            <w:shd w:val="clear" w:color="auto" w:fill="auto"/>
            <w:noWrap/>
            <w:vAlign w:val="center"/>
            <w:hideMark/>
          </w:tcPr>
          <w:p w:rsidR="00BE7F24" w:rsidRPr="001A0490" w:rsidRDefault="00BE7F24" w:rsidP="00BE7F24">
            <w:pPr>
              <w:rPr>
                <w:color w:val="000000"/>
                <w:sz w:val="20"/>
                <w:szCs w:val="20"/>
              </w:rPr>
            </w:pPr>
            <w:r w:rsidRPr="001A04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ART enrollees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0"/>
              </w:rPr>
              <w:t>Total deaths incl. in adjusted analysis</w:t>
            </w:r>
            <w:r w:rsidRPr="001E4044">
              <w:rPr>
                <w:b/>
                <w:bCs/>
                <w:color w:val="000000"/>
                <w:sz w:val="18"/>
                <w:szCs w:val="20"/>
                <w:vertAlign w:val="superscript"/>
              </w:rPr>
              <w:t>d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BE7F24" w:rsidRDefault="00BE7F24" w:rsidP="00BE7F24">
            <w:pPr>
              <w:jc w:val="right"/>
              <w:rPr>
                <w:b/>
                <w:bCs/>
                <w:color w:val="000000"/>
                <w:sz w:val="18"/>
                <w:szCs w:val="20"/>
              </w:rPr>
            </w:pPr>
            <w:r w:rsidRPr="00605376">
              <w:rPr>
                <w:b/>
                <w:bCs/>
                <w:color w:val="000000"/>
                <w:sz w:val="18"/>
                <w:szCs w:val="20"/>
              </w:rPr>
              <w:t>Rate/</w:t>
            </w:r>
          </w:p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05376">
              <w:rPr>
                <w:b/>
                <w:bCs/>
                <w:color w:val="000000"/>
                <w:sz w:val="18"/>
                <w:szCs w:val="20"/>
              </w:rPr>
              <w:t>100PY</w:t>
            </w:r>
            <w:r>
              <w:rPr>
                <w:b/>
                <w:bCs/>
                <w:color w:val="000000"/>
                <w:sz w:val="18"/>
                <w:szCs w:val="20"/>
              </w:rPr>
              <w:t xml:space="preserve"> among patients incl. in adjusted analysis</w:t>
            </w:r>
            <w:r w:rsidRPr="00A81F59">
              <w:rPr>
                <w:b/>
                <w:bCs/>
                <w:color w:val="000000"/>
                <w:sz w:val="18"/>
                <w:szCs w:val="20"/>
                <w:vertAlign w:val="superscript"/>
              </w:rPr>
              <w:t>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AHR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</w:tcPr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0"/>
              </w:rPr>
              <w:t>Total deaths incl. in adjusted analysis</w:t>
            </w:r>
            <w:r w:rsidRPr="001E4044">
              <w:rPr>
                <w:b/>
                <w:bCs/>
                <w:color w:val="000000"/>
                <w:sz w:val="18"/>
                <w:szCs w:val="20"/>
                <w:vertAlign w:val="superscript"/>
              </w:rPr>
              <w:t>d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</w:tcPr>
          <w:p w:rsidR="00BE7F24" w:rsidRDefault="00BE7F24" w:rsidP="00BE7F24">
            <w:pPr>
              <w:jc w:val="right"/>
              <w:rPr>
                <w:b/>
                <w:bCs/>
                <w:color w:val="000000"/>
                <w:sz w:val="18"/>
                <w:szCs w:val="20"/>
              </w:rPr>
            </w:pPr>
            <w:r w:rsidRPr="00605376">
              <w:rPr>
                <w:b/>
                <w:bCs/>
                <w:color w:val="000000"/>
                <w:sz w:val="18"/>
                <w:szCs w:val="20"/>
              </w:rPr>
              <w:t>Rate/</w:t>
            </w:r>
          </w:p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05376">
              <w:rPr>
                <w:b/>
                <w:bCs/>
                <w:color w:val="000000"/>
                <w:sz w:val="18"/>
                <w:szCs w:val="20"/>
              </w:rPr>
              <w:t>100PY</w:t>
            </w:r>
            <w:r>
              <w:rPr>
                <w:b/>
                <w:bCs/>
                <w:color w:val="000000"/>
                <w:sz w:val="18"/>
                <w:szCs w:val="20"/>
              </w:rPr>
              <w:t xml:space="preserve"> among patients incl. in adjusted analysis</w:t>
            </w:r>
            <w:r w:rsidRPr="00A81F59">
              <w:rPr>
                <w:b/>
                <w:bCs/>
                <w:color w:val="000000"/>
                <w:sz w:val="18"/>
                <w:szCs w:val="20"/>
                <w:vertAlign w:val="superscript"/>
              </w:rPr>
              <w:t>e</w:t>
            </w:r>
          </w:p>
        </w:tc>
        <w:tc>
          <w:tcPr>
            <w:tcW w:w="8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AHR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</w:tcPr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0"/>
              </w:rPr>
              <w:t>Total deaths incl. in adjusted analysis</w:t>
            </w:r>
            <w:r w:rsidRPr="001E4044">
              <w:rPr>
                <w:b/>
                <w:bCs/>
                <w:color w:val="000000"/>
                <w:sz w:val="18"/>
                <w:szCs w:val="20"/>
                <w:vertAlign w:val="superscript"/>
              </w:rPr>
              <w:t>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BE7F24" w:rsidRDefault="00BE7F24" w:rsidP="00BE7F24">
            <w:pPr>
              <w:jc w:val="right"/>
              <w:rPr>
                <w:b/>
                <w:bCs/>
                <w:color w:val="000000"/>
                <w:sz w:val="18"/>
                <w:szCs w:val="20"/>
              </w:rPr>
            </w:pPr>
            <w:r w:rsidRPr="00605376">
              <w:rPr>
                <w:b/>
                <w:bCs/>
                <w:color w:val="000000"/>
                <w:sz w:val="18"/>
                <w:szCs w:val="20"/>
              </w:rPr>
              <w:t>Rate/</w:t>
            </w:r>
          </w:p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05376">
              <w:rPr>
                <w:b/>
                <w:bCs/>
                <w:color w:val="000000"/>
                <w:sz w:val="18"/>
                <w:szCs w:val="20"/>
              </w:rPr>
              <w:t>100PY</w:t>
            </w:r>
            <w:r>
              <w:rPr>
                <w:b/>
                <w:bCs/>
                <w:color w:val="000000"/>
                <w:sz w:val="18"/>
                <w:szCs w:val="20"/>
              </w:rPr>
              <w:t xml:space="preserve"> among patients incl. in adjusted analysis</w:t>
            </w:r>
            <w:r w:rsidRPr="00A81F59">
              <w:rPr>
                <w:b/>
                <w:bCs/>
                <w:color w:val="000000"/>
                <w:sz w:val="18"/>
                <w:szCs w:val="20"/>
                <w:vertAlign w:val="superscript"/>
              </w:rPr>
              <w:t>e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7F24" w:rsidRPr="001A0490" w:rsidRDefault="00BE7F24" w:rsidP="00BE7F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AHR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vAlign w:val="center"/>
          </w:tcPr>
          <w:p w:rsidR="00BE7F24" w:rsidRPr="001A0490" w:rsidRDefault="00BE7F24" w:rsidP="00BE7F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729" w:type="dxa"/>
            <w:tcBorders>
              <w:top w:val="nil"/>
              <w:bottom w:val="single" w:sz="4" w:space="0" w:color="auto"/>
            </w:tcBorders>
            <w:vAlign w:val="center"/>
          </w:tcPr>
          <w:p w:rsidR="00BE7F24" w:rsidRPr="001A0490" w:rsidRDefault="00BE7F24" w:rsidP="00BE7F2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A0490">
              <w:rPr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FA2C23" w:rsidRPr="001A0490" w:rsidTr="00BE7F24">
        <w:trPr>
          <w:trHeight w:val="127"/>
          <w:jc w:val="center"/>
        </w:trPr>
        <w:tc>
          <w:tcPr>
            <w:tcW w:w="15523" w:type="dxa"/>
            <w:gridSpan w:val="17"/>
          </w:tcPr>
          <w:p w:rsidR="00FA2C23" w:rsidRPr="00FB1506" w:rsidRDefault="00FA2C23" w:rsidP="00EC5474">
            <w:pPr>
              <w:rPr>
                <w:b/>
                <w:bCs/>
                <w:sz w:val="20"/>
                <w:szCs w:val="20"/>
              </w:rPr>
            </w:pPr>
            <w:r w:rsidRPr="00FB1506">
              <w:rPr>
                <w:b/>
                <w:bCs/>
                <w:sz w:val="20"/>
                <w:szCs w:val="20"/>
              </w:rPr>
              <w:t xml:space="preserve">Primary Outcome: </w:t>
            </w:r>
          </w:p>
          <w:p w:rsidR="00FA2C23" w:rsidRPr="00FB1506" w:rsidRDefault="00FA2C23" w:rsidP="00EC5474">
            <w:pPr>
              <w:rPr>
                <w:b/>
                <w:bCs/>
                <w:sz w:val="20"/>
                <w:szCs w:val="20"/>
              </w:rPr>
            </w:pPr>
            <w:r w:rsidRPr="00FB1506">
              <w:rPr>
                <w:b/>
                <w:bCs/>
                <w:sz w:val="20"/>
                <w:szCs w:val="20"/>
              </w:rPr>
              <w:t>6-month ART Mortality in SOC versus EC+X phase</w:t>
            </w:r>
          </w:p>
        </w:tc>
      </w:tr>
      <w:tr w:rsidR="00BE7F24" w:rsidRPr="001A0490" w:rsidTr="004146D8">
        <w:trPr>
          <w:trHeight w:val="58"/>
          <w:jc w:val="center"/>
        </w:trPr>
        <w:tc>
          <w:tcPr>
            <w:tcW w:w="907" w:type="dxa"/>
            <w:shd w:val="clear" w:color="auto" w:fill="auto"/>
            <w:noWrap/>
            <w:vAlign w:val="center"/>
            <w:hideMark/>
          </w:tcPr>
          <w:p w:rsidR="00B464B6" w:rsidRPr="001A0490" w:rsidRDefault="00B464B6" w:rsidP="00B4492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</w:t>
            </w:r>
            <w:r w:rsidRPr="001A049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B464B6" w:rsidRPr="00FB1506" w:rsidRDefault="00B464B6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8980</w:t>
            </w:r>
          </w:p>
        </w:tc>
        <w:tc>
          <w:tcPr>
            <w:tcW w:w="990" w:type="dxa"/>
          </w:tcPr>
          <w:p w:rsidR="00B464B6" w:rsidRPr="00FB1506" w:rsidRDefault="00ED5947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350</w:t>
            </w:r>
          </w:p>
        </w:tc>
        <w:tc>
          <w:tcPr>
            <w:tcW w:w="990" w:type="dxa"/>
          </w:tcPr>
          <w:p w:rsidR="00B464B6" w:rsidRPr="00FB1506" w:rsidRDefault="00ED5947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10.8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464B6" w:rsidRPr="00FB1506" w:rsidRDefault="00B464B6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1.00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B464B6" w:rsidRPr="00FB1506" w:rsidRDefault="00B464B6" w:rsidP="00B44922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464B6" w:rsidRPr="00FB1506" w:rsidRDefault="00B464B6" w:rsidP="00B44922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  <w:tc>
          <w:tcPr>
            <w:tcW w:w="962" w:type="dxa"/>
          </w:tcPr>
          <w:p w:rsidR="00B464B6" w:rsidRPr="00FB1506" w:rsidRDefault="00282DA9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329</w:t>
            </w:r>
          </w:p>
        </w:tc>
        <w:tc>
          <w:tcPr>
            <w:tcW w:w="902" w:type="dxa"/>
          </w:tcPr>
          <w:p w:rsidR="00B464B6" w:rsidRPr="00FB1506" w:rsidRDefault="00832C89" w:rsidP="00282DA9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12.</w:t>
            </w:r>
            <w:r w:rsidR="00282DA9" w:rsidRPr="00FB1506">
              <w:rPr>
                <w:sz w:val="20"/>
                <w:szCs w:val="20"/>
              </w:rPr>
              <w:t>0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 w:rsidR="00B464B6" w:rsidRPr="00FB1506" w:rsidRDefault="00B464B6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1.00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464B6" w:rsidRPr="00FB1506" w:rsidRDefault="00B464B6" w:rsidP="00B44922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B464B6" w:rsidRPr="00FB1506" w:rsidRDefault="00B464B6" w:rsidP="00B44922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  <w:tc>
          <w:tcPr>
            <w:tcW w:w="902" w:type="dxa"/>
          </w:tcPr>
          <w:p w:rsidR="00B464B6" w:rsidRPr="00FB1506" w:rsidRDefault="00282DA9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329</w:t>
            </w:r>
          </w:p>
        </w:tc>
        <w:tc>
          <w:tcPr>
            <w:tcW w:w="900" w:type="dxa"/>
          </w:tcPr>
          <w:p w:rsidR="00B464B6" w:rsidRPr="00FB1506" w:rsidRDefault="00F54BA7" w:rsidP="00282DA9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12.</w:t>
            </w:r>
            <w:r w:rsidR="00282DA9" w:rsidRPr="00FB1506">
              <w:rPr>
                <w:sz w:val="20"/>
                <w:szCs w:val="20"/>
              </w:rPr>
              <w:t>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B464B6" w:rsidRPr="00FB1506" w:rsidRDefault="00B464B6" w:rsidP="00B44922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1.00</w:t>
            </w:r>
          </w:p>
        </w:tc>
        <w:tc>
          <w:tcPr>
            <w:tcW w:w="1180" w:type="dxa"/>
            <w:vAlign w:val="center"/>
          </w:tcPr>
          <w:p w:rsidR="00B464B6" w:rsidRPr="00FB1506" w:rsidRDefault="00B464B6" w:rsidP="00B44922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9" w:type="dxa"/>
            <w:vAlign w:val="center"/>
          </w:tcPr>
          <w:p w:rsidR="00B464B6" w:rsidRPr="00FB1506" w:rsidRDefault="00B464B6" w:rsidP="00B44922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</w:tr>
      <w:tr w:rsidR="00BE7F24" w:rsidRPr="001A0490" w:rsidTr="004146D8">
        <w:trPr>
          <w:trHeight w:val="73"/>
          <w:jc w:val="center"/>
        </w:trPr>
        <w:tc>
          <w:tcPr>
            <w:tcW w:w="907" w:type="dxa"/>
            <w:shd w:val="clear" w:color="auto" w:fill="auto"/>
            <w:noWrap/>
            <w:vAlign w:val="center"/>
            <w:hideMark/>
          </w:tcPr>
          <w:p w:rsidR="00895C14" w:rsidRPr="001A0490" w:rsidRDefault="00895C14" w:rsidP="00895C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EC+X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895C14" w:rsidRPr="00FB1506" w:rsidRDefault="00895C14" w:rsidP="00895C14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4215</w:t>
            </w:r>
          </w:p>
        </w:tc>
        <w:tc>
          <w:tcPr>
            <w:tcW w:w="990" w:type="dxa"/>
          </w:tcPr>
          <w:p w:rsidR="00895C14" w:rsidRPr="00FB1506" w:rsidRDefault="00A6450A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93</w:t>
            </w:r>
          </w:p>
        </w:tc>
        <w:tc>
          <w:tcPr>
            <w:tcW w:w="990" w:type="dxa"/>
          </w:tcPr>
          <w:p w:rsidR="00895C14" w:rsidRPr="00FB1506" w:rsidRDefault="00ED5947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5.2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95C14" w:rsidRPr="00FB1506" w:rsidRDefault="00895C14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0.77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895C14" w:rsidRPr="00FB1506" w:rsidRDefault="00895C14" w:rsidP="00895C14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(0.61-0.97)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95C14" w:rsidRPr="00FB1506" w:rsidRDefault="00895C14" w:rsidP="00895C14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0.029</w:t>
            </w:r>
          </w:p>
        </w:tc>
        <w:tc>
          <w:tcPr>
            <w:tcW w:w="962" w:type="dxa"/>
          </w:tcPr>
          <w:p w:rsidR="00895C14" w:rsidRPr="00FB1506" w:rsidRDefault="00282DA9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93</w:t>
            </w:r>
          </w:p>
        </w:tc>
        <w:tc>
          <w:tcPr>
            <w:tcW w:w="902" w:type="dxa"/>
          </w:tcPr>
          <w:p w:rsidR="00895C14" w:rsidRPr="00FB1506" w:rsidRDefault="00282DA9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5.2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895C14" w:rsidRPr="00FB1506" w:rsidRDefault="00895C14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0.78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895C14" w:rsidRPr="00FB1506" w:rsidRDefault="00895C14" w:rsidP="00895C14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(0.61-0.98)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895C14" w:rsidRPr="00FB1506" w:rsidRDefault="00895C14" w:rsidP="00895C14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0.037</w:t>
            </w:r>
          </w:p>
        </w:tc>
        <w:tc>
          <w:tcPr>
            <w:tcW w:w="902" w:type="dxa"/>
          </w:tcPr>
          <w:p w:rsidR="00895C14" w:rsidRPr="00FB1506" w:rsidRDefault="00282DA9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900" w:type="dxa"/>
          </w:tcPr>
          <w:p w:rsidR="00895C14" w:rsidRPr="00FB1506" w:rsidRDefault="00282DA9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4.9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895C14" w:rsidRPr="00FB1506" w:rsidRDefault="00895C14" w:rsidP="00895C14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0.78</w:t>
            </w:r>
          </w:p>
        </w:tc>
        <w:tc>
          <w:tcPr>
            <w:tcW w:w="1180" w:type="dxa"/>
            <w:vAlign w:val="center"/>
          </w:tcPr>
          <w:p w:rsidR="00895C14" w:rsidRPr="00FB1506" w:rsidRDefault="00895C14" w:rsidP="00895C14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(0.63-0.98)</w:t>
            </w:r>
          </w:p>
        </w:tc>
        <w:tc>
          <w:tcPr>
            <w:tcW w:w="729" w:type="dxa"/>
            <w:vAlign w:val="center"/>
          </w:tcPr>
          <w:p w:rsidR="00895C14" w:rsidRPr="00FB1506" w:rsidRDefault="00895C14" w:rsidP="00895C14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0.033</w:t>
            </w:r>
          </w:p>
        </w:tc>
      </w:tr>
      <w:tr w:rsidR="00FA2C23" w:rsidRPr="001A0490" w:rsidTr="00BE7F24">
        <w:trPr>
          <w:trHeight w:val="741"/>
          <w:jc w:val="center"/>
        </w:trPr>
        <w:tc>
          <w:tcPr>
            <w:tcW w:w="15523" w:type="dxa"/>
            <w:gridSpan w:val="17"/>
          </w:tcPr>
          <w:p w:rsidR="00D76ADA" w:rsidRPr="00FB1506" w:rsidRDefault="00D76ADA" w:rsidP="00EC5474">
            <w:pPr>
              <w:rPr>
                <w:b/>
                <w:bCs/>
                <w:sz w:val="20"/>
                <w:szCs w:val="20"/>
              </w:rPr>
            </w:pPr>
          </w:p>
          <w:p w:rsidR="00FA2C23" w:rsidRPr="00FB1506" w:rsidRDefault="00FA2C23" w:rsidP="00EC5474">
            <w:pPr>
              <w:rPr>
                <w:b/>
                <w:bCs/>
                <w:sz w:val="20"/>
                <w:szCs w:val="20"/>
              </w:rPr>
            </w:pPr>
            <w:r w:rsidRPr="00FB1506">
              <w:rPr>
                <w:b/>
                <w:bCs/>
                <w:sz w:val="20"/>
                <w:szCs w:val="20"/>
              </w:rPr>
              <w:t xml:space="preserve">Secondary Outcomes: </w:t>
            </w:r>
          </w:p>
          <w:p w:rsidR="00FA2C23" w:rsidRPr="00FB1506" w:rsidRDefault="00FA2C23" w:rsidP="00EC5474">
            <w:pPr>
              <w:rPr>
                <w:b/>
                <w:bCs/>
                <w:sz w:val="20"/>
                <w:szCs w:val="20"/>
              </w:rPr>
            </w:pPr>
            <w:r w:rsidRPr="00FB1506">
              <w:rPr>
                <w:b/>
                <w:bCs/>
                <w:sz w:val="20"/>
                <w:szCs w:val="20"/>
              </w:rPr>
              <w:t>12-month ART Mortality in SOC versus EC+X phase</w:t>
            </w:r>
          </w:p>
        </w:tc>
      </w:tr>
      <w:tr w:rsidR="00DF4181" w:rsidRPr="001A0490" w:rsidTr="00833228">
        <w:trPr>
          <w:trHeight w:val="127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DF4181" w:rsidRPr="001A0490" w:rsidRDefault="00DF4181" w:rsidP="00DF418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</w:t>
            </w:r>
            <w:r w:rsidRPr="001A049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DF4181" w:rsidRPr="00FB1506" w:rsidRDefault="00DF4181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8980</w:t>
            </w:r>
          </w:p>
        </w:tc>
        <w:tc>
          <w:tcPr>
            <w:tcW w:w="990" w:type="dxa"/>
            <w:vAlign w:val="center"/>
          </w:tcPr>
          <w:p w:rsidR="00DF4181" w:rsidRPr="00FB1506" w:rsidRDefault="00FB5BAB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424</w:t>
            </w:r>
          </w:p>
        </w:tc>
        <w:tc>
          <w:tcPr>
            <w:tcW w:w="990" w:type="dxa"/>
            <w:vAlign w:val="center"/>
          </w:tcPr>
          <w:p w:rsidR="00DF4181" w:rsidRPr="00FB1506" w:rsidRDefault="00DF4181" w:rsidP="001B6340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7.</w:t>
            </w:r>
            <w:r w:rsidR="001B6340" w:rsidRPr="00FB1506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F4181" w:rsidRPr="00FB1506" w:rsidRDefault="00DF4181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1.00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F4181" w:rsidRPr="00FB1506" w:rsidRDefault="00DF4181" w:rsidP="00DF4181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  <w:tc>
          <w:tcPr>
            <w:tcW w:w="962" w:type="dxa"/>
            <w:vAlign w:val="center"/>
          </w:tcPr>
          <w:p w:rsidR="00DF4181" w:rsidRPr="00FB1506" w:rsidRDefault="00DF4181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376</w:t>
            </w:r>
          </w:p>
        </w:tc>
        <w:tc>
          <w:tcPr>
            <w:tcW w:w="902" w:type="dxa"/>
          </w:tcPr>
          <w:p w:rsidR="00DF4181" w:rsidRPr="00FB1506" w:rsidRDefault="0089559A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8.6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F4181" w:rsidRPr="00FB1506" w:rsidRDefault="00DF4181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1.00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  <w:tc>
          <w:tcPr>
            <w:tcW w:w="902" w:type="dxa"/>
          </w:tcPr>
          <w:p w:rsidR="00DF4181" w:rsidRPr="00FB1506" w:rsidRDefault="0072411C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376</w:t>
            </w:r>
          </w:p>
        </w:tc>
        <w:tc>
          <w:tcPr>
            <w:tcW w:w="900" w:type="dxa"/>
          </w:tcPr>
          <w:p w:rsidR="00DF4181" w:rsidRPr="00FB1506" w:rsidRDefault="00DF4181" w:rsidP="0072411C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8.</w:t>
            </w:r>
            <w:r w:rsidR="0072411C" w:rsidRPr="00FB1506">
              <w:rPr>
                <w:sz w:val="20"/>
                <w:szCs w:val="20"/>
              </w:rPr>
              <w:t>6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1.00</w:t>
            </w:r>
          </w:p>
        </w:tc>
        <w:tc>
          <w:tcPr>
            <w:tcW w:w="1180" w:type="dxa"/>
            <w:vAlign w:val="center"/>
          </w:tcPr>
          <w:p w:rsidR="00DF4181" w:rsidRPr="00FB1506" w:rsidRDefault="00DF4181" w:rsidP="00DF4181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9" w:type="dxa"/>
            <w:vAlign w:val="center"/>
          </w:tcPr>
          <w:p w:rsidR="00DF4181" w:rsidRPr="00FB1506" w:rsidRDefault="00DF4181" w:rsidP="00DF4181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</w:tr>
      <w:tr w:rsidR="00DF4181" w:rsidRPr="001A0490" w:rsidTr="00833228">
        <w:trPr>
          <w:trHeight w:val="58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DF4181" w:rsidRPr="001A0490" w:rsidRDefault="00DF4181" w:rsidP="00DF418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EC+X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DF4181" w:rsidRPr="00FB1506" w:rsidRDefault="00DF4181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4215</w:t>
            </w:r>
          </w:p>
        </w:tc>
        <w:tc>
          <w:tcPr>
            <w:tcW w:w="990" w:type="dxa"/>
            <w:vAlign w:val="center"/>
          </w:tcPr>
          <w:p w:rsidR="00DF4181" w:rsidRPr="00FB1506" w:rsidRDefault="00FB5BAB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108</w:t>
            </w:r>
          </w:p>
        </w:tc>
        <w:tc>
          <w:tcPr>
            <w:tcW w:w="990" w:type="dxa"/>
            <w:vAlign w:val="center"/>
          </w:tcPr>
          <w:p w:rsidR="00DF4181" w:rsidRPr="00FB1506" w:rsidRDefault="001B6340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3.9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F4181" w:rsidRPr="00FB1506" w:rsidRDefault="00DF4181" w:rsidP="00DF4181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0.76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(0.61-0.95)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F4181" w:rsidRPr="00FB1506" w:rsidRDefault="00DF4181" w:rsidP="00DF4181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0.014</w:t>
            </w:r>
          </w:p>
        </w:tc>
        <w:tc>
          <w:tcPr>
            <w:tcW w:w="962" w:type="dxa"/>
            <w:vAlign w:val="center"/>
          </w:tcPr>
          <w:p w:rsidR="00DF4181" w:rsidRPr="00FB1506" w:rsidRDefault="00DF4181" w:rsidP="00DF4181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108</w:t>
            </w:r>
          </w:p>
        </w:tc>
        <w:tc>
          <w:tcPr>
            <w:tcW w:w="902" w:type="dxa"/>
          </w:tcPr>
          <w:p w:rsidR="00DF4181" w:rsidRPr="00FB1506" w:rsidRDefault="0089559A" w:rsidP="00DF4181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3.9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DF4181" w:rsidRPr="00FB1506" w:rsidRDefault="00DF4181" w:rsidP="00DF4181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0.77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(0.62-0.96)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0.021</w:t>
            </w:r>
          </w:p>
        </w:tc>
        <w:tc>
          <w:tcPr>
            <w:tcW w:w="902" w:type="dxa"/>
          </w:tcPr>
          <w:p w:rsidR="00DF4181" w:rsidRPr="00FB1506" w:rsidRDefault="0072411C" w:rsidP="00DF4181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900" w:type="dxa"/>
          </w:tcPr>
          <w:p w:rsidR="00DF4181" w:rsidRPr="00FB1506" w:rsidRDefault="00DF4181" w:rsidP="0072411C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3.</w:t>
            </w:r>
            <w:r w:rsidR="0072411C" w:rsidRPr="00FB150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DF4181" w:rsidRPr="00FB1506" w:rsidRDefault="00DF4181" w:rsidP="00DF4181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0.74</w:t>
            </w:r>
          </w:p>
        </w:tc>
        <w:tc>
          <w:tcPr>
            <w:tcW w:w="1180" w:type="dxa"/>
            <w:vAlign w:val="center"/>
          </w:tcPr>
          <w:p w:rsidR="00DF4181" w:rsidRPr="00FB1506" w:rsidRDefault="00DF4181" w:rsidP="00DF4181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(0.60-0.91)</w:t>
            </w:r>
          </w:p>
        </w:tc>
        <w:tc>
          <w:tcPr>
            <w:tcW w:w="729" w:type="dxa"/>
            <w:vAlign w:val="center"/>
          </w:tcPr>
          <w:p w:rsidR="00DF4181" w:rsidRPr="00FB1506" w:rsidRDefault="00DF4181" w:rsidP="00DF4181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0.005</w:t>
            </w:r>
          </w:p>
        </w:tc>
      </w:tr>
      <w:tr w:rsidR="00FA2C23" w:rsidRPr="001A0490" w:rsidTr="00BE7F24">
        <w:trPr>
          <w:trHeight w:val="316"/>
          <w:jc w:val="center"/>
        </w:trPr>
        <w:tc>
          <w:tcPr>
            <w:tcW w:w="15523" w:type="dxa"/>
            <w:gridSpan w:val="17"/>
          </w:tcPr>
          <w:p w:rsidR="00D76ADA" w:rsidRPr="00FB1506" w:rsidRDefault="00D76ADA" w:rsidP="00EC5474">
            <w:pPr>
              <w:rPr>
                <w:b/>
                <w:sz w:val="20"/>
                <w:szCs w:val="20"/>
              </w:rPr>
            </w:pPr>
          </w:p>
          <w:p w:rsidR="00FA2C23" w:rsidRPr="00FB1506" w:rsidRDefault="00FA2C23" w:rsidP="00A81F59">
            <w:pPr>
              <w:rPr>
                <w:b/>
                <w:sz w:val="20"/>
                <w:szCs w:val="20"/>
              </w:rPr>
            </w:pPr>
            <w:r w:rsidRPr="00FB1506">
              <w:rPr>
                <w:b/>
                <w:sz w:val="20"/>
                <w:szCs w:val="20"/>
              </w:rPr>
              <w:t>6-month ART Mortality in EC versus EC+X phase</w:t>
            </w:r>
            <w:r w:rsidR="00A81F59" w:rsidRPr="00FB1506">
              <w:rPr>
                <w:sz w:val="20"/>
                <w:szCs w:val="20"/>
                <w:vertAlign w:val="superscript"/>
              </w:rPr>
              <w:t>g</w:t>
            </w:r>
          </w:p>
        </w:tc>
      </w:tr>
      <w:tr w:rsidR="00BE7F24" w:rsidRPr="001A0490" w:rsidTr="004146D8">
        <w:trPr>
          <w:trHeight w:val="58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9C0748" w:rsidRPr="00F2492C" w:rsidRDefault="009C0748" w:rsidP="009C074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2492C">
              <w:rPr>
                <w:color w:val="000000"/>
                <w:sz w:val="20"/>
                <w:szCs w:val="20"/>
              </w:rPr>
              <w:t xml:space="preserve">EC 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9C0748" w:rsidRPr="00FB1506" w:rsidRDefault="009C0748" w:rsidP="009C0748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1768</w:t>
            </w:r>
          </w:p>
        </w:tc>
        <w:tc>
          <w:tcPr>
            <w:tcW w:w="990" w:type="dxa"/>
          </w:tcPr>
          <w:p w:rsidR="009C0748" w:rsidRPr="00FB1506" w:rsidRDefault="00A6450A" w:rsidP="009C0748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43</w:t>
            </w:r>
          </w:p>
        </w:tc>
        <w:tc>
          <w:tcPr>
            <w:tcW w:w="990" w:type="dxa"/>
            <w:vAlign w:val="center"/>
          </w:tcPr>
          <w:p w:rsidR="009C0748" w:rsidRPr="00FB1506" w:rsidRDefault="00F804A8" w:rsidP="009C0748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5.5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0748" w:rsidRPr="00FB1506" w:rsidRDefault="009C0748" w:rsidP="009C0748">
            <w:pPr>
              <w:jc w:val="right"/>
              <w:rPr>
                <w:b/>
                <w:bCs/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1.00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C0748" w:rsidRPr="00FB1506" w:rsidRDefault="009C0748" w:rsidP="009C0748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0748" w:rsidRPr="00FB1506" w:rsidRDefault="009C0748" w:rsidP="009C0748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  <w:tc>
          <w:tcPr>
            <w:tcW w:w="962" w:type="dxa"/>
          </w:tcPr>
          <w:p w:rsidR="009C0748" w:rsidRPr="00FB1506" w:rsidRDefault="00775190" w:rsidP="009C0748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902" w:type="dxa"/>
          </w:tcPr>
          <w:p w:rsidR="009C0748" w:rsidRPr="00FB1506" w:rsidRDefault="00775190" w:rsidP="009C0748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7.2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C0748" w:rsidRPr="00FB1506" w:rsidRDefault="009C0748" w:rsidP="009C0748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1.00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9C0748" w:rsidRPr="00FB1506" w:rsidRDefault="009C0748" w:rsidP="009C0748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9C0748" w:rsidRPr="00FB1506" w:rsidRDefault="009C0748" w:rsidP="009C0748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  <w:tc>
          <w:tcPr>
            <w:tcW w:w="902" w:type="dxa"/>
          </w:tcPr>
          <w:p w:rsidR="009C0748" w:rsidRPr="00FB1506" w:rsidRDefault="00C345C3" w:rsidP="00741309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900" w:type="dxa"/>
          </w:tcPr>
          <w:p w:rsidR="009C0748" w:rsidRPr="00FB1506" w:rsidRDefault="00C345C3" w:rsidP="00741309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7.2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9C0748" w:rsidRPr="00FB1506" w:rsidRDefault="002A1E90" w:rsidP="002A1E90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1.00</w:t>
            </w:r>
          </w:p>
        </w:tc>
        <w:tc>
          <w:tcPr>
            <w:tcW w:w="1180" w:type="dxa"/>
            <w:vAlign w:val="center"/>
          </w:tcPr>
          <w:p w:rsidR="009C0748" w:rsidRPr="00FB1506" w:rsidRDefault="009C0748" w:rsidP="009C0748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 --</w:t>
            </w:r>
          </w:p>
        </w:tc>
        <w:tc>
          <w:tcPr>
            <w:tcW w:w="729" w:type="dxa"/>
            <w:vAlign w:val="center"/>
          </w:tcPr>
          <w:p w:rsidR="009C0748" w:rsidRPr="00FB1506" w:rsidRDefault="009C0748" w:rsidP="009C0748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-- </w:t>
            </w:r>
          </w:p>
        </w:tc>
      </w:tr>
      <w:tr w:rsidR="00BE7F24" w:rsidRPr="001A0490" w:rsidTr="004146D8">
        <w:trPr>
          <w:trHeight w:val="58"/>
          <w:jc w:val="center"/>
        </w:trPr>
        <w:tc>
          <w:tcPr>
            <w:tcW w:w="907" w:type="dxa"/>
            <w:shd w:val="clear" w:color="auto" w:fill="auto"/>
            <w:noWrap/>
            <w:vAlign w:val="center"/>
          </w:tcPr>
          <w:p w:rsidR="009C0748" w:rsidRPr="00F2492C" w:rsidRDefault="009C0748" w:rsidP="009C074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2492C">
              <w:rPr>
                <w:color w:val="000000"/>
                <w:sz w:val="20"/>
                <w:szCs w:val="20"/>
              </w:rPr>
              <w:t>EC+X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9C0748" w:rsidRPr="00FB1506" w:rsidRDefault="009C0748" w:rsidP="009C0748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4215</w:t>
            </w:r>
          </w:p>
        </w:tc>
        <w:tc>
          <w:tcPr>
            <w:tcW w:w="990" w:type="dxa"/>
          </w:tcPr>
          <w:p w:rsidR="009C0748" w:rsidRPr="00FB1506" w:rsidRDefault="00A6450A" w:rsidP="009C0748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93</w:t>
            </w:r>
          </w:p>
        </w:tc>
        <w:tc>
          <w:tcPr>
            <w:tcW w:w="990" w:type="dxa"/>
            <w:vAlign w:val="center"/>
          </w:tcPr>
          <w:p w:rsidR="009C0748" w:rsidRPr="00FB1506" w:rsidRDefault="00F804A8" w:rsidP="009C0748">
            <w:pPr>
              <w:jc w:val="right"/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5.2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0748" w:rsidRPr="00FB1506" w:rsidRDefault="009C0748" w:rsidP="009C0748">
            <w:pPr>
              <w:jc w:val="right"/>
              <w:rPr>
                <w:b/>
                <w:bCs/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1.13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9C0748" w:rsidRPr="00FB1506" w:rsidRDefault="009C0748" w:rsidP="009C0748">
            <w:pPr>
              <w:rPr>
                <w:b/>
                <w:bCs/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(0.63-2.03)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C0748" w:rsidRPr="00FB1506" w:rsidRDefault="009C0748" w:rsidP="009C0748">
            <w:pPr>
              <w:rPr>
                <w:b/>
                <w:bCs/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0.690</w:t>
            </w:r>
          </w:p>
        </w:tc>
        <w:tc>
          <w:tcPr>
            <w:tcW w:w="962" w:type="dxa"/>
          </w:tcPr>
          <w:p w:rsidR="009C0748" w:rsidRPr="00FB1506" w:rsidRDefault="00775190" w:rsidP="009C0748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93</w:t>
            </w:r>
          </w:p>
        </w:tc>
        <w:tc>
          <w:tcPr>
            <w:tcW w:w="902" w:type="dxa"/>
          </w:tcPr>
          <w:p w:rsidR="009C0748" w:rsidRPr="00FB1506" w:rsidRDefault="00775190" w:rsidP="009C0748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5.2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C0748" w:rsidRPr="00FB1506" w:rsidRDefault="009C0748" w:rsidP="00775190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</w:t>
            </w:r>
            <w:r w:rsidR="00775190" w:rsidRPr="00FB1506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9C0748" w:rsidRPr="00FB1506" w:rsidRDefault="009C0748" w:rsidP="00775190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(0.</w:t>
            </w:r>
            <w:r w:rsidR="00775190" w:rsidRPr="00FB1506">
              <w:rPr>
                <w:bCs/>
                <w:sz w:val="20"/>
                <w:szCs w:val="20"/>
              </w:rPr>
              <w:t>42</w:t>
            </w:r>
            <w:r w:rsidRPr="00FB1506">
              <w:rPr>
                <w:bCs/>
                <w:sz w:val="20"/>
                <w:szCs w:val="20"/>
              </w:rPr>
              <w:t>-1.</w:t>
            </w:r>
            <w:r w:rsidR="00775190" w:rsidRPr="00FB1506">
              <w:rPr>
                <w:bCs/>
                <w:sz w:val="20"/>
                <w:szCs w:val="20"/>
              </w:rPr>
              <w:t>95</w:t>
            </w:r>
            <w:r w:rsidRPr="00FB150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auto"/>
            <w:noWrap/>
            <w:vAlign w:val="center"/>
          </w:tcPr>
          <w:p w:rsidR="009C0748" w:rsidRPr="00FB1506" w:rsidRDefault="009C0748" w:rsidP="00775190">
            <w:pPr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</w:t>
            </w:r>
            <w:r w:rsidR="00775190" w:rsidRPr="00FB1506">
              <w:rPr>
                <w:bCs/>
                <w:sz w:val="20"/>
                <w:szCs w:val="20"/>
              </w:rPr>
              <w:t>793</w:t>
            </w:r>
          </w:p>
        </w:tc>
        <w:tc>
          <w:tcPr>
            <w:tcW w:w="902" w:type="dxa"/>
          </w:tcPr>
          <w:p w:rsidR="009C0748" w:rsidRPr="00FB1506" w:rsidRDefault="00741309" w:rsidP="00C345C3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1</w:t>
            </w:r>
            <w:r w:rsidR="00C345C3" w:rsidRPr="00FB1506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900" w:type="dxa"/>
          </w:tcPr>
          <w:p w:rsidR="009C0748" w:rsidRPr="00FB1506" w:rsidRDefault="00C345C3" w:rsidP="00741309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5.0</w:t>
            </w:r>
          </w:p>
        </w:tc>
        <w:tc>
          <w:tcPr>
            <w:tcW w:w="744" w:type="dxa"/>
            <w:shd w:val="clear" w:color="auto" w:fill="auto"/>
            <w:noWrap/>
            <w:vAlign w:val="center"/>
          </w:tcPr>
          <w:p w:rsidR="009C0748" w:rsidRPr="00FB1506" w:rsidRDefault="009C0748" w:rsidP="00C345C3">
            <w:pPr>
              <w:jc w:val="right"/>
              <w:rPr>
                <w:bCs/>
                <w:sz w:val="20"/>
                <w:szCs w:val="20"/>
              </w:rPr>
            </w:pPr>
            <w:r w:rsidRPr="00FB1506">
              <w:rPr>
                <w:bCs/>
                <w:sz w:val="20"/>
                <w:szCs w:val="20"/>
              </w:rPr>
              <w:t>0.</w:t>
            </w:r>
            <w:r w:rsidR="00C345C3" w:rsidRPr="00FB1506"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1180" w:type="dxa"/>
            <w:vAlign w:val="center"/>
          </w:tcPr>
          <w:p w:rsidR="009C0748" w:rsidRPr="00FB1506" w:rsidRDefault="009C0748" w:rsidP="00C345C3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(</w:t>
            </w:r>
            <w:r w:rsidR="00C345C3" w:rsidRPr="00FB1506">
              <w:rPr>
                <w:sz w:val="20"/>
                <w:szCs w:val="20"/>
              </w:rPr>
              <w:t>0.41</w:t>
            </w:r>
            <w:r w:rsidRPr="00FB1506">
              <w:rPr>
                <w:sz w:val="20"/>
                <w:szCs w:val="20"/>
              </w:rPr>
              <w:t>-1.</w:t>
            </w:r>
            <w:r w:rsidR="00C345C3" w:rsidRPr="00FB1506">
              <w:rPr>
                <w:sz w:val="20"/>
                <w:szCs w:val="20"/>
              </w:rPr>
              <w:t>50</w:t>
            </w:r>
            <w:r w:rsidRPr="00FB1506">
              <w:rPr>
                <w:sz w:val="20"/>
                <w:szCs w:val="20"/>
              </w:rPr>
              <w:t>)</w:t>
            </w:r>
          </w:p>
        </w:tc>
        <w:tc>
          <w:tcPr>
            <w:tcW w:w="729" w:type="dxa"/>
            <w:vAlign w:val="center"/>
          </w:tcPr>
          <w:p w:rsidR="009C0748" w:rsidRPr="00FB1506" w:rsidRDefault="003D53A4" w:rsidP="00C345C3">
            <w:pPr>
              <w:rPr>
                <w:sz w:val="20"/>
                <w:szCs w:val="20"/>
              </w:rPr>
            </w:pPr>
            <w:r w:rsidRPr="00FB1506">
              <w:rPr>
                <w:sz w:val="20"/>
                <w:szCs w:val="20"/>
              </w:rPr>
              <w:t>0.</w:t>
            </w:r>
            <w:r w:rsidR="00C345C3" w:rsidRPr="00FB1506">
              <w:rPr>
                <w:sz w:val="20"/>
                <w:szCs w:val="20"/>
              </w:rPr>
              <w:t>472</w:t>
            </w:r>
          </w:p>
        </w:tc>
      </w:tr>
    </w:tbl>
    <w:p w:rsidR="00C273BC" w:rsidRPr="00C623E1" w:rsidRDefault="00C273BC" w:rsidP="00C273BC">
      <w:pPr>
        <w:rPr>
          <w:sz w:val="20"/>
          <w:szCs w:val="20"/>
        </w:rPr>
      </w:pPr>
      <w:r w:rsidRPr="00C623E1">
        <w:rPr>
          <w:sz w:val="20"/>
          <w:szCs w:val="20"/>
        </w:rPr>
        <w:t>Abbreviations: SOC, standard of care phase; EC, enhanced care phase; EC+X, enhanced care plus Xpert phase; PY, person-years; HR, hazard ratio; AHR, adjusted hazard ratio; CI, confidence interval; XPRES, Xpert Package Rollout Evaluation using a Stepped-Wedge design</w:t>
      </w:r>
    </w:p>
    <w:p w:rsidR="00C273BC" w:rsidRDefault="00C273BC" w:rsidP="00C273BC">
      <w:pPr>
        <w:rPr>
          <w:sz w:val="20"/>
          <w:szCs w:val="20"/>
        </w:rPr>
      </w:pPr>
      <w:r w:rsidRPr="009A40F4">
        <w:rPr>
          <w:sz w:val="20"/>
          <w:szCs w:val="20"/>
          <w:vertAlign w:val="superscript"/>
        </w:rPr>
        <w:t>a</w:t>
      </w:r>
      <w:r w:rsidRPr="00C623E1">
        <w:rPr>
          <w:sz w:val="20"/>
          <w:szCs w:val="20"/>
        </w:rPr>
        <w:t>All Cox proportional hazards regression models included a random effect for clinic.</w:t>
      </w:r>
    </w:p>
    <w:p w:rsidR="00C273BC" w:rsidRDefault="00C273BC" w:rsidP="00C273BC">
      <w:pPr>
        <w:rPr>
          <w:sz w:val="20"/>
          <w:szCs w:val="20"/>
        </w:rPr>
      </w:pPr>
      <w:r w:rsidRPr="009A40F4"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 xml:space="preserve">Model 1 sensitivity analysis censored all follow-up time for ART enrollees at the time that the new phase began.  For example, if an SOC enrollee started ART in the SOC phase, but 6- or 12-month follow-up time crossed over into the EC phase, the follow-up time </w:t>
      </w:r>
      <w:r w:rsidR="0017118E">
        <w:rPr>
          <w:sz w:val="20"/>
          <w:szCs w:val="20"/>
        </w:rPr>
        <w:t xml:space="preserve">for that patient </w:t>
      </w:r>
      <w:r>
        <w:rPr>
          <w:sz w:val="20"/>
          <w:szCs w:val="20"/>
        </w:rPr>
        <w:t>was censored at the start of the EC phase for that clinic.</w:t>
      </w:r>
    </w:p>
    <w:p w:rsidR="00C273BC" w:rsidRPr="00C273BC" w:rsidRDefault="00C273BC" w:rsidP="00C273BC">
      <w:pPr>
        <w:rPr>
          <w:sz w:val="20"/>
          <w:szCs w:val="20"/>
        </w:rPr>
      </w:pPr>
      <w:r w:rsidRPr="00C273BC"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>Model 2 sensitivity analysis</w:t>
      </w:r>
      <w:r w:rsidR="00A655CF">
        <w:rPr>
          <w:sz w:val="20"/>
          <w:szCs w:val="20"/>
        </w:rPr>
        <w:t xml:space="preserve"> created a new time-dependent covariate to specify exposure to the contemporary intervention phase. Therefore,</w:t>
      </w:r>
      <w:r>
        <w:rPr>
          <w:sz w:val="20"/>
          <w:szCs w:val="20"/>
        </w:rPr>
        <w:t xml:space="preserve"> all follow-up time for ART enrollees </w:t>
      </w:r>
      <w:r w:rsidR="00A655CF">
        <w:rPr>
          <w:sz w:val="20"/>
          <w:szCs w:val="20"/>
        </w:rPr>
        <w:t xml:space="preserve">is assigned </w:t>
      </w:r>
      <w:r>
        <w:rPr>
          <w:sz w:val="20"/>
          <w:szCs w:val="20"/>
        </w:rPr>
        <w:t xml:space="preserve">to the phase in which the follow-up time occurred.  For example, if an EC enrollee started ART in the EC phase, and 6- or 12-month follow-up time crossed over into the EC+X phase, all follow-up time that occurred in the EC+X phase </w:t>
      </w:r>
      <w:r w:rsidR="00A655CF">
        <w:rPr>
          <w:sz w:val="20"/>
          <w:szCs w:val="20"/>
        </w:rPr>
        <w:t xml:space="preserve">for that patient </w:t>
      </w:r>
      <w:r>
        <w:rPr>
          <w:sz w:val="20"/>
          <w:szCs w:val="20"/>
        </w:rPr>
        <w:t>was assigned to th</w:t>
      </w:r>
      <w:r w:rsidR="00A655CF">
        <w:rPr>
          <w:sz w:val="20"/>
          <w:szCs w:val="20"/>
        </w:rPr>
        <w:t>e EC+X</w:t>
      </w:r>
      <w:r>
        <w:rPr>
          <w:sz w:val="20"/>
          <w:szCs w:val="20"/>
        </w:rPr>
        <w:t xml:space="preserve"> phase</w:t>
      </w:r>
      <w:r w:rsidR="00B05D30">
        <w:rPr>
          <w:sz w:val="20"/>
          <w:szCs w:val="20"/>
        </w:rPr>
        <w:t xml:space="preserve"> rather than the EC phase.</w:t>
      </w:r>
    </w:p>
    <w:p w:rsidR="001E4044" w:rsidRDefault="001A6964" w:rsidP="00C273BC">
      <w:pPr>
        <w:rPr>
          <w:sz w:val="20"/>
          <w:szCs w:val="20"/>
        </w:rPr>
      </w:pPr>
      <w:r w:rsidRPr="00A04258">
        <w:rPr>
          <w:sz w:val="20"/>
          <w:szCs w:val="20"/>
          <w:vertAlign w:val="superscript"/>
        </w:rPr>
        <w:t>d</w:t>
      </w:r>
      <w:r w:rsidR="00A04258">
        <w:rPr>
          <w:sz w:val="20"/>
          <w:szCs w:val="20"/>
        </w:rPr>
        <w:t xml:space="preserve">Represents the total deaths included in the adjusted analysis comparing mortality rates between phases. </w:t>
      </w:r>
      <w:r w:rsidRPr="00A04258">
        <w:rPr>
          <w:sz w:val="20"/>
          <w:szCs w:val="20"/>
        </w:rPr>
        <w:t>In</w:t>
      </w:r>
      <w:r>
        <w:rPr>
          <w:sz w:val="20"/>
          <w:szCs w:val="20"/>
        </w:rPr>
        <w:t xml:space="preserve"> unadjusted analyses</w:t>
      </w:r>
      <w:r w:rsidR="00A04258">
        <w:rPr>
          <w:sz w:val="20"/>
          <w:szCs w:val="20"/>
        </w:rPr>
        <w:t xml:space="preserve"> among all enrollees</w:t>
      </w:r>
      <w:r>
        <w:rPr>
          <w:sz w:val="20"/>
          <w:szCs w:val="20"/>
        </w:rPr>
        <w:t>, by 6 months</w:t>
      </w:r>
      <w:r w:rsidR="006F4F17">
        <w:rPr>
          <w:sz w:val="20"/>
          <w:szCs w:val="20"/>
        </w:rPr>
        <w:t xml:space="preserve"> after ART enrollment</w:t>
      </w:r>
      <w:r>
        <w:rPr>
          <w:sz w:val="20"/>
          <w:szCs w:val="20"/>
        </w:rPr>
        <w:t>, there were 461 deaths among SOC enrollees, 54 deaths among EC enrollees, and 121 deaths among EC+X enrollees.  By 12 months</w:t>
      </w:r>
      <w:r w:rsidR="006F4F17">
        <w:rPr>
          <w:sz w:val="20"/>
          <w:szCs w:val="20"/>
        </w:rPr>
        <w:t xml:space="preserve"> after ART enrollment</w:t>
      </w:r>
      <w:r>
        <w:rPr>
          <w:sz w:val="20"/>
          <w:szCs w:val="20"/>
        </w:rPr>
        <w:t>, there were 551 deaths among SOC, and 137 deaths among EC+X enrollees.</w:t>
      </w:r>
    </w:p>
    <w:p w:rsidR="00A81F59" w:rsidRPr="00642BA4" w:rsidRDefault="00A81F59" w:rsidP="00C273BC">
      <w:pPr>
        <w:rPr>
          <w:sz w:val="20"/>
          <w:szCs w:val="20"/>
        </w:rPr>
      </w:pPr>
      <w:r w:rsidRPr="00642BA4">
        <w:rPr>
          <w:sz w:val="20"/>
          <w:szCs w:val="20"/>
          <w:vertAlign w:val="superscript"/>
        </w:rPr>
        <w:t>e</w:t>
      </w:r>
      <w:r w:rsidR="00702437">
        <w:rPr>
          <w:sz w:val="20"/>
          <w:szCs w:val="20"/>
        </w:rPr>
        <w:t>Represents t</w:t>
      </w:r>
      <w:r w:rsidR="00642BA4">
        <w:rPr>
          <w:sz w:val="20"/>
          <w:szCs w:val="20"/>
        </w:rPr>
        <w:t>he unadjusted mortality rates among enrollees included in the complete case analysis to generate the AHRs.</w:t>
      </w:r>
    </w:p>
    <w:p w:rsidR="00C273BC" w:rsidRPr="00C623E1" w:rsidRDefault="00A81F59" w:rsidP="00C273BC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f</w:t>
      </w:r>
      <w:r w:rsidR="00C273BC" w:rsidRPr="00C623E1">
        <w:rPr>
          <w:sz w:val="20"/>
          <w:szCs w:val="20"/>
        </w:rPr>
        <w:t xml:space="preserve">Adjusted for the following characteristics at ART initiation: age, sex, pregnancy status, weight, CD4 count, hemoglobin, and ART regimen. </w:t>
      </w:r>
      <w:r w:rsidR="007A6CC7">
        <w:rPr>
          <w:sz w:val="20"/>
          <w:szCs w:val="20"/>
        </w:rPr>
        <w:t>Pre-specified</w:t>
      </w:r>
      <w:r w:rsidR="001E4044">
        <w:rPr>
          <w:sz w:val="20"/>
          <w:szCs w:val="20"/>
        </w:rPr>
        <w:t>, complete case,</w:t>
      </w:r>
      <w:r w:rsidR="007A6CC7">
        <w:rPr>
          <w:sz w:val="20"/>
          <w:szCs w:val="20"/>
        </w:rPr>
        <w:t xml:space="preserve"> a</w:t>
      </w:r>
      <w:r w:rsidR="00C273BC" w:rsidRPr="00C623E1">
        <w:rPr>
          <w:sz w:val="20"/>
          <w:szCs w:val="20"/>
        </w:rPr>
        <w:t xml:space="preserve">djusted analysis </w:t>
      </w:r>
      <w:r w:rsidR="001E4044">
        <w:rPr>
          <w:sz w:val="20"/>
          <w:szCs w:val="20"/>
        </w:rPr>
        <w:t xml:space="preserve">and sensitivity analyses </w:t>
      </w:r>
      <w:r w:rsidR="00C273BC" w:rsidRPr="00C623E1">
        <w:rPr>
          <w:sz w:val="20"/>
          <w:szCs w:val="20"/>
        </w:rPr>
        <w:t>comparing SOC</w:t>
      </w:r>
      <w:r w:rsidR="001E4044">
        <w:rPr>
          <w:sz w:val="20"/>
          <w:szCs w:val="20"/>
        </w:rPr>
        <w:t>, EC and</w:t>
      </w:r>
      <w:r w:rsidR="00C273BC" w:rsidRPr="00C623E1">
        <w:rPr>
          <w:sz w:val="20"/>
          <w:szCs w:val="20"/>
        </w:rPr>
        <w:t xml:space="preserve"> EC+X mortality rates included 7,184 SOC</w:t>
      </w:r>
      <w:r w:rsidR="001E4044">
        <w:rPr>
          <w:sz w:val="20"/>
          <w:szCs w:val="20"/>
        </w:rPr>
        <w:t>, 1,653 EC, and</w:t>
      </w:r>
      <w:r w:rsidR="00C273BC" w:rsidRPr="00C623E1">
        <w:rPr>
          <w:sz w:val="20"/>
          <w:szCs w:val="20"/>
        </w:rPr>
        <w:t xml:space="preserve"> 3,861 EC+X enrollees. </w:t>
      </w:r>
    </w:p>
    <w:p w:rsidR="00C273BC" w:rsidRPr="00F85244" w:rsidRDefault="00A81F59" w:rsidP="00D66B68">
      <w:r>
        <w:rPr>
          <w:color w:val="000000"/>
          <w:sz w:val="20"/>
          <w:szCs w:val="20"/>
          <w:vertAlign w:val="superscript"/>
        </w:rPr>
        <w:t>g</w:t>
      </w:r>
      <w:r w:rsidR="00C273BC" w:rsidRPr="00C623E1">
        <w:rPr>
          <w:sz w:val="20"/>
          <w:szCs w:val="20"/>
        </w:rPr>
        <w:t xml:space="preserve">Analysis restricted to </w:t>
      </w:r>
      <w:r w:rsidR="00C273BC">
        <w:rPr>
          <w:sz w:val="20"/>
          <w:szCs w:val="20"/>
        </w:rPr>
        <w:t>randomis</w:t>
      </w:r>
      <w:r w:rsidR="00C273BC" w:rsidRPr="00C623E1">
        <w:rPr>
          <w:sz w:val="20"/>
          <w:szCs w:val="20"/>
        </w:rPr>
        <w:t xml:space="preserve">ed stepped-wedge portion of the trial, </w:t>
      </w:r>
      <w:r w:rsidR="00C273BC" w:rsidRPr="00C623E1">
        <w:rPr>
          <w:sz w:val="20"/>
          <w:szCs w:val="20"/>
          <w:lang w:eastAsia="ar-SA"/>
        </w:rPr>
        <w:t xml:space="preserve">fitting a Cox proportional hazards regression model to the data </w:t>
      </w:r>
      <w:r w:rsidR="00C273BC" w:rsidRPr="00C623E1">
        <w:rPr>
          <w:sz w:val="20"/>
          <w:szCs w:val="20"/>
        </w:rPr>
        <w:t xml:space="preserve">with the underlying time frame beginning August 2012 (the start of EC enrollment), and including a fixed effect for monthly changes in mortality rates during the first 6 months of ART. </w:t>
      </w:r>
      <w:bookmarkStart w:id="0" w:name="_GoBack"/>
      <w:bookmarkEnd w:id="0"/>
    </w:p>
    <w:sectPr w:rsidR="00C273BC" w:rsidRPr="00F85244" w:rsidSect="005D2EF6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B68"/>
    <w:rsid w:val="000776B3"/>
    <w:rsid w:val="000B5C67"/>
    <w:rsid w:val="000E7FD9"/>
    <w:rsid w:val="000F7556"/>
    <w:rsid w:val="00112903"/>
    <w:rsid w:val="00123B33"/>
    <w:rsid w:val="0017118E"/>
    <w:rsid w:val="001772F4"/>
    <w:rsid w:val="001A3E2F"/>
    <w:rsid w:val="001A62BF"/>
    <w:rsid w:val="001A6964"/>
    <w:rsid w:val="001A765F"/>
    <w:rsid w:val="001B6340"/>
    <w:rsid w:val="001C4A75"/>
    <w:rsid w:val="001E4044"/>
    <w:rsid w:val="00226263"/>
    <w:rsid w:val="00243D00"/>
    <w:rsid w:val="00282DA9"/>
    <w:rsid w:val="00283549"/>
    <w:rsid w:val="002A1E90"/>
    <w:rsid w:val="002C01C8"/>
    <w:rsid w:val="002C3BCC"/>
    <w:rsid w:val="00317BE2"/>
    <w:rsid w:val="00321445"/>
    <w:rsid w:val="003D53A4"/>
    <w:rsid w:val="003D5D4A"/>
    <w:rsid w:val="004146D8"/>
    <w:rsid w:val="00471EA8"/>
    <w:rsid w:val="00543E65"/>
    <w:rsid w:val="00595940"/>
    <w:rsid w:val="005D29C7"/>
    <w:rsid w:val="005D2EF6"/>
    <w:rsid w:val="005D4EA7"/>
    <w:rsid w:val="005F148E"/>
    <w:rsid w:val="00605376"/>
    <w:rsid w:val="00642BA4"/>
    <w:rsid w:val="006E1334"/>
    <w:rsid w:val="006F4F17"/>
    <w:rsid w:val="00702437"/>
    <w:rsid w:val="0072411C"/>
    <w:rsid w:val="00741309"/>
    <w:rsid w:val="00775190"/>
    <w:rsid w:val="007804EC"/>
    <w:rsid w:val="007814B1"/>
    <w:rsid w:val="007931B2"/>
    <w:rsid w:val="007A6CC7"/>
    <w:rsid w:val="007E2294"/>
    <w:rsid w:val="00822B20"/>
    <w:rsid w:val="00832C89"/>
    <w:rsid w:val="0089559A"/>
    <w:rsid w:val="00895C14"/>
    <w:rsid w:val="008B0A2E"/>
    <w:rsid w:val="00915C32"/>
    <w:rsid w:val="0092608B"/>
    <w:rsid w:val="0094460F"/>
    <w:rsid w:val="00953E40"/>
    <w:rsid w:val="00994749"/>
    <w:rsid w:val="009A1E76"/>
    <w:rsid w:val="009C0748"/>
    <w:rsid w:val="009D18A5"/>
    <w:rsid w:val="009E4870"/>
    <w:rsid w:val="00A04258"/>
    <w:rsid w:val="00A1135F"/>
    <w:rsid w:val="00A6450A"/>
    <w:rsid w:val="00A655CF"/>
    <w:rsid w:val="00A81F59"/>
    <w:rsid w:val="00AA750C"/>
    <w:rsid w:val="00AE592E"/>
    <w:rsid w:val="00B05D30"/>
    <w:rsid w:val="00B151CB"/>
    <w:rsid w:val="00B44922"/>
    <w:rsid w:val="00B464B6"/>
    <w:rsid w:val="00BB3D37"/>
    <w:rsid w:val="00BE7F24"/>
    <w:rsid w:val="00C07D52"/>
    <w:rsid w:val="00C273BC"/>
    <w:rsid w:val="00C345C3"/>
    <w:rsid w:val="00D07CC2"/>
    <w:rsid w:val="00D26908"/>
    <w:rsid w:val="00D65BD5"/>
    <w:rsid w:val="00D66B68"/>
    <w:rsid w:val="00D701DF"/>
    <w:rsid w:val="00D7177F"/>
    <w:rsid w:val="00D76ADA"/>
    <w:rsid w:val="00DD38D4"/>
    <w:rsid w:val="00DF4181"/>
    <w:rsid w:val="00E41BB1"/>
    <w:rsid w:val="00ED5947"/>
    <w:rsid w:val="00F54BA7"/>
    <w:rsid w:val="00F804A8"/>
    <w:rsid w:val="00F85244"/>
    <w:rsid w:val="00FA2C23"/>
    <w:rsid w:val="00FB1506"/>
    <w:rsid w:val="00FB27ED"/>
    <w:rsid w:val="00FB5BAB"/>
    <w:rsid w:val="00FC70C6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83EE2"/>
  <w15:chartTrackingRefBased/>
  <w15:docId w15:val="{F86470B0-8119-48B5-B852-F86E9CEC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Auld, Andrew (CDC/DDPHSIS/CGH/DGHT)</dc:creator>
  <cp:keywords/>
  <dc:description/>
  <cp:lastModifiedBy>Auld, Andrew (CDC/DDPHSIS/CGH/DGHT)</cp:lastModifiedBy>
  <cp:revision>47</cp:revision>
  <dcterms:created xsi:type="dcterms:W3CDTF">2019-11-29T10:32:00Z</dcterms:created>
  <dcterms:modified xsi:type="dcterms:W3CDTF">2019-12-03T06:34:00Z</dcterms:modified>
</cp:coreProperties>
</file>