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30F506" w14:textId="411FCCE2" w:rsidR="00674A5C" w:rsidRPr="009B1867" w:rsidRDefault="00FB6B5D" w:rsidP="00674A5C">
      <w:pPr>
        <w:spacing w:after="0" w:line="480" w:lineRule="auto"/>
        <w:rPr>
          <w:rFonts w:ascii="Times New Roman" w:hAnsi="Times New Roman" w:cs="Times New Roman"/>
          <w:b/>
          <w:sz w:val="36"/>
          <w:szCs w:val="24"/>
        </w:rPr>
      </w:pPr>
      <w:r>
        <w:rPr>
          <w:rFonts w:ascii="Times New Roman" w:hAnsi="Times New Roman" w:cs="Times New Roman"/>
          <w:b/>
          <w:sz w:val="36"/>
          <w:szCs w:val="24"/>
        </w:rPr>
        <w:t>Additional File 1</w:t>
      </w:r>
      <w:r w:rsidR="00D9736E">
        <w:rPr>
          <w:rFonts w:ascii="Times New Roman" w:hAnsi="Times New Roman" w:cs="Times New Roman"/>
          <w:b/>
          <w:sz w:val="36"/>
          <w:szCs w:val="24"/>
        </w:rPr>
        <w:t>1</w:t>
      </w:r>
    </w:p>
    <w:p w14:paraId="5E4A40D6" w14:textId="1030EE16" w:rsidR="00944F08" w:rsidRPr="00286D2C" w:rsidRDefault="00FE6068" w:rsidP="00286D2C">
      <w:pPr>
        <w:pStyle w:val="Heading2"/>
        <w:rPr>
          <w:b w:val="0"/>
        </w:rPr>
      </w:pPr>
      <w:bookmarkStart w:id="0" w:name="_Toc36647118"/>
      <w:r>
        <w:t>Availability of data and materials</w:t>
      </w:r>
      <w:bookmarkEnd w:id="0"/>
    </w:p>
    <w:p w14:paraId="69070954" w14:textId="799C377D" w:rsidR="0077420C" w:rsidRPr="000608A2" w:rsidRDefault="0077420C" w:rsidP="000608A2">
      <w:pPr>
        <w:pStyle w:val="Heading3"/>
      </w:pPr>
      <w:bookmarkStart w:id="1" w:name="_Toc36647119"/>
      <w:r w:rsidRPr="00414802">
        <w:t xml:space="preserve">Table </w:t>
      </w:r>
      <w:r w:rsidR="00BC7BB4">
        <w:t>S</w:t>
      </w:r>
      <w:r w:rsidRPr="00414802">
        <w:t>1</w:t>
      </w:r>
      <w:r w:rsidR="00506BEE">
        <w:t>9</w:t>
      </w:r>
      <w:r w:rsidR="000608A2">
        <w:t>: Availability of Data and Materials</w:t>
      </w:r>
      <w:bookmarkEnd w:id="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569"/>
        <w:gridCol w:w="1569"/>
        <w:gridCol w:w="1256"/>
        <w:gridCol w:w="1883"/>
      </w:tblGrid>
      <w:tr w:rsidR="00134B1D" w14:paraId="18A7F613" w14:textId="77777777" w:rsidTr="007279C0">
        <w:trPr>
          <w:trHeight w:val="1126"/>
          <w:tblHeader/>
        </w:trPr>
        <w:tc>
          <w:tcPr>
            <w:tcW w:w="3119" w:type="dxa"/>
            <w:tcBorders>
              <w:top w:val="single" w:sz="4" w:space="0" w:color="auto"/>
              <w:bottom w:val="single" w:sz="4" w:space="0" w:color="auto"/>
            </w:tcBorders>
            <w:shd w:val="clear" w:color="auto" w:fill="auto"/>
          </w:tcPr>
          <w:p w14:paraId="4DFDD340" w14:textId="77777777" w:rsidR="00134B1D" w:rsidRDefault="00134B1D" w:rsidP="00A239DC">
            <w:pPr>
              <w:rPr>
                <w:rFonts w:ascii="Times New Roman" w:hAnsi="Times New Roman" w:cs="Times New Roman"/>
                <w:sz w:val="24"/>
                <w:szCs w:val="24"/>
              </w:rPr>
            </w:pPr>
            <w:r>
              <w:rPr>
                <w:rFonts w:ascii="Times New Roman" w:hAnsi="Times New Roman" w:cs="Times New Roman"/>
                <w:sz w:val="24"/>
                <w:szCs w:val="24"/>
              </w:rPr>
              <w:t xml:space="preserve">Study </w:t>
            </w:r>
          </w:p>
        </w:tc>
        <w:tc>
          <w:tcPr>
            <w:tcW w:w="1569" w:type="dxa"/>
            <w:tcBorders>
              <w:top w:val="single" w:sz="4" w:space="0" w:color="auto"/>
              <w:bottom w:val="single" w:sz="4" w:space="0" w:color="auto"/>
            </w:tcBorders>
            <w:shd w:val="clear" w:color="auto" w:fill="auto"/>
          </w:tcPr>
          <w:p w14:paraId="1D9E2222" w14:textId="77777777" w:rsidR="00134B1D" w:rsidRDefault="00134B1D" w:rsidP="00A239DC">
            <w:pPr>
              <w:rPr>
                <w:rFonts w:ascii="Times New Roman" w:hAnsi="Times New Roman" w:cs="Times New Roman"/>
                <w:sz w:val="24"/>
                <w:szCs w:val="24"/>
              </w:rPr>
            </w:pPr>
            <w:r>
              <w:rPr>
                <w:rFonts w:ascii="Times New Roman" w:hAnsi="Times New Roman" w:cs="Times New Roman"/>
                <w:sz w:val="24"/>
                <w:szCs w:val="24"/>
              </w:rPr>
              <w:t>Success/ failure in contacting study authors</w:t>
            </w:r>
          </w:p>
        </w:tc>
        <w:tc>
          <w:tcPr>
            <w:tcW w:w="1569" w:type="dxa"/>
            <w:tcBorders>
              <w:top w:val="single" w:sz="4" w:space="0" w:color="auto"/>
              <w:bottom w:val="single" w:sz="4" w:space="0" w:color="auto"/>
            </w:tcBorders>
            <w:shd w:val="clear" w:color="auto" w:fill="auto"/>
          </w:tcPr>
          <w:p w14:paraId="56902AB2" w14:textId="77777777" w:rsidR="00134B1D" w:rsidRDefault="00134B1D" w:rsidP="00A239DC">
            <w:pPr>
              <w:rPr>
                <w:rFonts w:ascii="Times New Roman" w:hAnsi="Times New Roman" w:cs="Times New Roman"/>
                <w:sz w:val="24"/>
                <w:szCs w:val="24"/>
              </w:rPr>
            </w:pPr>
            <w:r>
              <w:rPr>
                <w:rFonts w:ascii="Times New Roman" w:hAnsi="Times New Roman" w:cs="Times New Roman"/>
                <w:sz w:val="24"/>
                <w:szCs w:val="24"/>
              </w:rPr>
              <w:t>Any data obtained from study (yes /no)</w:t>
            </w:r>
          </w:p>
        </w:tc>
        <w:tc>
          <w:tcPr>
            <w:tcW w:w="1256" w:type="dxa"/>
            <w:tcBorders>
              <w:top w:val="single" w:sz="4" w:space="0" w:color="auto"/>
              <w:bottom w:val="single" w:sz="4" w:space="0" w:color="auto"/>
            </w:tcBorders>
            <w:shd w:val="clear" w:color="auto" w:fill="auto"/>
          </w:tcPr>
          <w:p w14:paraId="73C2DF47" w14:textId="77777777" w:rsidR="00134B1D" w:rsidRDefault="00C8726D" w:rsidP="00A239DC">
            <w:pPr>
              <w:rPr>
                <w:rFonts w:ascii="Times New Roman" w:hAnsi="Times New Roman" w:cs="Times New Roman"/>
                <w:sz w:val="24"/>
                <w:szCs w:val="24"/>
              </w:rPr>
            </w:pPr>
            <w:r>
              <w:rPr>
                <w:rFonts w:ascii="Times New Roman" w:hAnsi="Times New Roman" w:cs="Times New Roman"/>
                <w:sz w:val="24"/>
                <w:szCs w:val="24"/>
              </w:rPr>
              <w:t>Type of data obtained</w:t>
            </w:r>
            <w:r w:rsidRPr="00C8726D">
              <w:rPr>
                <w:rFonts w:ascii="Times New Roman" w:hAnsi="Times New Roman" w:cs="Times New Roman"/>
                <w:sz w:val="24"/>
                <w:szCs w:val="24"/>
                <w:vertAlign w:val="superscript"/>
              </w:rPr>
              <w:t>1</w:t>
            </w:r>
          </w:p>
        </w:tc>
        <w:tc>
          <w:tcPr>
            <w:tcW w:w="1883" w:type="dxa"/>
            <w:tcBorders>
              <w:top w:val="single" w:sz="4" w:space="0" w:color="auto"/>
              <w:bottom w:val="single" w:sz="4" w:space="0" w:color="auto"/>
            </w:tcBorders>
            <w:shd w:val="clear" w:color="auto" w:fill="auto"/>
          </w:tcPr>
          <w:p w14:paraId="15FCA739" w14:textId="0CD73633" w:rsidR="00134B1D" w:rsidRPr="007279C0" w:rsidRDefault="00134B1D" w:rsidP="00A239DC">
            <w:pPr>
              <w:rPr>
                <w:rFonts w:ascii="Times New Roman" w:hAnsi="Times New Roman" w:cs="Times New Roman"/>
                <w:sz w:val="24"/>
                <w:szCs w:val="24"/>
              </w:rPr>
            </w:pPr>
            <w:r w:rsidRPr="007279C0">
              <w:rPr>
                <w:rFonts w:ascii="Times New Roman" w:hAnsi="Times New Roman" w:cs="Times New Roman"/>
                <w:sz w:val="24"/>
                <w:szCs w:val="24"/>
              </w:rPr>
              <w:t>Permission to share data</w:t>
            </w:r>
          </w:p>
        </w:tc>
      </w:tr>
      <w:tr w:rsidR="00A239DC" w14:paraId="5057689B" w14:textId="77777777" w:rsidTr="007279C0">
        <w:trPr>
          <w:trHeight w:val="70"/>
        </w:trPr>
        <w:tc>
          <w:tcPr>
            <w:tcW w:w="3119" w:type="dxa"/>
            <w:tcBorders>
              <w:top w:val="single" w:sz="4" w:space="0" w:color="auto"/>
            </w:tcBorders>
            <w:shd w:val="clear" w:color="auto" w:fill="auto"/>
          </w:tcPr>
          <w:p w14:paraId="7E97EB80" w14:textId="3C0EB78B" w:rsidR="00A239DC" w:rsidRDefault="00A239DC" w:rsidP="00A239DC">
            <w:pPr>
              <w:rPr>
                <w:rFonts w:ascii="Times New Roman" w:hAnsi="Times New Roman" w:cs="Times New Roman"/>
                <w:sz w:val="24"/>
                <w:szCs w:val="24"/>
              </w:rPr>
            </w:pPr>
            <w:r>
              <w:rPr>
                <w:rFonts w:ascii="Times New Roman" w:hAnsi="Times New Roman" w:cs="Times New Roman"/>
                <w:sz w:val="24"/>
              </w:rPr>
              <w:t xml:space="preserve">Barber </w:t>
            </w:r>
            <w:r w:rsidRPr="00BB1131">
              <w:rPr>
                <w:rFonts w:ascii="Times New Roman" w:hAnsi="Times New Roman" w:cs="Times New Roman"/>
                <w:i/>
                <w:sz w:val="24"/>
              </w:rPr>
              <w:t xml:space="preserve">et al. </w:t>
            </w:r>
            <w:r>
              <w:rPr>
                <w:rFonts w:ascii="Times New Roman" w:hAnsi="Times New Roman" w:cs="Times New Roman"/>
                <w:sz w:val="24"/>
              </w:rPr>
              <w:fldChar w:fldCharType="begin" w:fldLock="1"/>
            </w:r>
            <w:r w:rsidR="00CE0639">
              <w:rPr>
                <w:rFonts w:ascii="Times New Roman" w:hAnsi="Times New Roman" w:cs="Times New Roman"/>
                <w:sz w:val="24"/>
              </w:rPr>
              <w:instrText>ADDIN CSL_CITATION {"citationItems":[{"id":"ITEM-1","itemData":{"DOI":"10.4088/JCP.11m06831","ISSN":"0160-6689","abstract":"Objective: To determine whether supportive-expressive psychotherapy (SET), a form of dynamic psychotherapy, and pharmacotherapy + clinical management (MED) for major depressive disorder (MDD) are more effective than pill-placebo + clinical management (PBO). Method: This National Institute of Mental Health (NIMH)-sponsored randomized controlled trial was conducted (from November 2001 through June 2007) at the University of Pennsylvania Medical School. The sample included 156 patients diagnosed with MDD (DSM-IV) and having a 17-item Hamilton Rating Scale for Depression (HRSD</w:instrText>
            </w:r>
            <w:r w:rsidR="00CE0639">
              <w:rPr>
                <w:rFonts w:ascii="Cambria Math" w:hAnsi="Cambria Math" w:cs="Cambria Math"/>
                <w:sz w:val="24"/>
              </w:rPr>
              <w:instrText>₁₇</w:instrText>
            </w:r>
            <w:r w:rsidR="00CE0639">
              <w:rPr>
                <w:rFonts w:ascii="Times New Roman" w:hAnsi="Times New Roman" w:cs="Times New Roman"/>
                <w:sz w:val="24"/>
              </w:rPr>
              <w:instrText>) scores ≥ 14 for at least 2 consecutive weeks. This was an underserved sample in which 41% were male, 52% were self-designated minorities, and 76% had an annual income under $30,000. Treatment lasted 16 weeks Medication patients not responsive by week 8 (maximum dose 200 mg/d of sertraline) were switched to venlafaxine (maximum dose 375 mg/d) Nonresponsive placebo patients at week 8 were switched to a different placebo. Results: Patients'depression improved over the 16 weeks (P {&lt;} .0001), with no between-group differences (P = 95), even among severely (HRSD</w:instrText>
            </w:r>
            <w:r w:rsidR="00CE0639">
              <w:rPr>
                <w:rFonts w:ascii="Cambria Math" w:hAnsi="Cambria Math" w:cs="Cambria Math"/>
                <w:sz w:val="24"/>
              </w:rPr>
              <w:instrText>₁₇</w:instrText>
            </w:r>
            <w:r w:rsidR="00CE0639">
              <w:rPr>
                <w:rFonts w:ascii="Times New Roman" w:hAnsi="Times New Roman" w:cs="Times New Roman"/>
                <w:sz w:val="24"/>
              </w:rPr>
              <w:instrText xml:space="preserve"> scores ≥ 20) depressed patients (P = .45). Response rates did not differ between groups (P = 73). Gender and minority status moderated outcome (P = 014), with psychotherapy more efficacious for minority men than MED (P = .027, Cohen d = 1.02) and PBO (P = 019, d = 1 09). PBO was more efficacious for white men than MED (P = 03, d = 0 62) and SET (P = 003, d = 1 07). For white women, MED (P = .005, d = 0.77) and SET (P = .033, d = 0.71) were more efficacious than placebo. No differences among treatments were found for minority women. Conclusions: This trial of urban MDD patients failed to confirm that either active treatment was better than placebo Minority status and gender had significant and differential effects on outcome that warrant replication in future studies. (PsycINFO Database Record (c) 2013 APA, all rights reserved). (journal abstract)","author":[{"dropping-particle":"","family":"Barber","given":"Jacques P","non-dropping-particle":"","parse-names":false,"suffix":""},{"dropping-particle":"","family":"Barrett","given":"Marna S","non-dropping-particle":"","parse-names":false,"suffix":""},{"dropping-particle":"","family":"Gallop","given":"Robert","non-dropping-particle":"","parse-names":false,"suffix":""},{"dropping-particle":"","family":"Rynn","given":"Moira A","non-dropping-particle":"","parse-names":false,"suffix":""},{"dropping-particle":"","family":"Rickels","given":"Karl","non-dropping-particle":"","parse-names":false,"suffix":""}],"container-title":"The Journal of Clinical Psychiatry","id":"ITEM-1","issue":"01","issued":{"date-parts":[["2012","1","15"]]},"page":"66-73","title":"Short-Term Dynamic Psychotherapy Versus Pharmacotherapy for Major Depressive Disorder","type":"article-journal","volume":"73"},"suppress-author":1,"uris":["http://www.mendeley.com/documents/?uuid=cea1e03d-fd9e-4af6-b80d-bdabe32112ca"]}],"mendeley":{"formattedCitation":"[1]","plainTextFormattedCitation":"[1]","previouslyFormattedCitation":"[1]"},"properties":{"noteIndex":0},"schema":"https://github.com/citation-style-language/schema/raw/master/csl-citation.json"}</w:instrText>
            </w:r>
            <w:r>
              <w:rPr>
                <w:rFonts w:ascii="Times New Roman" w:hAnsi="Times New Roman" w:cs="Times New Roman"/>
                <w:sz w:val="24"/>
              </w:rPr>
              <w:fldChar w:fldCharType="separate"/>
            </w:r>
            <w:r w:rsidR="00AE0673" w:rsidRPr="00AE0673">
              <w:rPr>
                <w:rFonts w:ascii="Times New Roman" w:hAnsi="Times New Roman" w:cs="Times New Roman"/>
                <w:noProof/>
                <w:sz w:val="24"/>
              </w:rPr>
              <w:t>[1]</w:t>
            </w:r>
            <w:r>
              <w:rPr>
                <w:rFonts w:ascii="Times New Roman" w:hAnsi="Times New Roman" w:cs="Times New Roman"/>
                <w:sz w:val="24"/>
              </w:rPr>
              <w:fldChar w:fldCharType="end"/>
            </w:r>
          </w:p>
        </w:tc>
        <w:tc>
          <w:tcPr>
            <w:tcW w:w="1569" w:type="dxa"/>
            <w:tcBorders>
              <w:top w:val="single" w:sz="4" w:space="0" w:color="auto"/>
            </w:tcBorders>
            <w:shd w:val="clear" w:color="auto" w:fill="auto"/>
          </w:tcPr>
          <w:p w14:paraId="25327AF9" w14:textId="0C9A78F7" w:rsidR="00A239DC" w:rsidRDefault="00DE77F4" w:rsidP="00A239DC">
            <w:pPr>
              <w:rPr>
                <w:rFonts w:ascii="Times New Roman" w:hAnsi="Times New Roman" w:cs="Times New Roman"/>
                <w:sz w:val="24"/>
                <w:szCs w:val="24"/>
              </w:rPr>
            </w:pPr>
            <w:r>
              <w:rPr>
                <w:rFonts w:ascii="Times New Roman" w:hAnsi="Times New Roman" w:cs="Times New Roman"/>
                <w:sz w:val="24"/>
                <w:szCs w:val="24"/>
              </w:rPr>
              <w:t>Success</w:t>
            </w:r>
          </w:p>
        </w:tc>
        <w:tc>
          <w:tcPr>
            <w:tcW w:w="1569" w:type="dxa"/>
            <w:tcBorders>
              <w:top w:val="single" w:sz="4" w:space="0" w:color="auto"/>
            </w:tcBorders>
            <w:shd w:val="clear" w:color="auto" w:fill="auto"/>
          </w:tcPr>
          <w:p w14:paraId="1CA46479" w14:textId="1D1F435F" w:rsidR="00A239DC" w:rsidRDefault="00DE77F4" w:rsidP="00A239DC">
            <w:pPr>
              <w:rPr>
                <w:rFonts w:ascii="Times New Roman" w:hAnsi="Times New Roman" w:cs="Times New Roman"/>
                <w:sz w:val="24"/>
                <w:szCs w:val="24"/>
              </w:rPr>
            </w:pPr>
            <w:r>
              <w:rPr>
                <w:rFonts w:ascii="Times New Roman" w:hAnsi="Times New Roman" w:cs="Times New Roman"/>
                <w:sz w:val="24"/>
                <w:szCs w:val="24"/>
              </w:rPr>
              <w:t>Yes</w:t>
            </w:r>
          </w:p>
        </w:tc>
        <w:tc>
          <w:tcPr>
            <w:tcW w:w="1256" w:type="dxa"/>
            <w:tcBorders>
              <w:top w:val="single" w:sz="4" w:space="0" w:color="auto"/>
            </w:tcBorders>
            <w:shd w:val="clear" w:color="auto" w:fill="auto"/>
          </w:tcPr>
          <w:p w14:paraId="69AF2A68" w14:textId="53684A5C" w:rsidR="00A239DC" w:rsidRDefault="00DE77F4" w:rsidP="00A239DC">
            <w:pPr>
              <w:rPr>
                <w:rFonts w:ascii="Times New Roman" w:hAnsi="Times New Roman" w:cs="Times New Roman"/>
                <w:sz w:val="24"/>
                <w:szCs w:val="24"/>
              </w:rPr>
            </w:pPr>
            <w:r>
              <w:rPr>
                <w:rFonts w:ascii="Times New Roman" w:hAnsi="Times New Roman" w:cs="Times New Roman"/>
                <w:sz w:val="24"/>
                <w:szCs w:val="24"/>
              </w:rPr>
              <w:t>TL-I</w:t>
            </w:r>
          </w:p>
        </w:tc>
        <w:tc>
          <w:tcPr>
            <w:tcW w:w="1883" w:type="dxa"/>
            <w:tcBorders>
              <w:top w:val="single" w:sz="4" w:space="0" w:color="auto"/>
            </w:tcBorders>
            <w:shd w:val="clear" w:color="auto" w:fill="auto"/>
          </w:tcPr>
          <w:p w14:paraId="7FFAB750" w14:textId="7F3580BC" w:rsidR="00A239DC" w:rsidRPr="007279C0" w:rsidRDefault="007279C0" w:rsidP="00A239DC">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5644AC6B" w14:textId="77777777" w:rsidTr="007279C0">
        <w:trPr>
          <w:trHeight w:val="80"/>
        </w:trPr>
        <w:tc>
          <w:tcPr>
            <w:tcW w:w="3119" w:type="dxa"/>
            <w:shd w:val="clear" w:color="auto" w:fill="auto"/>
          </w:tcPr>
          <w:p w14:paraId="4454D58E" w14:textId="1962A2CB"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Bastos </w:t>
            </w:r>
            <w:r w:rsidRPr="003A6549">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{"citationItems":[{"id":"ITEM-1","itemData":{"DOI":"10.1080/10503307.2014.935519","ISSN":"1050-3307","author":[{"dropping-particle":"","family":"Bastos","given":"Andre Goettems","non-dropping-particle":"","parse-names":false,"suffix":""},{"dropping-particle":"","family":"Guimaraes","given":"Luciano Santos Pinto","non-dropping-particle":"","parse-names":false,"suffix":""},{"dropping-particle":"","family":"Trentini","given":"Clarissa Marceli","non-dropping-particle":"","parse-names":false,"suffix":""}],"container-title":"Psychotherapy Research","id":"ITEM-1","issue":"5","issued":{"date-parts":[["2015","9","3"]]},"page":"612-624","title":"The efficacy of long-term psychodynamic psychotherapy, fluoxetine and their combination in the outpatient treatment of depression","type":"article-journal","volume":"25"},"uris":["http://www.mendeley.com/documents/?uuid=ca472284-4210-32e0-a251-fabe8ff1dce0"]}],"mendeley":{"formattedCitation":"[2]","plainTextFormattedCitation":"[2]","previouslyFormattedCitation":"[2]"},"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w:t>
            </w:r>
            <w:r>
              <w:rPr>
                <w:rFonts w:ascii="Times New Roman" w:hAnsi="Times New Roman" w:cs="Times New Roman"/>
                <w:sz w:val="24"/>
              </w:rPr>
              <w:fldChar w:fldCharType="end"/>
            </w:r>
          </w:p>
        </w:tc>
        <w:tc>
          <w:tcPr>
            <w:tcW w:w="1569" w:type="dxa"/>
            <w:shd w:val="clear" w:color="auto" w:fill="auto"/>
          </w:tcPr>
          <w:p w14:paraId="05917ADC" w14:textId="0BA4DB1B"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39230E55" w14:textId="4E7644FE"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10E9A681" w14:textId="2A41A83B" w:rsidR="007279C0" w:rsidRDefault="007279C0" w:rsidP="007279C0">
            <w:pPr>
              <w:rPr>
                <w:rFonts w:ascii="Times New Roman" w:hAnsi="Times New Roman" w:cs="Times New Roman"/>
                <w:sz w:val="24"/>
                <w:szCs w:val="24"/>
              </w:rPr>
            </w:pPr>
            <w:r>
              <w:rPr>
                <w:rFonts w:ascii="Times New Roman" w:hAnsi="Times New Roman" w:cs="Times New Roman"/>
                <w:sz w:val="24"/>
                <w:szCs w:val="24"/>
              </w:rPr>
              <w:t>TL-I</w:t>
            </w:r>
          </w:p>
        </w:tc>
        <w:tc>
          <w:tcPr>
            <w:tcW w:w="1883" w:type="dxa"/>
            <w:shd w:val="clear" w:color="auto" w:fill="auto"/>
          </w:tcPr>
          <w:p w14:paraId="6EA54B3F" w14:textId="210EDDE8"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5D95E581" w14:textId="77777777" w:rsidTr="007279C0">
        <w:trPr>
          <w:trHeight w:val="80"/>
        </w:trPr>
        <w:tc>
          <w:tcPr>
            <w:tcW w:w="3119" w:type="dxa"/>
            <w:shd w:val="clear" w:color="auto" w:fill="auto"/>
          </w:tcPr>
          <w:p w14:paraId="7ED7071C" w14:textId="3E584F5D"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Bedi</w:t>
            </w:r>
            <w:proofErr w:type="spellEnd"/>
            <w:r>
              <w:rPr>
                <w:rFonts w:ascii="Times New Roman" w:hAnsi="Times New Roman" w:cs="Times New Roman"/>
                <w:sz w:val="24"/>
              </w:rPr>
              <w:t xml:space="preserve"> </w:t>
            </w:r>
            <w:r w:rsidRPr="001E7008">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{"citationItems":[{"id":"ITEM-1","itemData":{"ISSN":"0007-1250","PMID":"11116771","abstract":"BACKGROUND There is a mismatch between the wish of a patient with depression to have counselling and the prescription of antidepressants by the doctor. AIMS To determine whether counselling is as effective as antidepressants for depression in primary care and whether allowing patients to choose their treatment affects their response. METHOD A partially randomised preference trial, with patients randomised to either antidepressants or counselling or given their choice of either treatment. The treatment and follow-up were identical in the randomised and patient preference arms. RESULTS There were 103 randomised and 220 preference patients in the trial. We found: no differences in the baseline characteristics of the randomised and preference groups; that the two treatments were equally effective at 8 weeks, both for the randomised group and when the randomised and patient preference groups for a particular treatment were combined; and that expressing a preference for either treatment conferred no additional benefit on outcome. CONCLUSIONS These data challenge several assumptions about the most appropriate treatment for depression in a primary care setting.","author":[{"dropping-particle":"","family":"Bedi","given":"N","non-dropping-particle":"","parse-names":false,"suffix":""},{"dropping-particle":"","family":"Chilvers","given":"C","non-dropping-particle":"","parse-names":false,"suffix":""},{"dropping-particle":"","family":"Churchill","given":"R","non-dropping-particle":"","parse-names":false,"suffix":""},{"dropping-particle":"","family":"Dewey","given":"M","non-dropping-particle":"","parse-names":false,"suffix":""},{"dropping-particle":"","family":"Duggan","given":"C","non-dropping-particle":"","parse-names":false,"suffix":""},{"dropping-particle":"","family":"Fielding","given":"K","non-dropping-particle":"","parse-names":false,"suffix":""},{"dropping-particle":"","family":"Gretton","given":"V","non-dropping-particle":"","parse-names":false,"suffix":""},{"dropping-particle":"","family":"Miller","given":"P","non-dropping-particle":"","parse-names":false,"suffix":""},{"dropping-particle":"","family":"Harrison","given":"G","non-dropping-particle":"","parse-names":false,"suffix":""},{"dropping-particle":"","family":"Lee","given":"A","non-dropping-particle":"","parse-names":false,"suffix":""},{"dropping-particle":"","family":"Williams","given":"I","non-dropping-particle":"","parse-names":false,"suffix":""}],"container-title":"The British Journal of Psychiatry","id":"ITEM-1","issue":"d","issued":{"date-parts":[["2000","10"]]},"page":"312-8","title":"Assessing effectiveness of treatment of depression in primary care. Partially randomised preference trial.","type":"article-journal","volume":"177"},"uris":["http://www.mendeley.com/documents/?uuid=1410e16c-361d-40e7-98aa-d447578b795b"]}],"mendeley":{"formattedCitation":"[3]","plainTextFormattedCitation":"[3]","previouslyFormattedCitation":"[3]"},"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w:t>
            </w:r>
            <w:r>
              <w:rPr>
                <w:rFonts w:ascii="Times New Roman" w:hAnsi="Times New Roman" w:cs="Times New Roman"/>
                <w:sz w:val="24"/>
              </w:rPr>
              <w:fldChar w:fldCharType="end"/>
            </w:r>
          </w:p>
        </w:tc>
        <w:tc>
          <w:tcPr>
            <w:tcW w:w="1569" w:type="dxa"/>
            <w:shd w:val="clear" w:color="auto" w:fill="auto"/>
          </w:tcPr>
          <w:p w14:paraId="1A38AAF2" w14:textId="2850A56B"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0B02BD71" w14:textId="7D245CB5"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032A3C05" w14:textId="38E6C074"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064D467D" w14:textId="07720008"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6D54DD40" w14:textId="77777777" w:rsidTr="007279C0">
        <w:trPr>
          <w:trHeight w:val="80"/>
        </w:trPr>
        <w:tc>
          <w:tcPr>
            <w:tcW w:w="3119" w:type="dxa"/>
            <w:shd w:val="clear" w:color="auto" w:fill="auto"/>
          </w:tcPr>
          <w:p w14:paraId="3E565EEC" w14:textId="68B05456"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Blackburn </w:t>
            </w:r>
            <w:r w:rsidRPr="00D758B3">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{"citationItems":[{"id":"ITEM-1","itemData":{"ISSN":"0007-1250","PMID":"7317698","abstract":"We report an extensive study which compares cognitive therapy, antidepressant drugs and a combination of these two, in depressed patients seen either in general practice or an out-patient department. One-hundred and forty patients were screened for primary major depression and 64 patients completed the trial. All were rated on seven measures of mood, including independent observer-rated and self-rated depression and scales of anxiety and irritability. Patients were randomly assigned to cognitive therapy, antidepressants or a combination of the two. The antidepressant drug group did less well in both hospital and general practice and combination treatment was superior to drug treatment in both hospital and general practice. In general practice, cognitive therapy was superior to drug treatment. The presence of endogenous features did not affect response to treatment. The results are discussed in terms of Beck's cognitive theory of depression and factors of presumed causal importance of depression in general practice.","author":[{"dropping-particle":"","family":"Blackburn","given":"I M","non-dropping-particle":"","parse-names":false,"suffix":""},{"dropping-particle":"","family":"Bishop","given":"S","non-dropping-particle":"","parse-names":false,"suffix":""},{"dropping-particle":"","family":"Glen","given":"A I","non-dropping-particle":"","parse-names":false,"suffix":""},{"dropping-particle":"","family":"Whalley","given":"L J","non-dropping-particle":"","parse-names":false,"suffix":""},{"dropping-particle":"","family":"Christie","given":"J E","non-dropping-particle":"","parse-names":false,"suffix":""}],"container-title":"The British Journal of Psychiatry","id":"ITEM-1","issue":"1","issued":{"date-parts":[["1981","9"]]},"page":"181-9","title":"The efficacy of cognitive therapy in depression: a treatment trial using cognitive therapy and pharmacotherapy, each alone and in combination.","type":"article-journal","volume":"139"},"uris":["http://www.mendeley.com/documents/?uuid=12791c3c-0215-4b13-8c20-fae6b609a486"]}],"mendeley":{"formattedCitation":"[4]","plainTextFormattedCitation":"[4]","previouslyFormattedCitation":"[4]"},"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[4]</w:t>
            </w:r>
            <w:r>
              <w:rPr>
                <w:rFonts w:ascii="Times New Roman" w:hAnsi="Times New Roman" w:cs="Times New Roman"/>
                <w:sz w:val="24"/>
              </w:rPr>
              <w:fldChar w:fldCharType="end"/>
            </w:r>
          </w:p>
        </w:tc>
        <w:tc>
          <w:tcPr>
            <w:tcW w:w="1569" w:type="dxa"/>
            <w:shd w:val="clear" w:color="auto" w:fill="auto"/>
          </w:tcPr>
          <w:p w14:paraId="12845842" w14:textId="3B77D6DF"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7A3A8B41" w14:textId="2889C257"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32FD2E0E" w14:textId="7B9271B0"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35DCA93A" w14:textId="3C206D11"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5B155CD2" w14:textId="77777777" w:rsidTr="007279C0">
        <w:trPr>
          <w:trHeight w:val="80"/>
        </w:trPr>
        <w:tc>
          <w:tcPr>
            <w:tcW w:w="3119" w:type="dxa"/>
            <w:shd w:val="clear" w:color="auto" w:fill="auto"/>
          </w:tcPr>
          <w:p w14:paraId="3D720141" w14:textId="6C29BF55"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Blackburn </w:t>
            </w:r>
            <w:r w:rsidRPr="00A709E3">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{"citationItems":[{"id":"ITEM-1","itemData":{"DOI":"10.1192/bjp.171.4.328","ISSN":"0007-1250 (Print)","PMID":"9373420","abstract":"Background: We report a randomised controlled trial, in both the acute and maintenance stage of treatment, in 75 outpatients with recurrent major depression. Method: Patients were allocated to three groups: 6 weeks of acute treatment and two years' maintenance treatment in the following way: antidepressants and maintenance antidepressants; cognitive therapy and maintenance cognitive therapy; antidepressants and maintenance cognitive therapy. Both completers' and end-point data were analysed. Results: In theacute phase of treatment, all patients improved significantly and there was no significant difference among treatments, or in the pattern of improvement over time. In the maintenance stage of treatment, patients kept improving over time in all three groups and there was no significant difference among treatments. Cognitive therapy was consistently superior to medication. Conclusion: The results indicate that maintenance cognitive therapy has a similar prophylactic effect to maintenance medication and is a viable option for maintenance after acute treatment with medication in recurrent depression.","author":[{"dropping-particle":"","family":"Blackburn","given":"I M","non-dropping-particle":"","parse-names":false,"suffix":""},{"dropping-particle":"","family":"Moore","given":"R G","non-dropping-particle":"","parse-names":false,"suffix":""}],"container-title":"The British Journal of Psychiatry","id":"ITEM-1","issued":{"date-parts":[["1997"]]},"page":"328-334","title":"Controlled acute and follow-up trial of cognitive therapy and pharmacotherapy in out-patients with recurrent depression","type":"article-journal","volume":"171"},"uris":["http://www.mendeley.com/documents/?uuid=8515ad53-2a8c-4f50-8323-df91157e3b9c"]}],"mendeley":{"formattedCitation":"[5]","plainTextFormattedCitation":"[5]","previouslyFormattedCitation":"[5]"},"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[5]</w:t>
            </w:r>
            <w:r>
              <w:rPr>
                <w:rFonts w:ascii="Times New Roman" w:hAnsi="Times New Roman" w:cs="Times New Roman"/>
                <w:sz w:val="24"/>
              </w:rPr>
              <w:fldChar w:fldCharType="end"/>
            </w:r>
          </w:p>
        </w:tc>
        <w:tc>
          <w:tcPr>
            <w:tcW w:w="1569" w:type="dxa"/>
            <w:shd w:val="clear" w:color="auto" w:fill="auto"/>
          </w:tcPr>
          <w:p w14:paraId="59A6F0B4" w14:textId="2E3D2A74"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746D1E47" w14:textId="0E02D979"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192F716C" w14:textId="4304F007"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4C1EF7CD" w14:textId="2F7927FE"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3E149912" w14:textId="77777777" w:rsidTr="007279C0">
        <w:trPr>
          <w:trHeight w:val="80"/>
        </w:trPr>
        <w:tc>
          <w:tcPr>
            <w:tcW w:w="3119" w:type="dxa"/>
            <w:shd w:val="clear" w:color="auto" w:fill="auto"/>
          </w:tcPr>
          <w:p w14:paraId="76F31DB2" w14:textId="415C03C5"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Blom</w:t>
            </w:r>
            <w:proofErr w:type="spellEnd"/>
            <w:r>
              <w:rPr>
                <w:rFonts w:ascii="Times New Roman" w:hAnsi="Times New Roman" w:cs="Times New Roman"/>
                <w:sz w:val="24"/>
              </w:rPr>
              <w:t xml:space="preserve"> </w:t>
            </w:r>
            <w:r w:rsidRPr="00DB28BA">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{"citationItems":[{"id":"ITEM-1","itemData":{"DOI":"10.1159/000104705","ISSN":"0033-3190","abstract":"Although several forms of effective therapy exist for outpatients suffering from major depressive disorder, many patients do not profit from treatment. Combining psychotherapy and medication may be an effective strategy. However, earlier studies have rarely found a clear advantage for the combination. Where an advantage was found, a possible placebo effect of adding 2 types of treatment could not be ruled out as cause for the superior effect of the combination.","author":[{"dropping-particle":"","family":"Blom","given":"Marc B.J.","non-dropping-particle":"","parse-names":false,"suffix":""},{"dropping-particle":"","family":"Jonker","given":"Kosse","non-dropping-particle":"","parse-names":false,"suffix":""},{"dropping-particle":"","family":"Dusseldorp","given":"Elise","non-dropping-particle":"","parse-names":false,"suffix":""},{"dropping-particle":"","family":"Spinhoven","given":"Philip","non-dropping-particle":"","parse-names":false,"suffix":""},{"dropping-particle":"","family":"Hoencamp","given":"Erik","non-dropping-particle":"","parse-names":false,"suffix":""},{"dropping-particle":"","family":"Haffmans","given":"Judith","non-dropping-particle":"","parse-names":false,"suffix":""},{"dropping-particle":"","family":"Dyck","given":"Richard","non-dropping-particle":"van","parse-names":false,"suffix":""}],"container-title":"Psychotherapy and Psychosomatics","id":"ITEM-1","issue":"5","issued":{"date-parts":[["2007"]]},"page":"289-297","title":"Combination Treatment for Acute Depression Is Superior Only when Psychotherapy Is Added to Medication","type":"article-journal","volume":"76"},"uris":["http://www.mendeley.com/documents/?uuid=bb7bb1c8-c683-4ee3-aa07-7c5e233c7e6f"]}],"mendeley":{"formattedCitation":"[6]","plainTextFormattedCitation":"[6]","previouslyFormattedCitation":"[6]"},"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[6]</w:t>
            </w:r>
            <w:r>
              <w:rPr>
                <w:rFonts w:ascii="Times New Roman" w:hAnsi="Times New Roman" w:cs="Times New Roman"/>
                <w:sz w:val="24"/>
              </w:rPr>
              <w:fldChar w:fldCharType="end"/>
            </w:r>
          </w:p>
        </w:tc>
        <w:tc>
          <w:tcPr>
            <w:tcW w:w="1569" w:type="dxa"/>
            <w:shd w:val="clear" w:color="auto" w:fill="auto"/>
          </w:tcPr>
          <w:p w14:paraId="67C73AE2" w14:textId="5385EF63"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612AEECE" w14:textId="0C76DDF2"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47183498" w14:textId="543D8F77"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06A68A4E" w14:textId="58B5B4A7"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72E95A13" w14:textId="77777777" w:rsidTr="007279C0">
        <w:trPr>
          <w:trHeight w:val="80"/>
        </w:trPr>
        <w:tc>
          <w:tcPr>
            <w:tcW w:w="3119" w:type="dxa"/>
            <w:shd w:val="clear" w:color="auto" w:fill="auto"/>
          </w:tcPr>
          <w:p w14:paraId="2940BB23" w14:textId="53706460"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David </w:t>
            </w:r>
            <w:r w:rsidRPr="00DB28BA">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{"citationItems":[{"id":"ITEM-1","itemData":{"DOI":"10.1002/jclp.20487","ISSN":"00219762","abstract":"A randomized clinical trial was undertaken to investigate the relative efficacy of rational-emotive behavior therapy (REBT), cognitive therapy (CT), and pharmacotherapy in the treatment of 170 out- patients with nonpsychotic major depressive disorder. The patients were randomly assigned to one of the following: 14 weeks of REBT, 14 weeks of CT, or 14 weeks of pharmacotherapy (fluoxetine). The outcome measures used were the Hamilton Rating Scale for Depression and the Beck Depression Inventory. No differences among treatment conditions at posttest were observed. A larger effect of REBT (significant) and CT (nonsignificant) over pharma- cotherapy at 6 months follow-up was noted on the Hamilton Rating Scale for Depression only.","author":[{"dropping-particle":"","family":"David","given":"Daniel","non-dropping-particle":"","parse-names":false,"suffix":""},{"dropping-particle":"","family":"Szentagotai","given":"Aurora","non-dropping-particle":"","parse-names":false,"suffix":""},{"dropping-particle":"","family":"Lupu","given":"Viorel","non-dropping-particle":"","parse-names":false,"suffix":""},{"dropping-particle":"","family":"Cosman","given":"Doina","non-dropping-particle":"","parse-names":false,"suffix":""}],"container-title":"Journal of Clinical Psychology","id":"ITEM-1","issue":"6","issued":{"date-parts":[["2008","6"]]},"page":"728-746","title":"Rational emotive behavior therapy, cognitive therapy, and medication in the treatment of major depressive disorder: a randomized clinical trial, posttreatment outcomes, and six-month follow-up","type":"article-journal","volume":"64"},"uris":["http://www.mendeley.com/documents/?uuid=cac3398e-cebc-48e3-af2c-fbd1cc15fbe8"]}],"mendeley":{"formattedCitation":"[7]","plainTextFormattedCitation":"[7]","previouslyFormattedCitation":"[7]"},"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[7]</w:t>
            </w:r>
            <w:r>
              <w:rPr>
                <w:rFonts w:ascii="Times New Roman" w:hAnsi="Times New Roman" w:cs="Times New Roman"/>
                <w:sz w:val="24"/>
              </w:rPr>
              <w:fldChar w:fldCharType="end"/>
            </w:r>
          </w:p>
        </w:tc>
        <w:tc>
          <w:tcPr>
            <w:tcW w:w="1569" w:type="dxa"/>
            <w:shd w:val="clear" w:color="auto" w:fill="auto"/>
          </w:tcPr>
          <w:p w14:paraId="3357FD4A" w14:textId="60156C7D"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519CD5FA" w14:textId="2E178D7C"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08C9A659" w14:textId="30EFDEAA"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3AFF6598" w14:textId="7D3DDEC5"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5B58B21A" w14:textId="77777777" w:rsidTr="007279C0">
        <w:trPr>
          <w:trHeight w:val="80"/>
        </w:trPr>
        <w:tc>
          <w:tcPr>
            <w:tcW w:w="3119" w:type="dxa"/>
            <w:shd w:val="clear" w:color="auto" w:fill="auto"/>
          </w:tcPr>
          <w:p w14:paraId="0A30E02D" w14:textId="1DD473E6"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Dekker </w:t>
            </w:r>
            <w:r w:rsidRPr="00DB28BA">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{"citationItems":[{"id":"ITEM-1","itemData":{"DOI":"10.1016/j.jad.2007.10.015","ISSN":"01650327","abstract":"Objective: To examine the efficacy and speed of action of short-term psychodynamic supportive psychotherapy (SPSP) in comparison to pharmacotherapy (PhT) in the acute treatment of depression. Method: This study reported on the first 8 weeks of a treatment algorithm for depression. 70 patients with a depressive episode according to DSM-IV were randomized to PhT, 71 patients were randomized to SPSP. The acceptability of the psychotherapy was greater than pharmacotherapy. Results: At the end of the first 8 weeks of treatment, attrition rates were similar in both conditions. PhT-patients were better off at 4 weeks according to two of the four measures The superiority of PhT was clearer on the self-report than on the independent measure. Conclusions: There are signs that the benefits of PhT over SPSP-where detected-are short-lived and cover mostly the first month of treatment. The progression of these patients through the rest of their treatments, and afterwards, will be reported in further contributions. © 2007 Elsevier B.V. All rights reserved.","author":[{"dropping-particle":"","family":"Dekker","given":"J.J.M.","non-dropping-particle":"","parse-names":false,"suffix":""},{"dropping-particle":"","family":"Koelen","given":"J.A.","non-dropping-particle":"","parse-names":false,"suffix":""},{"dropping-particle":"","family":"Van","given":"H.L.","non-dropping-particle":"","parse-names":false,"suffix":""},{"dropping-particle":"","family":"Schoevers","given":"R.A.","non-dropping-particle":"","parse-names":false,"suffix":""},{"dropping-particle":"","family":"Peen","given":"J.","non-dropping-particle":"","parse-names":false,"suffix":""},{"dropping-particle":"","family":"Hendriksen","given":"M.","non-dropping-particle":"","parse-names":false,"suffix":""},{"dropping-particle":"","family":"Kool","given":"S.","non-dropping-particle":"","parse-names":false,"suffix":""},{"dropping-particle":"","family":"Aalst","given":"G.","non-dropping-particle":"Van","parse-names":false,"suffix":""},{"dropping-particle":"","family":"Jonghe","given":"F.","non-dropping-particle":"De","parse-names":false,"suffix":""}],"container-title":"Journal of Affective Disorders","id":"ITEM-1","issue":"1-2","issued":{"date-parts":[["2008","7"]]},"page":"183-188","title":"Speed of action: The relative efficacy of short psychodynamic supportive psychotherapy and pharmacotherapy in the first 8 weeks of a treatment algorithm for depression","type":"article-journal","volume":"109"},"uris":["http://www.mendeley.com/documents/?uuid=dce358ff-e66a-4fc3-ab4b-d7d9716e952c"]}],"mendeley":{"formattedCitation":"[8]","plainTextFormattedCitation":"[8]","previouslyFormattedCitation":"[8]"},"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[8]</w:t>
            </w:r>
            <w:r>
              <w:rPr>
                <w:rFonts w:ascii="Times New Roman" w:hAnsi="Times New Roman" w:cs="Times New Roman"/>
                <w:sz w:val="24"/>
              </w:rPr>
              <w:fldChar w:fldCharType="end"/>
            </w:r>
          </w:p>
        </w:tc>
        <w:tc>
          <w:tcPr>
            <w:tcW w:w="1569" w:type="dxa"/>
            <w:shd w:val="clear" w:color="auto" w:fill="auto"/>
          </w:tcPr>
          <w:p w14:paraId="1014DF2B" w14:textId="69F09A2F"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0BC21D4D" w14:textId="139076FF"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30EACF67" w14:textId="1FC1CC06" w:rsidR="007279C0" w:rsidRDefault="007279C0" w:rsidP="007279C0">
            <w:pPr>
              <w:rPr>
                <w:rFonts w:ascii="Times New Roman" w:hAnsi="Times New Roman" w:cs="Times New Roman"/>
                <w:sz w:val="24"/>
                <w:szCs w:val="24"/>
              </w:rPr>
            </w:pPr>
            <w:r>
              <w:rPr>
                <w:rFonts w:ascii="Times New Roman" w:hAnsi="Times New Roman" w:cs="Times New Roman"/>
                <w:sz w:val="24"/>
                <w:szCs w:val="24"/>
              </w:rPr>
              <w:t>IL</w:t>
            </w:r>
          </w:p>
        </w:tc>
        <w:tc>
          <w:tcPr>
            <w:tcW w:w="1883" w:type="dxa"/>
            <w:shd w:val="clear" w:color="auto" w:fill="auto"/>
          </w:tcPr>
          <w:p w14:paraId="3B237BFF" w14:textId="62AD6710"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147209A9" w14:textId="77777777" w:rsidTr="007279C0">
        <w:trPr>
          <w:trHeight w:val="80"/>
        </w:trPr>
        <w:tc>
          <w:tcPr>
            <w:tcW w:w="3119" w:type="dxa"/>
            <w:shd w:val="clear" w:color="auto" w:fill="auto"/>
          </w:tcPr>
          <w:p w14:paraId="4E6F0880" w14:textId="2296C244"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DeRubeis</w:t>
            </w:r>
            <w:proofErr w:type="spellEnd"/>
            <w:r>
              <w:rPr>
                <w:rFonts w:ascii="Times New Roman" w:hAnsi="Times New Roman" w:cs="Times New Roman"/>
                <w:sz w:val="24"/>
              </w:rPr>
              <w:t xml:space="preserve"> </w:t>
            </w:r>
            <w:r w:rsidRPr="00DB28BA">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{"citationItems":[{"id":"ITEM-1","itemData":{"DOI":"10.1001/archpsyc.62.4.409","ISSN":"0003-990X","abstract":"BACKGROUND There is substantial evidence that antidepressant medications treat moderate to severe depression effectively, but there is less data on cognitive therapy's effects in this population. OBJECTIVE To compare the efficacy in moderate to severe depression of antidepressant medications with cognitive therapy in a placebo-controlled trial. DESIGN Random assignment to one of the following: 16 weeks of medications (n = 120), 16 weeks of cognitive therapy (n = 60), or 8 weeks of pill placebo (n = 60). SETTING Research clinics at the University of Pennsylvania, Philadelphia, and Vanderbilt University, Nashville, Tenn. PATIENTS Two hundred forty outpatients, aged 18 to 70 years, with moderate to severe major depressive disorder. INTERVENTIONS Some study subjects received paroxetine, up to 50 mg daily, augmented by lithium carbonate or desipramine hydrochloride if necessary; others received individual cognitive therapy. MAIN OUTCOME MEASURE The Hamilton Depression Rating Scale provided continuous severity scores and allowed for designations of response and remission. RESULTS At 8 weeks, response rates in medications (50%) and cognitive therapy (43%) groups were both superior to the placebo (25%) group. Analyses based on continuous scores at 8 weeks indicated an advantage for each of the active treatments over placebo, each with a medium effect size. The advantage was significant for medication relative to placebo, and at the level of a nonsignificant trend for cognitive therapy relative to placebo. At 16 weeks, response rates were 58% in each of the active conditions; remission rates were 46% for medication, 40% for cognitive therapy. Follow-up tests of a site x treatment interaction indicated a significant difference only at Vanderbilt University, where medications were superior to cognitive therapy. Site differences in patient characteristics and in the relative experience levels of the cognitive therapists each appear to have contributed to this interaction. CONCLUSION Cognitive therapy can be as effective as medications for the initial treatment of moderate to severe major depression, but this degree of effectiveness may depend on a high level of therapist experience or expertise.","author":[{"dropping-particle":"","family":"DeRubeis","given":"Robert J","non-dropping-particle":"","parse-names":false,"suffix":""},{"dropping-particle":"","family":"Hollon","given":"Steven D","non-dropping-particle":"","parse-names":false,"suffix":""},{"dropping-particle":"","family":"Amsterdam","given":"Jay D","non-dropping-particle":"","parse-names":false,"suffix":""},{"dropping-particle":"","family":"Shelton","given":"Richard C","non-dropping-particle":"","parse-names":false,"suffix":""},{"dropping-particle":"","family":"Young","given":"Paula R","non-dropping-particle":"","parse-names":false,"suffix":""},{"dropping-particle":"","family":"Salomon","given":"Ronald M","non-dropping-particle":"","parse-names":false,"suffix":""},{"dropping-particle":"","family":"O’Reardon","given":"John P.","non-dropping-particle":"","parse-names":false,"suffix":""},{"dropping-particle":"","family":"Lovett","given":"Margaret L","non-dropping-particle":"","parse-names":false,"suffix":""},{"dropping-particle":"","family":"Gladis","given":"Madeline M","non-dropping-particle":"","parse-names":false,"suffix":""},{"dropping-particle":"","family":"Brown","given":"Laurel L","non-dropping-particle":"","parse-names":false,"suffix":""},{"dropping-particle":"","family":"Gallop","given":"Robert","non-dropping-particle":"","parse-names":false,"suffix":""}],"container-title":"Archives of General Psychiatry","id":"ITEM-1","issue":"4","issued":{"date-parts":[["2005","4","1"]]},"page":"409","title":"Cognitive Therapy vs Medications in the Treatment of Moderate to Severe Depression","type":"article-journal","volume":"62"},"uris":["http://www.mendeley.com/documents/?uuid=781d4109-f682-4be7-88c8-a9154057ae0e"]}],"mendeley":{"formattedCitation":"[9]","plainTextFormattedCitation":"[9]","previouslyFormattedCitation":"[9]"},"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[9]</w:t>
            </w:r>
            <w:r>
              <w:rPr>
                <w:rFonts w:ascii="Times New Roman" w:hAnsi="Times New Roman" w:cs="Times New Roman"/>
                <w:sz w:val="24"/>
              </w:rPr>
              <w:fldChar w:fldCharType="end"/>
            </w:r>
          </w:p>
        </w:tc>
        <w:tc>
          <w:tcPr>
            <w:tcW w:w="1569" w:type="dxa"/>
            <w:shd w:val="clear" w:color="auto" w:fill="auto"/>
          </w:tcPr>
          <w:p w14:paraId="14A60027" w14:textId="23E381A0"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3F608FFD" w14:textId="5A9CE30E"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7680C31C" w14:textId="054CCF49"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44CA0015" w14:textId="4D754E7B"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579FD6B9" w14:textId="77777777" w:rsidTr="007279C0">
        <w:trPr>
          <w:trHeight w:val="144"/>
        </w:trPr>
        <w:tc>
          <w:tcPr>
            <w:tcW w:w="3119" w:type="dxa"/>
            <w:shd w:val="clear" w:color="auto" w:fill="auto"/>
          </w:tcPr>
          <w:p w14:paraId="2572A667" w14:textId="443B73DB"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DiMascio</w:t>
            </w:r>
            <w:proofErr w:type="spellEnd"/>
            <w:r>
              <w:rPr>
                <w:rFonts w:ascii="Times New Roman" w:hAnsi="Times New Roman" w:cs="Times New Roman"/>
                <w:sz w:val="24"/>
              </w:rPr>
              <w:t xml:space="preserve"> </w:t>
            </w:r>
            <w:r w:rsidRPr="00DB28BA">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{"citationItems":[{"id":"ITEM-1","itemData":{"DOI":"10.1001/archpsyc.1979.01780130068008","ISSN":"0003-990X","abstract":"A randomized, controlled trial compared the combination of amitriptyline hydrochloride and short-term interpersonal psychotherapy, either treatment alone, and a nonscheduled treatment control group in ambulatory acute, nonbipolar, nonpsychotic depressives. Results show the efficacy of both psychotherapy and amitriptyline in overall symptom reduction. Amitriptyline and psychotherapy were about equal, and the effects of both treatments in combination were additive. The additive effect of combined treatment was largely due to the differential effects of the two treatments. Amitriptyline had its effect mainly on the vegetative symptoms of depression such as sleep and appetite disturbance, these occurred early in treatment, often within the first week. Psychotherapy had its effect mainly on mood, suicidal ideation, work, and interests; these effects occurred slightly later, at four to eight weeks. © 1979, American Medical Association. All rights reserved.","author":[{"dropping-particle":"","family":"DiMascio","given":"Alberto","non-dropping-particle":"","parse-names":false,"suffix":""},{"dropping-particle":"","family":"Weissman","given":"Myrna M","non-dropping-particle":"","parse-names":false,"suffix":""},{"dropping-particle":"","family":"Prusoff","given":"Brigitte A","non-dropping-particle":"","parse-names":false,"suffix":""},{"dropping-particle":"","family":"Neu","given":"Carlos","non-dropping-particle":"","parse-names":false,"suffix":""},{"dropping-particle":"","family":"Zwilling","given":"Maggie","non-dropping-particle":"","parse-names":false,"suffix":""},{"dropping-particle":"","family":"Klerman","given":"Gerald L","non-dropping-particle":"","parse-names":false,"suffix":""}],"container-title":"Archives of General Psychiatry","id":"ITEM-1","issue":"13","issued":{"date-parts":[["1979","12","1"]]},"page":"1450-1456","title":"Differential Symptom Reduction by Drugs and Psychotherapy in Acute Depression","type":"article-journal","volume":"36"},"uris":["http://www.mendeley.com/documents/?uuid=b9be5ac0-9461-4882-949b-8222853717ae"]}],"mendeley":{"formattedCitation":"[10]","plainTextFormattedCitation":"[10]","previouslyFormattedCitation":"[10]"},"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[10]</w:t>
            </w:r>
            <w:r>
              <w:rPr>
                <w:rFonts w:ascii="Times New Roman" w:hAnsi="Times New Roman" w:cs="Times New Roman"/>
                <w:sz w:val="24"/>
              </w:rPr>
              <w:fldChar w:fldCharType="end"/>
            </w:r>
          </w:p>
        </w:tc>
        <w:tc>
          <w:tcPr>
            <w:tcW w:w="1569" w:type="dxa"/>
            <w:shd w:val="clear" w:color="auto" w:fill="auto"/>
          </w:tcPr>
          <w:p w14:paraId="3A668773" w14:textId="409C51EC"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0A670BF1" w14:textId="1D62069A" w:rsidR="007279C0" w:rsidRDefault="007279C0" w:rsidP="007279C0">
            <w:pPr>
              <w:rPr>
                <w:rFonts w:ascii="Times New Roman" w:hAnsi="Times New Roman" w:cs="Times New Roman"/>
                <w:sz w:val="24"/>
                <w:szCs w:val="24"/>
              </w:rPr>
            </w:pPr>
            <w:r>
              <w:rPr>
                <w:rFonts w:ascii="Times New Roman" w:hAnsi="Times New Roman" w:cs="Times New Roman"/>
                <w:sz w:val="24"/>
                <w:szCs w:val="24"/>
              </w:rPr>
              <w:t>No</w:t>
            </w:r>
          </w:p>
        </w:tc>
        <w:tc>
          <w:tcPr>
            <w:tcW w:w="1256" w:type="dxa"/>
            <w:shd w:val="clear" w:color="auto" w:fill="auto"/>
          </w:tcPr>
          <w:p w14:paraId="2E41C2C4" w14:textId="47FFA4F3"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2BD9A51B" w14:textId="3567CC6E"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1598B615" w14:textId="77777777" w:rsidTr="007279C0">
        <w:trPr>
          <w:trHeight w:val="80"/>
        </w:trPr>
        <w:tc>
          <w:tcPr>
            <w:tcW w:w="3119" w:type="dxa"/>
            <w:shd w:val="clear" w:color="auto" w:fill="auto"/>
          </w:tcPr>
          <w:p w14:paraId="11BF8763" w14:textId="042947B2"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Dimidjian</w:t>
            </w:r>
            <w:proofErr w:type="spellEnd"/>
            <w:r>
              <w:rPr>
                <w:rFonts w:ascii="Times New Roman" w:hAnsi="Times New Roman" w:cs="Times New Roman"/>
                <w:sz w:val="24"/>
              </w:rPr>
              <w:t xml:space="preserve"> </w:t>
            </w:r>
            <w:r w:rsidRPr="007F5519">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{"citationItems":[{"id":"ITEM-1","itemData":{"DOI":"10.1037/0022-006X.74.4.658","ISBN":"0022-006X\\n1939-2117","ISSN":"0022006X","PMID":"16881773","abstract":"Antidepressant medication is considered the current standard for severe depression, and cognitive therapy is the most widely investigated psychosocial treatment for depression. However, not all patients want to take medication, and cognitive therapy has not demonstrated consistent efficacy across trials. Moreover, dismantling designs have suggested that behavioral components may account for the efficacy of cognitive therapy. The present study tested the efficacy of behavioral activation by comparing it with cognitive","author":[{"dropping-particle":"","family":"Dimidjian","given":"Sona","non-dropping-particle":"","parse-names":false,"suffix":""},{"dropping-particle":"","family":"Hollon","given":"Steven D.","non-dropping-particle":"","parse-names":false,"suffix":""},{"dropping-particle":"","family":"Dobson","given":"Keith S.","non-dropping-particle":"","parse-names":false,"suffix":""},{"dropping-particle":"","family":"Schmaling","given":"Karen B.","non-dropping-particle":"","parse-names":false,"suffix":""},{"dropping-particle":"","family":"Kohlenberg","given":"Robert J.","non-dropping-particle":"","parse-names":false,"suffix":""},{"dropping-particle":"","family":"Addis","given":"Michael E.","non-dropping-particle":"","parse-names":false,"suffix":""},{"dropping-particle":"","family":"Gallop","given":"Robert","non-dropping-particle":"","parse-names":false,"suffix":""},{"dropping-particle":"","family":"McGlinchey","given":"Joseph B.","non-dropping-particle":"","parse-names":false,"suffix":""},{"dropping-particle":"","family":"Markley","given":"David K.","non-dropping-particle":"","parse-names":false,"suffix":""},{"dropping-particle":"","family":"Gollan","given":"Jackie K.","non-dropping-particle":"","parse-names":false,"suffix":""},{"dropping-particle":"","family":"Atkins","given":"David C.","non-dropping-particle":"","parse-names":false,"suffix":""},{"dropping-particle":"","family":"Dunner","given":"David L.","non-dropping-particle":"","parse-names":false,"suffix":""},{"dropping-particle":"","family":"Jacobson","given":"Neil S.","non-dropping-particle":"","parse-names":false,"suffix":""}],"container-title":"Journal of Consulting and Clinical Psychology","id":"ITEM-1","issue":"4","issued":{"date-parts":[["2006"]]},"page":"658-670","title":"Randomized trial of behavioral activation, cognitive therapy, and antidepressant medication in the acute treatment of adults with major depression","type":"article-journal","volume":"74"},"uris":["http://www.mendeley.com/documents/?uuid=08a85701-7862-455d-95c0-886834ab9e27"]}],"mendeley":{"formattedCitation":"[11]","plainTextFormattedCitation":"[11]","previouslyFormattedCitation":"[11]"},"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[11]</w:t>
            </w:r>
            <w:r>
              <w:rPr>
                <w:rFonts w:ascii="Times New Roman" w:hAnsi="Times New Roman" w:cs="Times New Roman"/>
                <w:sz w:val="24"/>
              </w:rPr>
              <w:fldChar w:fldCharType="end"/>
            </w:r>
          </w:p>
        </w:tc>
        <w:tc>
          <w:tcPr>
            <w:tcW w:w="1569" w:type="dxa"/>
            <w:shd w:val="clear" w:color="auto" w:fill="auto"/>
          </w:tcPr>
          <w:p w14:paraId="7BB9A5BF" w14:textId="6A1A5CBE"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1C1886DA" w14:textId="4B408067"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73FA1369" w14:textId="1064DB7D"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5BC7A884" w14:textId="0845048F"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46C37A46" w14:textId="77777777" w:rsidTr="007279C0">
        <w:trPr>
          <w:trHeight w:val="146"/>
        </w:trPr>
        <w:tc>
          <w:tcPr>
            <w:tcW w:w="3119" w:type="dxa"/>
            <w:shd w:val="clear" w:color="auto" w:fill="auto"/>
          </w:tcPr>
          <w:p w14:paraId="6C4696BA" w14:textId="4796DF08"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Dunlop </w:t>
            </w:r>
            <w:r w:rsidRPr="00724CB7">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{"citationItems":[{"id":"ITEM-1","itemData":{"DOI":"10.1176/appi.ajp.2016.16050517","ISSN":"0002-953X","abstract":"Objective: The Predictors of Remission in Depression to Individual and Combined Treatments [PReDICT] study aimed to identify clinical and biological factors predictive of treatment outcomes in major depressive disorder among treatment naive adults. The authors evaluated the efficacy of cognitive behavioral therapy (CBT) and two antidepressant medications (escitalopram and duloxetine) in patients with major depression and examined the moderating effect of patients’ treatment preferences on outcomes. Method: Adults aged 18–65 with treatment-naive major depression were randomly assigned with equal likelihood to 12 weeks of treatment with escitalopram (10–20 mg/day), duloxetine (30–60 mg/day), or CBT (16 50-minute sessions). Prior to randomization, patients indicated whether they preferred medication or CBT or had no preference. The primary outcome was change in the 17-item Hamilton Depression Rating Scale (HAM-D), administered by raters blinded to treatment.","author":[{"dropping-particle":"","family":"Dunlop","given":"Boadie W","non-dropping-particle":"","parse-names":false,"suffix":""},{"dropping-particle":"","family":"Kelley","given":"Mary E","non-dropping-particle":"","parse-names":false,"suffix":""},{"dropping-particle":"","family":"Aponte-Rivera","given":"Vivianne","non-dropping-particle":"","parse-names":false,"suffix":""},{"dropping-particle":"","family":"Mletzko-Crowe","given":"Tanja","non-dropping-particle":"","parse-names":false,"suffix":""},{"dropping-particle":"","family":"Kinkead","given":"Becky","non-dropping-particle":"","parse-names":false,"suffix":""},{"dropping-particle":"","family":"Ritchie","given":"James C","non-dropping-particle":"","parse-names":false,"suffix":""},{"dropping-particle":"","family":"Nemeroff","given":"Charles B","non-dropping-particle":"","parse-names":false,"suffix":""},{"dropping-particle":"","family":"Craighead","given":"W Edward","non-dropping-particle":"","parse-names":false,"suffix":""},{"dropping-particle":"","family":"Mayberg","given":"Helen S","non-dropping-particle":"","parse-names":false,"suffix":""}],"container-title":"American Journal of Psychiatry","id":"ITEM-1","issue":"6","issued":{"date-parts":[["2017","6"]]},"page":"546-556","title":"Effects of Patient Preferences on Outcomes in the Predictors of Remission in Depression to Individual and Combined Treatments (PReDICT) Study","type":"article-journal","volume":"174"},"uris":["http://www.mendeley.com/documents/?uuid=afbfc1d7-ba3e-4b5e-91ce-14a7d5e6d324"]}],"mendeley":{"formattedCitation":"[12]","plainTextFormattedCitation":"[12]","previouslyFormattedCitation":"[12]"},"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[12]</w:t>
            </w:r>
            <w:r>
              <w:rPr>
                <w:rFonts w:ascii="Times New Roman" w:hAnsi="Times New Roman" w:cs="Times New Roman"/>
                <w:sz w:val="24"/>
              </w:rPr>
              <w:fldChar w:fldCharType="end"/>
            </w:r>
          </w:p>
        </w:tc>
        <w:tc>
          <w:tcPr>
            <w:tcW w:w="1569" w:type="dxa"/>
            <w:shd w:val="clear" w:color="auto" w:fill="auto"/>
          </w:tcPr>
          <w:p w14:paraId="6B115CB9" w14:textId="6EB8D7D1"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141F087D" w14:textId="4897AD52"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059570D1" w14:textId="2855F6BA" w:rsidR="007279C0" w:rsidRDefault="007279C0" w:rsidP="007279C0">
            <w:pPr>
              <w:rPr>
                <w:rFonts w:ascii="Times New Roman" w:hAnsi="Times New Roman" w:cs="Times New Roman"/>
                <w:sz w:val="24"/>
                <w:szCs w:val="24"/>
              </w:rPr>
            </w:pPr>
            <w:r>
              <w:rPr>
                <w:rFonts w:ascii="Times New Roman" w:hAnsi="Times New Roman" w:cs="Times New Roman"/>
                <w:sz w:val="24"/>
                <w:szCs w:val="24"/>
              </w:rPr>
              <w:t>IL</w:t>
            </w:r>
          </w:p>
        </w:tc>
        <w:tc>
          <w:tcPr>
            <w:tcW w:w="1883" w:type="dxa"/>
            <w:shd w:val="clear" w:color="auto" w:fill="auto"/>
          </w:tcPr>
          <w:p w14:paraId="5115A764" w14:textId="327B496C"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25743539" w14:textId="77777777" w:rsidTr="007279C0">
        <w:trPr>
          <w:trHeight w:val="80"/>
        </w:trPr>
        <w:tc>
          <w:tcPr>
            <w:tcW w:w="3119" w:type="dxa"/>
            <w:shd w:val="clear" w:color="auto" w:fill="auto"/>
          </w:tcPr>
          <w:p w14:paraId="573346A6" w14:textId="443EFFB1"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Elkin </w:t>
            </w:r>
            <w:r w:rsidRPr="000F0B68">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{"citationItems":[{"id":"ITEM-1","itemData":{"DOI":"10.1001/archpsyc.1989.01810110013002","ISSN":"0003-990X (Print)\\r0003-990X (Linking)","abstract":"We investigated the effectiveness of two brief psychotherapies, interpersonal psychotherapy and cognitive behavior therapy, for the treatment of outpatients with major depression disorder diagnosed by Research Diagnostic Criteria. Two hundred fifty patients were randomly assigned to one of four 16-week treatment conditions: interpersonal psychotherapy, cognitive behavior therapy, imipramine hydrochloride plus clinical management (as a standard reference treatment), and placebo plus clinical management. Patients in all treatments showed significant reduction in depressive symptoms and improvement in functioning over the course of treatment. There was a consistent ordering of treatments at termination, with imipramine plus clinical management generally doing best, placebo plus clinical management worst, and the two psychotherapies in between but generally closer to imipramine plus clinical management. In analyses carried out on the total samples without regard to initial severity of illness (the primary analyses), there was no evidence of greater effectiveness of one of the psychotherapies as compared with the other and no evidence that either of the psychotherapies was significantly less effective than the standard reference treatment, imipramine plus clinical management. Comparing each of the psychotherapies with the placebo plus clinical management condition, there was limited evidence of the specific effectiveness of interpersonal psychotherapy and none for cognitive behavior therapy. Superior recovery rates were found for both interpersonal psychotherapy and imipramine plus clinical management, as compared with placebo plus clinical management. On mean scores, however, there were few significant differences in effectiveness among the four treatments in the primary analyses. Secondary analyses, in which patients were dichotomized on initial level of severity of depressive symptoms and impairment of functioning, helped to explain the relative lack of significant findings in the primary analyses. Significant differences among treatments were present only for the subgroup of patients who were more severely depressed and functionally impaired; here, there was some evidence of the effectiveness of interpersonal psychotherapy with these patients and strong evidence of the effectiveness of imipramine plus clinical management. In contrast, there were no significant differences among treatments, including placebo plus clinical management, for the less severely…","author":[{"dropping-particle":"","family":"Elkin","given":"I","non-dropping-particle":"","parse-names":false,"suffix":""},{"dropping-particle":"","family":"Shea","given":"M T","non-dropping-particle":"","parse-names":false,"suffix":""},{"dropping-particle":"","family":"Watkins","given":"J T","non-dropping-particle":"","parse-names":false,"suffix":""},{"dropping-particle":"","family":"Imber","given":"S D","non-dropping-particle":"","parse-names":false,"suffix":""},{"dropping-particle":"","family":"Sotsky","given":"S M","non-dropping-particle":"","parse-names":false,"suffix":""},{"dropping-particle":"","family":"Collins","given":"J F","non-dropping-particle":"","parse-names":false,"suffix":""},{"dropping-particle":"","family":"Glass","given":"D R","non-dropping-particle":"","parse-names":false,"suffix":""},{"dropping-particle":"","family":"Pilkonis","given":"P a","non-dropping-particle":"","parse-names":false,"suffix":""},{"dropping-particle":"","family":"Leber","given":"W R","non-dropping-particle":"","parse-names":false,"suffix":""},{"dropping-particle":"","family":"Docherty","given":"J P","non-dropping-particle":"","parse-names":false,"suffix":""}],"container-title":"Archives of general psychiatry","id":"ITEM-1","issued":{"date-parts":[["1989"]]},"title":"National Institute of Mental Health Treatment of Depression Collaborative Research Program. General effectiveness of treatments.","type":"article-journal"},"uris":["http://www.mendeley.com/documents/?uuid=7ae66978-d587-4263-920a-72f8477156d2"]}],"mendeley":{"formattedCitation":"[13]","plainTextFormattedCitation":"[13]","previouslyFormattedCitation":"[13]"},"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[13]</w:t>
            </w:r>
            <w:r>
              <w:rPr>
                <w:rFonts w:ascii="Times New Roman" w:hAnsi="Times New Roman" w:cs="Times New Roman"/>
                <w:sz w:val="24"/>
              </w:rPr>
              <w:fldChar w:fldCharType="end"/>
            </w:r>
          </w:p>
        </w:tc>
        <w:tc>
          <w:tcPr>
            <w:tcW w:w="1569" w:type="dxa"/>
            <w:shd w:val="clear" w:color="auto" w:fill="auto"/>
          </w:tcPr>
          <w:p w14:paraId="652A2F1C" w14:textId="44AD54B6"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1E5E3917" w14:textId="443C4A60"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1FC0DAC2" w14:textId="6CBC5DFC"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44950F2E" w14:textId="116E7B5E"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2F78459F" w14:textId="77777777" w:rsidTr="007279C0">
        <w:trPr>
          <w:trHeight w:val="134"/>
        </w:trPr>
        <w:tc>
          <w:tcPr>
            <w:tcW w:w="3119" w:type="dxa"/>
            <w:shd w:val="clear" w:color="auto" w:fill="auto"/>
          </w:tcPr>
          <w:p w14:paraId="797A211E" w14:textId="3C7C03AC"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Frank </w:t>
            </w:r>
            <w:r w:rsidRPr="00C51CB1">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{"citationItems":[{"id":"ITEM-1","itemData":{"DOI":"10.1017/S0033291710000553","ISSN":"0033-2917","abstract":"Background Although many studies suggest that, on average, depression-specific psychotherapy and antidepressant pharmacotherapy are efficacious, we know relatively little about which patients are more likely to respond to one versus the other. We sought to determine whether measures of spectrum psychopathology are useful in deciding which patients with unipolar depression should receive pharmacotherapy versus depression-specific psychotherapy.Method A total of 318 adult out-patients with major depression were randomly assigned to escitalopram pharmacotherapy or interpersonal psychotherapy (IPT) at academic medical centers at Pittsburgh, Pennsylvania and Pisa, Italy. Our main focus was on predictors and moderators of time to remission on monotherapy at 12 weeks.Results Participants with higher scores on the need for medical reassurance factor of the Panic-Agoraphobic Spectrum Self-Report (PAS-SR) had more rapid remission with IPT and those with lower scores on the psychomotor activation factor of the Mood Spectrum Self-Report (MOODS-SR) experienced more rapid remission with selective serotonin reuptake inhibitor (SSRI) pharmacotherapy. Non-specific predictors of longer time to remission with monotherapy included several panic spectrum and mood spectrum factors and the Social Phobia Spectrum (SHY) total score. Higher baseline scores on the 17- and 25-item Hamilton Depression Rating Scales (HAMD-17 and HAMD-25) and the Work and Social Adjustment Scale (WSAS) also predicted a longer time to remission, whereas being married predicted a shorter time to remission.Conclusions This exploratory study identified several non-specific predictors but few moderators of psychotherapy versus pharmacotherapy outcome. It offers useful indicators of the characteristics of patients that are generally difficult to treat, but only limited guidance as to who benefits from IPT versus SSRI pharmacotherapy. © 2010 Cambridge University Press.","author":[{"dropping-particle":"","family":"Frank","given":"E.","non-dropping-particle":"","parse-names":false,"suffix":""},{"dropping-particle":"","family":"Cassano","given":"G. B.","non-dropping-particle":"","parse-names":false,"suffix":""},{"dropping-particle":"","family":"Rucci","given":"P.","non-dropping-particle":"","parse-names":false,"suffix":""},{"dropping-particle":"","family":"Thompson","given":"W. K.","non-dropping-particle":"","parse-names":false,"suffix":""},{"dropping-particle":"","family":"Kraemer","given":"H. C.","non-dropping-particle":"","parse-names":false,"suffix":""},{"dropping-particle":"","family":"Fagiolini","given":"A.","non-dropping-particle":"","parse-names":false,"suffix":""},{"dropping-particle":"","family":"Maggi","given":"L.","non-dropping-particle":"","parse-names":false,"suffix":""},{"dropping-particle":"","family":"Kupfer","given":"D. J.","non-dropping-particle":"","parse-names":false,"suffix":""},{"dropping-particle":"","family":"Shear","given":"M. K.","non-dropping-particle":"","parse-names":false,"suffix":""},{"dropping-particle":"","family":"Houck","given":"P. R.","non-dropping-particle":"","parse-names":false,"suffix":""},{"dropping-particle":"","family":"Calugi","given":"S.","non-dropping-particle":"","parse-names":false,"suffix":""},{"dropping-particle":"","family":"Grochocinski","given":"V. J.","non-dropping-particle":"","parse-names":false,"suffix":""},{"dropping-particle":"","family":"Scocco","given":"P.","non-dropping-particle":"","parse-names":false,"suffix":""},{"dropping-particle":"","family":"Buttenfield","given":"J.","non-dropping-particle":"","parse-names":false,"suffix":""},{"dropping-particle":"","family":"Forgione","given":"R. N.","non-dropping-particle":"","parse-names":false,"suffix":""}],"container-title":"Psychological Medicine","id":"ITEM-1","issue":"1","issued":{"date-parts":[["2011","1","12"]]},"page":"151-162","title":"Predictors and moderators of time to remission of major depression with interpersonal psychotherapy and SSRI pharmacotherapy","type":"article-journal","volume":"41"},"uris":["http://www.mendeley.com/documents/?uuid=4d53254f-1fd6-43e0-a538-58d1c8d7f2d9"]}],"mendeley":{"formattedCitation":"[14]","plainTextFormattedCitation":"[14]","previouslyFormattedCitation":"[14]"},"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[14]</w:t>
            </w:r>
            <w:r>
              <w:rPr>
                <w:rFonts w:ascii="Times New Roman" w:hAnsi="Times New Roman" w:cs="Times New Roman"/>
                <w:sz w:val="24"/>
              </w:rPr>
              <w:fldChar w:fldCharType="end"/>
            </w:r>
          </w:p>
        </w:tc>
        <w:tc>
          <w:tcPr>
            <w:tcW w:w="1569" w:type="dxa"/>
            <w:shd w:val="clear" w:color="auto" w:fill="auto"/>
          </w:tcPr>
          <w:p w14:paraId="5D55664C" w14:textId="4991EB38"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304248C1" w14:textId="567F9180" w:rsidR="007279C0" w:rsidRDefault="007279C0" w:rsidP="007279C0">
            <w:pPr>
              <w:rPr>
                <w:rFonts w:ascii="Times New Roman" w:hAnsi="Times New Roman" w:cs="Times New Roman"/>
                <w:sz w:val="24"/>
                <w:szCs w:val="24"/>
              </w:rPr>
            </w:pPr>
            <w:r>
              <w:rPr>
                <w:rFonts w:ascii="Times New Roman" w:hAnsi="Times New Roman" w:cs="Times New Roman"/>
                <w:sz w:val="24"/>
                <w:szCs w:val="24"/>
              </w:rPr>
              <w:t>No</w:t>
            </w:r>
          </w:p>
        </w:tc>
        <w:tc>
          <w:tcPr>
            <w:tcW w:w="1256" w:type="dxa"/>
            <w:shd w:val="clear" w:color="auto" w:fill="auto"/>
          </w:tcPr>
          <w:p w14:paraId="79EDD11A" w14:textId="76FDB8DC"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337BCD1B" w14:textId="7EA9B632"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3EE047A6" w14:textId="77777777" w:rsidTr="007279C0">
        <w:trPr>
          <w:trHeight w:val="270"/>
        </w:trPr>
        <w:tc>
          <w:tcPr>
            <w:tcW w:w="3119" w:type="dxa"/>
            <w:shd w:val="clear" w:color="auto" w:fill="auto"/>
          </w:tcPr>
          <w:p w14:paraId="645FC415" w14:textId="4C624648"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Harkness </w:t>
            </w:r>
            <w:r w:rsidRPr="00113EEF">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{"citationItems":[{"id":"ITEM-1","itemData":{"DOI":"10.1037/a0027665","ISSN":"1939-2117","abstract":"OBJECTIVE: A substantial number of patients with major depressive disorder (MDD) do not respond to treatment, and recurrence rates remain high. The purpose of this study was to examine a history of severe childhood abuse as a moderator of response following a 16-week acute treatment trial, and of recurrence over a 12-month follow-up.\\n\\nMETHOD: Participants included 203 adult outpatients with MDD (129 women; age 18-60). The design was a 16-week single-center randomized, open label trial of interpersonal psychotherapy, cognitive-behavioral therapy, or antidepressant medication, with a 12-month naturalistic follow-up, conducted at a university psychiatry center in Canada. The main outcome measure was Hamilton Depression Rating Scale scores at treatment end point. Childhood maltreatment was assessed at the completion of treatment using an interview-based contextual measure of childhood physical, sexual, and emotional abuse. Multiple imputation was adopted to estimate missing values.\\n\\nRESULTS: Patients with severe maltreatment were significantly less likely to respond to interpersonal psychotherapy than to cognitive-behavioral therapy or medication (OR = 3.61), whereas no differences among treatments were found in those with no history of maltreatment (ORs &lt; 1.50). Furthermore, maltreatment significantly predicted a shorter time to recurrence over follow-up across treatment conditions (OR = 3.04). These findings were replicated in the sample with complete case data.\\n\\nCONCLUSIONS: Patients with a history of childhood abuse may benefit more from antidepressant medication or cognitive-behavioral therapy than from interpersonal psychotherapy. However, these patients remain vulnerable to recurrence regardless of treatment modality.","author":[{"dropping-particle":"","family":"Harkness","given":"Kate L.","non-dropping-particle":"","parse-names":false,"suffix":""},{"dropping-particle":"","family":"Bagby","given":"R. Michael","non-dropping-particle":"","parse-names":false,"suffix":""},{"dropping-particle":"","family":"Kennedy","given":"Sidney H.","non-dropping-particle":"","parse-names":false,"suffix":""}],"container-title":"Journal of Consulting and Clinical Psychology","id":"ITEM-1","issue":"3","issued":{"date-parts":[["2012","6"]]},"page":"342-353","title":"Childhood maltreatment and differential treatment response and recurrence in adult major depressive disorder","type":"article-journal","volume":"80"},"uris":["http://www.mendeley.com/documents/?uuid=1aaed097-2fb2-44d5-94c9-7bd77253b964"]}],"mendeley":{"formattedCitation":"[15]","plainTextFormattedCitation":"[15]","previouslyFormattedCitation":"[15]"},"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[15]</w:t>
            </w:r>
            <w:r>
              <w:rPr>
                <w:rFonts w:ascii="Times New Roman" w:hAnsi="Times New Roman" w:cs="Times New Roman"/>
                <w:sz w:val="24"/>
              </w:rPr>
              <w:fldChar w:fldCharType="end"/>
            </w:r>
          </w:p>
        </w:tc>
        <w:tc>
          <w:tcPr>
            <w:tcW w:w="1569" w:type="dxa"/>
            <w:shd w:val="clear" w:color="auto" w:fill="auto"/>
          </w:tcPr>
          <w:p w14:paraId="48F24CA5" w14:textId="4FBF9A1E"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127328D1" w14:textId="048857C7" w:rsidR="007279C0" w:rsidRDefault="007279C0" w:rsidP="007279C0">
            <w:pPr>
              <w:rPr>
                <w:rFonts w:ascii="Times New Roman" w:hAnsi="Times New Roman" w:cs="Times New Roman"/>
                <w:sz w:val="24"/>
                <w:szCs w:val="24"/>
              </w:rPr>
            </w:pPr>
            <w:r>
              <w:rPr>
                <w:rFonts w:ascii="Times New Roman" w:hAnsi="Times New Roman" w:cs="Times New Roman"/>
                <w:sz w:val="24"/>
                <w:szCs w:val="24"/>
              </w:rPr>
              <w:t>No</w:t>
            </w:r>
          </w:p>
        </w:tc>
        <w:tc>
          <w:tcPr>
            <w:tcW w:w="1256" w:type="dxa"/>
            <w:shd w:val="clear" w:color="auto" w:fill="auto"/>
          </w:tcPr>
          <w:p w14:paraId="66F1895A" w14:textId="7D9C2FD3"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5B2F4112" w14:textId="6BE3BD3E"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52EF8AB0" w14:textId="77777777" w:rsidTr="007279C0">
        <w:trPr>
          <w:trHeight w:val="80"/>
        </w:trPr>
        <w:tc>
          <w:tcPr>
            <w:tcW w:w="3119" w:type="dxa"/>
            <w:shd w:val="clear" w:color="auto" w:fill="auto"/>
          </w:tcPr>
          <w:p w14:paraId="242A5ED6" w14:textId="2D2D45DF"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Hollon</w:t>
            </w:r>
            <w:proofErr w:type="spellEnd"/>
            <w:r>
              <w:rPr>
                <w:rFonts w:ascii="Times New Roman" w:hAnsi="Times New Roman" w:cs="Times New Roman"/>
                <w:sz w:val="24"/>
              </w:rPr>
              <w:t xml:space="preserve"> </w:t>
            </w:r>
            <w:r w:rsidRPr="00A13118">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{"citationItems":[{"id":"ITEM-1","itemData":{"DOI":"10.1001/archpsyc.1992.01820100018004","ISSN":"0003-990X","abstract":"Reviews studies that compared cognitive therapy (COT) and pharmacotherapy (PHT), alone or combined, for the treatment of depression. Evidence suggests that COT is comparable to tricyclic PHT in the treatment of nonpsychotic, nonbipolar depressed outpatients, although no evidence favors either single modality over the other. COT appears to provide some protection against relapse following termination of treatment, and combined COT/PHT treatment appears to provide as much protection against subsequent relapse as COT alone. (PsycINFO Database Record (c) 2016 APA, all rights reserved)","author":[{"dropping-particle":"","family":"Hollon","given":"Steven D","non-dropping-particle":"","parse-names":false,"suffix":""},{"dropping-particle":"","family":"DeRubeis","given":"Robert J","non-dropping-particle":"","parse-names":false,"suffix":""},{"dropping-particle":"","family":"Evans","given":"Mark D","non-dropping-particle":"","parse-names":false,"suffix":""},{"dropping-particle":"","family":"Wiemer","given":"Marlin J","non-dropping-particle":"","parse-names":false,"suffix":""},{"dropping-particle":"","family":"Garvey","given":"Michael J","non-dropping-particle":"","parse-names":false,"suffix":""},{"dropping-particle":"","family":"Grove","given":"William M","non-dropping-particle":"","parse-names":false,"suffix":""},{"dropping-particle":"","family":"Tuason","given":"Vicente B","non-dropping-particle":"","parse-names":false,"suffix":""}],"container-title":"Archives of General Psychiatry","id":"ITEM-1","issue":"10","issued":{"date-parts":[["1992","10","1"]]},"page":"774","title":"Cognitive Therapy and Pharmacotherapy for Depression","type":"article-journal","volume":"49"},"uris":["http://www.mendeley.com/documents/?uuid=4015f15d-d541-445d-8238-3c00a8b6cde3"]}],"mendeley":{"formattedCitation":"[16]","plainTextFormattedCitation":"[16]","previouslyFormattedCitation":"[16]"},"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[16]</w:t>
            </w:r>
            <w:r>
              <w:rPr>
                <w:rFonts w:ascii="Times New Roman" w:hAnsi="Times New Roman" w:cs="Times New Roman"/>
                <w:sz w:val="24"/>
              </w:rPr>
              <w:fldChar w:fldCharType="end"/>
            </w:r>
          </w:p>
        </w:tc>
        <w:tc>
          <w:tcPr>
            <w:tcW w:w="1569" w:type="dxa"/>
            <w:shd w:val="clear" w:color="auto" w:fill="auto"/>
          </w:tcPr>
          <w:p w14:paraId="0884EF91" w14:textId="6BBE146F"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6EE74D83" w14:textId="77777777" w:rsidR="007279C0" w:rsidRDefault="007279C0" w:rsidP="007279C0">
            <w:pPr>
              <w:rPr>
                <w:rFonts w:ascii="Times New Roman" w:hAnsi="Times New Roman" w:cs="Times New Roman"/>
                <w:sz w:val="24"/>
                <w:szCs w:val="24"/>
              </w:rPr>
            </w:pPr>
          </w:p>
        </w:tc>
        <w:tc>
          <w:tcPr>
            <w:tcW w:w="1256" w:type="dxa"/>
            <w:shd w:val="clear" w:color="auto" w:fill="auto"/>
          </w:tcPr>
          <w:p w14:paraId="3A959180" w14:textId="77777777" w:rsidR="007279C0" w:rsidRDefault="007279C0" w:rsidP="007279C0">
            <w:pPr>
              <w:rPr>
                <w:rFonts w:ascii="Times New Roman" w:hAnsi="Times New Roman" w:cs="Times New Roman"/>
                <w:sz w:val="24"/>
                <w:szCs w:val="24"/>
              </w:rPr>
            </w:pPr>
          </w:p>
        </w:tc>
        <w:tc>
          <w:tcPr>
            <w:tcW w:w="1883" w:type="dxa"/>
            <w:shd w:val="clear" w:color="auto" w:fill="auto"/>
          </w:tcPr>
          <w:p w14:paraId="16FBBF88" w14:textId="77777777" w:rsidR="007279C0" w:rsidRPr="007279C0" w:rsidRDefault="007279C0" w:rsidP="007279C0">
            <w:pPr>
              <w:rPr>
                <w:rFonts w:ascii="Times New Roman" w:hAnsi="Times New Roman" w:cs="Times New Roman"/>
                <w:sz w:val="24"/>
                <w:szCs w:val="24"/>
              </w:rPr>
            </w:pPr>
          </w:p>
        </w:tc>
      </w:tr>
      <w:tr w:rsidR="007279C0" w14:paraId="0FB7BB57" w14:textId="77777777" w:rsidTr="007279C0">
        <w:trPr>
          <w:trHeight w:val="80"/>
        </w:trPr>
        <w:tc>
          <w:tcPr>
            <w:tcW w:w="3119" w:type="dxa"/>
            <w:shd w:val="clear" w:color="auto" w:fill="auto"/>
          </w:tcPr>
          <w:p w14:paraId="47F7C4FA" w14:textId="4B39AAAF"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Husain </w:t>
            </w:r>
            <w:r w:rsidRPr="00F335CA">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{"citationItems":[{"id":"ITEM-1","itemData":{"DOI":"10.1017/S1352465813000441","ISSN":"1352-4658","abstract":"Background: Research in the West shows that group psychological intervention together with an antidepressant treatment leads to more effective treatment of a depressive disorder. There are no treatment trials from low income countries comparing the efficacy of antidepressant treatment with a group psychological intervention. Aim: To conduct a feasibility trial to compare the efficacy of an antidepressant to a group psychosocial intervention, for low income women attending primary health care in Karachi, Pakistan. Method: This was a preliminary RCT in an urban primary health care clinic in Karachi, Pakistan. Consecutive eligible women scoring &gt;12 on the CIS-R and &gt;18 on Hamilton Depression Rating Scale (HDRS) ( n = 66) were randomly assigned to antidepressants or a psychosocial treatment in group settings. The primary outcome measure was HDRS score; secondary outcome measures were disability and quality of life. Results: More than half of the patients in both groups improved (50% reduction in HDRS scores); at end of therapy at 3 months 19 (59.4%) vs 18 (56.2%), and at 6-month follow-up 21(67.7%) vs 20(62.5%) for antidepressants and psychosocial intervention respectively. Although HDRS, BDQ and EQ5-D scores all improved considerably in both groups from start to end of treatment, and these improvements were largely maintained after a further 3 months, the differences between the two treatments were not statistically significant. Conclusion: Psychosocial intervention was as effective as antidepressants in reducing depression and in improving quality of life and disability at the end of therapy. However, these findings need further exploration through a larger trial.","author":[{"dropping-particle":"","family":"Husain","given":"Nusrat","non-dropping-particle":"","parse-names":false,"suffix":""},{"dropping-particle":"","family":"Chaudhry","given":"Nasim","non-dropping-particle":"","parse-names":false,"suffix":""},{"dropping-particle":"","family":"Fatima","given":"Batool","non-dropping-particle":"","parse-names":false,"suffix":""},{"dropping-particle":"","family":"Husain","given":"Meher","non-dropping-particle":"","parse-names":false,"suffix":""},{"dropping-particle":"","family":"Amin","given":"Rizwana","non-dropping-particle":"","parse-names":false,"suffix":""},{"dropping-particle":"","family":"Chaudhry","given":"Imran Bashir","non-dropping-particle":"","parse-names":false,"suffix":""},{"dropping-particle":"","family":"Ur Rahman","given":"Raza","non-dropping-particle":"","parse-names":false,"suffix":""},{"dropping-particle":"","family":"Tomenson","given":"Barbara","non-dropping-particle":"","parse-names":false,"suffix":""},{"dropping-particle":"","family":"Jafri","given":"Farhat","non-dropping-particle":"","parse-names":false,"suffix":""},{"dropping-particle":"","family":"Naeem","given":"Farooq","non-dropping-particle":"","parse-names":false,"suffix":""},{"dropping-particle":"","family":"Creed","given":"Francis","non-dropping-particle":"","parse-names":false,"suffix":""}],"container-title":"Behavioural and Cognitive Psychotherapy","id":"ITEM-1","issue":"6","issued":{"date-parts":[["2014","11","19"]]},"page":"693-705","title":"Antidepressant and Group Psychosocial Treatment for Depression: A Rater Blind Exploratory RCT from a Low Income Country","type":"article-journal","volume":"42"},"uris":["http://www.mendeley.com/documents/?uuid=28d86dba-7167-42ea-a724-9a090fc595f6"]}],"mendeley":{"formattedCitation":"[17]","plainTextFormattedCitation":"[17]","previouslyFormattedCitation":"[17]"},"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[17]</w:t>
            </w:r>
            <w:r>
              <w:rPr>
                <w:rFonts w:ascii="Times New Roman" w:hAnsi="Times New Roman" w:cs="Times New Roman"/>
                <w:sz w:val="24"/>
              </w:rPr>
              <w:fldChar w:fldCharType="end"/>
            </w:r>
          </w:p>
        </w:tc>
        <w:tc>
          <w:tcPr>
            <w:tcW w:w="1569" w:type="dxa"/>
            <w:shd w:val="clear" w:color="auto" w:fill="auto"/>
          </w:tcPr>
          <w:p w14:paraId="074C748E" w14:textId="7622E267"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1B2014E0" w14:textId="397FB23F"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38CD8C13" w14:textId="72E5F818" w:rsidR="007279C0" w:rsidRDefault="007279C0" w:rsidP="007279C0">
            <w:pPr>
              <w:rPr>
                <w:rFonts w:ascii="Times New Roman" w:hAnsi="Times New Roman" w:cs="Times New Roman"/>
                <w:sz w:val="24"/>
                <w:szCs w:val="24"/>
              </w:rPr>
            </w:pPr>
            <w:r>
              <w:rPr>
                <w:rFonts w:ascii="Times New Roman" w:hAnsi="Times New Roman" w:cs="Times New Roman"/>
                <w:sz w:val="24"/>
                <w:szCs w:val="24"/>
              </w:rPr>
              <w:t>TL-I</w:t>
            </w:r>
          </w:p>
        </w:tc>
        <w:tc>
          <w:tcPr>
            <w:tcW w:w="1883" w:type="dxa"/>
            <w:shd w:val="clear" w:color="auto" w:fill="auto"/>
          </w:tcPr>
          <w:p w14:paraId="40837F4E" w14:textId="04F58389"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2473F4C3" w14:textId="77777777" w:rsidTr="007279C0">
        <w:trPr>
          <w:trHeight w:val="80"/>
        </w:trPr>
        <w:tc>
          <w:tcPr>
            <w:tcW w:w="3119" w:type="dxa"/>
            <w:shd w:val="clear" w:color="auto" w:fill="auto"/>
          </w:tcPr>
          <w:p w14:paraId="6A91DB62" w14:textId="727CEB39" w:rsidR="007279C0" w:rsidRDefault="007279C0" w:rsidP="007279C0">
            <w:pPr>
              <w:rPr>
                <w:rFonts w:ascii="Times New Roman" w:hAnsi="Times New Roman" w:cs="Times New Roman"/>
                <w:sz w:val="24"/>
                <w:szCs w:val="24"/>
              </w:rPr>
            </w:pPr>
            <w:r>
              <w:rPr>
                <w:rFonts w:ascii="Times New Roman" w:hAnsi="Times New Roman" w:cs="Times New Roman"/>
                <w:sz w:val="24"/>
              </w:rPr>
              <w:t>Jarrett</w:t>
            </w:r>
            <w:r w:rsidRPr="009C6EE9">
              <w:rPr>
                <w:rFonts w:ascii="Times New Roman" w:hAnsi="Times New Roman" w:cs="Times New Roman"/>
                <w:i/>
                <w:sz w:val="24"/>
              </w:rPr>
              <w:t xml:space="preserve"> 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{"citationItems":[{"id":"ITEM-1","itemData":{"DOI":"10.1001/archpsyc.56.5.431","ISSN":"0003-990X","abstract":"Background: Patients with atypical depression are more likely to respond to monoamine oxidase inhibitors than to tricyclic antidepressants. They are frequently offered psychotherapy in the absence of controlled tests. There are no prospective, randomized, controlled trials, to our knowledge, of psychotherapy for atypical depression or of cognitive therapy compared with a monoamine oxi- dase inhibitor. Since there is only 1 placebo-controlled trial of cognitive therapy, this trial fills a gap in the literature on psychotherapy for depression. Methods: Outpatients with DSM-III-R major depres- sive disorder and atypical features (N= 108) were treated in a 10-week, double-blind, randomized, controlled trial comparing acute-phase cognitive therapy or clinical man- agement plus either phenelzine sulfate or placebo. Atypical features were defined as reactive mood plus at least 2 additional symptoms: hypersomnia, hyperphagia, leaden paralysis,or lifetime sensitivity to rejection. Results: With the use of an intention-to-treat strategy, the response rates (21-item Hamilton Rating Scale for De- pression score, ?9) were significantly greater after cog- nitive therapy (58%) and phenelzine (58%) than after pill placebo (28%). Phenelzine and cognitive therapy also reduced symptoms significantly more than placebo according to contrasts after a repeated-measures analysis of covariance and random regression with the use of the blind evaluator’s final Hamilton Rating Scale for Depression score. The scores between cognitive therapy and phenelzine did not differ significantly. Supplemental analyses of other symptom severity measures confirm the finding. Conclusions: Cognitive therapy may offer an effective alternative to standard acute-phase treatment with a monoamine oxidase inhibitor for outpatients with major depressive disorder and atypical features.","author":[{"dropping-particle":"","family":"Jarrett","given":"Robin B.","non-dropping-particle":"","parse-names":false,"suffix":""},{"dropping-particle":"","family":"Schaffer","given":"Martin","non-dropping-particle":"","parse-names":false,"suffix":""},{"dropping-particle":"","family":"McIntire","given":"Donald","non-dropping-particle":"","parse-names":false,"suffix":""},{"dropping-particle":"","family":"Witt-Browder","given":"Amy","non-dropping-particle":"","parse-names":false,"suffix":""},{"dropping-particle":"","family":"Kraft","given":"Dolores","non-dropping-particle":"","parse-names":false,"suffix":""},{"dropping-particle":"","family":"Risser","given":"Richard C.","non-dropping-particle":"","parse-names":false,"suffix":""}],"container-title":"Archives of General Psychiatry","id":"ITEM-1","issue":"5","issued":{"date-parts":[["1999","5","1"]]},"page":"431","title":"Treatment of Atypical Depression With Cognitive Therapy or Phenelzine","type":"article-journal","volume":"56"},"uris":["http://www.mendeley.com/documents/?uuid=bcd7d1d2-1be3-4093-aa61-fb2756ae83e7"]}],"mendeley":{"formattedCitation":"[18]","plainTextFormattedCitation":"[18]","previouslyFormattedCitation":"[18]"},"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[18]</w:t>
            </w:r>
            <w:r>
              <w:rPr>
                <w:rFonts w:ascii="Times New Roman" w:hAnsi="Times New Roman" w:cs="Times New Roman"/>
                <w:sz w:val="24"/>
              </w:rPr>
              <w:fldChar w:fldCharType="end"/>
            </w:r>
          </w:p>
        </w:tc>
        <w:tc>
          <w:tcPr>
            <w:tcW w:w="1569" w:type="dxa"/>
            <w:shd w:val="clear" w:color="auto" w:fill="auto"/>
          </w:tcPr>
          <w:p w14:paraId="789A3D27" w14:textId="2AE0201A"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5028F95A" w14:textId="733C4701"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4EF2D905" w14:textId="6A7CEF17" w:rsidR="007279C0" w:rsidRDefault="007279C0" w:rsidP="007279C0">
            <w:pPr>
              <w:rPr>
                <w:rFonts w:ascii="Times New Roman" w:hAnsi="Times New Roman" w:cs="Times New Roman"/>
                <w:sz w:val="24"/>
                <w:szCs w:val="24"/>
              </w:rPr>
            </w:pPr>
            <w:r>
              <w:rPr>
                <w:rFonts w:ascii="Times New Roman" w:hAnsi="Times New Roman" w:cs="Times New Roman"/>
                <w:sz w:val="24"/>
                <w:szCs w:val="24"/>
              </w:rPr>
              <w:t>TL-I</w:t>
            </w:r>
          </w:p>
        </w:tc>
        <w:tc>
          <w:tcPr>
            <w:tcW w:w="1883" w:type="dxa"/>
            <w:shd w:val="clear" w:color="auto" w:fill="auto"/>
          </w:tcPr>
          <w:p w14:paraId="557C8129" w14:textId="59C3CAC0"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77DEFCF8" w14:textId="77777777" w:rsidTr="007279C0">
        <w:trPr>
          <w:trHeight w:val="143"/>
        </w:trPr>
        <w:tc>
          <w:tcPr>
            <w:tcW w:w="3119" w:type="dxa"/>
            <w:shd w:val="clear" w:color="auto" w:fill="auto"/>
          </w:tcPr>
          <w:p w14:paraId="3786C10D" w14:textId="56370BFB" w:rsidR="007279C0" w:rsidRDefault="007279C0" w:rsidP="007279C0">
            <w:pPr>
              <w:rPr>
                <w:rFonts w:ascii="Times New Roman" w:hAnsi="Times New Roman" w:cs="Times New Roman"/>
                <w:sz w:val="24"/>
                <w:szCs w:val="24"/>
              </w:rPr>
            </w:pPr>
            <w:r>
              <w:rPr>
                <w:rFonts w:ascii="Times New Roman" w:hAnsi="Times New Roman" w:cs="Times New Roman"/>
                <w:sz w:val="24"/>
              </w:rPr>
              <w:lastRenderedPageBreak/>
              <w:t>Keller</w:t>
            </w:r>
            <w:r w:rsidRPr="00336F01">
              <w:rPr>
                <w:rFonts w:ascii="Times New Roman" w:hAnsi="Times New Roman" w:cs="Times New Roman"/>
                <w:i/>
                <w:sz w:val="24"/>
              </w:rPr>
              <w:t xml:space="preserve"> 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{"citationItems":[{"id":"ITEM-1","itemData":{"DOI":"10.1056/NEJM200005183422001","ISSN":"0028-4793","author":[{"dropping-particle":"","family":"Keller","given":"Martin B.","non-dropping-particle":"","parse-names":false,"suffix":""},{"dropping-particle":"","family":"McCullough","given":"James P.","non-dropping-particle":"","parse-names":false,"suffix":""},{"dropping-particle":"","family":"Klein","given":"Daniel N.","non-dropping-particle":"","parse-names":false,"suffix":""},{"dropping-particle":"","family":"Arnow","given":"Bruce","non-dropping-particle":"","parse-names":false,"suffix":""},{"dropping-particle":"","family":"Dunner","given":"David L.","non-dropping-particle":"","parse-names":false,"suffix":""},{"dropping-particle":"","family":"Gelenberg","given":"Alan J.","non-dropping-particle":"","parse-names":false,"suffix":""},{"dropping-particle":"","family":"Markowitz","given":"John C.","non-dropping-particle":"","parse-names":false,"suffix":""},{"dropping-particle":"","family":"Nemeroff","given":"Charles B.","non-dropping-particle":"","parse-names":false,"suffix":""},{"dropping-particle":"","family":"Russell","given":"James M.","non-dropping-particle":"","parse-names":false,"suffix":""},{"dropping-particle":"","family":"Thase","given":"Michael E.","non-dropping-particle":"","parse-names":false,"suffix":""},{"dropping-particle":"","family":"Trivedi","given":"Madhukar H.","non-dropping-particle":"","parse-names":false,"suffix":""},{"dropping-particle":"","family":"Blalock","given":"Janice A.","non-dropping-particle":"","parse-names":false,"suffix":""},{"dropping-particle":"","family":"Borian","given":"Frances E.","non-dropping-particle":"","parse-names":false,"suffix":""},{"dropping-particle":"","family":"Jody","given":"Darlene N.","non-dropping-particle":"","parse-names":false,"suffix":""},{"dropping-particle":"","family":"DeBattista","given":"Charles","non-dropping-particle":"","parse-names":false,"suffix":""},{"dropping-particle":"","family":"Koran","given":"Lorrin M.","non-dropping-particle":"","parse-names":false,"suffix":""},{"dropping-particle":"","family":"Schatzberg","given":"Alan F.","non-dropping-particle":"","parse-names":false,"suffix":""},{"dropping-particle":"","family":"Fawcett","given":"Jan","non-dropping-particle":"","parse-names":false,"suffix":""},{"dropping-particle":"","family":"Hirschfeld","given":"Robert M.A.","non-dropping-particle":"","parse-names":false,"suffix":""},{"dropping-particle":"","family":"Keitner","given":"Gabor","non-dropping-particle":"","parse-names":false,"suffix":""},{"dropping-particle":"","family":"Miller","given":"Ivan","non-dropping-particle":"","parse-names":false,"suffix":""},{"dropping-particle":"","family":"Kocsis","given":"James H.","non-dropping-particle":"","parse-names":false,"suffix":""},{"dropping-particle":"","family":"Kornstein","given":"Susan G.","non-dropping-particle":"","parse-names":false,"suffix":""},{"dropping-particle":"","family":"Manber","given":"Rachel","non-dropping-particle":"","parse-names":false,"suffix":""},{"dropping-particle":"","family":"Ninan","given":"Philip T.","non-dropping-particle":"","parse-names":false,"suffix":""},{"dropping-particle":"","family":"Rothbaum","given":"Barbara","non-dropping-particle":"","parse-names":false,"suffix":""},{"dropping-particle":"","family":"Rush","given":"A. John","non-dropping-particle":"","parse-names":false,"suffix":""},{"dropping-particle":"","family":"Vivian","given":"Dina","non-dropping-particle":"","parse-names":false,"suffix":""},{"dropping-particle":"","family":"Zajecka","given":"John","non-dropping-particle":"","parse-names":false,"suffix":""}],"container-title":"New England Journal of Medicine","id":"ITEM-1","issue":"20","issued":{"date-parts":[["2000","5","18"]]},"page":"1462-1470","title":"A Comparison of Nefazodone, the Cognitive Behavioral-Analysis System of Psychotherapy, and Their Combination for the Treatment of Chronic Depression","type":"article-journal","volume":"342"},"uris":["http://www.mendeley.com/documents/?uuid=fa9bc266-a3ad-4efb-8fa0-e56f75e13ee1"]}],"mendeley":{"formattedCitation":"[19]","plainTextFormattedCitation":"[19]","previouslyFormattedCitation":"[19]"},"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[19]</w:t>
            </w:r>
            <w:r>
              <w:rPr>
                <w:rFonts w:ascii="Times New Roman" w:hAnsi="Times New Roman" w:cs="Times New Roman"/>
                <w:sz w:val="24"/>
              </w:rPr>
              <w:fldChar w:fldCharType="end"/>
            </w:r>
          </w:p>
        </w:tc>
        <w:tc>
          <w:tcPr>
            <w:tcW w:w="1569" w:type="dxa"/>
            <w:shd w:val="clear" w:color="auto" w:fill="auto"/>
          </w:tcPr>
          <w:p w14:paraId="47A8DF26" w14:textId="0D19B61C"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34857CF6" w14:textId="4D8E55BB"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0017C023" w14:textId="687BB54E" w:rsidR="007279C0" w:rsidRDefault="007279C0" w:rsidP="007279C0">
            <w:pPr>
              <w:rPr>
                <w:rFonts w:ascii="Times New Roman" w:hAnsi="Times New Roman" w:cs="Times New Roman"/>
                <w:sz w:val="24"/>
                <w:szCs w:val="24"/>
              </w:rPr>
            </w:pPr>
            <w:r>
              <w:rPr>
                <w:rFonts w:ascii="Times New Roman" w:hAnsi="Times New Roman" w:cs="Times New Roman"/>
                <w:sz w:val="24"/>
                <w:szCs w:val="24"/>
              </w:rPr>
              <w:t>TL-I</w:t>
            </w:r>
          </w:p>
        </w:tc>
        <w:tc>
          <w:tcPr>
            <w:tcW w:w="1883" w:type="dxa"/>
            <w:shd w:val="clear" w:color="auto" w:fill="auto"/>
          </w:tcPr>
          <w:p w14:paraId="2A32BF3B" w14:textId="674CC645"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09B7C57F" w14:textId="77777777" w:rsidTr="007279C0">
        <w:trPr>
          <w:trHeight w:val="139"/>
        </w:trPr>
        <w:tc>
          <w:tcPr>
            <w:tcW w:w="3119" w:type="dxa"/>
            <w:shd w:val="clear" w:color="auto" w:fill="auto"/>
          </w:tcPr>
          <w:p w14:paraId="302BBF19" w14:textId="4918405D"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Kennedy </w:t>
            </w:r>
            <w:r w:rsidRPr="00771002">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{"citationItems":[{"id":"ITEM-1","itemData":{"DOI":"10.1176/ajp.2007.164.5.778","ISSN":"0002-953X","author":[{"dropping-particle":"","family":"Kennedy","given":"Sidney H","non-dropping-particle":"","parse-names":false,"suffix":""},{"dropping-particle":"","family":"Konarski","given":"Jakub Z","non-dropping-particle":"","parse-names":false,"suffix":""},{"dropping-particle":"V","family":"Segal","given":"Zindel","non-dropping-particle":"","parse-names":false,"suffix":""},{"dropping-particle":"","family":"Lau","given":"Mark A","non-dropping-particle":"","parse-names":false,"suffix":""},{"dropping-particle":"","family":"Bieling","given":"Peter J","non-dropping-particle":"","parse-names":false,"suffix":""},{"dropping-particle":"","family":"McIntyre","given":"Roger S.","non-dropping-particle":"","parse-names":false,"suffix":""},{"dropping-particle":"","family":"Mayberg","given":"Helen S","non-dropping-particle":"","parse-names":false,"suffix":""}],"container-title":"American Journal of Psychiatry","id":"ITEM-1","issue":"5","issued":{"date-parts":[["2007","5"]]},"page":"778-788","title":"Differences in Brain Glucose Metabolism Between Responders to CBT and Venlafaxine in a 16-Week Randomized Controlled Trial","type":"article-journal","volume":"164"},"uris":["http://www.mendeley.com/documents/?uuid=739211f0-7da8-4d47-95fe-f0d053fe830d"]}],"mendeley":{"formattedCitation":"[20]","plainTextFormattedCitation":"[20]","previouslyFormattedCitation":"[20]"},"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[20]</w:t>
            </w:r>
            <w:r>
              <w:rPr>
                <w:rFonts w:ascii="Times New Roman" w:hAnsi="Times New Roman" w:cs="Times New Roman"/>
                <w:sz w:val="24"/>
              </w:rPr>
              <w:fldChar w:fldCharType="end"/>
            </w:r>
          </w:p>
        </w:tc>
        <w:tc>
          <w:tcPr>
            <w:tcW w:w="1569" w:type="dxa"/>
            <w:shd w:val="clear" w:color="auto" w:fill="auto"/>
          </w:tcPr>
          <w:p w14:paraId="194EF747" w14:textId="699B798B"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0571266E" w14:textId="18483E7C"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60DBEFF3" w14:textId="75438993"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70911AA3" w14:textId="3B01B66D"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6F3C46FB" w14:textId="77777777" w:rsidTr="007279C0">
        <w:trPr>
          <w:trHeight w:val="172"/>
        </w:trPr>
        <w:tc>
          <w:tcPr>
            <w:tcW w:w="3119" w:type="dxa"/>
            <w:shd w:val="clear" w:color="auto" w:fill="auto"/>
          </w:tcPr>
          <w:p w14:paraId="5AA4D889" w14:textId="14516954"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Lopez Rodriguez </w:t>
            </w:r>
            <w:r w:rsidRPr="00706203">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{"citationItems":[{"id":"ITEM-1","itemData":{"ISSN":"01853325","abstract":"Antecedentes: La depresión es uno de los trastornos mentales más frecuentes en todo el mundo, y su prevalencia es de 8-12%. En México se ha calculado que 8.3% de la población ha padecido este trastorno al menos una vez en la vida. Sin importar el país o la cultura, la depresión es de dos a tres veces más frecuente en las mujeres que en los hombres, y la sufren más las personas solas, separadas o divorciadas, o que viven en áreas rurales. Aunque se puede presentar a cualquier edad, en 50% de los sujetos el trastorno se inicia entre los 20 y los 50 años. La etiología de la depresión es multifactorial debido a que intervienen factores biológicos, genéticos y psicosociales que, en mayor o menor grado, desencadenan la enfermedad o exacerban sus síntomas. Desde el punto de vista psicoanalítico, Freud postuló que la ira de los pacientes deprimidos se dirigía hacia su propio interior por una identificación con el objeto perdido, ya que era la única vía que tenía el ¿yo¿ para renunciar al objeto. En tal sentido, surgieron nuevas teorías psicológicas de la depresión y, por tanto, un nuevo abordaje para su tratamiento. En los últimos diez años se ha discutido el papel que desempeña la psicoterapia en el tratamiento de la depresión, para lo cual se propone como parte de un manejo integral. Sin embargo, dicho tratamiento dependerá de la gravedad de la depresión y de los beneficios obtenidos con los antidepresivos. Se sugiere que el tratamiento combinado es benéfico para los pacientes que han respondido parcialmente al tratamiento único, para aquéllos con depresión crónica y para los pacientes con periodos cortos de recuperación. En este sentido surge la terapia breve y de urgencia de Bellak para tratar la depresión, en la que se aplican elementos teóricos psicodinámicos y técnicas de tipo psicodinámico, de apoyo y cognoscitivo. Esta terapia valora la regulación de la autoestima, el superyó severo, la intraagresión, la pérdida objetal, la desilusión objetal, el engaño objetal, la oralidad, la dependencia narcisista, la negación y las perturbaciones en las relaciones objetales. La terapia de Bellak actúa sobre los primeros nueve puntos, a diferencia de las terapias a largo plazo que se dirigen principalmente a las relaciones objetales.Objetivo: Comparar la efectividad del tratamiento psicoterapéutico, farmacológico, mixto y con placebo en el manejo de la depresión leve a moderada.Metodología: Se diseñó un estudio de cohorte de tipo prospectivo. En un periodo de 90 día…","author":[{"dropping-particle":"","family":"López Rodríguez","given":"Jaime","non-dropping-particle":"","parse-names":false,"suffix":""},{"dropping-particle":"","family":"López Butrón","given":"Marco Antonio","non-dropping-particle":"","parse-names":false,"suffix":""},{"dropping-particle":"","family":"Vargas Terrez","given":"Blanca Estela","non-dropping-particle":"","parse-names":false,"suffix":""},{"dropping-particle":"","family":"Villamil Salcedo","given":"Valerio","non-dropping-particle":"","parse-names":false,"suffix":""}],"container-title":"Salud Mental","id":"ITEM-1","issue":"5","issued":{"date-parts":[["2004"]]},"page":"53-61","title":"Estudio doble ciego con antidepresivo, psicoterapia breve y placebo en pacientes con depresión leve a moderada","type":"article-journal","volume":"27"},"uris":["http://www.mendeley.com/documents/?uuid=6a6b606b-b473-4956-a3f0-0d89ac01424f"]}],"mendeley":{"formattedCitation":"[21]","plainTextFormattedCitation":"[21]","previouslyFormattedCitation":"[21]"},"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[21]</w:t>
            </w:r>
            <w:r>
              <w:rPr>
                <w:rFonts w:ascii="Times New Roman" w:hAnsi="Times New Roman" w:cs="Times New Roman"/>
                <w:sz w:val="24"/>
              </w:rPr>
              <w:fldChar w:fldCharType="end"/>
            </w:r>
          </w:p>
        </w:tc>
        <w:tc>
          <w:tcPr>
            <w:tcW w:w="1569" w:type="dxa"/>
            <w:shd w:val="clear" w:color="auto" w:fill="auto"/>
          </w:tcPr>
          <w:p w14:paraId="0113E048" w14:textId="0C92BF70"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728FDBD5" w14:textId="74C6F26B" w:rsidR="007279C0" w:rsidRDefault="007279C0" w:rsidP="007279C0">
            <w:pPr>
              <w:rPr>
                <w:rFonts w:ascii="Times New Roman" w:hAnsi="Times New Roman" w:cs="Times New Roman"/>
                <w:sz w:val="24"/>
                <w:szCs w:val="24"/>
              </w:rPr>
            </w:pPr>
            <w:r>
              <w:rPr>
                <w:rFonts w:ascii="Times New Roman" w:hAnsi="Times New Roman" w:cs="Times New Roman"/>
                <w:sz w:val="24"/>
                <w:szCs w:val="24"/>
              </w:rPr>
              <w:t>No</w:t>
            </w:r>
          </w:p>
        </w:tc>
        <w:tc>
          <w:tcPr>
            <w:tcW w:w="1256" w:type="dxa"/>
            <w:shd w:val="clear" w:color="auto" w:fill="auto"/>
          </w:tcPr>
          <w:p w14:paraId="13F164A2" w14:textId="0F4EDEB2"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2EAE493C" w14:textId="5FC214D3"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01CCEEB4" w14:textId="77777777" w:rsidTr="007279C0">
        <w:trPr>
          <w:trHeight w:val="80"/>
        </w:trPr>
        <w:tc>
          <w:tcPr>
            <w:tcW w:w="3119" w:type="dxa"/>
            <w:shd w:val="clear" w:color="auto" w:fill="auto"/>
          </w:tcPr>
          <w:p w14:paraId="1993F52F" w14:textId="5526A495"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Martin </w:t>
            </w:r>
            <w:r w:rsidRPr="00A72E34">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{"citationItems":[{"id":"ITEM-1","itemData":{"DOI":"10.1001/archpsyc.58.7.641","ISSN":"0003-990X","author":[{"dropping-particle":"","family":"Martin","given":"Stephen D.","non-dropping-particle":"","parse-names":false,"suffix":""},{"dropping-particle":"","family":"Martin","given":"Elizabeth","non-dropping-particle":"","parse-names":false,"suffix":""},{"dropping-particle":"","family":"Rai","given":"Santoch S.","non-dropping-particle":"","parse-names":false,"suffix":""},{"dropping-particle":"","family":"Richardson","given":"Mark A.","non-dropping-particle":"","parse-names":false,"suffix":""},{"dropping-particle":"","family":"Royall","given":"Robert","non-dropping-particle":"","parse-names":false,"suffix":""}],"container-title":"Archives of General Psychiatry","id":"ITEM-1","issue":"7","issued":{"date-parts":[["2001","7","1"]]},"page":"641","title":"Brain Blood Flow Changes in Depressed Patients Treated With Interpersonal Psychotherapy or Venlafaxine Hydrochloride","type":"article-journal","volume":"58"},"uris":["http://www.mendeley.com/documents/?uuid=3604bec5-2bad-4afb-8ade-2724b024672a"]}],"mendeley":{"formattedCitation":"[22]","plainTextFormattedCitation":"[22]","previouslyFormattedCitation":"[22]"},"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[22]</w:t>
            </w:r>
            <w:r>
              <w:rPr>
                <w:rFonts w:ascii="Times New Roman" w:hAnsi="Times New Roman" w:cs="Times New Roman"/>
                <w:sz w:val="24"/>
              </w:rPr>
              <w:fldChar w:fldCharType="end"/>
            </w:r>
          </w:p>
        </w:tc>
        <w:tc>
          <w:tcPr>
            <w:tcW w:w="1569" w:type="dxa"/>
            <w:shd w:val="clear" w:color="auto" w:fill="auto"/>
          </w:tcPr>
          <w:p w14:paraId="5C31C8B1" w14:textId="64B1C4A2"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7CED061D" w14:textId="12D16D58"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2C10823E" w14:textId="075C916E"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10615A2B" w14:textId="0543CEE1"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598A0D1C" w14:textId="77777777" w:rsidTr="007279C0">
        <w:trPr>
          <w:trHeight w:val="160"/>
        </w:trPr>
        <w:tc>
          <w:tcPr>
            <w:tcW w:w="3119" w:type="dxa"/>
            <w:shd w:val="clear" w:color="auto" w:fill="auto"/>
          </w:tcPr>
          <w:p w14:paraId="6F399A45" w14:textId="79644B42"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McGrath </w:t>
            </w:r>
            <w:r w:rsidRPr="0065383F">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{"citationItems":[{"id":"ITEM-1","itemData":{"DOI":"10.1001/jamapsychiatry.2013.143","ISBN":"978-1-4799-5001-0","ISSN":"2168-622X","PMID":"23760393","abstract":"IMPORTANCE Currently, fewer than 40% of patients treated for major depressive disorder achieve remission with initial treatment. Identification of a biological marker that might improve these odds could have significant health and economic impact. OBJECTIVE To identify a candidate neuroimaging \"treatment-specific biomarker\" that predicts differential outcome to either medication or psychotherapy. DESIGN Brain glucose metabolism was measured with positron emission tomography prior to treatment randomization to either escitalopram oxalate or cognitive behavior therapy for 12 weeks. Patients who did not remit on completion of their phase 1 treatment were offered enrollment in phase 2 comprising an additional 12 weeks of treatment with combination escitalopram and cognitive behavior therapy. SETTING Mood and anxiety disorders research program at an academic medical center. PARTICIPANTS Men and women aged 18 to 60 years with currently untreated major depressive disorder. INTERVENTION Randomized assignment to 12 weeks of treatment with either escitalopram oxalate (10-20 mg/d) or 16 sessions of manual-based cognitive behavior therapy. MAIN OUTCOME AND MEASURE Remission, defined as a 17-item Hamilton Depression Rating Scale score of 7 or less at both weeks 10 and 12, as assessed by raters blinded to treatment. RESULTS Positive and negative predictors of remission were identified with a 2-way analysis of variance treatment (escitalopram or cognitive behavior therapy) x outcome (remission or nonresponse) interaction. Of 65 protocol completers, 38 patients with clear outcomes and usable positron emission tomography scans were included in the primary analysis: 12 remitters to cognitive behavior therapy, 11 remitters to escitalopram, 9 nonresponders to cognitive behavior therapy, and 6 nonresponders to escitalopram. Six limbic and cortical regions were identified, with the right anterior insula showing the most robust discriminant properties across groups (effect size = 1.43). Insula hypometabolism (relative to whole-brain mean) was associated with remission to cognitive behavior therapy and poor response to escitalopram, while insula hypermetabolism was associated with remission to escitalopram and poor response to cognitive behavior therapy. CONCLUSIONS AND RELEVANCE If verified with prospective testing, the insula metabolism-based treatment-specific biomarker defined in this study provides the first objective marker, to our knowledge, to guide initial treatment s…","author":[{"dropping-particle":"","family":"McGrath","given":"Callie L.","non-dropping-particle":"","parse-names":false,"suffix":""},{"dropping-particle":"","family":"Kelley","given":"Mary E.","non-dropping-particle":"","parse-names":false,"suffix":""},{"dropping-particle":"","family":"Holtzheimer","given":"Paul E.","non-dropping-particle":"","parse-names":false,"suffix":""},{"dropping-particle":"","family":"Dunlop","given":"Boadie W.","non-dropping-particle":"","parse-names":false,"suffix":""},{"dropping-particle":"","family":"Craighead","given":"W. Edward","non-dropping-particle":"","parse-names":false,"suffix":""},{"dropping-particle":"","family":"Franco","given":"Alexandre R.","non-dropping-particle":"","parse-names":false,"suffix":""},{"dropping-particle":"","family":"Craddock","given":"R. Cameron","non-dropping-particle":"","parse-names":false,"suffix":""},{"dropping-particle":"","family":"Mayberg","given":"Helen S.","non-dropping-particle":"","parse-names":false,"suffix":""}],"container-title":"JAMA Psychiatry","id":"ITEM-1","issue":"8","issued":{"date-parts":[["2013","8","1"]]},"page":"821-829","publisher":"IEEE","title":"Toward a Neuroimaging Treatment Selection Biomarker for Major Depressive Disorder","type":"article-journal","volume":"70"},"uris":["http://www.mendeley.com/documents/?uuid=553868b3-9a5f-4a0c-a856-1fdb7e555bc1"]}],"mendeley":{"formattedCitation":"[23]","plainTextFormattedCitation":"[23]","previouslyFormattedCitation":"[23]"},"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[23]</w:t>
            </w:r>
            <w:r>
              <w:rPr>
                <w:rFonts w:ascii="Times New Roman" w:hAnsi="Times New Roman" w:cs="Times New Roman"/>
                <w:sz w:val="24"/>
              </w:rPr>
              <w:fldChar w:fldCharType="end"/>
            </w:r>
          </w:p>
        </w:tc>
        <w:tc>
          <w:tcPr>
            <w:tcW w:w="1569" w:type="dxa"/>
            <w:shd w:val="clear" w:color="auto" w:fill="auto"/>
          </w:tcPr>
          <w:p w14:paraId="0FE02B9A" w14:textId="13FB2621"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25F56107" w14:textId="24F27783"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51981838" w14:textId="04DFA6EC" w:rsidR="007279C0" w:rsidRDefault="007279C0" w:rsidP="007279C0">
            <w:pPr>
              <w:rPr>
                <w:rFonts w:ascii="Times New Roman" w:hAnsi="Times New Roman" w:cs="Times New Roman"/>
                <w:sz w:val="24"/>
                <w:szCs w:val="24"/>
              </w:rPr>
            </w:pPr>
            <w:r>
              <w:rPr>
                <w:rFonts w:ascii="Times New Roman" w:hAnsi="Times New Roman" w:cs="Times New Roman"/>
                <w:sz w:val="24"/>
                <w:szCs w:val="24"/>
              </w:rPr>
              <w:t>IL</w:t>
            </w:r>
          </w:p>
        </w:tc>
        <w:tc>
          <w:tcPr>
            <w:tcW w:w="1883" w:type="dxa"/>
            <w:shd w:val="clear" w:color="auto" w:fill="auto"/>
          </w:tcPr>
          <w:p w14:paraId="52E5EB8B" w14:textId="09481102"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35DD7ADC" w14:textId="77777777" w:rsidTr="007279C0">
        <w:trPr>
          <w:trHeight w:val="154"/>
        </w:trPr>
        <w:tc>
          <w:tcPr>
            <w:tcW w:w="3119" w:type="dxa"/>
            <w:shd w:val="clear" w:color="auto" w:fill="auto"/>
          </w:tcPr>
          <w:p w14:paraId="239B22BB" w14:textId="1411E0C2"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McKnight </w:t>
            </w:r>
            <w:r w:rsidRPr="00973A43">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{"citationItems":[{"id":"ITEM-1","itemData":{"DOI":"10.1016/S0005-7894(05)80311-9","ISSN":"00057894","abstract":"This study utilized 43 female subjects, diagnosed with Major Depression, with 20 showing an abnormal pre-treatment response to the dexamethasone suppression test (DST) and 23 showing a normal pre-treatment DST response~ Half of the subjects in each group were randomly assigned to receive eight weekly sessions of cognitive therapy or eight weeks of tricyclic medication. The main conclusions were: (a) the DST did not predict differential treatment responsiveness, with both groups of subjects im- proving with either cognitive therapy or tricyclics; Co) the DST was useful prognosti- cally in that depressives with an abnormal DST had a poorer response to either treat- ment; (c) both treatments produced a normalization of post-treatment DST responses; (d) both treatments produced a reduction in post-treatment dysfunctional thoughts with cognitive therapy producing a greater reduction; (e) there was a high correlation (0.74) between pretreatment DST response and presence versus absence of melancholic symptoms; (f) all results found when subjects were classified by DST response were replicated when subjects were re-classified as to presence or absence of melancholic symptoms. Both","author":[{"dropping-particle":"","family":"McKnight","given":"Dennis L.","non-dropping-particle":"","parse-names":false,"suffix":""},{"dropping-particle":"","family":"Nelson-Gray","given":"Rosemery O.","non-dropping-particle":"","parse-names":false,"suffix":""},{"dropping-particle":"","family":"Barnhill","given":"Jarrett","non-dropping-particle":"","parse-names":false,"suffix":""}],"container-title":"Behavior Therapy","id":"ITEM-1","issue":"1","issued":{"date-parts":[["1992"]]},"page":"99-111","title":"Dexamethasone suppression test and response to cognitive therapy and antidepressant medication","type":"article-journal","volume":"23"},"uris":["http://www.mendeley.com/documents/?uuid=dd24d950-b6a0-401e-9d64-6d4f434683cd"]}],"mendeley":{"formattedCitation":"[24]","plainTextFormattedCitation":"[24]","previouslyFormattedCitation":"[24]"},"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[24]</w:t>
            </w:r>
            <w:r>
              <w:rPr>
                <w:rFonts w:ascii="Times New Roman" w:hAnsi="Times New Roman" w:cs="Times New Roman"/>
                <w:sz w:val="24"/>
              </w:rPr>
              <w:fldChar w:fldCharType="end"/>
            </w:r>
          </w:p>
        </w:tc>
        <w:tc>
          <w:tcPr>
            <w:tcW w:w="1569" w:type="dxa"/>
            <w:shd w:val="clear" w:color="auto" w:fill="auto"/>
          </w:tcPr>
          <w:p w14:paraId="119015BC" w14:textId="70727145"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5F9E90CE" w14:textId="71706A8F"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612621ED" w14:textId="00B4F1F4"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0EF05AF1" w14:textId="38B2D6D0"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0F00349F" w14:textId="77777777" w:rsidTr="007279C0">
        <w:trPr>
          <w:trHeight w:val="80"/>
        </w:trPr>
        <w:tc>
          <w:tcPr>
            <w:tcW w:w="3119" w:type="dxa"/>
            <w:shd w:val="clear" w:color="auto" w:fill="auto"/>
          </w:tcPr>
          <w:p w14:paraId="680C6E83" w14:textId="424168AD"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McLean </w:t>
            </w:r>
            <w:r w:rsidRPr="00960E1F">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{"citationItems":[{"id":"ITEM-1","itemData":{"DOI":"10.1037/0022-006X.47.5.818","ISSN":"1939-2117","abstract":"One hundred seventy-eight moderately clinically depressed clients were given 10 weeks of psychotherapy, behavior therapy, drug therapy, or relaxation therapy (treatment control condition). Fifty-five normal subjects were eval- uated for comparison purposes, but were not part of the data analyses. In addition to showing differential treatment drop-out rates, results showed behavior therapy to be superior on 9 of 10 measures at the end of treatment and marginally superior at the 3-month follow-up. Psychotherapy performed most poorly on most outcome measures at both evaluation periods, and there were no significant differences between drug therapy and relaxation therapy on any outcome measure. Neither therapist experience nor client cluster type interacted with treatment. There was an overall significant difference be- tween high and low treatment responders, but discriminant function classifi- cation predicted treatment response correctly in only 68% of the cases.","author":[{"dropping-particle":"","family":"McLean","given":"Peter D.","non-dropping-particle":"","parse-names":false,"suffix":""},{"dropping-particle":"","family":"Hakstian","given":"A. Ralph","non-dropping-particle":"","parse-names":false,"suffix":""}],"container-title":"Journal of Consulting and Clinical Psychology","id":"ITEM-1","issue":"5","issued":{"date-parts":[["1979"]]},"page":"818-836","title":"Clinical depression: Comparative efficacy of outpatient treatments","type":"article-journal","volume":"47"},"uris":["http://www.mendeley.com/documents/?uuid=9627548c-8a0f-49bf-9511-5f5cd19ba19c"]}],"mendeley":{"formattedCitation":"[25]","plainTextFormattedCitation":"[25]","previouslyFormattedCitation":"[25]"},"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[25]</w:t>
            </w:r>
            <w:r>
              <w:rPr>
                <w:rFonts w:ascii="Times New Roman" w:hAnsi="Times New Roman" w:cs="Times New Roman"/>
                <w:sz w:val="24"/>
              </w:rPr>
              <w:fldChar w:fldCharType="end"/>
            </w:r>
          </w:p>
        </w:tc>
        <w:tc>
          <w:tcPr>
            <w:tcW w:w="1569" w:type="dxa"/>
            <w:shd w:val="clear" w:color="auto" w:fill="auto"/>
          </w:tcPr>
          <w:p w14:paraId="3FF88177" w14:textId="065AD673"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3B8B7EF5" w14:textId="65E1A1F0"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719256D7" w14:textId="1C0E5BD1"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161A6E25" w14:textId="6DE51C6B"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2F8808E9" w14:textId="77777777" w:rsidTr="007279C0">
        <w:trPr>
          <w:trHeight w:val="298"/>
        </w:trPr>
        <w:tc>
          <w:tcPr>
            <w:tcW w:w="3119" w:type="dxa"/>
            <w:shd w:val="clear" w:color="auto" w:fill="auto"/>
          </w:tcPr>
          <w:p w14:paraId="6B9F0E15" w14:textId="532D89B3"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Menchetti</w:t>
            </w:r>
            <w:proofErr w:type="spellEnd"/>
            <w:r>
              <w:rPr>
                <w:rFonts w:ascii="Times New Roman" w:hAnsi="Times New Roman" w:cs="Times New Roman"/>
                <w:sz w:val="24"/>
              </w:rPr>
              <w:t xml:space="preserve"> </w:t>
            </w:r>
            <w:r w:rsidRPr="003F28EA">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{"citationItems":[{"id":"ITEM-1","itemData":{"DOI":"10.1192/bjp.bp.112.122663","ISSN":"0007-1250","abstract":"Background: Despite depressive disorders being very common there has been little research to guide primary care physicians on the choice of treatment for patients with mild to moderate depression. Aims: To evaluate the efficacy of interpersonal counselling compared with selective serotonin reuptake inhibitors (SSRIs), in primary care attenders with major depression and to identify moderators of treatment outcome. Method: A randomised controlled trial in nine centres (DEPICS, Australian New Zealand Clinical Trials Registry number: ACTRN12608000479303). The primary outcome was remission of the depressive episode (defined as a Hamilton Rating Scale for Depression score ≤7 at 2 months). Daily functioning was assessed using the Work and Social Adjustment Scale. Logistic regression models were used to identify moderators of treatment outcome. Results: The percentage of patients who achieved remission at 2 months was significantly higher in the interpersonal counselling group compared with the SSRI group (58.7% v. 45.1%, P = 0.021). Five moderators of treatment outcome were found: depression severity, functional impairment, anxiety comorbidity, previous depressive episodes and smoking habit. Conclusions: We identified some patient characteristics predicting a differential outcome with pharmacological and psychological interventions. Should our results be confirmed in future studies, these characteristics will help clinicians to define criteria for first-line treatment of depression targeted to patients' characteristics.","author":[{"dropping-particle":"","family":"Menchetti","given":"Marco","non-dropping-particle":"","parse-names":false,"suffix":""},{"dropping-particle":"","family":"Rucci","given":"Paola","non-dropping-particle":"","parse-names":false,"suffix":""},{"dropping-particle":"","family":"Bortolotti","given":"Biancamaria","non-dropping-particle":"","parse-names":false,"suffix":""},{"dropping-particle":"","family":"Bombi","given":"Annarosa","non-dropping-particle":"","parse-names":false,"suffix":""},{"dropping-particle":"","family":"Scocco","given":"Paolo","non-dropping-particle":"","parse-names":false,"suffix":""},{"dropping-particle":"","family":"Kraemer","given":"Helena Chmura","non-dropping-particle":"","parse-names":false,"suffix":""},{"dropping-particle":"","family":"Berardi","given":"Domenico","non-dropping-particle":"","parse-names":false,"suffix":""}],"container-title":"British Journal of Psychiatry","id":"ITEM-1","issue":"2","issued":{"date-parts":[["2014","2","2"]]},"page":"144-150","title":"Moderators of remission with interpersonal counselling or drug treatment in primary care patients with depression: randomised controlled trial","type":"article-journal","volume":"204"},"uris":["http://www.mendeley.com/documents/?uuid=3ab4578f-2e44-47ec-99fc-bac5c32412c2"]}],"mendeley":{"formattedCitation":"[26]","plainTextFormattedCitation":"[26]","previouslyFormattedCitation":"[26]"},"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[26]</w:t>
            </w:r>
            <w:r>
              <w:rPr>
                <w:rFonts w:ascii="Times New Roman" w:hAnsi="Times New Roman" w:cs="Times New Roman"/>
                <w:sz w:val="24"/>
              </w:rPr>
              <w:fldChar w:fldCharType="end"/>
            </w:r>
          </w:p>
        </w:tc>
        <w:tc>
          <w:tcPr>
            <w:tcW w:w="1569" w:type="dxa"/>
            <w:shd w:val="clear" w:color="auto" w:fill="auto"/>
          </w:tcPr>
          <w:p w14:paraId="4FEC2175" w14:textId="544738B6"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30CC59A6" w14:textId="4B578691"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2A980E79" w14:textId="77D24A74" w:rsidR="007279C0" w:rsidRDefault="007279C0" w:rsidP="007279C0">
            <w:pPr>
              <w:rPr>
                <w:rFonts w:ascii="Times New Roman" w:hAnsi="Times New Roman" w:cs="Times New Roman"/>
                <w:sz w:val="24"/>
                <w:szCs w:val="24"/>
              </w:rPr>
            </w:pPr>
            <w:r>
              <w:rPr>
                <w:rFonts w:ascii="Times New Roman" w:hAnsi="Times New Roman" w:cs="Times New Roman"/>
                <w:sz w:val="24"/>
                <w:szCs w:val="24"/>
              </w:rPr>
              <w:t>TL-I</w:t>
            </w:r>
          </w:p>
        </w:tc>
        <w:tc>
          <w:tcPr>
            <w:tcW w:w="1883" w:type="dxa"/>
            <w:shd w:val="clear" w:color="auto" w:fill="auto"/>
          </w:tcPr>
          <w:p w14:paraId="266FF147" w14:textId="11DD67B2"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2BBFD483" w14:textId="77777777" w:rsidTr="007279C0">
        <w:trPr>
          <w:trHeight w:val="292"/>
        </w:trPr>
        <w:tc>
          <w:tcPr>
            <w:tcW w:w="3119" w:type="dxa"/>
            <w:shd w:val="clear" w:color="auto" w:fill="auto"/>
          </w:tcPr>
          <w:p w14:paraId="653C907C" w14:textId="2B475F06"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Miranda </w:t>
            </w:r>
            <w:r w:rsidRPr="00EF7FF1">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{"citationItems":[{"id":"ITEM-1","itemData":{"DOI":"10.1001/jama.290.1.57","ISSN":"0098-7484","abstract":"Context Impoverished minority women experience a higher burden from depres- sion than do white women because they are less likely to receive appropriate care. Little is known about the effectiveness of guideline-based care for depression with im- poverished minority women, most of whom do not seek care. Objective To determine the impact of an intervention to deliver guideline-based care for depression compared with referral to community care with low-income and mi- nority women. Design, Setting, and Participants A randomized controlled trial conducted in the Washington, DC, suburban area from March 1997 through May 2002 of 267 women with current major depression, who attended county-run Women, Infants, and Chil- dren food subsidy programs and Title X family planning clinics. Outcomes Hamilton Depression Rating Scale measured monthly from baseline through 6 months; instrumental role functioning (Social Adjustment Scale) and social function- ing (Short Form 36-Item Health Survey) measured at baseline and 3 and 6 months. Interventions Participants were randomly assigned to an antidepressant medica- tion intervention (trial of paroxetine switched to buproprion, if lack of response) (n=88), a psychotherapy intervention (8 weeks of manual-guided cognitive behavior therapy) (n=90), or referral to community mental health services (n=89). Results Both the medication intervention (P</w:instrText>
            </w:r>
            <w:r>
              <w:rPr>
                <w:rFonts w:ascii="Cambria Math" w:hAnsi="Cambria Math" w:cs="Cambria Math"/>
                <w:sz w:val="24"/>
              </w:rPr>
              <w:instrText>⬍</w:instrText>
            </w:r>
            <w:r>
              <w:rPr>
                <w:rFonts w:ascii="Times New Roman" w:hAnsi="Times New Roman" w:cs="Times New Roman"/>
                <w:sz w:val="24"/>
              </w:rPr>
              <w:instrText>.001) and the psychotherapy inter- vention (P=.006) reduced depressive symptoms more than the community referral did. The medication intervention also resulted in improved instrumental role (P=.006) and social (P=.001) functioning. The psychotherapy intervention resulted in im- proved social functioning (P=.02). Women randomly assigned to receive medications were twice as likely (odds ratio, 2.04; 95% confidence interval, 0.98-4.27; P=.057) to achieve a Hamilton Depression Rating Scale score of 7 or less by month 6 as were those referred to community care. Conclusions Guideline-concordant care for major depression is effective for these ethnically diverse and impoverished patients. More women engaged in a sufficient du- ration of treatmentwith medications compared with psychotherapy, and outcome gains were more extensive and robust for medications.","author":[{"dropping-particle":"","family":"Miranda","given":"Jeanne","non-dropping-particle":"","parse-names":false,"suffix":""},{"dropping-particle":"","family":"Chung","given":"Joyce Y","non-dropping-particle":"","parse-names":false,"suffix":""},{"dropping-particle":"","family":"Green","given":"Bonnie L","non-dropping-particle":"","parse-names":false,"suffix":""},{"dropping-particle":"","family":"Krupnick","given":"Janice","non-dropping-particle":"","parse-names":false,"suffix":""},{"dropping-particle":"","family":"Siddique","given":"Juned","non-dropping-particle":"","parse-names":false,"suffix":""},{"dropping-particle":"","family":"Revicki","given":"Dennis A.","non-dropping-particle":"","parse-names":false,"suffix":""},{"dropping-particle":"","family":"Belin","given":"Tom","non-dropping-particle":"","parse-names":false,"suffix":""}],"container-title":"JAMA","id":"ITEM-1","issue":"1","issued":{"date-parts":[["2003","7","2"]]},"page":"57-65","title":"Treating Depression in Predominantly Low-Income Young Minority Women","type":"article-journal","volume":"290"},"uris":["http://www.mendeley.com/documents/?uuid=c1a05266-936b-4b14-a78a-ad42ed34bfc6"]}],"mendeley":{"formattedCitation":"[27]","plainTextFormattedCitation":"[27]","previouslyFormattedCitation":"[27]"},"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[27]</w:t>
            </w:r>
            <w:r>
              <w:rPr>
                <w:rFonts w:ascii="Times New Roman" w:hAnsi="Times New Roman" w:cs="Times New Roman"/>
                <w:sz w:val="24"/>
              </w:rPr>
              <w:fldChar w:fldCharType="end"/>
            </w:r>
          </w:p>
        </w:tc>
        <w:tc>
          <w:tcPr>
            <w:tcW w:w="1569" w:type="dxa"/>
            <w:shd w:val="clear" w:color="auto" w:fill="auto"/>
          </w:tcPr>
          <w:p w14:paraId="5F7FC09C" w14:textId="757CA296"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430CF92A" w14:textId="49763D9E"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63BF8796" w14:textId="5826AA3E"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45C182B3" w14:textId="5E5DF02D"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56CCD975" w14:textId="77777777" w:rsidTr="007279C0">
        <w:trPr>
          <w:trHeight w:val="80"/>
        </w:trPr>
        <w:tc>
          <w:tcPr>
            <w:tcW w:w="3119" w:type="dxa"/>
            <w:shd w:val="clear" w:color="auto" w:fill="auto"/>
          </w:tcPr>
          <w:p w14:paraId="2B15DFAD" w14:textId="68FEF0FB"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Moradveisi</w:t>
            </w:r>
            <w:proofErr w:type="spellEnd"/>
            <w:r>
              <w:rPr>
                <w:rFonts w:ascii="Times New Roman" w:hAnsi="Times New Roman" w:cs="Times New Roman"/>
                <w:sz w:val="24"/>
              </w:rPr>
              <w:t xml:space="preserve"> </w:t>
            </w:r>
            <w:r w:rsidRPr="00BD220D">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{"citationItems":[{"id":"ITEM-1","itemData":{"DOI":"10.1192/bjp.bp.112.113696","ISSN":"0007-1250","abstract":"Background: Behavioural activation might be a viable alternative to antidepressant medication for major depressive disorder. Aims: To compare the effectiveness of behavioural activation and treatment as usual (TAU, antidepressant medication) for major depressive disorder in routine clinical practice in Iran. Method: Patients with major depressive disorder (n = 100) were randomised to 16 sessions of behavioural activation (n = 50) or antidepressant medication (n = 50) (IRCT138807192573N1). The main outcome was depression, measured with the Beck Depression Inventory (BDI) and the Hamilton Rating Scale for Depression (HRSD), assessed at 0, 4, 13 and 49 weeks. Results: Symptom reduction was greater in the behavioural activation group than in the TAU group on both the BDI and the HRSD at 13 and 49 weeks in multilevel analysis. Baseline depression severity was a moderator, with relatively better effects for behavioural activation in individuals who were more severely depressed. Also, there was better retention in the behavioural activation than in the TAU group. Conclusions: Behavioural activation is a viable and effective treatment for people with major depressive disorder, especially for those who are more severely depressed, and it can successfully be disseminated into routine practice settings in a non-Western country such as Iran. Copyright © BJP 2013.","author":[{"dropping-particle":"","family":"Moradveisi","given":"Latif","non-dropping-particle":"","parse-names":false,"suffix":""},{"dropping-particle":"","family":"Huibers","given":"Marcus J. H.","non-dropping-particle":"","parse-names":false,"suffix":""},{"dropping-particle":"","family":"Renner","given":"Fritz","non-dropping-particle":"","parse-names":false,"suffix":""},{"dropping-particle":"","family":"Arasteh","given":"Modabber","non-dropping-particle":"","parse-names":false,"suffix":""},{"dropping-particle":"","family":"Arntz","given":"Arnoud","non-dropping-particle":"","parse-names":false,"suffix":""}],"container-title":"British Journal of Psychiatry","id":"ITEM-1","issue":"3","issued":{"date-parts":[["2013","3","2"]]},"page":"204-211","title":"Behavioural activation v. antidepressant medication for treating depression in Iran: randomised trial","type":"article-journal","volume":"202"},"uris":["http://www.mendeley.com/documents/?uuid=49bda32a-e2ec-4986-921a-282caa8d4ae1"]}],"mendeley":{"formattedCitation":"[28]","plainTextFormattedCitation":"[28]","previouslyFormattedCitation":"[28]"},"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[28]</w:t>
            </w:r>
            <w:r>
              <w:rPr>
                <w:rFonts w:ascii="Times New Roman" w:hAnsi="Times New Roman" w:cs="Times New Roman"/>
                <w:sz w:val="24"/>
              </w:rPr>
              <w:fldChar w:fldCharType="end"/>
            </w:r>
          </w:p>
        </w:tc>
        <w:tc>
          <w:tcPr>
            <w:tcW w:w="1569" w:type="dxa"/>
            <w:shd w:val="clear" w:color="auto" w:fill="auto"/>
          </w:tcPr>
          <w:p w14:paraId="0132AD71" w14:textId="5E607035"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1034875E" w14:textId="34BD916C"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4A39E748" w14:textId="6780B2D9" w:rsidR="007279C0" w:rsidRDefault="007279C0" w:rsidP="007279C0">
            <w:pPr>
              <w:rPr>
                <w:rFonts w:ascii="Times New Roman" w:hAnsi="Times New Roman" w:cs="Times New Roman"/>
                <w:sz w:val="24"/>
                <w:szCs w:val="24"/>
              </w:rPr>
            </w:pPr>
            <w:r>
              <w:rPr>
                <w:rFonts w:ascii="Times New Roman" w:hAnsi="Times New Roman" w:cs="Times New Roman"/>
                <w:sz w:val="24"/>
                <w:szCs w:val="24"/>
              </w:rPr>
              <w:t>TL-S</w:t>
            </w:r>
          </w:p>
        </w:tc>
        <w:tc>
          <w:tcPr>
            <w:tcW w:w="1883" w:type="dxa"/>
            <w:shd w:val="clear" w:color="auto" w:fill="auto"/>
          </w:tcPr>
          <w:p w14:paraId="2A6A9B19" w14:textId="1D1AF10F"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A reasonable request for data can be made to original authors</w:t>
            </w:r>
          </w:p>
        </w:tc>
      </w:tr>
      <w:tr w:rsidR="007279C0" w14:paraId="5F6F6658" w14:textId="77777777" w:rsidTr="007279C0">
        <w:trPr>
          <w:trHeight w:val="281"/>
        </w:trPr>
        <w:tc>
          <w:tcPr>
            <w:tcW w:w="3119" w:type="dxa"/>
            <w:shd w:val="clear" w:color="auto" w:fill="auto"/>
          </w:tcPr>
          <w:p w14:paraId="4D8AD668" w14:textId="4F8FA322"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Murphy </w:t>
            </w:r>
            <w:r w:rsidRPr="006A463F">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{"citationItems":[{"id":"ITEM-1","itemData":{"DOI":"10.2466/pr0.1995.77.2.403","ISSN":"0033-2941","author":[{"dropping-particle":"","family":"Murphy","given":"George E","non-dropping-particle":"","parse-names":false,"suffix":""},{"dropping-particle":"","family":"Carney","given":"Robert M","non-dropping-particle":"","parse-names":false,"suffix":""},{"dropping-particle":"","family":"Knesevich","given":"Mary Ann","non-dropping-particle":"","parse-names":false,"suffix":""},{"dropping-particle":"","family":"Wetzel","given":"Richard D","non-dropping-particle":"","parse-names":false,"suffix":""},{"dropping-particle":"","family":"Whitworth","given":"Pamela","non-dropping-particle":"","parse-names":false,"suffix":""}],"container-title":"Psychological Reports","id":"ITEM-1","issue":"2","issued":{"date-parts":[["1995","10","6"]]},"page":"403-420","title":"Cognitive Behavior Therapy, Relaxation Training, and Tricyclic Antidepressant Medication in the Treatment of Depression","type":"article-journal","volume":"77"},"uris":["http://www.mendeley.com/documents/?uuid=e0ba46bf-6639-49d0-bd7b-aaed0a9f5b60"]}],"mendeley":{"formattedCitation":"[29]","plainTextFormattedCitation":"[29]","previouslyFormattedCitation":"[29]"},"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[29]</w:t>
            </w:r>
            <w:r>
              <w:rPr>
                <w:rFonts w:ascii="Times New Roman" w:hAnsi="Times New Roman" w:cs="Times New Roman"/>
                <w:sz w:val="24"/>
              </w:rPr>
              <w:fldChar w:fldCharType="end"/>
            </w:r>
          </w:p>
        </w:tc>
        <w:tc>
          <w:tcPr>
            <w:tcW w:w="1569" w:type="dxa"/>
            <w:shd w:val="clear" w:color="auto" w:fill="auto"/>
          </w:tcPr>
          <w:p w14:paraId="6250344A" w14:textId="4F00BA41"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39F2D2ED" w14:textId="76525B1D"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339291FC" w14:textId="23171F06"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18F739C1" w14:textId="490DE233"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5B706CDC" w14:textId="77777777" w:rsidTr="007279C0">
        <w:trPr>
          <w:trHeight w:val="80"/>
        </w:trPr>
        <w:tc>
          <w:tcPr>
            <w:tcW w:w="3119" w:type="dxa"/>
            <w:shd w:val="clear" w:color="auto" w:fill="auto"/>
          </w:tcPr>
          <w:p w14:paraId="5A19EC75" w14:textId="3224CD5A"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Mynors</w:t>
            </w:r>
            <w:proofErr w:type="spellEnd"/>
            <w:r>
              <w:rPr>
                <w:rFonts w:ascii="Times New Roman" w:hAnsi="Times New Roman" w:cs="Times New Roman"/>
                <w:sz w:val="24"/>
              </w:rPr>
              <w:t xml:space="preserve">-Wallis </w:t>
            </w:r>
            <w:r w:rsidRPr="00A17469">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{"citationItems":[{"id":"ITEM-1","itemData":{"DOI":"10.1136/bmj.310.6977.441","ISSN":"0959-8138","abstract":"Determines whether a brief psychological treatment is as effective as antidepressant drugs in the treatment of major depression in primary care. Feasibility and acceptability of approach to patients.","author":[{"dropping-particle":"","family":"Mynors-Wallis","given":"Laurence M","non-dropping-particle":"","parse-names":false,"suffix":""},{"dropping-particle":"","family":"Gath","given":"D H","non-dropping-particle":"","parse-names":false,"suffix":""},{"dropping-particle":"","family":"Lloyd-Thomas","given":"A R","non-dropping-particle":"","parse-names":false,"suffix":""},{"dropping-particle":"","family":"Tomlinson","given":"D","non-dropping-particle":"","parse-names":false,"suffix":""}],"container-title":"BMJ","id":"ITEM-1","issue":"6977","issued":{"date-parts":[["1995","2","18"]]},"page":"441-445","title":"Randomised controlled trial comparing problem solving treatment with amitriptyline and placebo for major depression in primary care","type":"article-journal","volume":"310"},"uris":["http://www.mendeley.com/documents/?uuid=640f75a9-f963-4944-b44e-6231fd4aed2f"]}],"mendeley":{"formattedCitation":"[30]","plainTextFormattedCitation":"[30]","previouslyFormattedCitation":"[30]"},"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[30]</w:t>
            </w:r>
            <w:r>
              <w:rPr>
                <w:rFonts w:ascii="Times New Roman" w:hAnsi="Times New Roman" w:cs="Times New Roman"/>
                <w:sz w:val="24"/>
              </w:rPr>
              <w:fldChar w:fldCharType="end"/>
            </w:r>
          </w:p>
        </w:tc>
        <w:tc>
          <w:tcPr>
            <w:tcW w:w="1569" w:type="dxa"/>
            <w:shd w:val="clear" w:color="auto" w:fill="auto"/>
          </w:tcPr>
          <w:p w14:paraId="2F912217" w14:textId="2EBD2D96"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6DD5A12C" w14:textId="2A8A9D00"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37950680" w14:textId="22B5C3BF"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6B273D88" w14:textId="32233973"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578B57C5" w14:textId="77777777" w:rsidTr="007279C0">
        <w:trPr>
          <w:trHeight w:val="114"/>
        </w:trPr>
        <w:tc>
          <w:tcPr>
            <w:tcW w:w="3119" w:type="dxa"/>
            <w:shd w:val="clear" w:color="auto" w:fill="auto"/>
          </w:tcPr>
          <w:p w14:paraId="2A50C368" w14:textId="146FB6A0"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Mynors</w:t>
            </w:r>
            <w:proofErr w:type="spellEnd"/>
            <w:r>
              <w:rPr>
                <w:rFonts w:ascii="Times New Roman" w:hAnsi="Times New Roman" w:cs="Times New Roman"/>
                <w:sz w:val="24"/>
              </w:rPr>
              <w:t xml:space="preserve">-Wallis </w:t>
            </w:r>
            <w:r w:rsidRPr="00A17469">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{"citationItems":[{"id":"ITEM-1","itemData":{"DOI":"10.1136/bmj.320.7226.26","ISSN":"09598138","abstract":"Objective: To determine the prevalence of common mental disorders (anxiety and depression) and help seeking behaviour in African Caribbeans and white Europeans. Design: Two phase survey in a general population sample. The first phase comprised screening with the 12 item general health questionnaire; the second phase was standardised psychiatric assessment and interview about help seeking. Setting: People registered with four general practices in central Manchester. Participants: Of 1467 people randomly selected from family health services authority lists, 864 were still resident. 337 African Caribbeans and 275 white Europeans completed the screening phase (response rate 71%); 127 African Caribbeans and 103 white Europeans were interviewed in the second phase. Main outcome measures: One month period prevalence of anxiety and depressive disorders in each ethnic group. Results: 13% of African Caribbeans (95% confidence interval 10% to 16%) and 14% (10% to 18%) of white Europeans had one or more disorder. Anxiety disorders were significantly less common among African Caribbeans (3% (1% to 5%) v 9% (6% to 12%) in white Europeans). Depressive disorders were significantly more common among African Caribbean women than white women (difference 8% (1% to 15%)). Medical help seeking was similar in the two groups, but African Caribbeans with mental disorders were more likely to seek additional help from non-medical sources (12/29 v5/29, P=0.082). Conclusions: In an inner city setting the prevalence of common mental disorders is similar in these two ethnic groups. © 1999, BMJ Publishing Group Ltd. All rights reserved.","author":[{"dropping-particle":"","family":"Mynors-Wallis","given":"Laurence M","non-dropping-particle":"","parse-names":false,"suffix":""},{"dropping-particle":"","family":"Gath","given":"Dennis H","non-dropping-particle":"","parse-names":false,"suffix":""},{"dropping-particle":"","family":"Day","given":"Ann","non-dropping-particle":"","parse-names":false,"suffix":""},{"dropping-particle":"","family":"Baker","given":"Frances","non-dropping-particle":"","parse-names":false,"suffix":""}],"container-title":"BMJ","id":"ITEM-1","issue":"7226","issued":{"date-parts":[["2000","1","1"]]},"page":"26-30","title":"Randomised controlled trial of problem solving treatment, antidepressant medication, and combined treatment for major depression in primary care","type":"article-journal","volume":"320"},"uris":["http://www.mendeley.com/documents/?uuid=b0ed5a95-3d26-461a-84b9-68633ad46404"]}],"mendeley":{"formattedCitation":"[31]","plainTextFormattedCitation":"[31]","previouslyFormattedCitation":"[31]"},"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[31]</w:t>
            </w:r>
            <w:r>
              <w:rPr>
                <w:rFonts w:ascii="Times New Roman" w:hAnsi="Times New Roman" w:cs="Times New Roman"/>
                <w:sz w:val="24"/>
              </w:rPr>
              <w:fldChar w:fldCharType="end"/>
            </w:r>
          </w:p>
        </w:tc>
        <w:tc>
          <w:tcPr>
            <w:tcW w:w="1569" w:type="dxa"/>
            <w:shd w:val="clear" w:color="auto" w:fill="auto"/>
          </w:tcPr>
          <w:p w14:paraId="77654678" w14:textId="7EF45F23"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034D53B2" w14:textId="7FF2CF1A"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48908EEF" w14:textId="21000F5C"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6CC8344D" w14:textId="1A59FA17"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409BF0CC" w14:textId="77777777" w:rsidTr="007279C0">
        <w:trPr>
          <w:trHeight w:val="250"/>
        </w:trPr>
        <w:tc>
          <w:tcPr>
            <w:tcW w:w="3119" w:type="dxa"/>
            <w:shd w:val="clear" w:color="auto" w:fill="auto"/>
          </w:tcPr>
          <w:p w14:paraId="55A58EAC" w14:textId="485FF3FF"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Parker </w:t>
            </w:r>
            <w:r w:rsidRPr="00A17469">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{"citationItems":[{"id":"ITEM-1","itemData":{"DOI":"10.1111/acps.12049","ISSN":"0001690X","abstract":"Objective: To pursue the previously long-standing but formally untested clinical view that melancholia is preferentially responsive to antidepressant medication in comparison with psychotherapy [specifically Cognitive Behavior Therapy (CBT)]. Second, to determine whether a broader action antidepressant medication sequencing regimen is superior to a Selective Serotonin Reuptake Inhibitor (SSRI) alone. Method: We sought to recruit a large sample of participants with melancholic depression for a 12-week trial but inclusion criteria compromised recruitment and testing the second hypothesis. The first hypothesis was evaluated by comparing 18 participants receiving antidepressant medication to 11 receiving CBT. Primary study measures were the Hamilton Rating Scale for Depression (HAM-D) and the Hamilton Endogenous Subscale (HES), rated blindly, while several secondary measures also evaluated outcome. Results: Participants receiving medication had a superior 12-week outcome to those receiving CBT, with significant differences present on primary measures as early as 4 weeks. At trial conclusion, the percentage improvement in HAM-D scores was 59.5% vs. 32.5%, respectively [Number Needed to Treat (NNT) = 3.9] and with those in receipt of medication returning non-significantly higher HAM-D responder (66.6% vs. 36.4%, NNT = 3.3) and remission (66.7% vs. 45.4%, NNT = 4.7) rates.1 Conclusion: As the sample size was small and participants evidenced only moderate levels of depression severity, the study risked being underpowered and idiosyncratic. Despite the small sample, the superiority of antidepressant medication to CBT in those with a melancholic depression was distinctive in this pilot study. © 2013 John Wiley &amp; Sons A/S.","author":[{"dropping-particle":"","family":"Parker","given":"Gordon","non-dropping-particle":"","parse-names":false,"suffix":""},{"dropping-particle":"","family":"Blanch","given":"B.","non-dropping-particle":"","parse-names":false,"suffix":""},{"dropping-particle":"","family":"Paterson","given":"A.","non-dropping-particle":"","parse-names":false,"suffix":""},{"dropping-particle":"","family":"Hadzi-Pavlovic","given":"D.","non-dropping-particle":"","parse-names":false,"suffix":""},{"dropping-particle":"","family":"Sheppard","given":"E.","non-dropping-particle":"","parse-names":false,"suffix":""},{"dropping-particle":"","family":"Manicavasagar","given":"V.","non-dropping-particle":"","parse-names":false,"suffix":""},{"dropping-particle":"","family":"Synnott","given":"H.","non-dropping-particle":"","parse-names":false,"suffix":""},{"dropping-particle":"","family":"Graham","given":"R. K.","non-dropping-particle":"","parse-names":false,"suffix":""},{"dropping-particle":"","family":"Friend","given":"P.","non-dropping-particle":"","parse-names":false,"suffix":""},{"dropping-particle":"","family":"Gilfillan","given":"D.","non-dropping-particle":"","parse-names":false,"suffix":""},{"dropping-particle":"","family":"Perich","given":"T.","non-dropping-particle":"","parse-names":false,"suffix":""}],"container-title":"Acta Psychiatrica Scandinavica","id":"ITEM-1","issued":{"date-parts":[["2013","4"]]},"page":"271-281","title":"The superiority of antidepressant medication to cognitive behavior therapy in melancholic depressed patients: a 12-week single-blind randomized study","type":"article-journal","volume":"128"},"uris":["http://www.mendeley.com/documents/?uuid=571c96e4-5610-41df-95e0-c18b9c087e65"]}],"mendeley":{"formattedCitation":"[32]","plainTextFormattedCitation":"[32]","previouslyFormattedCitation":"[32]"},"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[32]</w:t>
            </w:r>
            <w:r>
              <w:rPr>
                <w:rFonts w:ascii="Times New Roman" w:hAnsi="Times New Roman" w:cs="Times New Roman"/>
                <w:sz w:val="24"/>
              </w:rPr>
              <w:fldChar w:fldCharType="end"/>
            </w:r>
          </w:p>
        </w:tc>
        <w:tc>
          <w:tcPr>
            <w:tcW w:w="1569" w:type="dxa"/>
            <w:shd w:val="clear" w:color="auto" w:fill="auto"/>
          </w:tcPr>
          <w:p w14:paraId="4B5F3221" w14:textId="2D65292A"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1E12E712" w14:textId="1CE8F3FF" w:rsidR="007279C0" w:rsidRDefault="007279C0" w:rsidP="007279C0">
            <w:pPr>
              <w:rPr>
                <w:rFonts w:ascii="Times New Roman" w:hAnsi="Times New Roman" w:cs="Times New Roman"/>
                <w:sz w:val="24"/>
                <w:szCs w:val="24"/>
              </w:rPr>
            </w:pPr>
            <w:r>
              <w:rPr>
                <w:rFonts w:ascii="Times New Roman" w:hAnsi="Times New Roman" w:cs="Times New Roman"/>
                <w:sz w:val="24"/>
                <w:szCs w:val="24"/>
              </w:rPr>
              <w:t>Yes</w:t>
            </w:r>
          </w:p>
        </w:tc>
        <w:tc>
          <w:tcPr>
            <w:tcW w:w="1256" w:type="dxa"/>
            <w:shd w:val="clear" w:color="auto" w:fill="auto"/>
          </w:tcPr>
          <w:p w14:paraId="5637512A" w14:textId="2FE538E8" w:rsidR="007279C0" w:rsidRDefault="007279C0" w:rsidP="007279C0">
            <w:pPr>
              <w:rPr>
                <w:rFonts w:ascii="Times New Roman" w:hAnsi="Times New Roman" w:cs="Times New Roman"/>
                <w:sz w:val="24"/>
                <w:szCs w:val="24"/>
              </w:rPr>
            </w:pPr>
            <w:r>
              <w:rPr>
                <w:rFonts w:ascii="Times New Roman" w:hAnsi="Times New Roman" w:cs="Times New Roman"/>
                <w:sz w:val="24"/>
                <w:szCs w:val="24"/>
              </w:rPr>
              <w:t>IL</w:t>
            </w:r>
          </w:p>
        </w:tc>
        <w:tc>
          <w:tcPr>
            <w:tcW w:w="1883" w:type="dxa"/>
            <w:shd w:val="clear" w:color="auto" w:fill="auto"/>
          </w:tcPr>
          <w:p w14:paraId="233197DE" w14:textId="77777777" w:rsidR="007279C0" w:rsidRPr="007279C0" w:rsidRDefault="007279C0" w:rsidP="007279C0">
            <w:pPr>
              <w:rPr>
                <w:rFonts w:ascii="Times New Roman" w:hAnsi="Times New Roman" w:cs="Times New Roman"/>
                <w:sz w:val="24"/>
                <w:szCs w:val="24"/>
              </w:rPr>
            </w:pPr>
          </w:p>
        </w:tc>
      </w:tr>
      <w:tr w:rsidR="007279C0" w14:paraId="00140382" w14:textId="77777777" w:rsidTr="007279C0">
        <w:trPr>
          <w:trHeight w:val="102"/>
        </w:trPr>
        <w:tc>
          <w:tcPr>
            <w:tcW w:w="3119" w:type="dxa"/>
            <w:shd w:val="clear" w:color="auto" w:fill="auto"/>
          </w:tcPr>
          <w:p w14:paraId="1F9DB0F8" w14:textId="2B7AA93B"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Rush </w:t>
            </w:r>
            <w:r w:rsidRPr="00A17469">
              <w:rPr>
                <w:rFonts w:ascii="Times New Roman" w:hAnsi="Times New Roman" w:cs="Times New Roman"/>
                <w:i/>
                <w:sz w:val="24"/>
              </w:rPr>
              <w:t>et al.</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{"citationItems":[{"id":"ITEM-1","itemData":{"DOI":"10.1007/BF01173502","ISBN":"0147-5916","ISSN":"0147-5916","abstract":"Forty-one unipolar depressed outpatients were randomly assigned to individual treatment with either cognitive therapy (N =19)or imipramine (N =22).As a group, the patients had been intermittently or chronically depressed with a mean period of 8.8 years since the onset of their first episode of depression, and 75%were suicidal. For the cognitive therapy patients, the treatment protocol specified a maximum of 20 interviews over a period of 12 weeks. The pharmacotherapy patients received up to 250 mg/day of imipramine for a maximum of 12 weeks. Patients who completed cognitive therapy averaged 10.90 weeks in treatment; those in pharmacotherapy averaged 10.86 weeks. Both treatment groups showed statistically significant decreases in depressive symptomatology. Cognitive therapy resulted in significantly greater improvement than did pharmacotherapy on both a self-administered measure of depression (Beck Depression Inventory)and clinical ratings (Hamilton Rating Scale for Depression and Raskin Scale).Moreover, 78.9%of the patients in cognitive therapy showed marked improvement or complete remission of symptoms as compared to 22.7%of the pharmacotherapy patients. In addition, both treatment groups showed substantial decrease in anxiety ratings. The dropout rate was significantly higher with pharmacotherapy (8 Ss)than with cognitive therapy (1 S).Even when these dropouts were excluded from data analysis, the cognitive therapy patients showed a significantly greater improvement than the pharmacotherapy patients. Follow-up contacts at three and six months indicate that treatment gains evident at termination were maintained over time. Moreover, while 68%of the pharmacotherapy group re-entered treatment for depression, only 16%of the psychotherapy patients did so.","author":[{"dropping-particle":"","family":"Rush","given":"Augustus J","non-dropping-particle":"","parse-names":false,"suffix":""},{"dropping-particle":"","family":"Beck","given":"Aaron T","non-dropping-particle":"","parse-names":false,"suffix":""},{"dropping-particle":"","family":"Kovacs","given":"Maria","non-dropping-particle":"","parse-names":false,"suffix":""},{"dropping-particle":"","family":"Hollon","given":"Steven","non-dropping-particle":"","parse-names":false,"suffix":""}],"container-title":"Cognitive Therapy and Research","id":"ITEM-1","issue":"1","issued":{"date-parts":[["1977","3"]]},"page":"17-37","title":"Comparative efficacy of cognitive therapy and pharmacotherapy in the treatment of depressed outpatients","type":"article-journal","volume":"1"},"uris":["http://www.mendeley.com/documents/?uuid=cf7f85c1-defb-4de7-8f76-c84b94341185"]}],"mendeley":{"formattedCitation":"[33]","plainTextFormattedCitation":"[33]","previouslyFormattedCitation":"[33]"},"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[33]</w:t>
            </w:r>
            <w:r>
              <w:rPr>
                <w:rFonts w:ascii="Times New Roman" w:hAnsi="Times New Roman" w:cs="Times New Roman"/>
                <w:sz w:val="24"/>
              </w:rPr>
              <w:fldChar w:fldCharType="end"/>
            </w:r>
          </w:p>
        </w:tc>
        <w:tc>
          <w:tcPr>
            <w:tcW w:w="1569" w:type="dxa"/>
            <w:shd w:val="clear" w:color="auto" w:fill="auto"/>
          </w:tcPr>
          <w:p w14:paraId="7F9AE9F7" w14:textId="57BB8679"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750E9AB2" w14:textId="5022A992"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4C518324" w14:textId="5CD0292B"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6E20EC3E" w14:textId="38C83C60"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16F104A9" w14:textId="77777777" w:rsidTr="007279C0">
        <w:trPr>
          <w:trHeight w:val="96"/>
        </w:trPr>
        <w:tc>
          <w:tcPr>
            <w:tcW w:w="3119" w:type="dxa"/>
            <w:shd w:val="clear" w:color="auto" w:fill="auto"/>
          </w:tcPr>
          <w:p w14:paraId="542A2EA3" w14:textId="58F52810"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Salminen</w:t>
            </w:r>
            <w:proofErr w:type="spellEnd"/>
            <w:r>
              <w:rPr>
                <w:rFonts w:ascii="Times New Roman" w:hAnsi="Times New Roman" w:cs="Times New Roman"/>
                <w:sz w:val="24"/>
              </w:rPr>
              <w:t xml:space="preserve"> </w:t>
            </w:r>
            <w:r w:rsidRPr="00A17469">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{"citationItems":[{"id":"ITEM-1","itemData":{"DOI":"10.1159/000151388","ISSN":"1423-0348","abstract":"BACKGROUND There are few studies comparing the efficacy of short-term psychodynamic psychotherapy (STPP) and pharmacotherapy in major depressive disorder. We conducted a comparative study on the efficacy of STPP versus fluoxetine treatment in patients with major depressive disorder in a primary care setting. METHODS Fifty-one patients with major depressive disorder (DSM-IV) of mild or moderate severity were recruited through occupational health services providing primary health care. Patients were randomized to receive either STPP (1 session/week) or fluoxetine treatment (20-40 mg/day) for 16 weeks. The outcome measures included the Hamilton Depression Rating Scale (HDRS), the Beck Depression Inventory (BDI), and the Social and Occupational Functioning Assessment Scale (SOFAS). RESULTS Intent-to-treat analyses indicated that both treatments were highly effective in reducing the HDRS (p &lt; 0.0001) and BDI (p &lt; 0.0001) scores, as well as in improving functional ability (SOFAS; p &lt; 0.0001), with no statistically significant differences between the treatments. Of those 40 subjects who completed the follow-up, 57% in the psychotherapy group and 68% in the fluoxetine group showed full remission (HDRS &lt;or=7) after 4 months. CONCLUSIONS Both STPP and pharmacological treatment with fluoxetine are effective in reducing symptoms and in improving functional ability of primary care patients with mild or moderate depression. This study suggests no marked differences in the therapeutic effects of these two treatment forms in a primary care setting.","author":[{"dropping-particle":"","family":"Salminen","given":"Jouko K.","non-dropping-particle":"","parse-names":false,"suffix":""},{"dropping-particle":"","family":"Karlsson","given":"Hasse","non-dropping-particle":"","parse-names":false,"suffix":""},{"dropping-particle":"","family":"Hietala","given":"Jarmo","non-dropping-particle":"","parse-names":false,"suffix":""},{"dropping-particle":"","family":"Kajander","given":"Jaana","non-dropping-particle":"","parse-names":false,"suffix":""},{"dropping-particle":"","family":"Aalto","given":"Sargo","non-dropping-particle":"","parse-names":false,"suffix":""},{"dropping-particle":"","family":"Markkula","given":"Juha","non-dropping-particle":"","parse-names":false,"suffix":""},{"dropping-particle":"","family":"Rasi-Hakala","given":"Helena","non-dropping-particle":"","parse-names":false,"suffix":""},{"dropping-particle":"","family":"Toikka","given":"Tuula","non-dropping-particle":"","parse-names":false,"suffix":""}],"container-title":"Psychotherapy and Psychosomatics","id":"ITEM-1","issue":"6","issued":{"date-parts":[["2008"]]},"page":"351-357","title":"Short-Term Psychodynamic Psychotherapy and Fluoxetine in Major Depressive Disorder: A Randomized Comparative Study","type":"article-journal","volume":"77"},"uris":["http://www.mendeley.com/documents/?uuid=93214d3a-c846-43be-98d1-b67f6a7b1689"]}],"mendeley":{"formattedCitation":"[34]","plainTextFormattedCitation":"[34]","previouslyFormattedCitation":"[34]"},"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[34]</w:t>
            </w:r>
            <w:r>
              <w:rPr>
                <w:rFonts w:ascii="Times New Roman" w:hAnsi="Times New Roman" w:cs="Times New Roman"/>
                <w:sz w:val="24"/>
              </w:rPr>
              <w:fldChar w:fldCharType="end"/>
            </w:r>
          </w:p>
        </w:tc>
        <w:tc>
          <w:tcPr>
            <w:tcW w:w="1569" w:type="dxa"/>
            <w:shd w:val="clear" w:color="auto" w:fill="auto"/>
          </w:tcPr>
          <w:p w14:paraId="714C12EE" w14:textId="3681D3D8"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0E7F2DFF" w14:textId="2DA8E36E"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40145B17" w14:textId="4329C442"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67F757D2" w14:textId="345AF4E4"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755BC83E" w14:textId="77777777" w:rsidTr="007279C0">
        <w:trPr>
          <w:trHeight w:val="80"/>
        </w:trPr>
        <w:tc>
          <w:tcPr>
            <w:tcW w:w="3119" w:type="dxa"/>
            <w:shd w:val="clear" w:color="auto" w:fill="auto"/>
          </w:tcPr>
          <w:p w14:paraId="33736A99" w14:textId="36E967BD"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Scott &amp; Freeman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{"citationItems":[{"id":"ITEM-1","itemData":{"DOI":"10.1136/bmj.304.6831.883","ISBN":"0959-8138","ISSN":"0959-8138","PMID":"1392754","abstract":"OBJECTIVE:To compare the clinical efficacy, patient satisfaction, and cost of three specialist treatments for depressive illness with routine care by general practitioners in primary care.\\n\\nDESIGN:Prospective, randomised allocation to amitriptyline prescribed by a psychiatrist, cognitive behaviour therapy from a clinical psychologist, counselling and case work by a social worker, or routine care by a general practitioner.\\n\\nSUBJECTS AND SETTING:121 patients aged between 18 and 65 years suffering depressive illness (without psychotic features) meeting the criteria of the Diagnostic and Statistical Manual of Mental Disorders, Third Edition for major depressive episode in 14 primary care practices in southern Edinburgh.\\n\\nMAIN OUTCOME MEASURES:Standard observer rating of depression at outset and after four and 16 weeks. Numbers of patients recovered at four and 16 weeks. Total length and cost of therapist contact. Structured evaluation of treatment by patients at 16 weeks.\\n\\nRESULTS:Marked improvement in depressive symptoms occurred in all treatment groups over 16 weeks. Any clinical advantages of specialist treatments over routine general practitioner care were small, but specialist treatment involved at least four times as much therapist contact and cost at least twice as much as routine general practitioner care. Psychological treatments, especially social work counselling, were most positively evaluated by patients.\\n\\nCONCLUSIONS:The additional costs associated with specialist treatments of new episodes of mild to moderate depressive illness presenting in primary care were not commensurate with their clinical superiority over routine general practitioner care. A proper cost-benefit analysis requires information about the ability of specialist treatment to prevent future episodes of depression.","author":[{"dropping-particle":"","family":"Scott","given":"A I","non-dropping-particle":"","parse-names":false,"suffix":""},{"dropping-particle":"","family":"Freeman","given":"C P","non-dropping-particle":"","parse-names":false,"suffix":""}],"container-title":"BMJ","id":"ITEM-1","issue":"6831","issued":{"date-parts":[["1992","4","4"]]},"page":"883-887","title":"Edinburgh primary care depression study: treatment outcome, patient satisfaction, and cost after 16 weeks.","type":"article-journal","volume":"304"},"uris":["http://www.mendeley.com/documents/?uuid=0fa891b8-ebca-4c71-8d24-64547104a7d3"]}],"mendeley":{"formattedCitation":"[35]","plainTextFormattedCitation":"[35]","previouslyFormattedCitation":"[35]"},"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[35]</w:t>
            </w:r>
            <w:r>
              <w:rPr>
                <w:rFonts w:ascii="Times New Roman" w:hAnsi="Times New Roman" w:cs="Times New Roman"/>
                <w:sz w:val="24"/>
              </w:rPr>
              <w:fldChar w:fldCharType="end"/>
            </w:r>
          </w:p>
        </w:tc>
        <w:tc>
          <w:tcPr>
            <w:tcW w:w="1569" w:type="dxa"/>
            <w:shd w:val="clear" w:color="auto" w:fill="auto"/>
          </w:tcPr>
          <w:p w14:paraId="6DCD3A22" w14:textId="489F2AF2"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shd w:val="clear" w:color="auto" w:fill="auto"/>
          </w:tcPr>
          <w:p w14:paraId="753C2049" w14:textId="1D3F6B12"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shd w:val="clear" w:color="auto" w:fill="auto"/>
          </w:tcPr>
          <w:p w14:paraId="1EAF8D21" w14:textId="24FB4D42"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4FC5E129" w14:textId="57CFADE6"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6D3DDC30" w14:textId="77777777" w:rsidTr="007279C0">
        <w:trPr>
          <w:trHeight w:val="80"/>
        </w:trPr>
        <w:tc>
          <w:tcPr>
            <w:tcW w:w="3119" w:type="dxa"/>
            <w:shd w:val="clear" w:color="auto" w:fill="auto"/>
          </w:tcPr>
          <w:p w14:paraId="25C0AC29" w14:textId="1A025CC9" w:rsidR="007279C0" w:rsidRDefault="007279C0" w:rsidP="007279C0">
            <w:pPr>
              <w:rPr>
                <w:rFonts w:ascii="Times New Roman" w:hAnsi="Times New Roman" w:cs="Times New Roman"/>
                <w:sz w:val="24"/>
                <w:szCs w:val="24"/>
              </w:rPr>
            </w:pPr>
            <w:proofErr w:type="spellStart"/>
            <w:r>
              <w:rPr>
                <w:rFonts w:ascii="Times New Roman" w:hAnsi="Times New Roman" w:cs="Times New Roman"/>
                <w:sz w:val="24"/>
              </w:rPr>
              <w:t>Shamsaei</w:t>
            </w:r>
            <w:proofErr w:type="spellEnd"/>
            <w:r>
              <w:rPr>
                <w:rFonts w:ascii="Times New Roman" w:hAnsi="Times New Roman" w:cs="Times New Roman"/>
                <w:sz w:val="24"/>
              </w:rPr>
              <w:t xml:space="preserve"> </w:t>
            </w:r>
            <w:r w:rsidRPr="00A17469">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{"citationItems":[{"id":"ITEM-1","itemData":{"abstract":"Objective: to assess the efficacy of pharmacotherapy (citalopram) and cognitive therapy alone, or in combination for the treatment of major depressive disorder. Participants and Methods: This study was a randomized controlled clinical trial. In all, 120 adults with a major depressive disorder were assigned to an 8-week treatment with either citalopram, cognitive therapy, or both. Major depresive disorder was diagnosed using DSM-IV criteria. Patients were assessed with the Beck Depression Inventory before and after treatment. Results: Statistical analyses showed that cognitive therapy, pharmacotherapy, and combined therapy were effective in the treatment of depression. There was no significant difference between the effects of medication and cognitive therapy. Combined treatment with the cognitive therapy and citalopram yielded better responses than treatment with citalopram or cognitive therapy alone. Conclusions: Although antidepressant treatment or cognitive therapy effectively reduces the clinical symptoms and functional impairment associated with major depressive disorder, combination treatment is more efficacious.","author":[{"dropping-particle":"","family":"Shamsaei","given":"F","non-dropping-particle":"","parse-names":false,"suffix":""},{"dropping-particle":"","family":"Rahimi","given":"A","non-dropping-particle":"","parse-names":false,"suffix":""},{"dropping-particle":"","family":"Zarabian","given":"MK","non-dropping-particle":"","parse-names":false,"suffix":""},{"dropping-particle":"","family":"Sedehi","given":"M","non-dropping-particle":"","parse-names":false,"suffix":""}],"container-title":"Hong Kong Journal of Psychiatry","id":"ITEM-1","issued":{"date-parts":[["2008"]]},"page":"76-80","title":"Efficacy of Pharmacotherapy and Cognitive Therapy, Alone and in Combination in Major Depressive Disorder","type":"article-journal","volume":"18"},"uris":["http://www.mendeley.com/documents/?uuid=a4f64bed-642b-48a7-9102-fdab6660ddbd"]}],"mendeley":{"formattedCitation":"[36]","plainTextFormattedCitation":"[36]","previouslyFormattedCitation":"[36]"},"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[36]</w:t>
            </w:r>
            <w:r>
              <w:rPr>
                <w:rFonts w:ascii="Times New Roman" w:hAnsi="Times New Roman" w:cs="Times New Roman"/>
                <w:sz w:val="24"/>
              </w:rPr>
              <w:fldChar w:fldCharType="end"/>
            </w:r>
          </w:p>
        </w:tc>
        <w:tc>
          <w:tcPr>
            <w:tcW w:w="1569" w:type="dxa"/>
            <w:shd w:val="clear" w:color="auto" w:fill="auto"/>
          </w:tcPr>
          <w:p w14:paraId="6B996334" w14:textId="589B96F3"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767FB893" w14:textId="77777777" w:rsidR="007279C0" w:rsidRDefault="007279C0" w:rsidP="007279C0">
            <w:pPr>
              <w:rPr>
                <w:rFonts w:ascii="Times New Roman" w:hAnsi="Times New Roman" w:cs="Times New Roman"/>
                <w:sz w:val="24"/>
                <w:szCs w:val="24"/>
              </w:rPr>
            </w:pPr>
          </w:p>
        </w:tc>
        <w:tc>
          <w:tcPr>
            <w:tcW w:w="1256" w:type="dxa"/>
            <w:shd w:val="clear" w:color="auto" w:fill="auto"/>
          </w:tcPr>
          <w:p w14:paraId="1CD8D4D1" w14:textId="77777777" w:rsidR="007279C0" w:rsidRDefault="007279C0" w:rsidP="007279C0">
            <w:pPr>
              <w:rPr>
                <w:rFonts w:ascii="Times New Roman" w:hAnsi="Times New Roman" w:cs="Times New Roman"/>
                <w:sz w:val="24"/>
                <w:szCs w:val="24"/>
              </w:rPr>
            </w:pPr>
          </w:p>
        </w:tc>
        <w:tc>
          <w:tcPr>
            <w:tcW w:w="1883" w:type="dxa"/>
            <w:shd w:val="clear" w:color="auto" w:fill="auto"/>
          </w:tcPr>
          <w:p w14:paraId="456921AE" w14:textId="77777777" w:rsidR="007279C0" w:rsidRPr="007279C0" w:rsidRDefault="007279C0" w:rsidP="007279C0">
            <w:pPr>
              <w:rPr>
                <w:rFonts w:ascii="Times New Roman" w:hAnsi="Times New Roman" w:cs="Times New Roman"/>
                <w:sz w:val="24"/>
                <w:szCs w:val="24"/>
              </w:rPr>
            </w:pPr>
          </w:p>
        </w:tc>
      </w:tr>
      <w:tr w:rsidR="007279C0" w14:paraId="3B31727E" w14:textId="77777777" w:rsidTr="007279C0">
        <w:trPr>
          <w:trHeight w:val="80"/>
        </w:trPr>
        <w:tc>
          <w:tcPr>
            <w:tcW w:w="3119" w:type="dxa"/>
            <w:shd w:val="clear" w:color="auto" w:fill="auto"/>
          </w:tcPr>
          <w:p w14:paraId="5D1C733B" w14:textId="51F5647B"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Thompson </w:t>
            </w:r>
            <w:r w:rsidRPr="00A17469">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{"citationItems":[{"id":"ITEM-1","itemData":{"DOI":"10.1097/00019442-200108000-00006","ISSN":"10647481","abstract":"The authors evaluated the efficacy of desipramine-alone, vs. cognitive/behavioral therapy-alone (CBT) vs. a combination of the two, for the treatment of depression in older adult outpatients. Patients (N=102) meeting criteria for major depressive disorder were randomly assigned to one of these three treatments for 16 to 20 therapy sessions. All treatments resulted in substantial improvement. In general, the CBT-Alone and Combined groups had similar levels of improvement. In most analyses, the Combined group showed greater improvement than the Desipramine-Alone group, whereas the CBT-Alone group showed only marginally better improvement. The combined therapies were most effective in patients who were more severely depressed, particularly when desipramine was at or above recommended stable dosage levels. The results indicate that psychotherapy can be an effective treatment for older adult outpatients with moderate levels of depression.","author":[{"dropping-particle":"","family":"Thompson","given":"Larry W.","non-dropping-particle":"","parse-names":false,"suffix":""},{"dropping-particle":"","family":"Coon","given":"David W.","non-dropping-particle":"","parse-names":false,"suffix":""},{"dropping-particle":"","family":"Gallagher-Thompson","given":"Dolores","non-dropping-particle":"","parse-names":false,"suffix":""},{"dropping-particle":"","family":"Sommer","given":"Barbara R.","non-dropping-particle":"","parse-names":false,"suffix":""},{"dropping-particle":"","family":"Koin","given":"Diana","non-dropping-particle":"","parse-names":false,"suffix":""}],"container-title":"The American Journal of Geriatric Psychiatry","id":"ITEM-1","issue":"3","issued":{"date-parts":[["2001","6"]]},"page":"225-240","publisher":"American Association for Geriatric Psychiatry","title":"Comparison of Desipramine and Cognitive/Behavioral Therapy in the Treatment of Elderly Outpatients With Mild-to-Moderate Depression","type":"article-journal","volume":"9"},"uris":["http://www.mendeley.com/documents/?uuid=48ed438b-bf93-4191-be28-80b67b6ee6e9"]}],"mendeley":{"formattedCitation":"[37]","plainTextFormattedCitation":"[37]","previouslyFormattedCitation":"[37]"},"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[37]</w:t>
            </w:r>
            <w:r>
              <w:rPr>
                <w:rFonts w:ascii="Times New Roman" w:hAnsi="Times New Roman" w:cs="Times New Roman"/>
                <w:sz w:val="24"/>
              </w:rPr>
              <w:fldChar w:fldCharType="end"/>
            </w:r>
          </w:p>
        </w:tc>
        <w:tc>
          <w:tcPr>
            <w:tcW w:w="1569" w:type="dxa"/>
            <w:shd w:val="clear" w:color="auto" w:fill="auto"/>
          </w:tcPr>
          <w:p w14:paraId="277D95A5" w14:textId="2077C3A1" w:rsidR="007279C0" w:rsidRDefault="007279C0" w:rsidP="007279C0">
            <w:pPr>
              <w:rPr>
                <w:rFonts w:ascii="Times New Roman" w:hAnsi="Times New Roman" w:cs="Times New Roman"/>
                <w:sz w:val="24"/>
                <w:szCs w:val="24"/>
              </w:rPr>
            </w:pPr>
            <w:r>
              <w:rPr>
                <w:rFonts w:ascii="Times New Roman" w:hAnsi="Times New Roman" w:cs="Times New Roman"/>
                <w:sz w:val="24"/>
                <w:szCs w:val="24"/>
              </w:rPr>
              <w:t>Success</w:t>
            </w:r>
          </w:p>
        </w:tc>
        <w:tc>
          <w:tcPr>
            <w:tcW w:w="1569" w:type="dxa"/>
            <w:shd w:val="clear" w:color="auto" w:fill="auto"/>
          </w:tcPr>
          <w:p w14:paraId="17E2B469" w14:textId="2D98BE12" w:rsidR="007279C0" w:rsidRDefault="007279C0" w:rsidP="007279C0">
            <w:pPr>
              <w:rPr>
                <w:rFonts w:ascii="Times New Roman" w:hAnsi="Times New Roman" w:cs="Times New Roman"/>
                <w:sz w:val="24"/>
                <w:szCs w:val="24"/>
              </w:rPr>
            </w:pPr>
            <w:r>
              <w:rPr>
                <w:rFonts w:ascii="Times New Roman" w:hAnsi="Times New Roman" w:cs="Times New Roman"/>
                <w:sz w:val="24"/>
                <w:szCs w:val="24"/>
              </w:rPr>
              <w:t>No</w:t>
            </w:r>
          </w:p>
        </w:tc>
        <w:tc>
          <w:tcPr>
            <w:tcW w:w="1256" w:type="dxa"/>
            <w:shd w:val="clear" w:color="auto" w:fill="auto"/>
          </w:tcPr>
          <w:p w14:paraId="6F2FCEF9" w14:textId="57C0966C"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shd w:val="clear" w:color="auto" w:fill="auto"/>
          </w:tcPr>
          <w:p w14:paraId="18241474" w14:textId="12579DEE"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r w:rsidR="007279C0" w14:paraId="0DF46D19" w14:textId="77777777" w:rsidTr="007279C0">
        <w:trPr>
          <w:trHeight w:val="80"/>
        </w:trPr>
        <w:tc>
          <w:tcPr>
            <w:tcW w:w="3119" w:type="dxa"/>
            <w:tcBorders>
              <w:bottom w:val="single" w:sz="4" w:space="0" w:color="auto"/>
            </w:tcBorders>
            <w:shd w:val="clear" w:color="auto" w:fill="auto"/>
          </w:tcPr>
          <w:p w14:paraId="0A487F55" w14:textId="420D6A5A" w:rsidR="007279C0" w:rsidRDefault="007279C0" w:rsidP="007279C0">
            <w:pPr>
              <w:rPr>
                <w:rFonts w:ascii="Times New Roman" w:hAnsi="Times New Roman" w:cs="Times New Roman"/>
                <w:sz w:val="24"/>
                <w:szCs w:val="24"/>
              </w:rPr>
            </w:pPr>
            <w:r>
              <w:rPr>
                <w:rFonts w:ascii="Times New Roman" w:hAnsi="Times New Roman" w:cs="Times New Roman"/>
                <w:sz w:val="24"/>
              </w:rPr>
              <w:t xml:space="preserve">Zu </w:t>
            </w:r>
            <w:r w:rsidRPr="00A17469">
              <w:rPr>
                <w:rFonts w:ascii="Times New Roman" w:hAnsi="Times New Roman" w:cs="Times New Roman"/>
                <w:i/>
                <w:sz w:val="24"/>
              </w:rPr>
              <w:t xml:space="preserve">et al. </w:t>
            </w:r>
            <w:r>
              <w:rPr>
                <w:rFonts w:ascii="Times New Roman" w:hAnsi="Times New Roman" w:cs="Times New Roman"/>
                <w:sz w:val="24"/>
              </w:rPr>
              <w:fldChar w:fldCharType="begin" w:fldLock="1"/>
            </w:r>
            <w:r>
              <w:rPr>
                <w:rFonts w:ascii="Times New Roman" w:hAnsi="Times New Roman" w:cs="Times New Roman"/>
                <w:sz w:val="24"/>
              </w:rPr>
              <w:instrText>ADDIN CSL_CITATION {"citationItems":[{"id":"ITEM-1","itemData":{"DOI":"10.1016/j.jad.2013.09.022","ISSN":"01650327","abstract":"Background No study has examined the effect of cognitive-behavioral therapy (CBT) on moderate-severe major depressive disorders (MDD) in China. The objective of this study was to evaluate the effect of CBT, antidepressants alone (MED), combined CBT and antidepressants (COMB) and standard treatment (ST; i.e.; receiving psycho-educational intervention and/or medication treatment determined by treating psychiatrists) on depressive symptoms and social functioning in Chinese patients with moderate-severe MDD. Method A total of 180 patients diagnosed with MDD according to ICD-10 were randomly allocated to one of the four treatment regimens for a period of 6 months. Depressive symptoms were measured using the Hamilton Rating Scale for Depression (HAMD) and the Quick Inventory of Depressive Symptomatology-Self-Report (C-QIDS-SR). Remission threshold was defined as a C-QIDS-SR total score of &lt;5. Social functioning was evaluated with the Work and Social Adjustment Scale (WSAS). All outcome measures were evaluated at entry, and at 3- and 6-months follow-up. Results At the 6-months assessment, the remission rates in the whole sample (n=96), the MED, the CBT, the COMB and the ST groups were 54.2%, 48%, 75%, 53.5% and 50%, respectively. Following the treatment periods, there was no significant difference in any of the study outcomes between the four groups. However, the CBT showed the greatest effect in the HAMD total score with the effect size=0.94, whereas the ST has only a moderate effect size in the WSAS total score (effect size=0.47). Conclusions The findings support the feasibility and effectiveness of CBT as a psychosocial intervention for Chinese patients with moderate-severe MDD. We also found that single treatment using MED or CBT performed equally well as the combined CBT-antidepressant treatment in controlling the remission. The study provided important knowledge to inform the mental health care planning in China. © 2013 Elsevier B.V.","author":[{"dropping-particle":"","family":"Zu","given":"Si","non-dropping-particle":"","parse-names":false,"suffix":""},{"dropping-particle":"","family":"Xiang","given":"Yu-Tao","non-dropping-particle":"","parse-names":false,"suffix":""},{"dropping-particle":"","family":"Liu","given":"Jing","non-dropping-particle":"","parse-names":false,"suffix":""},{"dropping-particle":"","family":"Zhang","given":"Ling","non-dropping-particle":"","parse-names":false,"suffix":""},{"dropping-particle":"","family":"Wang","given":"Gang","non-dropping-particle":"","parse-names":false,"suffix":""},{"dropping-particle":"","family":"Ma","given":"Xin","non-dropping-particle":"","parse-names":false,"suffix":""},{"dropping-particle":"","family":"Kilbourne","given":"Amy M.","non-dropping-particle":"","parse-names":false,"suffix":""},{"dropping-particle":"","family":"Ungvari","given":"Gabor S.","non-dropping-particle":"","parse-names":false,"suffix":""},{"dropping-particle":"","family":"Chiu","given":"Helen F.K.","non-dropping-particle":"","parse-names":false,"suffix":""},{"dropping-particle":"","family":"Lai","given":"Kelly Y.C.","non-dropping-particle":"","parse-names":false,"suffix":""},{"dropping-particle":"","family":"Wong","given":"Samuel Y.S.","non-dropping-particle":"","parse-names":false,"suffix":""},{"dropping-particle":"","family":"Yu","given":"Doris S.F.","non-dropping-particle":"","parse-names":false,"suffix":""},{"dropping-particle":"","family":"Li","given":"Zhan-Jiang","non-dropping-particle":"","parse-names":false,"suffix":""}],"container-title":"Journal of Affective Disorders","id":"ITEM-1","issue":"1","issued":{"date-parts":[["2014","1"]]},"page":"262-267","title":"A comparison of cognitive-behavioral therapy, antidepressants, their combination and standard treatment for Chinese patients with moderate–severe major depressive disorders","type":"article-journal","volume":"152-154"},"uris":["http://www.mendeley.com/documents/?uuid=3a101abc-6904-4a40-8144-56d85ef53041"]}],"mendeley":{"formattedCitation":"[38]","plainTextFormattedCitation":"[38]","previouslyFormattedCitation":"[38]"},"properties":{"noteIndex":0},"schema":"https://github.com/citation-style-language/schema/raw/master/csl-citation.json"}</w:instrText>
            </w:r>
            <w:r>
              <w:rPr>
                <w:rFonts w:ascii="Times New Roman" w:hAnsi="Times New Roman" w:cs="Times New Roman"/>
                <w:sz w:val="24"/>
              </w:rPr>
              <w:fldChar w:fldCharType="separate"/>
            </w:r>
            <w:r w:rsidRPr="00AE0673">
              <w:rPr>
                <w:rFonts w:ascii="Times New Roman" w:hAnsi="Times New Roman" w:cs="Times New Roman"/>
                <w:noProof/>
                <w:sz w:val="24"/>
              </w:rPr>
              <w:t>[38]</w:t>
            </w:r>
            <w:r>
              <w:rPr>
                <w:rFonts w:ascii="Times New Roman" w:hAnsi="Times New Roman" w:cs="Times New Roman"/>
                <w:sz w:val="24"/>
              </w:rPr>
              <w:fldChar w:fldCharType="end"/>
            </w:r>
          </w:p>
        </w:tc>
        <w:tc>
          <w:tcPr>
            <w:tcW w:w="1569" w:type="dxa"/>
            <w:tcBorders>
              <w:bottom w:val="single" w:sz="4" w:space="0" w:color="auto"/>
            </w:tcBorders>
            <w:shd w:val="clear" w:color="auto" w:fill="auto"/>
          </w:tcPr>
          <w:p w14:paraId="1A498592" w14:textId="09801741" w:rsidR="007279C0" w:rsidRDefault="007279C0" w:rsidP="007279C0">
            <w:pPr>
              <w:rPr>
                <w:rFonts w:ascii="Times New Roman" w:hAnsi="Times New Roman" w:cs="Times New Roman"/>
                <w:sz w:val="24"/>
                <w:szCs w:val="24"/>
              </w:rPr>
            </w:pPr>
            <w:r>
              <w:rPr>
                <w:rFonts w:ascii="Times New Roman" w:hAnsi="Times New Roman" w:cs="Times New Roman"/>
                <w:sz w:val="24"/>
                <w:szCs w:val="24"/>
              </w:rPr>
              <w:t>Failure</w:t>
            </w:r>
          </w:p>
        </w:tc>
        <w:tc>
          <w:tcPr>
            <w:tcW w:w="1569" w:type="dxa"/>
            <w:tcBorders>
              <w:bottom w:val="single" w:sz="4" w:space="0" w:color="auto"/>
            </w:tcBorders>
            <w:shd w:val="clear" w:color="auto" w:fill="auto"/>
          </w:tcPr>
          <w:p w14:paraId="1195F388" w14:textId="1208DF20"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256" w:type="dxa"/>
            <w:tcBorders>
              <w:bottom w:val="single" w:sz="4" w:space="0" w:color="auto"/>
            </w:tcBorders>
            <w:shd w:val="clear" w:color="auto" w:fill="auto"/>
          </w:tcPr>
          <w:p w14:paraId="40AC5271" w14:textId="79647F2D" w:rsidR="007279C0" w:rsidRDefault="007279C0" w:rsidP="007279C0">
            <w:pPr>
              <w:rPr>
                <w:rFonts w:ascii="Times New Roman" w:hAnsi="Times New Roman" w:cs="Times New Roman"/>
                <w:sz w:val="24"/>
                <w:szCs w:val="24"/>
              </w:rPr>
            </w:pPr>
            <w:r>
              <w:rPr>
                <w:rFonts w:ascii="Times New Roman" w:hAnsi="Times New Roman" w:cs="Times New Roman"/>
                <w:sz w:val="24"/>
                <w:szCs w:val="24"/>
              </w:rPr>
              <w:t>-</w:t>
            </w:r>
          </w:p>
        </w:tc>
        <w:tc>
          <w:tcPr>
            <w:tcW w:w="1883" w:type="dxa"/>
            <w:tcBorders>
              <w:bottom w:val="single" w:sz="4" w:space="0" w:color="auto"/>
            </w:tcBorders>
            <w:shd w:val="clear" w:color="auto" w:fill="auto"/>
          </w:tcPr>
          <w:p w14:paraId="2DE38F12" w14:textId="1F6FD62A" w:rsidR="007279C0" w:rsidRPr="007279C0" w:rsidRDefault="007279C0" w:rsidP="007279C0">
            <w:pPr>
              <w:rPr>
                <w:rFonts w:ascii="Times New Roman" w:hAnsi="Times New Roman" w:cs="Times New Roman"/>
                <w:sz w:val="24"/>
                <w:szCs w:val="24"/>
              </w:rPr>
            </w:pPr>
            <w:r w:rsidRPr="007279C0">
              <w:rPr>
                <w:rFonts w:ascii="Times New Roman" w:hAnsi="Times New Roman" w:cs="Times New Roman"/>
                <w:sz w:val="24"/>
                <w:szCs w:val="24"/>
              </w:rPr>
              <w:t>-</w:t>
            </w:r>
          </w:p>
        </w:tc>
      </w:tr>
    </w:tbl>
    <w:p w14:paraId="4B67EFD5" w14:textId="266F1F2D" w:rsidR="00C8726D" w:rsidRDefault="00B27590" w:rsidP="00294E07">
      <w:pPr>
        <w:spacing w:after="0" w:line="240" w:lineRule="auto"/>
        <w:rPr>
          <w:rFonts w:ascii="Times New Roman" w:hAnsi="Times New Roman" w:cs="Times New Roman"/>
          <w:sz w:val="24"/>
          <w:szCs w:val="24"/>
          <w:vertAlign w:val="superscript"/>
        </w:rPr>
      </w:pPr>
      <w:r w:rsidRPr="00B27590">
        <w:rPr>
          <w:rFonts w:ascii="Times New Roman" w:hAnsi="Times New Roman" w:cs="Times New Roman"/>
          <w:sz w:val="24"/>
          <w:szCs w:val="24"/>
        </w:rPr>
        <w:t>Note:</w:t>
      </w:r>
      <w:r>
        <w:rPr>
          <w:rFonts w:ascii="Times New Roman" w:hAnsi="Times New Roman" w:cs="Times New Roman"/>
          <w:sz w:val="24"/>
          <w:szCs w:val="24"/>
        </w:rPr>
        <w:t xml:space="preserve"> </w:t>
      </w:r>
      <w:r w:rsidR="00C8726D">
        <w:rPr>
          <w:rFonts w:ascii="Times New Roman" w:hAnsi="Times New Roman" w:cs="Times New Roman"/>
          <w:sz w:val="24"/>
          <w:szCs w:val="24"/>
          <w:vertAlign w:val="superscript"/>
        </w:rPr>
        <w:t>1</w:t>
      </w:r>
      <w:r w:rsidR="00C8726D">
        <w:rPr>
          <w:rFonts w:ascii="Times New Roman" w:hAnsi="Times New Roman" w:cs="Times New Roman"/>
          <w:sz w:val="24"/>
          <w:szCs w:val="24"/>
        </w:rPr>
        <w:t>The type of data obtained can be either: IL= raw data on individual level requiring our own computation of effect sizes for individual symptoms, TL-I=individual symptom data on treatment level (allowing no identification of individual patients), or TL-S=sum-score data on treatment level (prohibiting inclusion of meta-analysis on individual symptom level)</w:t>
      </w:r>
    </w:p>
    <w:p w14:paraId="16180FED" w14:textId="77777777" w:rsidR="000D2409" w:rsidRPr="00FB6B5D" w:rsidRDefault="000D2409" w:rsidP="00FB6B5D">
      <w:bookmarkStart w:id="2" w:name="_Toc36647129"/>
    </w:p>
    <w:p w14:paraId="399F7F82" w14:textId="77777777" w:rsidR="00FB6B5D" w:rsidRDefault="00FB6B5D" w:rsidP="007F11D7">
      <w:pPr>
        <w:pStyle w:val="Heading3"/>
        <w:sectPr w:rsidR="00FB6B5D" w:rsidSect="00886080">
          <w:footerReference w:type="default" r:id="rId8"/>
          <w:pgSz w:w="12240" w:h="15840"/>
          <w:pgMar w:top="1417" w:right="1417" w:bottom="1134" w:left="1417" w:header="708" w:footer="708" w:gutter="0"/>
          <w:cols w:space="708"/>
          <w:docGrid w:linePitch="360"/>
        </w:sectPr>
      </w:pPr>
      <w:bookmarkStart w:id="3" w:name="_Toc36647131"/>
      <w:bookmarkEnd w:id="2"/>
    </w:p>
    <w:p w14:paraId="4B8EE901" w14:textId="7909B81C" w:rsidR="00361C83" w:rsidRDefault="007F11D7" w:rsidP="007F11D7">
      <w:pPr>
        <w:pStyle w:val="Heading3"/>
        <w:rPr>
          <w:rStyle w:val="Hyperlink"/>
          <w:rFonts w:cs="Times New Roman"/>
        </w:rPr>
      </w:pPr>
      <w:r>
        <w:lastRenderedPageBreak/>
        <w:t xml:space="preserve">Table </w:t>
      </w:r>
      <w:r w:rsidR="00BC7BB4">
        <w:t>S</w:t>
      </w:r>
      <w:r w:rsidR="00FB6B5D">
        <w:t>2</w:t>
      </w:r>
      <w:r w:rsidR="00506BEE">
        <w:t>0</w:t>
      </w:r>
      <w:r>
        <w:t>: Online File Overvie</w:t>
      </w:r>
      <w:bookmarkStart w:id="4" w:name="_GoBack"/>
      <w:bookmarkEnd w:id="4"/>
      <w:r>
        <w:t xml:space="preserve">w as Available on </w:t>
      </w:r>
      <w:hyperlink r:id="rId9" w:history="1">
        <w:r w:rsidRPr="000B106C">
          <w:rPr>
            <w:rStyle w:val="Hyperlink"/>
            <w:rFonts w:cs="Times New Roman"/>
          </w:rPr>
          <w:t>https://osf.io/qzjc9/</w:t>
        </w:r>
        <w:bookmarkEnd w:id="3"/>
      </w:hyperlink>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10"/>
        <w:gridCol w:w="5796"/>
      </w:tblGrid>
      <w:tr w:rsidR="007F11D7" w14:paraId="6C27BF03" w14:textId="77777777" w:rsidTr="00FB3B7D">
        <w:tc>
          <w:tcPr>
            <w:tcW w:w="3610" w:type="dxa"/>
            <w:tcBorders>
              <w:top w:val="single" w:sz="4" w:space="0" w:color="auto"/>
              <w:bottom w:val="single" w:sz="4" w:space="0" w:color="auto"/>
            </w:tcBorders>
          </w:tcPr>
          <w:p w14:paraId="6C19C135"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File</w:t>
            </w:r>
          </w:p>
        </w:tc>
        <w:tc>
          <w:tcPr>
            <w:tcW w:w="5796" w:type="dxa"/>
            <w:tcBorders>
              <w:top w:val="single" w:sz="4" w:space="0" w:color="auto"/>
              <w:bottom w:val="single" w:sz="4" w:space="0" w:color="auto"/>
            </w:tcBorders>
          </w:tcPr>
          <w:p w14:paraId="3315F369"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Content</w:t>
            </w:r>
          </w:p>
        </w:tc>
      </w:tr>
      <w:tr w:rsidR="007F11D7" w:rsidRPr="00A71167" w14:paraId="6415DB28" w14:textId="77777777" w:rsidTr="00FB3B7D">
        <w:trPr>
          <w:trHeight w:val="70"/>
        </w:trPr>
        <w:tc>
          <w:tcPr>
            <w:tcW w:w="3610" w:type="dxa"/>
            <w:tcBorders>
              <w:top w:val="single" w:sz="4" w:space="0" w:color="auto"/>
            </w:tcBorders>
          </w:tcPr>
          <w:p w14:paraId="4BD7B4F3"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Search_Results.xlsx</w:t>
            </w:r>
          </w:p>
        </w:tc>
        <w:tc>
          <w:tcPr>
            <w:tcW w:w="5796" w:type="dxa"/>
            <w:tcBorders>
              <w:top w:val="single" w:sz="4" w:space="0" w:color="auto"/>
            </w:tcBorders>
          </w:tcPr>
          <w:p w14:paraId="2D45A69F"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Information on literature search and associated study inclusions and exclusions</w:t>
            </w:r>
          </w:p>
        </w:tc>
      </w:tr>
      <w:tr w:rsidR="007F11D7" w:rsidRPr="00A71167" w14:paraId="7B05CDCF" w14:textId="77777777" w:rsidTr="00FB3B7D">
        <w:trPr>
          <w:trHeight w:val="80"/>
        </w:trPr>
        <w:tc>
          <w:tcPr>
            <w:tcW w:w="3610" w:type="dxa"/>
          </w:tcPr>
          <w:p w14:paraId="35856C9E"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DataExtractionSheet.xlsx</w:t>
            </w:r>
          </w:p>
        </w:tc>
        <w:tc>
          <w:tcPr>
            <w:tcW w:w="5796" w:type="dxa"/>
          </w:tcPr>
          <w:p w14:paraId="5AA4B021"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Data extracted from original RCTs</w:t>
            </w:r>
          </w:p>
        </w:tc>
      </w:tr>
      <w:tr w:rsidR="007F11D7" w:rsidRPr="00A71167" w14:paraId="0F547726" w14:textId="77777777" w:rsidTr="00FB3B7D">
        <w:trPr>
          <w:trHeight w:val="80"/>
        </w:trPr>
        <w:tc>
          <w:tcPr>
            <w:tcW w:w="3610" w:type="dxa"/>
          </w:tcPr>
          <w:p w14:paraId="28B566A7"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RiskOfBias.xlsx</w:t>
            </w:r>
          </w:p>
        </w:tc>
        <w:tc>
          <w:tcPr>
            <w:tcW w:w="5796" w:type="dxa"/>
          </w:tcPr>
          <w:p w14:paraId="522FD03C"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Agreed upon Risk of Bias ratings with sheet 1 highlighting final ratings and sheet 2 describing reasons for ratings</w:t>
            </w:r>
          </w:p>
        </w:tc>
      </w:tr>
      <w:tr w:rsidR="007F11D7" w14:paraId="4DD873C2" w14:textId="77777777" w:rsidTr="00FB3B7D">
        <w:trPr>
          <w:trHeight w:val="80"/>
        </w:trPr>
        <w:tc>
          <w:tcPr>
            <w:tcW w:w="3610" w:type="dxa"/>
          </w:tcPr>
          <w:p w14:paraId="366BAF1E" w14:textId="77777777" w:rsidR="007F11D7" w:rsidRPr="001E6D2C" w:rsidRDefault="007F11D7" w:rsidP="00FB3B7D">
            <w:pPr>
              <w:rPr>
                <w:rFonts w:ascii="Times New Roman" w:hAnsi="Times New Roman" w:cs="Times New Roman"/>
                <w:sz w:val="24"/>
                <w:szCs w:val="24"/>
                <w:u w:val="single"/>
              </w:rPr>
            </w:pPr>
            <w:r w:rsidRPr="001E6D2C">
              <w:rPr>
                <w:rFonts w:ascii="Times New Roman" w:hAnsi="Times New Roman" w:cs="Times New Roman"/>
                <w:sz w:val="24"/>
                <w:szCs w:val="24"/>
                <w:u w:val="single"/>
              </w:rPr>
              <w:t>Scripts</w:t>
            </w:r>
          </w:p>
        </w:tc>
        <w:tc>
          <w:tcPr>
            <w:tcW w:w="5796" w:type="dxa"/>
          </w:tcPr>
          <w:p w14:paraId="5C29E238" w14:textId="77777777" w:rsidR="007F11D7" w:rsidRDefault="007F11D7" w:rsidP="00FB3B7D">
            <w:pPr>
              <w:rPr>
                <w:rFonts w:ascii="Times New Roman" w:hAnsi="Times New Roman" w:cs="Times New Roman"/>
                <w:sz w:val="24"/>
                <w:szCs w:val="24"/>
              </w:rPr>
            </w:pPr>
          </w:p>
        </w:tc>
      </w:tr>
      <w:tr w:rsidR="007F11D7" w:rsidRPr="00A71167" w14:paraId="00BBF724" w14:textId="77777777" w:rsidTr="00FB3B7D">
        <w:trPr>
          <w:trHeight w:val="80"/>
        </w:trPr>
        <w:tc>
          <w:tcPr>
            <w:tcW w:w="3610" w:type="dxa"/>
          </w:tcPr>
          <w:p w14:paraId="03DDA528" w14:textId="77777777" w:rsidR="007F11D7" w:rsidRDefault="007F11D7" w:rsidP="00FB3B7D">
            <w:pPr>
              <w:rPr>
                <w:rFonts w:ascii="Times New Roman" w:hAnsi="Times New Roman" w:cs="Times New Roman"/>
                <w:sz w:val="24"/>
                <w:szCs w:val="24"/>
              </w:rPr>
            </w:pPr>
            <w:proofErr w:type="spellStart"/>
            <w:proofErr w:type="gramStart"/>
            <w:r>
              <w:rPr>
                <w:rFonts w:ascii="Times New Roman" w:hAnsi="Times New Roman" w:cs="Times New Roman"/>
                <w:sz w:val="24"/>
                <w:szCs w:val="24"/>
              </w:rPr>
              <w:t>functions.R</w:t>
            </w:r>
            <w:proofErr w:type="spellEnd"/>
            <w:proofErr w:type="gramEnd"/>
          </w:p>
        </w:tc>
        <w:tc>
          <w:tcPr>
            <w:tcW w:w="5796" w:type="dxa"/>
          </w:tcPr>
          <w:p w14:paraId="6915B48A"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R functions programmed to facilitate various project steps (e.g., effect size conversion, meta-analysis loop, etc.)</w:t>
            </w:r>
          </w:p>
        </w:tc>
      </w:tr>
      <w:tr w:rsidR="007F11D7" w:rsidRPr="00A71167" w14:paraId="3FD91924" w14:textId="77777777" w:rsidTr="00FB3B7D">
        <w:trPr>
          <w:trHeight w:val="80"/>
        </w:trPr>
        <w:tc>
          <w:tcPr>
            <w:tcW w:w="3610" w:type="dxa"/>
          </w:tcPr>
          <w:p w14:paraId="4604CDDC"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RoB.R</w:t>
            </w:r>
            <w:proofErr w:type="spellEnd"/>
          </w:p>
        </w:tc>
        <w:tc>
          <w:tcPr>
            <w:tcW w:w="5796" w:type="dxa"/>
          </w:tcPr>
          <w:p w14:paraId="415A4A17"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Visualisation of Risk of Bias ratings</w:t>
            </w:r>
          </w:p>
        </w:tc>
      </w:tr>
      <w:tr w:rsidR="007F11D7" w:rsidRPr="00A71167" w14:paraId="0DF4299A" w14:textId="77777777" w:rsidTr="00FB3B7D">
        <w:trPr>
          <w:trHeight w:val="80"/>
        </w:trPr>
        <w:tc>
          <w:tcPr>
            <w:tcW w:w="3610" w:type="dxa"/>
          </w:tcPr>
          <w:p w14:paraId="06A64A2E"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StudyPreprocessing.R</w:t>
            </w:r>
            <w:proofErr w:type="spellEnd"/>
          </w:p>
        </w:tc>
        <w:tc>
          <w:tcPr>
            <w:tcW w:w="5796" w:type="dxa"/>
          </w:tcPr>
          <w:p w14:paraId="347880DB"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Details on how individual study data were processed</w:t>
            </w:r>
          </w:p>
        </w:tc>
      </w:tr>
      <w:tr w:rsidR="007F11D7" w:rsidRPr="00A71167" w14:paraId="1BC43FCE" w14:textId="77777777" w:rsidTr="00FB3B7D">
        <w:trPr>
          <w:trHeight w:val="80"/>
        </w:trPr>
        <w:tc>
          <w:tcPr>
            <w:tcW w:w="3610" w:type="dxa"/>
          </w:tcPr>
          <w:p w14:paraId="6AECBCD4"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StudyAggregation.R</w:t>
            </w:r>
            <w:proofErr w:type="spellEnd"/>
          </w:p>
        </w:tc>
        <w:tc>
          <w:tcPr>
            <w:tcW w:w="5796" w:type="dxa"/>
          </w:tcPr>
          <w:p w14:paraId="17150096"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Details how individual studies were aggregated in preparation for individual symptom meta-analyses</w:t>
            </w:r>
          </w:p>
        </w:tc>
      </w:tr>
      <w:tr w:rsidR="007F11D7" w:rsidRPr="00A71167" w14:paraId="394671B4" w14:textId="77777777" w:rsidTr="00FB3B7D">
        <w:trPr>
          <w:trHeight w:val="80"/>
        </w:trPr>
        <w:tc>
          <w:tcPr>
            <w:tcW w:w="3610" w:type="dxa"/>
          </w:tcPr>
          <w:p w14:paraId="52D075FC"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StudyAggregation_</w:t>
            </w:r>
            <w:proofErr w:type="gramStart"/>
            <w:r>
              <w:rPr>
                <w:rFonts w:ascii="Times New Roman" w:hAnsi="Times New Roman" w:cs="Times New Roman"/>
                <w:sz w:val="24"/>
                <w:szCs w:val="24"/>
              </w:rPr>
              <w:t>OR.R</w:t>
            </w:r>
            <w:proofErr w:type="spellEnd"/>
            <w:proofErr w:type="gramEnd"/>
          </w:p>
        </w:tc>
        <w:tc>
          <w:tcPr>
            <w:tcW w:w="5796" w:type="dxa"/>
          </w:tcPr>
          <w:p w14:paraId="224B2E93"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 xml:space="preserve">Identical to </w:t>
            </w:r>
            <w:proofErr w:type="spellStart"/>
            <w:r>
              <w:rPr>
                <w:rFonts w:ascii="Times New Roman" w:hAnsi="Times New Roman" w:cs="Times New Roman"/>
                <w:sz w:val="24"/>
                <w:szCs w:val="24"/>
              </w:rPr>
              <w:t>StudyAggregation.R</w:t>
            </w:r>
            <w:proofErr w:type="spellEnd"/>
            <w:r>
              <w:rPr>
                <w:rFonts w:ascii="Times New Roman" w:hAnsi="Times New Roman" w:cs="Times New Roman"/>
                <w:sz w:val="24"/>
                <w:szCs w:val="24"/>
              </w:rPr>
              <w:t xml:space="preserve"> but used to aggregate data for OR sensitivity meta-analyses</w:t>
            </w:r>
          </w:p>
        </w:tc>
      </w:tr>
      <w:tr w:rsidR="007F11D7" w:rsidRPr="00A71167" w14:paraId="3677AA3A" w14:textId="77777777" w:rsidTr="00FB3B7D">
        <w:trPr>
          <w:trHeight w:val="80"/>
        </w:trPr>
        <w:tc>
          <w:tcPr>
            <w:tcW w:w="3610" w:type="dxa"/>
          </w:tcPr>
          <w:p w14:paraId="5E84D7FC"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StudyAggregation_SMD.R</w:t>
            </w:r>
            <w:proofErr w:type="spellEnd"/>
          </w:p>
        </w:tc>
        <w:tc>
          <w:tcPr>
            <w:tcW w:w="5796" w:type="dxa"/>
          </w:tcPr>
          <w:p w14:paraId="295ED755"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 xml:space="preserve">Identical to </w:t>
            </w:r>
            <w:proofErr w:type="spellStart"/>
            <w:r>
              <w:rPr>
                <w:rFonts w:ascii="Times New Roman" w:hAnsi="Times New Roman" w:cs="Times New Roman"/>
                <w:sz w:val="24"/>
                <w:szCs w:val="24"/>
              </w:rPr>
              <w:t>StudyAggregation.R</w:t>
            </w:r>
            <w:proofErr w:type="spellEnd"/>
            <w:r>
              <w:rPr>
                <w:rFonts w:ascii="Times New Roman" w:hAnsi="Times New Roman" w:cs="Times New Roman"/>
                <w:sz w:val="24"/>
                <w:szCs w:val="24"/>
              </w:rPr>
              <w:t xml:space="preserve"> but used to aggregate data for SMD sensitivity meta-analyses</w:t>
            </w:r>
          </w:p>
        </w:tc>
      </w:tr>
      <w:tr w:rsidR="007F11D7" w:rsidRPr="00A71167" w14:paraId="3A341FEB" w14:textId="77777777" w:rsidTr="00FB3B7D">
        <w:trPr>
          <w:trHeight w:val="80"/>
        </w:trPr>
        <w:tc>
          <w:tcPr>
            <w:tcW w:w="3610" w:type="dxa"/>
          </w:tcPr>
          <w:p w14:paraId="27CA3E73"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SumScore_MetaAnalyses.R</w:t>
            </w:r>
            <w:proofErr w:type="spellEnd"/>
          </w:p>
        </w:tc>
        <w:tc>
          <w:tcPr>
            <w:tcW w:w="5796" w:type="dxa"/>
          </w:tcPr>
          <w:p w14:paraId="14CA9147"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Sum-score meta-analyses based on data extracted from original study manuscripts</w:t>
            </w:r>
          </w:p>
        </w:tc>
      </w:tr>
      <w:tr w:rsidR="007F11D7" w14:paraId="1E65D3EC" w14:textId="77777777" w:rsidTr="00FB3B7D">
        <w:trPr>
          <w:trHeight w:val="80"/>
        </w:trPr>
        <w:tc>
          <w:tcPr>
            <w:tcW w:w="3610" w:type="dxa"/>
          </w:tcPr>
          <w:p w14:paraId="7CB94D03"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SOrT_MetaAnalyses.R</w:t>
            </w:r>
            <w:proofErr w:type="spellEnd"/>
          </w:p>
        </w:tc>
        <w:tc>
          <w:tcPr>
            <w:tcW w:w="5796" w:type="dxa"/>
          </w:tcPr>
          <w:p w14:paraId="6BCC79B4"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Individual symptom meta-analyses</w:t>
            </w:r>
          </w:p>
        </w:tc>
      </w:tr>
      <w:tr w:rsidR="007F11D7" w:rsidRPr="00A71167" w14:paraId="30008647" w14:textId="77777777" w:rsidTr="00FB3B7D">
        <w:trPr>
          <w:trHeight w:val="80"/>
        </w:trPr>
        <w:tc>
          <w:tcPr>
            <w:tcW w:w="3610" w:type="dxa"/>
          </w:tcPr>
          <w:p w14:paraId="437FBD01"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SOrT_MetaAnalyses_Sensitivity.R</w:t>
            </w:r>
            <w:proofErr w:type="spellEnd"/>
          </w:p>
        </w:tc>
        <w:tc>
          <w:tcPr>
            <w:tcW w:w="5796" w:type="dxa"/>
          </w:tcPr>
          <w:p w14:paraId="1682B904"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Sensitivity analyses of individual symptom meta-analyses</w:t>
            </w:r>
          </w:p>
        </w:tc>
      </w:tr>
      <w:tr w:rsidR="007F11D7" w:rsidRPr="00A71167" w14:paraId="2A25E103" w14:textId="77777777" w:rsidTr="00FB3B7D">
        <w:trPr>
          <w:trHeight w:val="80"/>
        </w:trPr>
        <w:tc>
          <w:tcPr>
            <w:tcW w:w="3610" w:type="dxa"/>
          </w:tcPr>
          <w:p w14:paraId="1F2C11A2"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SOrT_Validation_MARS</w:t>
            </w:r>
            <w:proofErr w:type="spellEnd"/>
          </w:p>
        </w:tc>
        <w:tc>
          <w:tcPr>
            <w:tcW w:w="5796" w:type="dxa"/>
          </w:tcPr>
          <w:p w14:paraId="78AD4465"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Validation analyses in MARS sample</w:t>
            </w:r>
          </w:p>
        </w:tc>
      </w:tr>
      <w:tr w:rsidR="007F11D7" w:rsidRPr="00A71167" w14:paraId="2D57753B" w14:textId="77777777" w:rsidTr="00FB3B7D">
        <w:trPr>
          <w:trHeight w:val="80"/>
        </w:trPr>
        <w:tc>
          <w:tcPr>
            <w:tcW w:w="3610" w:type="dxa"/>
          </w:tcPr>
          <w:p w14:paraId="0A35EF8F" w14:textId="77777777" w:rsidR="007F11D7" w:rsidRDefault="007F11D7" w:rsidP="00FB3B7D">
            <w:pPr>
              <w:rPr>
                <w:rFonts w:ascii="Times New Roman" w:hAnsi="Times New Roman" w:cs="Times New Roman"/>
                <w:sz w:val="24"/>
                <w:szCs w:val="24"/>
              </w:rPr>
            </w:pPr>
            <w:proofErr w:type="spellStart"/>
            <w:r>
              <w:rPr>
                <w:rFonts w:ascii="Times New Roman" w:hAnsi="Times New Roman" w:cs="Times New Roman"/>
                <w:sz w:val="24"/>
                <w:szCs w:val="24"/>
              </w:rPr>
              <w:t>SOrT_Validation_PReDICT</w:t>
            </w:r>
            <w:proofErr w:type="spellEnd"/>
          </w:p>
        </w:tc>
        <w:tc>
          <w:tcPr>
            <w:tcW w:w="5796" w:type="dxa"/>
          </w:tcPr>
          <w:p w14:paraId="5233EEA8"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 xml:space="preserve">Validation analyses in </w:t>
            </w:r>
            <w:proofErr w:type="spellStart"/>
            <w:r>
              <w:rPr>
                <w:rFonts w:ascii="Times New Roman" w:hAnsi="Times New Roman" w:cs="Times New Roman"/>
                <w:sz w:val="24"/>
                <w:szCs w:val="24"/>
              </w:rPr>
              <w:t>PReDICT</w:t>
            </w:r>
            <w:proofErr w:type="spellEnd"/>
            <w:r>
              <w:rPr>
                <w:rFonts w:ascii="Times New Roman" w:hAnsi="Times New Roman" w:cs="Times New Roman"/>
                <w:sz w:val="24"/>
                <w:szCs w:val="24"/>
              </w:rPr>
              <w:t xml:space="preserve"> sample</w:t>
            </w:r>
          </w:p>
        </w:tc>
      </w:tr>
      <w:tr w:rsidR="007F11D7" w14:paraId="21D5EF47" w14:textId="77777777" w:rsidTr="00FB3B7D">
        <w:trPr>
          <w:trHeight w:val="80"/>
        </w:trPr>
        <w:tc>
          <w:tcPr>
            <w:tcW w:w="3610" w:type="dxa"/>
          </w:tcPr>
          <w:p w14:paraId="0F3915E1" w14:textId="77777777" w:rsidR="007F11D7" w:rsidRPr="001E6D2C" w:rsidRDefault="007F11D7" w:rsidP="00FB3B7D">
            <w:pPr>
              <w:rPr>
                <w:rFonts w:ascii="Times New Roman" w:hAnsi="Times New Roman" w:cs="Times New Roman"/>
                <w:sz w:val="24"/>
                <w:szCs w:val="24"/>
                <w:u w:val="single"/>
              </w:rPr>
            </w:pPr>
            <w:r w:rsidRPr="001E6D2C">
              <w:rPr>
                <w:rFonts w:ascii="Times New Roman" w:hAnsi="Times New Roman" w:cs="Times New Roman"/>
                <w:sz w:val="24"/>
                <w:szCs w:val="24"/>
                <w:u w:val="single"/>
              </w:rPr>
              <w:t>Data</w:t>
            </w:r>
          </w:p>
        </w:tc>
        <w:tc>
          <w:tcPr>
            <w:tcW w:w="5796" w:type="dxa"/>
          </w:tcPr>
          <w:p w14:paraId="1C090A1E" w14:textId="77777777" w:rsidR="007F11D7" w:rsidRDefault="007F11D7" w:rsidP="00FB3B7D">
            <w:pPr>
              <w:rPr>
                <w:rFonts w:ascii="Times New Roman" w:hAnsi="Times New Roman" w:cs="Times New Roman"/>
                <w:sz w:val="24"/>
                <w:szCs w:val="24"/>
              </w:rPr>
            </w:pPr>
          </w:p>
        </w:tc>
      </w:tr>
      <w:tr w:rsidR="007F11D7" w:rsidRPr="00A71167" w14:paraId="3869DA45" w14:textId="77777777" w:rsidTr="00FB3B7D">
        <w:trPr>
          <w:trHeight w:val="80"/>
        </w:trPr>
        <w:tc>
          <w:tcPr>
            <w:tcW w:w="3610" w:type="dxa"/>
          </w:tcPr>
          <w:p w14:paraId="27492A1F" w14:textId="77777777" w:rsidR="007F11D7" w:rsidRPr="00660CAC" w:rsidRDefault="007F11D7" w:rsidP="00FB3B7D">
            <w:pPr>
              <w:rPr>
                <w:rFonts w:ascii="Times New Roman" w:hAnsi="Times New Roman" w:cs="Times New Roman"/>
                <w:sz w:val="24"/>
                <w:szCs w:val="24"/>
              </w:rPr>
            </w:pPr>
            <w:r w:rsidRPr="00660CAC">
              <w:rPr>
                <w:rFonts w:ascii="Times New Roman" w:hAnsi="Times New Roman" w:cs="Times New Roman"/>
                <w:sz w:val="24"/>
                <w:szCs w:val="24"/>
              </w:rPr>
              <w:t>RoB</w:t>
            </w:r>
            <w:r>
              <w:rPr>
                <w:rFonts w:ascii="Times New Roman" w:hAnsi="Times New Roman" w:cs="Times New Roman"/>
                <w:sz w:val="24"/>
                <w:szCs w:val="24"/>
              </w:rPr>
              <w:t>.csv</w:t>
            </w:r>
          </w:p>
        </w:tc>
        <w:tc>
          <w:tcPr>
            <w:tcW w:w="5796" w:type="dxa"/>
          </w:tcPr>
          <w:p w14:paraId="3CE1AAFF"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Risk of Bias rating data</w:t>
            </w:r>
          </w:p>
        </w:tc>
      </w:tr>
      <w:tr w:rsidR="007F11D7" w:rsidRPr="00A71167" w14:paraId="263C3D13" w14:textId="77777777" w:rsidTr="00FB3B7D">
        <w:trPr>
          <w:trHeight w:val="80"/>
        </w:trPr>
        <w:tc>
          <w:tcPr>
            <w:tcW w:w="3610" w:type="dxa"/>
          </w:tcPr>
          <w:p w14:paraId="4FE7568B" w14:textId="77777777" w:rsidR="007F11D7" w:rsidRDefault="007F11D7" w:rsidP="00FB3B7D">
            <w:pPr>
              <w:rPr>
                <w:rFonts w:ascii="Times New Roman" w:hAnsi="Times New Roman" w:cs="Times New Roman"/>
                <w:sz w:val="24"/>
                <w:szCs w:val="24"/>
              </w:rPr>
            </w:pPr>
            <w:r w:rsidRPr="000B345B">
              <w:rPr>
                <w:rFonts w:ascii="Times New Roman" w:hAnsi="Times New Roman" w:cs="Times New Roman"/>
                <w:sz w:val="24"/>
                <w:szCs w:val="24"/>
              </w:rPr>
              <w:t>SumScoreData</w:t>
            </w:r>
            <w:r>
              <w:rPr>
                <w:rFonts w:ascii="Times New Roman" w:hAnsi="Times New Roman" w:cs="Times New Roman"/>
                <w:sz w:val="24"/>
                <w:szCs w:val="24"/>
              </w:rPr>
              <w:t>.csv</w:t>
            </w:r>
          </w:p>
        </w:tc>
        <w:tc>
          <w:tcPr>
            <w:tcW w:w="5796" w:type="dxa"/>
          </w:tcPr>
          <w:p w14:paraId="78EFE54A" w14:textId="77777777" w:rsidR="007F11D7" w:rsidRDefault="007F11D7" w:rsidP="00FB3B7D">
            <w:pPr>
              <w:rPr>
                <w:rFonts w:ascii="Times New Roman" w:hAnsi="Times New Roman" w:cs="Times New Roman"/>
                <w:sz w:val="24"/>
                <w:szCs w:val="24"/>
              </w:rPr>
            </w:pPr>
            <w:r>
              <w:rPr>
                <w:rFonts w:ascii="Times New Roman" w:hAnsi="Times New Roman" w:cs="Times New Roman"/>
                <w:sz w:val="24"/>
                <w:szCs w:val="24"/>
              </w:rPr>
              <w:t xml:space="preserve">Data for sum-score meta-analyses </w:t>
            </w:r>
          </w:p>
        </w:tc>
      </w:tr>
      <w:tr w:rsidR="00E43E0A" w:rsidRPr="00A71167" w14:paraId="6FEE13D8" w14:textId="77777777" w:rsidTr="00FB3B7D">
        <w:trPr>
          <w:trHeight w:val="80"/>
        </w:trPr>
        <w:tc>
          <w:tcPr>
            <w:tcW w:w="3610" w:type="dxa"/>
          </w:tcPr>
          <w:p w14:paraId="59F2E4B4" w14:textId="05156D91" w:rsidR="00E43E0A" w:rsidRPr="000B345B" w:rsidRDefault="00E43E0A" w:rsidP="00FB3B7D">
            <w:pPr>
              <w:rPr>
                <w:rFonts w:ascii="Times New Roman" w:hAnsi="Times New Roman" w:cs="Times New Roman"/>
                <w:sz w:val="24"/>
                <w:szCs w:val="24"/>
              </w:rPr>
            </w:pPr>
            <w:proofErr w:type="spellStart"/>
            <w:r w:rsidRPr="00E43E0A">
              <w:rPr>
                <w:rFonts w:ascii="Times New Roman" w:hAnsi="Times New Roman" w:cs="Times New Roman"/>
                <w:sz w:val="24"/>
                <w:szCs w:val="24"/>
              </w:rPr>
              <w:t>MetaAnalysisData.RData</w:t>
            </w:r>
            <w:proofErr w:type="spellEnd"/>
          </w:p>
        </w:tc>
        <w:tc>
          <w:tcPr>
            <w:tcW w:w="5796" w:type="dxa"/>
          </w:tcPr>
          <w:p w14:paraId="563CA761" w14:textId="10C5152C" w:rsidR="00E43E0A" w:rsidRDefault="00E43E0A" w:rsidP="00FB3B7D">
            <w:pPr>
              <w:rPr>
                <w:rFonts w:ascii="Times New Roman" w:hAnsi="Times New Roman" w:cs="Times New Roman"/>
                <w:sz w:val="24"/>
                <w:szCs w:val="24"/>
              </w:rPr>
            </w:pPr>
            <w:r>
              <w:rPr>
                <w:rFonts w:ascii="Times New Roman" w:hAnsi="Times New Roman" w:cs="Times New Roman"/>
                <w:sz w:val="24"/>
                <w:szCs w:val="24"/>
              </w:rPr>
              <w:t>Main individual symptom meta-analysis effect sizes</w:t>
            </w:r>
          </w:p>
        </w:tc>
      </w:tr>
      <w:tr w:rsidR="00E43E0A" w:rsidRPr="00A71167" w14:paraId="19B61084" w14:textId="77777777" w:rsidTr="00FB3B7D">
        <w:trPr>
          <w:trHeight w:val="80"/>
        </w:trPr>
        <w:tc>
          <w:tcPr>
            <w:tcW w:w="3610" w:type="dxa"/>
          </w:tcPr>
          <w:p w14:paraId="2A0C84CA" w14:textId="3FA468AD" w:rsidR="00E43E0A" w:rsidRPr="00E43E0A" w:rsidRDefault="00E43E0A" w:rsidP="00E43E0A">
            <w:pPr>
              <w:rPr>
                <w:rFonts w:ascii="Times New Roman" w:hAnsi="Times New Roman" w:cs="Times New Roman"/>
                <w:sz w:val="24"/>
                <w:szCs w:val="24"/>
              </w:rPr>
            </w:pPr>
            <w:proofErr w:type="spellStart"/>
            <w:r w:rsidRPr="00E43E0A">
              <w:rPr>
                <w:rFonts w:ascii="Times New Roman" w:hAnsi="Times New Roman" w:cs="Times New Roman"/>
                <w:sz w:val="24"/>
                <w:szCs w:val="24"/>
              </w:rPr>
              <w:t>MetaAnalysisData_</w:t>
            </w:r>
            <w:proofErr w:type="gramStart"/>
            <w:r>
              <w:rPr>
                <w:rFonts w:ascii="Times New Roman" w:hAnsi="Times New Roman" w:cs="Times New Roman"/>
                <w:sz w:val="24"/>
                <w:szCs w:val="24"/>
              </w:rPr>
              <w:t>OR</w:t>
            </w:r>
            <w:r w:rsidRPr="00E43E0A">
              <w:rPr>
                <w:rFonts w:ascii="Times New Roman" w:hAnsi="Times New Roman" w:cs="Times New Roman"/>
                <w:sz w:val="24"/>
                <w:szCs w:val="24"/>
              </w:rPr>
              <w:t>.RData</w:t>
            </w:r>
            <w:proofErr w:type="spellEnd"/>
            <w:proofErr w:type="gramEnd"/>
          </w:p>
        </w:tc>
        <w:tc>
          <w:tcPr>
            <w:tcW w:w="5796" w:type="dxa"/>
          </w:tcPr>
          <w:p w14:paraId="3D4EF913" w14:textId="71AFB21A" w:rsidR="00E43E0A" w:rsidRDefault="00E43E0A" w:rsidP="00E43E0A">
            <w:pPr>
              <w:rPr>
                <w:rFonts w:ascii="Times New Roman" w:hAnsi="Times New Roman" w:cs="Times New Roman"/>
                <w:sz w:val="24"/>
                <w:szCs w:val="24"/>
              </w:rPr>
            </w:pPr>
            <w:r>
              <w:rPr>
                <w:rFonts w:ascii="Times New Roman" w:hAnsi="Times New Roman" w:cs="Times New Roman"/>
                <w:sz w:val="24"/>
                <w:szCs w:val="24"/>
              </w:rPr>
              <w:t>Sensitivity individual symptom meta-analysis OR effect sizes</w:t>
            </w:r>
          </w:p>
        </w:tc>
      </w:tr>
      <w:tr w:rsidR="00E43E0A" w:rsidRPr="00A71167" w14:paraId="4043AD0D" w14:textId="77777777" w:rsidTr="00FB3B7D">
        <w:trPr>
          <w:trHeight w:val="80"/>
        </w:trPr>
        <w:tc>
          <w:tcPr>
            <w:tcW w:w="3610" w:type="dxa"/>
          </w:tcPr>
          <w:p w14:paraId="011686DE" w14:textId="2243BAA2" w:rsidR="00E43E0A" w:rsidRPr="00E43E0A" w:rsidRDefault="00E43E0A" w:rsidP="00E43E0A">
            <w:pPr>
              <w:rPr>
                <w:rFonts w:ascii="Times New Roman" w:hAnsi="Times New Roman" w:cs="Times New Roman"/>
                <w:sz w:val="24"/>
                <w:szCs w:val="24"/>
              </w:rPr>
            </w:pPr>
            <w:proofErr w:type="spellStart"/>
            <w:r w:rsidRPr="00E43E0A">
              <w:rPr>
                <w:rFonts w:ascii="Times New Roman" w:hAnsi="Times New Roman" w:cs="Times New Roman"/>
                <w:sz w:val="24"/>
                <w:szCs w:val="24"/>
              </w:rPr>
              <w:t>MetaAnalysisData_SMD.RData</w:t>
            </w:r>
            <w:proofErr w:type="spellEnd"/>
          </w:p>
        </w:tc>
        <w:tc>
          <w:tcPr>
            <w:tcW w:w="5796" w:type="dxa"/>
          </w:tcPr>
          <w:p w14:paraId="58409291" w14:textId="66A5D5A9" w:rsidR="00E43E0A" w:rsidRDefault="00E43E0A" w:rsidP="00E43E0A">
            <w:pPr>
              <w:rPr>
                <w:rFonts w:ascii="Times New Roman" w:hAnsi="Times New Roman" w:cs="Times New Roman"/>
                <w:sz w:val="24"/>
                <w:szCs w:val="24"/>
              </w:rPr>
            </w:pPr>
            <w:r>
              <w:rPr>
                <w:rFonts w:ascii="Times New Roman" w:hAnsi="Times New Roman" w:cs="Times New Roman"/>
                <w:sz w:val="24"/>
                <w:szCs w:val="24"/>
              </w:rPr>
              <w:t>Sensitivity individual symptom meta-analysis SMD effect sizes</w:t>
            </w:r>
          </w:p>
        </w:tc>
      </w:tr>
      <w:tr w:rsidR="00E43E0A" w:rsidRPr="00A71167" w14:paraId="3AFBC660" w14:textId="77777777" w:rsidTr="00FB3B7D">
        <w:trPr>
          <w:trHeight w:val="80"/>
        </w:trPr>
        <w:tc>
          <w:tcPr>
            <w:tcW w:w="3610" w:type="dxa"/>
          </w:tcPr>
          <w:p w14:paraId="6FFFB8AC" w14:textId="75ECC8EA" w:rsidR="00E43E0A" w:rsidRDefault="00E43E0A" w:rsidP="00E43E0A">
            <w:pPr>
              <w:rPr>
                <w:rFonts w:ascii="Times New Roman" w:hAnsi="Times New Roman" w:cs="Times New Roman"/>
                <w:sz w:val="24"/>
                <w:szCs w:val="24"/>
              </w:rPr>
            </w:pPr>
            <w:proofErr w:type="spellStart"/>
            <w:r w:rsidRPr="00C9523F">
              <w:rPr>
                <w:rFonts w:ascii="Times New Roman" w:hAnsi="Times New Roman" w:cs="Times New Roman"/>
                <w:sz w:val="24"/>
                <w:szCs w:val="24"/>
              </w:rPr>
              <w:t>MetaAnalysisResults.RData</w:t>
            </w:r>
            <w:proofErr w:type="spellEnd"/>
          </w:p>
        </w:tc>
        <w:tc>
          <w:tcPr>
            <w:tcW w:w="5796" w:type="dxa"/>
          </w:tcPr>
          <w:p w14:paraId="405C9638" w14:textId="77777777" w:rsidR="00E43E0A" w:rsidRDefault="00E43E0A" w:rsidP="00E43E0A">
            <w:pPr>
              <w:rPr>
                <w:rFonts w:ascii="Times New Roman" w:hAnsi="Times New Roman" w:cs="Times New Roman"/>
                <w:sz w:val="24"/>
                <w:szCs w:val="24"/>
              </w:rPr>
            </w:pPr>
            <w:r>
              <w:rPr>
                <w:rFonts w:ascii="Times New Roman" w:hAnsi="Times New Roman" w:cs="Times New Roman"/>
                <w:sz w:val="24"/>
                <w:szCs w:val="24"/>
              </w:rPr>
              <w:t>Main individual symptom meta-analysis results</w:t>
            </w:r>
          </w:p>
        </w:tc>
      </w:tr>
      <w:tr w:rsidR="00E43E0A" w:rsidRPr="00A71167" w14:paraId="37643C18" w14:textId="77777777" w:rsidTr="00FB3B7D">
        <w:trPr>
          <w:trHeight w:val="80"/>
        </w:trPr>
        <w:tc>
          <w:tcPr>
            <w:tcW w:w="3610" w:type="dxa"/>
          </w:tcPr>
          <w:p w14:paraId="67F61728" w14:textId="77777777" w:rsidR="00E43E0A" w:rsidRDefault="00E43E0A" w:rsidP="00E43E0A">
            <w:pPr>
              <w:rPr>
                <w:rFonts w:ascii="Times New Roman" w:hAnsi="Times New Roman" w:cs="Times New Roman"/>
                <w:sz w:val="24"/>
                <w:szCs w:val="24"/>
              </w:rPr>
            </w:pPr>
            <w:proofErr w:type="spellStart"/>
            <w:r w:rsidRPr="00C534FA">
              <w:rPr>
                <w:rFonts w:ascii="Times New Roman" w:hAnsi="Times New Roman" w:cs="Times New Roman"/>
                <w:sz w:val="24"/>
                <w:szCs w:val="24"/>
              </w:rPr>
              <w:t>MetaAnalysisData_</w:t>
            </w:r>
            <w:proofErr w:type="gramStart"/>
            <w:r w:rsidRPr="00C534FA">
              <w:rPr>
                <w:rFonts w:ascii="Times New Roman" w:hAnsi="Times New Roman" w:cs="Times New Roman"/>
                <w:sz w:val="24"/>
                <w:szCs w:val="24"/>
              </w:rPr>
              <w:t>OR</w:t>
            </w:r>
            <w:r>
              <w:rPr>
                <w:rFonts w:ascii="Times New Roman" w:hAnsi="Times New Roman" w:cs="Times New Roman"/>
                <w:sz w:val="24"/>
                <w:szCs w:val="24"/>
              </w:rPr>
              <w:t>.RData</w:t>
            </w:r>
            <w:proofErr w:type="spellEnd"/>
            <w:proofErr w:type="gramEnd"/>
          </w:p>
        </w:tc>
        <w:tc>
          <w:tcPr>
            <w:tcW w:w="5796" w:type="dxa"/>
          </w:tcPr>
          <w:p w14:paraId="66E341E8" w14:textId="644EAE51" w:rsidR="00E43E0A" w:rsidRDefault="00E43E0A" w:rsidP="00E43E0A">
            <w:pPr>
              <w:rPr>
                <w:rFonts w:ascii="Times New Roman" w:hAnsi="Times New Roman" w:cs="Times New Roman"/>
                <w:sz w:val="24"/>
                <w:szCs w:val="24"/>
              </w:rPr>
            </w:pPr>
            <w:r>
              <w:rPr>
                <w:rFonts w:ascii="Times New Roman" w:hAnsi="Times New Roman" w:cs="Times New Roman"/>
                <w:sz w:val="24"/>
                <w:szCs w:val="24"/>
              </w:rPr>
              <w:t>Sensitivity individual symptom meta-analysis results for OR effect size</w:t>
            </w:r>
          </w:p>
        </w:tc>
      </w:tr>
      <w:tr w:rsidR="00E43E0A" w:rsidRPr="00A71167" w14:paraId="12BFADD8" w14:textId="77777777" w:rsidTr="00FB3B7D">
        <w:trPr>
          <w:trHeight w:val="80"/>
        </w:trPr>
        <w:tc>
          <w:tcPr>
            <w:tcW w:w="3610" w:type="dxa"/>
            <w:tcBorders>
              <w:bottom w:val="single" w:sz="4" w:space="0" w:color="auto"/>
            </w:tcBorders>
          </w:tcPr>
          <w:p w14:paraId="1B624441" w14:textId="77777777" w:rsidR="00E43E0A" w:rsidRDefault="00E43E0A" w:rsidP="00E43E0A">
            <w:pPr>
              <w:rPr>
                <w:rFonts w:ascii="Times New Roman" w:hAnsi="Times New Roman" w:cs="Times New Roman"/>
                <w:sz w:val="24"/>
                <w:szCs w:val="24"/>
              </w:rPr>
            </w:pPr>
            <w:proofErr w:type="spellStart"/>
            <w:r w:rsidRPr="00C534FA">
              <w:rPr>
                <w:rFonts w:ascii="Times New Roman" w:hAnsi="Times New Roman" w:cs="Times New Roman"/>
                <w:sz w:val="24"/>
                <w:szCs w:val="24"/>
              </w:rPr>
              <w:t>MetaAnalysisData_</w:t>
            </w:r>
            <w:r>
              <w:rPr>
                <w:rFonts w:ascii="Times New Roman" w:hAnsi="Times New Roman" w:cs="Times New Roman"/>
                <w:sz w:val="24"/>
                <w:szCs w:val="24"/>
              </w:rPr>
              <w:t>SMD.RData</w:t>
            </w:r>
            <w:proofErr w:type="spellEnd"/>
          </w:p>
        </w:tc>
        <w:tc>
          <w:tcPr>
            <w:tcW w:w="5796" w:type="dxa"/>
            <w:tcBorders>
              <w:bottom w:val="single" w:sz="4" w:space="0" w:color="auto"/>
            </w:tcBorders>
          </w:tcPr>
          <w:p w14:paraId="23E13BCB" w14:textId="4E21FD5E" w:rsidR="00E43E0A" w:rsidRDefault="00E43E0A" w:rsidP="00E43E0A">
            <w:pPr>
              <w:rPr>
                <w:rFonts w:ascii="Times New Roman" w:hAnsi="Times New Roman" w:cs="Times New Roman"/>
                <w:sz w:val="24"/>
                <w:szCs w:val="24"/>
              </w:rPr>
            </w:pPr>
            <w:r>
              <w:rPr>
                <w:rFonts w:ascii="Times New Roman" w:hAnsi="Times New Roman" w:cs="Times New Roman"/>
                <w:sz w:val="24"/>
                <w:szCs w:val="24"/>
              </w:rPr>
              <w:t>Sensitivity individual symptom meta-analysis results for SMD effect size</w:t>
            </w:r>
          </w:p>
        </w:tc>
      </w:tr>
    </w:tbl>
    <w:p w14:paraId="761C5D29" w14:textId="77777777" w:rsidR="007F11D7" w:rsidRPr="007F11D7" w:rsidRDefault="007F11D7" w:rsidP="007F11D7"/>
    <w:p w14:paraId="7129A173" w14:textId="36EB72F9" w:rsidR="00D31000" w:rsidRPr="00C210A4" w:rsidRDefault="00D31000" w:rsidP="00FB6B5D">
      <w:pPr>
        <w:pStyle w:val="Heading2"/>
        <w:rPr>
          <w:rFonts w:cs="Times New Roman"/>
          <w:b w:val="0"/>
          <w:sz w:val="24"/>
        </w:rPr>
      </w:pPr>
    </w:p>
    <w:sectPr w:rsidR="00D31000" w:rsidRPr="00C210A4" w:rsidSect="00FB6B5D">
      <w:pgSz w:w="12240" w:h="15840"/>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B3A875" w14:textId="77777777" w:rsidR="001A26E9" w:rsidRDefault="001A26E9" w:rsidP="008A63A8">
      <w:pPr>
        <w:spacing w:after="0" w:line="240" w:lineRule="auto"/>
      </w:pPr>
      <w:r>
        <w:separator/>
      </w:r>
    </w:p>
  </w:endnote>
  <w:endnote w:type="continuationSeparator" w:id="0">
    <w:p w14:paraId="63144BA8" w14:textId="77777777" w:rsidR="001A26E9" w:rsidRDefault="001A26E9" w:rsidP="008A63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1002AFF" w:usb1="C000E47F" w:usb2="0000002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95638449"/>
      <w:docPartObj>
        <w:docPartGallery w:val="Page Numbers (Bottom of Page)"/>
        <w:docPartUnique/>
      </w:docPartObj>
    </w:sdtPr>
    <w:sdtEndPr>
      <w:rPr>
        <w:noProof/>
      </w:rPr>
    </w:sdtEndPr>
    <w:sdtContent>
      <w:p w14:paraId="2115213E" w14:textId="6C88E8EE" w:rsidR="00C9523F" w:rsidRPr="002223A7" w:rsidRDefault="00C9523F">
        <w:pPr>
          <w:pStyle w:val="Footer"/>
          <w:rPr>
            <w:rFonts w:ascii="Times New Roman" w:hAnsi="Times New Roman" w:cs="Times New Roman"/>
          </w:rPr>
        </w:pPr>
        <w:r w:rsidRPr="002223A7">
          <w:rPr>
            <w:rFonts w:ascii="Times New Roman" w:hAnsi="Times New Roman" w:cs="Times New Roman"/>
          </w:rPr>
          <w:t xml:space="preserve">Page | </w:t>
        </w:r>
        <w:r w:rsidRPr="002223A7">
          <w:rPr>
            <w:rFonts w:ascii="Times New Roman" w:hAnsi="Times New Roman" w:cs="Times New Roman"/>
          </w:rPr>
          <w:fldChar w:fldCharType="begin"/>
        </w:r>
        <w:r w:rsidRPr="002223A7">
          <w:rPr>
            <w:rFonts w:ascii="Times New Roman" w:hAnsi="Times New Roman" w:cs="Times New Roman"/>
          </w:rPr>
          <w:instrText xml:space="preserve"> PAGE   \* MERGEFORMAT </w:instrText>
        </w:r>
        <w:r w:rsidRPr="002223A7">
          <w:rPr>
            <w:rFonts w:ascii="Times New Roman" w:hAnsi="Times New Roman" w:cs="Times New Roman"/>
          </w:rPr>
          <w:fldChar w:fldCharType="separate"/>
        </w:r>
        <w:r>
          <w:rPr>
            <w:rFonts w:ascii="Times New Roman" w:hAnsi="Times New Roman" w:cs="Times New Roman"/>
            <w:noProof/>
          </w:rPr>
          <w:t>2</w:t>
        </w:r>
        <w:r w:rsidRPr="002223A7">
          <w:rPr>
            <w:rFonts w:ascii="Times New Roman" w:hAnsi="Times New Roman" w:cs="Times New Roman"/>
            <w:noProof/>
          </w:rPr>
          <w:fldChar w:fldCharType="end"/>
        </w:r>
      </w:p>
    </w:sdtContent>
  </w:sdt>
  <w:p w14:paraId="030FDFF9" w14:textId="77777777" w:rsidR="00C9523F" w:rsidRPr="002223A7" w:rsidRDefault="00C9523F">
    <w:pPr>
      <w:pStyle w:val="Footer"/>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1E3C136" w14:textId="77777777" w:rsidR="001A26E9" w:rsidRDefault="001A26E9" w:rsidP="008A63A8">
      <w:pPr>
        <w:spacing w:after="0" w:line="240" w:lineRule="auto"/>
      </w:pPr>
      <w:r>
        <w:separator/>
      </w:r>
    </w:p>
  </w:footnote>
  <w:footnote w:type="continuationSeparator" w:id="0">
    <w:p w14:paraId="112DC962" w14:textId="77777777" w:rsidR="001A26E9" w:rsidRDefault="001A26E9" w:rsidP="008A63A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28B3"/>
    <w:multiLevelType w:val="hybridMultilevel"/>
    <w:tmpl w:val="78163E1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0D0A7847"/>
    <w:multiLevelType w:val="hybridMultilevel"/>
    <w:tmpl w:val="A490A6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12951D96"/>
    <w:multiLevelType w:val="hybridMultilevel"/>
    <w:tmpl w:val="7F6CF90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7081C67"/>
    <w:multiLevelType w:val="hybridMultilevel"/>
    <w:tmpl w:val="6AACA6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AC21288"/>
    <w:multiLevelType w:val="hybridMultilevel"/>
    <w:tmpl w:val="59823F8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41824A3E"/>
    <w:multiLevelType w:val="hybridMultilevel"/>
    <w:tmpl w:val="99DE74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3AB2786"/>
    <w:multiLevelType w:val="hybridMultilevel"/>
    <w:tmpl w:val="7CD0C72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51A73C85"/>
    <w:multiLevelType w:val="hybridMultilevel"/>
    <w:tmpl w:val="CDEEA1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52931A52"/>
    <w:multiLevelType w:val="hybridMultilevel"/>
    <w:tmpl w:val="DA8CC9D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15:restartNumberingAfterBreak="0">
    <w:nsid w:val="65B93052"/>
    <w:multiLevelType w:val="hybridMultilevel"/>
    <w:tmpl w:val="47C25BF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A4951B3"/>
    <w:multiLevelType w:val="hybridMultilevel"/>
    <w:tmpl w:val="7DF47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71436B78"/>
    <w:multiLevelType w:val="hybridMultilevel"/>
    <w:tmpl w:val="DCA0A53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76880E1E"/>
    <w:multiLevelType w:val="hybridMultilevel"/>
    <w:tmpl w:val="A3382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4"/>
  </w:num>
  <w:num w:numId="3">
    <w:abstractNumId w:val="2"/>
  </w:num>
  <w:num w:numId="4">
    <w:abstractNumId w:val="9"/>
  </w:num>
  <w:num w:numId="5">
    <w:abstractNumId w:val="8"/>
  </w:num>
  <w:num w:numId="6">
    <w:abstractNumId w:val="10"/>
  </w:num>
  <w:num w:numId="7">
    <w:abstractNumId w:val="7"/>
  </w:num>
  <w:num w:numId="8">
    <w:abstractNumId w:val="5"/>
  </w:num>
  <w:num w:numId="9">
    <w:abstractNumId w:val="11"/>
  </w:num>
  <w:num w:numId="10">
    <w:abstractNumId w:val="12"/>
  </w:num>
  <w:num w:numId="11">
    <w:abstractNumId w:val="3"/>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343A"/>
    <w:rsid w:val="0000264B"/>
    <w:rsid w:val="00005D79"/>
    <w:rsid w:val="0001340E"/>
    <w:rsid w:val="000137EE"/>
    <w:rsid w:val="00016C14"/>
    <w:rsid w:val="000227AE"/>
    <w:rsid w:val="00026972"/>
    <w:rsid w:val="000353F2"/>
    <w:rsid w:val="000379B7"/>
    <w:rsid w:val="0004264F"/>
    <w:rsid w:val="000440F9"/>
    <w:rsid w:val="00044481"/>
    <w:rsid w:val="00046794"/>
    <w:rsid w:val="000475BD"/>
    <w:rsid w:val="000509AB"/>
    <w:rsid w:val="0005163D"/>
    <w:rsid w:val="00060706"/>
    <w:rsid w:val="000608A2"/>
    <w:rsid w:val="000625E9"/>
    <w:rsid w:val="000633D2"/>
    <w:rsid w:val="00064CB6"/>
    <w:rsid w:val="00066B75"/>
    <w:rsid w:val="0006765B"/>
    <w:rsid w:val="00067B71"/>
    <w:rsid w:val="00070152"/>
    <w:rsid w:val="00071580"/>
    <w:rsid w:val="00071CFF"/>
    <w:rsid w:val="000721DE"/>
    <w:rsid w:val="00073E80"/>
    <w:rsid w:val="00075582"/>
    <w:rsid w:val="00077873"/>
    <w:rsid w:val="00082CC3"/>
    <w:rsid w:val="0008398A"/>
    <w:rsid w:val="00084752"/>
    <w:rsid w:val="0009083B"/>
    <w:rsid w:val="000919F9"/>
    <w:rsid w:val="000921A5"/>
    <w:rsid w:val="000A2B2C"/>
    <w:rsid w:val="000A4983"/>
    <w:rsid w:val="000B07CA"/>
    <w:rsid w:val="000B2D9A"/>
    <w:rsid w:val="000B4E2E"/>
    <w:rsid w:val="000B7AEE"/>
    <w:rsid w:val="000C2475"/>
    <w:rsid w:val="000C3F26"/>
    <w:rsid w:val="000D2409"/>
    <w:rsid w:val="000E45B1"/>
    <w:rsid w:val="000E5231"/>
    <w:rsid w:val="000E53E9"/>
    <w:rsid w:val="000E71FA"/>
    <w:rsid w:val="000F0B68"/>
    <w:rsid w:val="000F41C6"/>
    <w:rsid w:val="001002D4"/>
    <w:rsid w:val="00101AC7"/>
    <w:rsid w:val="00101F7E"/>
    <w:rsid w:val="001020A8"/>
    <w:rsid w:val="001024C1"/>
    <w:rsid w:val="001042E0"/>
    <w:rsid w:val="001078E4"/>
    <w:rsid w:val="00113EEF"/>
    <w:rsid w:val="00120C42"/>
    <w:rsid w:val="00120E9A"/>
    <w:rsid w:val="001212C3"/>
    <w:rsid w:val="00121C56"/>
    <w:rsid w:val="00123536"/>
    <w:rsid w:val="0012369A"/>
    <w:rsid w:val="00125924"/>
    <w:rsid w:val="0013075C"/>
    <w:rsid w:val="001307FA"/>
    <w:rsid w:val="00131159"/>
    <w:rsid w:val="00131B8A"/>
    <w:rsid w:val="00131DEC"/>
    <w:rsid w:val="00134B1D"/>
    <w:rsid w:val="001412C9"/>
    <w:rsid w:val="00145259"/>
    <w:rsid w:val="0014564B"/>
    <w:rsid w:val="0014622C"/>
    <w:rsid w:val="00151569"/>
    <w:rsid w:val="00152381"/>
    <w:rsid w:val="00154240"/>
    <w:rsid w:val="0015493C"/>
    <w:rsid w:val="0015585E"/>
    <w:rsid w:val="00155CBA"/>
    <w:rsid w:val="0015675D"/>
    <w:rsid w:val="001567A5"/>
    <w:rsid w:val="00156AD9"/>
    <w:rsid w:val="00156D9B"/>
    <w:rsid w:val="00157621"/>
    <w:rsid w:val="0016228A"/>
    <w:rsid w:val="00163DC2"/>
    <w:rsid w:val="00164EE2"/>
    <w:rsid w:val="00166F0C"/>
    <w:rsid w:val="00170351"/>
    <w:rsid w:val="00172FFA"/>
    <w:rsid w:val="00176A5E"/>
    <w:rsid w:val="001773CB"/>
    <w:rsid w:val="00180099"/>
    <w:rsid w:val="00185D25"/>
    <w:rsid w:val="00187EEF"/>
    <w:rsid w:val="00194B8C"/>
    <w:rsid w:val="00195FAC"/>
    <w:rsid w:val="001A26E9"/>
    <w:rsid w:val="001B2B3C"/>
    <w:rsid w:val="001B63DB"/>
    <w:rsid w:val="001C0D3D"/>
    <w:rsid w:val="001C3378"/>
    <w:rsid w:val="001C7186"/>
    <w:rsid w:val="001C7828"/>
    <w:rsid w:val="001D24AB"/>
    <w:rsid w:val="001D2775"/>
    <w:rsid w:val="001D416A"/>
    <w:rsid w:val="001D5A7E"/>
    <w:rsid w:val="001D715D"/>
    <w:rsid w:val="001E2DFC"/>
    <w:rsid w:val="001E342C"/>
    <w:rsid w:val="001E6E3F"/>
    <w:rsid w:val="001E7008"/>
    <w:rsid w:val="001F0213"/>
    <w:rsid w:val="001F2E21"/>
    <w:rsid w:val="001F530F"/>
    <w:rsid w:val="001F54D8"/>
    <w:rsid w:val="001F55B8"/>
    <w:rsid w:val="001F597B"/>
    <w:rsid w:val="001F652D"/>
    <w:rsid w:val="001F6ED2"/>
    <w:rsid w:val="00201DC2"/>
    <w:rsid w:val="002025CA"/>
    <w:rsid w:val="00215066"/>
    <w:rsid w:val="0021590F"/>
    <w:rsid w:val="002160E7"/>
    <w:rsid w:val="002223A7"/>
    <w:rsid w:val="00224FAF"/>
    <w:rsid w:val="0022728D"/>
    <w:rsid w:val="00234FFC"/>
    <w:rsid w:val="00236176"/>
    <w:rsid w:val="0024089D"/>
    <w:rsid w:val="00240AE3"/>
    <w:rsid w:val="00241F24"/>
    <w:rsid w:val="002437B3"/>
    <w:rsid w:val="00246C5C"/>
    <w:rsid w:val="00250FB2"/>
    <w:rsid w:val="0025182E"/>
    <w:rsid w:val="00251A92"/>
    <w:rsid w:val="002559C5"/>
    <w:rsid w:val="00256C8E"/>
    <w:rsid w:val="00263A76"/>
    <w:rsid w:val="00281B96"/>
    <w:rsid w:val="00284EBD"/>
    <w:rsid w:val="00284F41"/>
    <w:rsid w:val="002860BD"/>
    <w:rsid w:val="00286D2C"/>
    <w:rsid w:val="00290CE5"/>
    <w:rsid w:val="002910C0"/>
    <w:rsid w:val="00294411"/>
    <w:rsid w:val="00294E07"/>
    <w:rsid w:val="00294ED2"/>
    <w:rsid w:val="002960E2"/>
    <w:rsid w:val="002A1980"/>
    <w:rsid w:val="002A2402"/>
    <w:rsid w:val="002A26DB"/>
    <w:rsid w:val="002A46A0"/>
    <w:rsid w:val="002A5FD3"/>
    <w:rsid w:val="002A6B4E"/>
    <w:rsid w:val="002B09A0"/>
    <w:rsid w:val="002B24AA"/>
    <w:rsid w:val="002B27A6"/>
    <w:rsid w:val="002B2876"/>
    <w:rsid w:val="002B404B"/>
    <w:rsid w:val="002B4E76"/>
    <w:rsid w:val="002B745F"/>
    <w:rsid w:val="002C1B1F"/>
    <w:rsid w:val="002C3148"/>
    <w:rsid w:val="002C4620"/>
    <w:rsid w:val="002C484A"/>
    <w:rsid w:val="002C5825"/>
    <w:rsid w:val="002D22F9"/>
    <w:rsid w:val="002D38A2"/>
    <w:rsid w:val="002D49F3"/>
    <w:rsid w:val="002D6E9A"/>
    <w:rsid w:val="002E0C45"/>
    <w:rsid w:val="002F24FC"/>
    <w:rsid w:val="002F33D8"/>
    <w:rsid w:val="002F5207"/>
    <w:rsid w:val="00304642"/>
    <w:rsid w:val="00305001"/>
    <w:rsid w:val="0031650F"/>
    <w:rsid w:val="00316572"/>
    <w:rsid w:val="00320A2B"/>
    <w:rsid w:val="00320DAD"/>
    <w:rsid w:val="003236A9"/>
    <w:rsid w:val="00324C16"/>
    <w:rsid w:val="00331A8B"/>
    <w:rsid w:val="00331CAA"/>
    <w:rsid w:val="00332D9A"/>
    <w:rsid w:val="0033341C"/>
    <w:rsid w:val="00336F01"/>
    <w:rsid w:val="00336F8C"/>
    <w:rsid w:val="00343F02"/>
    <w:rsid w:val="003453BD"/>
    <w:rsid w:val="00356FFD"/>
    <w:rsid w:val="00361C83"/>
    <w:rsid w:val="003669E7"/>
    <w:rsid w:val="00370C05"/>
    <w:rsid w:val="00370C3C"/>
    <w:rsid w:val="0037342B"/>
    <w:rsid w:val="00376172"/>
    <w:rsid w:val="00377ADE"/>
    <w:rsid w:val="0038365D"/>
    <w:rsid w:val="00385D18"/>
    <w:rsid w:val="00392612"/>
    <w:rsid w:val="00392685"/>
    <w:rsid w:val="003A0253"/>
    <w:rsid w:val="003A228D"/>
    <w:rsid w:val="003A3CE8"/>
    <w:rsid w:val="003A55CD"/>
    <w:rsid w:val="003A6549"/>
    <w:rsid w:val="003B1628"/>
    <w:rsid w:val="003B46FA"/>
    <w:rsid w:val="003B4CA9"/>
    <w:rsid w:val="003B653F"/>
    <w:rsid w:val="003B73E9"/>
    <w:rsid w:val="003C0F82"/>
    <w:rsid w:val="003C133D"/>
    <w:rsid w:val="003C5C4A"/>
    <w:rsid w:val="003D1F48"/>
    <w:rsid w:val="003D2095"/>
    <w:rsid w:val="003E027E"/>
    <w:rsid w:val="003E16A0"/>
    <w:rsid w:val="003E3916"/>
    <w:rsid w:val="003E47B6"/>
    <w:rsid w:val="003E49B5"/>
    <w:rsid w:val="003E4CD9"/>
    <w:rsid w:val="003E7045"/>
    <w:rsid w:val="003E78B1"/>
    <w:rsid w:val="003F28EA"/>
    <w:rsid w:val="003F292E"/>
    <w:rsid w:val="003F5377"/>
    <w:rsid w:val="004031C9"/>
    <w:rsid w:val="00404D85"/>
    <w:rsid w:val="0040537E"/>
    <w:rsid w:val="0041470C"/>
    <w:rsid w:val="00414802"/>
    <w:rsid w:val="00416CA4"/>
    <w:rsid w:val="004171DF"/>
    <w:rsid w:val="00417A03"/>
    <w:rsid w:val="00417C87"/>
    <w:rsid w:val="00420AEF"/>
    <w:rsid w:val="00421FEE"/>
    <w:rsid w:val="00422B4A"/>
    <w:rsid w:val="00422F5A"/>
    <w:rsid w:val="00423181"/>
    <w:rsid w:val="00424BE4"/>
    <w:rsid w:val="00426942"/>
    <w:rsid w:val="00437ED1"/>
    <w:rsid w:val="0044078B"/>
    <w:rsid w:val="00455AED"/>
    <w:rsid w:val="0045606F"/>
    <w:rsid w:val="00456F94"/>
    <w:rsid w:val="00457CA5"/>
    <w:rsid w:val="00457E94"/>
    <w:rsid w:val="004600C8"/>
    <w:rsid w:val="00466BD4"/>
    <w:rsid w:val="00467C98"/>
    <w:rsid w:val="00467F4D"/>
    <w:rsid w:val="00470AFD"/>
    <w:rsid w:val="004710B5"/>
    <w:rsid w:val="00474CDC"/>
    <w:rsid w:val="00475E77"/>
    <w:rsid w:val="00480E0E"/>
    <w:rsid w:val="004827A6"/>
    <w:rsid w:val="00482943"/>
    <w:rsid w:val="00484BF2"/>
    <w:rsid w:val="00485720"/>
    <w:rsid w:val="00490694"/>
    <w:rsid w:val="00491057"/>
    <w:rsid w:val="004A06A8"/>
    <w:rsid w:val="004A1B59"/>
    <w:rsid w:val="004A454A"/>
    <w:rsid w:val="004A60F8"/>
    <w:rsid w:val="004A6A7E"/>
    <w:rsid w:val="004B0800"/>
    <w:rsid w:val="004B0EC7"/>
    <w:rsid w:val="004B1523"/>
    <w:rsid w:val="004B18FE"/>
    <w:rsid w:val="004B1F1E"/>
    <w:rsid w:val="004B30C2"/>
    <w:rsid w:val="004B3399"/>
    <w:rsid w:val="004B676E"/>
    <w:rsid w:val="004B715D"/>
    <w:rsid w:val="004C06A3"/>
    <w:rsid w:val="004C109A"/>
    <w:rsid w:val="004C1DF2"/>
    <w:rsid w:val="004C212A"/>
    <w:rsid w:val="004C229C"/>
    <w:rsid w:val="004C5B96"/>
    <w:rsid w:val="004C668F"/>
    <w:rsid w:val="004C66B9"/>
    <w:rsid w:val="004C7286"/>
    <w:rsid w:val="004C7BD3"/>
    <w:rsid w:val="004D137F"/>
    <w:rsid w:val="004D25C3"/>
    <w:rsid w:val="004D451E"/>
    <w:rsid w:val="004D60FA"/>
    <w:rsid w:val="004E27D8"/>
    <w:rsid w:val="004E3CE2"/>
    <w:rsid w:val="004F1EE0"/>
    <w:rsid w:val="004F20DF"/>
    <w:rsid w:val="004F2612"/>
    <w:rsid w:val="004F3F57"/>
    <w:rsid w:val="0050035D"/>
    <w:rsid w:val="00500F13"/>
    <w:rsid w:val="0050139A"/>
    <w:rsid w:val="005045A1"/>
    <w:rsid w:val="00505AA0"/>
    <w:rsid w:val="00506BEE"/>
    <w:rsid w:val="00510233"/>
    <w:rsid w:val="005123F9"/>
    <w:rsid w:val="00512FE1"/>
    <w:rsid w:val="00513771"/>
    <w:rsid w:val="00515C69"/>
    <w:rsid w:val="00516CE2"/>
    <w:rsid w:val="0052099C"/>
    <w:rsid w:val="00521524"/>
    <w:rsid w:val="00523CD2"/>
    <w:rsid w:val="00526B70"/>
    <w:rsid w:val="00532D60"/>
    <w:rsid w:val="00533EDA"/>
    <w:rsid w:val="00534941"/>
    <w:rsid w:val="005362ED"/>
    <w:rsid w:val="005513EE"/>
    <w:rsid w:val="00551FBF"/>
    <w:rsid w:val="005521C2"/>
    <w:rsid w:val="0055246E"/>
    <w:rsid w:val="00553352"/>
    <w:rsid w:val="00561997"/>
    <w:rsid w:val="00564E0C"/>
    <w:rsid w:val="005656E5"/>
    <w:rsid w:val="00566A28"/>
    <w:rsid w:val="00566B69"/>
    <w:rsid w:val="005675A2"/>
    <w:rsid w:val="005710EE"/>
    <w:rsid w:val="00574E37"/>
    <w:rsid w:val="005750F8"/>
    <w:rsid w:val="00576C7A"/>
    <w:rsid w:val="00580F25"/>
    <w:rsid w:val="005842DC"/>
    <w:rsid w:val="00584338"/>
    <w:rsid w:val="00585E1E"/>
    <w:rsid w:val="005863FB"/>
    <w:rsid w:val="00586B74"/>
    <w:rsid w:val="0059189A"/>
    <w:rsid w:val="00596047"/>
    <w:rsid w:val="00597011"/>
    <w:rsid w:val="00597B6B"/>
    <w:rsid w:val="005A2496"/>
    <w:rsid w:val="005A7B33"/>
    <w:rsid w:val="005A7D97"/>
    <w:rsid w:val="005B0937"/>
    <w:rsid w:val="005B4761"/>
    <w:rsid w:val="005B57E3"/>
    <w:rsid w:val="005B6B89"/>
    <w:rsid w:val="005C586A"/>
    <w:rsid w:val="005D09D1"/>
    <w:rsid w:val="005D1F79"/>
    <w:rsid w:val="005D3307"/>
    <w:rsid w:val="005D5BB4"/>
    <w:rsid w:val="005E0233"/>
    <w:rsid w:val="005E4C41"/>
    <w:rsid w:val="005E61FD"/>
    <w:rsid w:val="005E6C02"/>
    <w:rsid w:val="005E775A"/>
    <w:rsid w:val="005F0923"/>
    <w:rsid w:val="00602CDA"/>
    <w:rsid w:val="006116E8"/>
    <w:rsid w:val="006137AF"/>
    <w:rsid w:val="006201D9"/>
    <w:rsid w:val="006226C3"/>
    <w:rsid w:val="00623225"/>
    <w:rsid w:val="0062354E"/>
    <w:rsid w:val="006239DB"/>
    <w:rsid w:val="006350BD"/>
    <w:rsid w:val="0063536C"/>
    <w:rsid w:val="006366D8"/>
    <w:rsid w:val="00637B00"/>
    <w:rsid w:val="00645EF0"/>
    <w:rsid w:val="00646D08"/>
    <w:rsid w:val="0065383F"/>
    <w:rsid w:val="006576F4"/>
    <w:rsid w:val="00660CC9"/>
    <w:rsid w:val="00662613"/>
    <w:rsid w:val="0066395F"/>
    <w:rsid w:val="00665153"/>
    <w:rsid w:val="00674A5C"/>
    <w:rsid w:val="00676484"/>
    <w:rsid w:val="006776B0"/>
    <w:rsid w:val="006805D2"/>
    <w:rsid w:val="00682157"/>
    <w:rsid w:val="0068215C"/>
    <w:rsid w:val="0068343A"/>
    <w:rsid w:val="006843ED"/>
    <w:rsid w:val="006877FF"/>
    <w:rsid w:val="00691842"/>
    <w:rsid w:val="00694EA4"/>
    <w:rsid w:val="00697C73"/>
    <w:rsid w:val="006A0315"/>
    <w:rsid w:val="006A463F"/>
    <w:rsid w:val="006A6451"/>
    <w:rsid w:val="006A6845"/>
    <w:rsid w:val="006A7B0E"/>
    <w:rsid w:val="006B1632"/>
    <w:rsid w:val="006B5115"/>
    <w:rsid w:val="006B5768"/>
    <w:rsid w:val="006B6038"/>
    <w:rsid w:val="006C02A3"/>
    <w:rsid w:val="006C3D0A"/>
    <w:rsid w:val="006C7A97"/>
    <w:rsid w:val="006C7BEF"/>
    <w:rsid w:val="006D00E7"/>
    <w:rsid w:val="006D193B"/>
    <w:rsid w:val="006E18EB"/>
    <w:rsid w:val="006E2582"/>
    <w:rsid w:val="006E2DB1"/>
    <w:rsid w:val="006E2F20"/>
    <w:rsid w:val="006E46EE"/>
    <w:rsid w:val="006F0530"/>
    <w:rsid w:val="006F10B8"/>
    <w:rsid w:val="006F326F"/>
    <w:rsid w:val="006F7A39"/>
    <w:rsid w:val="006F7CA4"/>
    <w:rsid w:val="00703D92"/>
    <w:rsid w:val="00706203"/>
    <w:rsid w:val="00706784"/>
    <w:rsid w:val="0071244B"/>
    <w:rsid w:val="00712FE0"/>
    <w:rsid w:val="00715E29"/>
    <w:rsid w:val="00717196"/>
    <w:rsid w:val="00724AD3"/>
    <w:rsid w:val="00724CB7"/>
    <w:rsid w:val="007279C0"/>
    <w:rsid w:val="007279FB"/>
    <w:rsid w:val="00731990"/>
    <w:rsid w:val="00735632"/>
    <w:rsid w:val="00741706"/>
    <w:rsid w:val="0074376C"/>
    <w:rsid w:val="00743CA6"/>
    <w:rsid w:val="00744012"/>
    <w:rsid w:val="00746D7B"/>
    <w:rsid w:val="0074702D"/>
    <w:rsid w:val="007501DA"/>
    <w:rsid w:val="007508F8"/>
    <w:rsid w:val="00754B4E"/>
    <w:rsid w:val="00757EC4"/>
    <w:rsid w:val="00761195"/>
    <w:rsid w:val="007621AD"/>
    <w:rsid w:val="00762FB6"/>
    <w:rsid w:val="00763905"/>
    <w:rsid w:val="00763A4E"/>
    <w:rsid w:val="0076447E"/>
    <w:rsid w:val="00770B6A"/>
    <w:rsid w:val="00771002"/>
    <w:rsid w:val="0077420C"/>
    <w:rsid w:val="0077435C"/>
    <w:rsid w:val="00776D09"/>
    <w:rsid w:val="0078224D"/>
    <w:rsid w:val="007825B1"/>
    <w:rsid w:val="00783303"/>
    <w:rsid w:val="00785615"/>
    <w:rsid w:val="007872BD"/>
    <w:rsid w:val="00787B7F"/>
    <w:rsid w:val="007948A0"/>
    <w:rsid w:val="0079669D"/>
    <w:rsid w:val="007A3907"/>
    <w:rsid w:val="007A4CE8"/>
    <w:rsid w:val="007A4D32"/>
    <w:rsid w:val="007A60C4"/>
    <w:rsid w:val="007B067D"/>
    <w:rsid w:val="007B7B26"/>
    <w:rsid w:val="007C03E4"/>
    <w:rsid w:val="007C0E25"/>
    <w:rsid w:val="007C26B2"/>
    <w:rsid w:val="007C4CC8"/>
    <w:rsid w:val="007C5277"/>
    <w:rsid w:val="007C55DE"/>
    <w:rsid w:val="007D0429"/>
    <w:rsid w:val="007D31DC"/>
    <w:rsid w:val="007D7224"/>
    <w:rsid w:val="007D7300"/>
    <w:rsid w:val="007E045E"/>
    <w:rsid w:val="007E17F4"/>
    <w:rsid w:val="007E1D99"/>
    <w:rsid w:val="007E5221"/>
    <w:rsid w:val="007F11D7"/>
    <w:rsid w:val="007F5519"/>
    <w:rsid w:val="007F639B"/>
    <w:rsid w:val="00802341"/>
    <w:rsid w:val="00803F29"/>
    <w:rsid w:val="00805D7C"/>
    <w:rsid w:val="00806252"/>
    <w:rsid w:val="00807EE7"/>
    <w:rsid w:val="00811FDE"/>
    <w:rsid w:val="00812F9C"/>
    <w:rsid w:val="00816E30"/>
    <w:rsid w:val="00817379"/>
    <w:rsid w:val="0082050D"/>
    <w:rsid w:val="008211F4"/>
    <w:rsid w:val="00823255"/>
    <w:rsid w:val="008254B7"/>
    <w:rsid w:val="00826E96"/>
    <w:rsid w:val="00830367"/>
    <w:rsid w:val="008312BA"/>
    <w:rsid w:val="00834F19"/>
    <w:rsid w:val="00835FDF"/>
    <w:rsid w:val="00840C5F"/>
    <w:rsid w:val="008419C1"/>
    <w:rsid w:val="00842BCA"/>
    <w:rsid w:val="00850988"/>
    <w:rsid w:val="00852CA3"/>
    <w:rsid w:val="00854306"/>
    <w:rsid w:val="0085606C"/>
    <w:rsid w:val="008561DC"/>
    <w:rsid w:val="0085783B"/>
    <w:rsid w:val="00862287"/>
    <w:rsid w:val="008669B7"/>
    <w:rsid w:val="00870E74"/>
    <w:rsid w:val="00873381"/>
    <w:rsid w:val="00873684"/>
    <w:rsid w:val="00873AB7"/>
    <w:rsid w:val="00873CC9"/>
    <w:rsid w:val="0088210A"/>
    <w:rsid w:val="00882B98"/>
    <w:rsid w:val="008831BC"/>
    <w:rsid w:val="00886080"/>
    <w:rsid w:val="00886A6B"/>
    <w:rsid w:val="00892C5D"/>
    <w:rsid w:val="00896D33"/>
    <w:rsid w:val="00897150"/>
    <w:rsid w:val="008A17EB"/>
    <w:rsid w:val="008A58BA"/>
    <w:rsid w:val="008A63A8"/>
    <w:rsid w:val="008A69A2"/>
    <w:rsid w:val="008A742A"/>
    <w:rsid w:val="008A7DB4"/>
    <w:rsid w:val="008B087F"/>
    <w:rsid w:val="008B08C7"/>
    <w:rsid w:val="008B6F42"/>
    <w:rsid w:val="008B79CA"/>
    <w:rsid w:val="008C44C2"/>
    <w:rsid w:val="008C697D"/>
    <w:rsid w:val="008D0575"/>
    <w:rsid w:val="008D0C2F"/>
    <w:rsid w:val="008D5332"/>
    <w:rsid w:val="008E2E38"/>
    <w:rsid w:val="008E7C95"/>
    <w:rsid w:val="008F3D9F"/>
    <w:rsid w:val="008F4CD0"/>
    <w:rsid w:val="009012F2"/>
    <w:rsid w:val="00906B89"/>
    <w:rsid w:val="009105A5"/>
    <w:rsid w:val="00910C7A"/>
    <w:rsid w:val="0091444C"/>
    <w:rsid w:val="00915CF1"/>
    <w:rsid w:val="00916AAF"/>
    <w:rsid w:val="00916DBC"/>
    <w:rsid w:val="00916DDC"/>
    <w:rsid w:val="00917F99"/>
    <w:rsid w:val="009213F4"/>
    <w:rsid w:val="0092265D"/>
    <w:rsid w:val="0092385A"/>
    <w:rsid w:val="009244D2"/>
    <w:rsid w:val="00925790"/>
    <w:rsid w:val="00926C53"/>
    <w:rsid w:val="0093477F"/>
    <w:rsid w:val="00940CE6"/>
    <w:rsid w:val="00941003"/>
    <w:rsid w:val="00941221"/>
    <w:rsid w:val="00944F08"/>
    <w:rsid w:val="009478FD"/>
    <w:rsid w:val="00950B00"/>
    <w:rsid w:val="00955B14"/>
    <w:rsid w:val="00960AE0"/>
    <w:rsid w:val="00960E1F"/>
    <w:rsid w:val="00961737"/>
    <w:rsid w:val="00963BFF"/>
    <w:rsid w:val="00964DDB"/>
    <w:rsid w:val="009706E1"/>
    <w:rsid w:val="009708B1"/>
    <w:rsid w:val="00973A43"/>
    <w:rsid w:val="00974931"/>
    <w:rsid w:val="00975B4E"/>
    <w:rsid w:val="00985C07"/>
    <w:rsid w:val="00994441"/>
    <w:rsid w:val="00995C8C"/>
    <w:rsid w:val="00996535"/>
    <w:rsid w:val="00997E32"/>
    <w:rsid w:val="009A0129"/>
    <w:rsid w:val="009A0251"/>
    <w:rsid w:val="009A0AF2"/>
    <w:rsid w:val="009A1665"/>
    <w:rsid w:val="009B1867"/>
    <w:rsid w:val="009B619F"/>
    <w:rsid w:val="009B7ADC"/>
    <w:rsid w:val="009C0FD8"/>
    <w:rsid w:val="009C2C2D"/>
    <w:rsid w:val="009C30F6"/>
    <w:rsid w:val="009C31FB"/>
    <w:rsid w:val="009C3382"/>
    <w:rsid w:val="009C4760"/>
    <w:rsid w:val="009C5FF2"/>
    <w:rsid w:val="009C6EE9"/>
    <w:rsid w:val="009D3998"/>
    <w:rsid w:val="009D3CDF"/>
    <w:rsid w:val="009D7075"/>
    <w:rsid w:val="009E50A9"/>
    <w:rsid w:val="009E7B5A"/>
    <w:rsid w:val="009F1CB3"/>
    <w:rsid w:val="009F4EEB"/>
    <w:rsid w:val="00A00058"/>
    <w:rsid w:val="00A04C19"/>
    <w:rsid w:val="00A05037"/>
    <w:rsid w:val="00A054C1"/>
    <w:rsid w:val="00A13118"/>
    <w:rsid w:val="00A15F26"/>
    <w:rsid w:val="00A17469"/>
    <w:rsid w:val="00A2108A"/>
    <w:rsid w:val="00A22145"/>
    <w:rsid w:val="00A2240F"/>
    <w:rsid w:val="00A226EC"/>
    <w:rsid w:val="00A23540"/>
    <w:rsid w:val="00A239DC"/>
    <w:rsid w:val="00A25328"/>
    <w:rsid w:val="00A2668A"/>
    <w:rsid w:val="00A33C70"/>
    <w:rsid w:val="00A4309F"/>
    <w:rsid w:val="00A43159"/>
    <w:rsid w:val="00A455FB"/>
    <w:rsid w:val="00A459F9"/>
    <w:rsid w:val="00A4760D"/>
    <w:rsid w:val="00A50AE0"/>
    <w:rsid w:val="00A50E0E"/>
    <w:rsid w:val="00A63FA6"/>
    <w:rsid w:val="00A65319"/>
    <w:rsid w:val="00A679CA"/>
    <w:rsid w:val="00A709E3"/>
    <w:rsid w:val="00A721E9"/>
    <w:rsid w:val="00A72C5F"/>
    <w:rsid w:val="00A72E34"/>
    <w:rsid w:val="00A76B51"/>
    <w:rsid w:val="00A77EAA"/>
    <w:rsid w:val="00A8109D"/>
    <w:rsid w:val="00A84C35"/>
    <w:rsid w:val="00A85FAB"/>
    <w:rsid w:val="00A90289"/>
    <w:rsid w:val="00A906F6"/>
    <w:rsid w:val="00AA0D64"/>
    <w:rsid w:val="00AA3F5B"/>
    <w:rsid w:val="00AA6389"/>
    <w:rsid w:val="00AA6FD0"/>
    <w:rsid w:val="00AB1BCA"/>
    <w:rsid w:val="00AB2431"/>
    <w:rsid w:val="00AB5EC7"/>
    <w:rsid w:val="00AB78C4"/>
    <w:rsid w:val="00AC02DC"/>
    <w:rsid w:val="00AC061E"/>
    <w:rsid w:val="00AC44D5"/>
    <w:rsid w:val="00AC5A54"/>
    <w:rsid w:val="00AC7175"/>
    <w:rsid w:val="00AD0774"/>
    <w:rsid w:val="00AE02F3"/>
    <w:rsid w:val="00AE0673"/>
    <w:rsid w:val="00AE1FEF"/>
    <w:rsid w:val="00AE48F5"/>
    <w:rsid w:val="00AE4C04"/>
    <w:rsid w:val="00AE7A51"/>
    <w:rsid w:val="00AF04E1"/>
    <w:rsid w:val="00B00F89"/>
    <w:rsid w:val="00B01EBC"/>
    <w:rsid w:val="00B06D20"/>
    <w:rsid w:val="00B07CF5"/>
    <w:rsid w:val="00B141DE"/>
    <w:rsid w:val="00B1768A"/>
    <w:rsid w:val="00B20A61"/>
    <w:rsid w:val="00B20EBD"/>
    <w:rsid w:val="00B214C9"/>
    <w:rsid w:val="00B22732"/>
    <w:rsid w:val="00B268A8"/>
    <w:rsid w:val="00B27590"/>
    <w:rsid w:val="00B31543"/>
    <w:rsid w:val="00B31618"/>
    <w:rsid w:val="00B328E0"/>
    <w:rsid w:val="00B32BDF"/>
    <w:rsid w:val="00B42556"/>
    <w:rsid w:val="00B45740"/>
    <w:rsid w:val="00B500F5"/>
    <w:rsid w:val="00B53C7F"/>
    <w:rsid w:val="00B557F1"/>
    <w:rsid w:val="00B571FA"/>
    <w:rsid w:val="00B6076F"/>
    <w:rsid w:val="00B622F7"/>
    <w:rsid w:val="00B62373"/>
    <w:rsid w:val="00B66455"/>
    <w:rsid w:val="00B70711"/>
    <w:rsid w:val="00B74070"/>
    <w:rsid w:val="00B74651"/>
    <w:rsid w:val="00B77F54"/>
    <w:rsid w:val="00B80A30"/>
    <w:rsid w:val="00B8244E"/>
    <w:rsid w:val="00B82930"/>
    <w:rsid w:val="00B8343B"/>
    <w:rsid w:val="00B83834"/>
    <w:rsid w:val="00B84535"/>
    <w:rsid w:val="00B861E4"/>
    <w:rsid w:val="00B868AF"/>
    <w:rsid w:val="00B86C16"/>
    <w:rsid w:val="00BA0DFC"/>
    <w:rsid w:val="00BA1861"/>
    <w:rsid w:val="00BA7CDA"/>
    <w:rsid w:val="00BB1131"/>
    <w:rsid w:val="00BB2779"/>
    <w:rsid w:val="00BB32BC"/>
    <w:rsid w:val="00BB6A6E"/>
    <w:rsid w:val="00BB6B93"/>
    <w:rsid w:val="00BC1D23"/>
    <w:rsid w:val="00BC33E4"/>
    <w:rsid w:val="00BC7BB4"/>
    <w:rsid w:val="00BD1DA9"/>
    <w:rsid w:val="00BD220D"/>
    <w:rsid w:val="00BD7017"/>
    <w:rsid w:val="00BE175F"/>
    <w:rsid w:val="00BE2B96"/>
    <w:rsid w:val="00BE7DDC"/>
    <w:rsid w:val="00BF054B"/>
    <w:rsid w:val="00BF41AE"/>
    <w:rsid w:val="00BF5E95"/>
    <w:rsid w:val="00C015DB"/>
    <w:rsid w:val="00C02147"/>
    <w:rsid w:val="00C04483"/>
    <w:rsid w:val="00C07404"/>
    <w:rsid w:val="00C10AB2"/>
    <w:rsid w:val="00C13263"/>
    <w:rsid w:val="00C153FB"/>
    <w:rsid w:val="00C154D2"/>
    <w:rsid w:val="00C17DE6"/>
    <w:rsid w:val="00C210A4"/>
    <w:rsid w:val="00C249FC"/>
    <w:rsid w:val="00C25F39"/>
    <w:rsid w:val="00C27BD1"/>
    <w:rsid w:val="00C27EA4"/>
    <w:rsid w:val="00C3038B"/>
    <w:rsid w:val="00C32F55"/>
    <w:rsid w:val="00C34830"/>
    <w:rsid w:val="00C42D75"/>
    <w:rsid w:val="00C45B5D"/>
    <w:rsid w:val="00C51CB1"/>
    <w:rsid w:val="00C606AB"/>
    <w:rsid w:val="00C6232B"/>
    <w:rsid w:val="00C65BA9"/>
    <w:rsid w:val="00C66C7B"/>
    <w:rsid w:val="00C72F1B"/>
    <w:rsid w:val="00C73A5C"/>
    <w:rsid w:val="00C766F1"/>
    <w:rsid w:val="00C80246"/>
    <w:rsid w:val="00C80890"/>
    <w:rsid w:val="00C833E9"/>
    <w:rsid w:val="00C83462"/>
    <w:rsid w:val="00C83CAA"/>
    <w:rsid w:val="00C8726D"/>
    <w:rsid w:val="00C90952"/>
    <w:rsid w:val="00C9420C"/>
    <w:rsid w:val="00C946DA"/>
    <w:rsid w:val="00C9523F"/>
    <w:rsid w:val="00CA07DF"/>
    <w:rsid w:val="00CA12AF"/>
    <w:rsid w:val="00CA4BEB"/>
    <w:rsid w:val="00CA68FD"/>
    <w:rsid w:val="00CA697A"/>
    <w:rsid w:val="00CA70E5"/>
    <w:rsid w:val="00CB014F"/>
    <w:rsid w:val="00CB0453"/>
    <w:rsid w:val="00CB3FD1"/>
    <w:rsid w:val="00CB7276"/>
    <w:rsid w:val="00CC03EF"/>
    <w:rsid w:val="00CC0845"/>
    <w:rsid w:val="00CC67BE"/>
    <w:rsid w:val="00CC7502"/>
    <w:rsid w:val="00CC7672"/>
    <w:rsid w:val="00CD0877"/>
    <w:rsid w:val="00CD192F"/>
    <w:rsid w:val="00CD6A56"/>
    <w:rsid w:val="00CD7B33"/>
    <w:rsid w:val="00CE0639"/>
    <w:rsid w:val="00CE226D"/>
    <w:rsid w:val="00CE2E18"/>
    <w:rsid w:val="00CE6228"/>
    <w:rsid w:val="00CE6312"/>
    <w:rsid w:val="00CF0C62"/>
    <w:rsid w:val="00CF4DC5"/>
    <w:rsid w:val="00CF5DA8"/>
    <w:rsid w:val="00CF6799"/>
    <w:rsid w:val="00CF6E38"/>
    <w:rsid w:val="00CF7766"/>
    <w:rsid w:val="00D01B56"/>
    <w:rsid w:val="00D03F96"/>
    <w:rsid w:val="00D20A31"/>
    <w:rsid w:val="00D234E9"/>
    <w:rsid w:val="00D25C51"/>
    <w:rsid w:val="00D31000"/>
    <w:rsid w:val="00D31109"/>
    <w:rsid w:val="00D33397"/>
    <w:rsid w:val="00D3523A"/>
    <w:rsid w:val="00D4128C"/>
    <w:rsid w:val="00D4381E"/>
    <w:rsid w:val="00D4449F"/>
    <w:rsid w:val="00D45BEF"/>
    <w:rsid w:val="00D467FE"/>
    <w:rsid w:val="00D46873"/>
    <w:rsid w:val="00D46ED1"/>
    <w:rsid w:val="00D51ABA"/>
    <w:rsid w:val="00D52096"/>
    <w:rsid w:val="00D55EE0"/>
    <w:rsid w:val="00D579B4"/>
    <w:rsid w:val="00D62DC5"/>
    <w:rsid w:val="00D6388C"/>
    <w:rsid w:val="00D64508"/>
    <w:rsid w:val="00D6465D"/>
    <w:rsid w:val="00D70F88"/>
    <w:rsid w:val="00D710B8"/>
    <w:rsid w:val="00D72CA4"/>
    <w:rsid w:val="00D7363D"/>
    <w:rsid w:val="00D758B3"/>
    <w:rsid w:val="00D75E14"/>
    <w:rsid w:val="00D76857"/>
    <w:rsid w:val="00D81ED0"/>
    <w:rsid w:val="00D82369"/>
    <w:rsid w:val="00D85C9C"/>
    <w:rsid w:val="00D86F88"/>
    <w:rsid w:val="00D874E5"/>
    <w:rsid w:val="00D87A37"/>
    <w:rsid w:val="00D91147"/>
    <w:rsid w:val="00D91222"/>
    <w:rsid w:val="00D931C2"/>
    <w:rsid w:val="00D94085"/>
    <w:rsid w:val="00D9736E"/>
    <w:rsid w:val="00DA39EC"/>
    <w:rsid w:val="00DA3CC3"/>
    <w:rsid w:val="00DA4701"/>
    <w:rsid w:val="00DA5079"/>
    <w:rsid w:val="00DA5CBD"/>
    <w:rsid w:val="00DA5F88"/>
    <w:rsid w:val="00DB06DB"/>
    <w:rsid w:val="00DB0A0E"/>
    <w:rsid w:val="00DB0AEB"/>
    <w:rsid w:val="00DB28BA"/>
    <w:rsid w:val="00DB5064"/>
    <w:rsid w:val="00DB6151"/>
    <w:rsid w:val="00DC162D"/>
    <w:rsid w:val="00DC76B8"/>
    <w:rsid w:val="00DD5BF0"/>
    <w:rsid w:val="00DD7759"/>
    <w:rsid w:val="00DE2C27"/>
    <w:rsid w:val="00DE30A8"/>
    <w:rsid w:val="00DE62AD"/>
    <w:rsid w:val="00DE6C32"/>
    <w:rsid w:val="00DE7526"/>
    <w:rsid w:val="00DE77F4"/>
    <w:rsid w:val="00DE7EC3"/>
    <w:rsid w:val="00DF1631"/>
    <w:rsid w:val="00DF4815"/>
    <w:rsid w:val="00DF5619"/>
    <w:rsid w:val="00DF608F"/>
    <w:rsid w:val="00DF6523"/>
    <w:rsid w:val="00DF70BC"/>
    <w:rsid w:val="00E03AD8"/>
    <w:rsid w:val="00E0720E"/>
    <w:rsid w:val="00E0739F"/>
    <w:rsid w:val="00E109E7"/>
    <w:rsid w:val="00E121BC"/>
    <w:rsid w:val="00E14680"/>
    <w:rsid w:val="00E16A19"/>
    <w:rsid w:val="00E21272"/>
    <w:rsid w:val="00E2264B"/>
    <w:rsid w:val="00E22D2A"/>
    <w:rsid w:val="00E34C0E"/>
    <w:rsid w:val="00E35210"/>
    <w:rsid w:val="00E3713A"/>
    <w:rsid w:val="00E40063"/>
    <w:rsid w:val="00E40FB5"/>
    <w:rsid w:val="00E41B0C"/>
    <w:rsid w:val="00E43E0A"/>
    <w:rsid w:val="00E43E1A"/>
    <w:rsid w:val="00E44124"/>
    <w:rsid w:val="00E4546C"/>
    <w:rsid w:val="00E47005"/>
    <w:rsid w:val="00E476C2"/>
    <w:rsid w:val="00E5200D"/>
    <w:rsid w:val="00E5283F"/>
    <w:rsid w:val="00E52E2C"/>
    <w:rsid w:val="00E60911"/>
    <w:rsid w:val="00E63680"/>
    <w:rsid w:val="00E6480A"/>
    <w:rsid w:val="00E64CA1"/>
    <w:rsid w:val="00E64E3B"/>
    <w:rsid w:val="00E70B06"/>
    <w:rsid w:val="00E723F9"/>
    <w:rsid w:val="00E76329"/>
    <w:rsid w:val="00E77E2F"/>
    <w:rsid w:val="00E818D8"/>
    <w:rsid w:val="00E823EF"/>
    <w:rsid w:val="00E84F93"/>
    <w:rsid w:val="00E86A2E"/>
    <w:rsid w:val="00E9114B"/>
    <w:rsid w:val="00E921B9"/>
    <w:rsid w:val="00E92502"/>
    <w:rsid w:val="00E9259C"/>
    <w:rsid w:val="00E94C5B"/>
    <w:rsid w:val="00E962C5"/>
    <w:rsid w:val="00E96B5F"/>
    <w:rsid w:val="00E971BE"/>
    <w:rsid w:val="00EA04F6"/>
    <w:rsid w:val="00EA2A36"/>
    <w:rsid w:val="00EA2DF2"/>
    <w:rsid w:val="00EA4427"/>
    <w:rsid w:val="00EA6797"/>
    <w:rsid w:val="00EA70C5"/>
    <w:rsid w:val="00EB2C43"/>
    <w:rsid w:val="00EB45B7"/>
    <w:rsid w:val="00EB68D7"/>
    <w:rsid w:val="00EC0404"/>
    <w:rsid w:val="00EC0F37"/>
    <w:rsid w:val="00EC371F"/>
    <w:rsid w:val="00ED3437"/>
    <w:rsid w:val="00ED3F4B"/>
    <w:rsid w:val="00ED48B8"/>
    <w:rsid w:val="00ED5374"/>
    <w:rsid w:val="00EE4F15"/>
    <w:rsid w:val="00EF2038"/>
    <w:rsid w:val="00EF23E6"/>
    <w:rsid w:val="00EF4E7B"/>
    <w:rsid w:val="00EF58FF"/>
    <w:rsid w:val="00EF6FBD"/>
    <w:rsid w:val="00EF6FC1"/>
    <w:rsid w:val="00EF7971"/>
    <w:rsid w:val="00EF7FF1"/>
    <w:rsid w:val="00F00068"/>
    <w:rsid w:val="00F00F93"/>
    <w:rsid w:val="00F01183"/>
    <w:rsid w:val="00F024F0"/>
    <w:rsid w:val="00F0364B"/>
    <w:rsid w:val="00F03E28"/>
    <w:rsid w:val="00F04BFF"/>
    <w:rsid w:val="00F07DBC"/>
    <w:rsid w:val="00F11A70"/>
    <w:rsid w:val="00F14C7B"/>
    <w:rsid w:val="00F23B89"/>
    <w:rsid w:val="00F26BD8"/>
    <w:rsid w:val="00F3116D"/>
    <w:rsid w:val="00F335CA"/>
    <w:rsid w:val="00F364A6"/>
    <w:rsid w:val="00F436C6"/>
    <w:rsid w:val="00F4395C"/>
    <w:rsid w:val="00F440F2"/>
    <w:rsid w:val="00F455ED"/>
    <w:rsid w:val="00F5032A"/>
    <w:rsid w:val="00F51712"/>
    <w:rsid w:val="00F51A3E"/>
    <w:rsid w:val="00F52523"/>
    <w:rsid w:val="00F5531B"/>
    <w:rsid w:val="00F55BAD"/>
    <w:rsid w:val="00F75458"/>
    <w:rsid w:val="00F77EA1"/>
    <w:rsid w:val="00F8058E"/>
    <w:rsid w:val="00F81355"/>
    <w:rsid w:val="00F828C3"/>
    <w:rsid w:val="00F860C8"/>
    <w:rsid w:val="00F944E3"/>
    <w:rsid w:val="00F949DF"/>
    <w:rsid w:val="00F95AFB"/>
    <w:rsid w:val="00F963BA"/>
    <w:rsid w:val="00FA3A89"/>
    <w:rsid w:val="00FA664C"/>
    <w:rsid w:val="00FA6AE9"/>
    <w:rsid w:val="00FA6D16"/>
    <w:rsid w:val="00FB0DE0"/>
    <w:rsid w:val="00FB2D5F"/>
    <w:rsid w:val="00FB3B7D"/>
    <w:rsid w:val="00FB41CB"/>
    <w:rsid w:val="00FB534E"/>
    <w:rsid w:val="00FB6213"/>
    <w:rsid w:val="00FB6B5D"/>
    <w:rsid w:val="00FB7051"/>
    <w:rsid w:val="00FB7F54"/>
    <w:rsid w:val="00FC40CD"/>
    <w:rsid w:val="00FC59D9"/>
    <w:rsid w:val="00FC627C"/>
    <w:rsid w:val="00FE04D6"/>
    <w:rsid w:val="00FE2C8D"/>
    <w:rsid w:val="00FE4976"/>
    <w:rsid w:val="00FE5C91"/>
    <w:rsid w:val="00FE6068"/>
    <w:rsid w:val="00FE620D"/>
    <w:rsid w:val="00FE7B1A"/>
    <w:rsid w:val="00FF16D9"/>
    <w:rsid w:val="00FF583B"/>
    <w:rsid w:val="00FF7D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2A54DB"/>
  <w15:chartTrackingRefBased/>
  <w15:docId w15:val="{656C8B89-F9A7-48FD-AA2D-11C78882D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74A5C"/>
    <w:rPr>
      <w:lang w:val="en-GB"/>
    </w:rPr>
  </w:style>
  <w:style w:type="paragraph" w:styleId="Heading1">
    <w:name w:val="heading 1"/>
    <w:basedOn w:val="Normal"/>
    <w:next w:val="Normal"/>
    <w:link w:val="Heading1Char"/>
    <w:uiPriority w:val="9"/>
    <w:qFormat/>
    <w:rsid w:val="003B653F"/>
    <w:pPr>
      <w:keepNext/>
      <w:keepLines/>
      <w:spacing w:before="240" w:after="120"/>
      <w:outlineLvl w:val="0"/>
    </w:pPr>
    <w:rPr>
      <w:rFonts w:ascii="Times New Roman" w:eastAsiaTheme="majorEastAsia" w:hAnsi="Times New Roman" w:cstheme="majorBidi"/>
      <w:b/>
      <w:sz w:val="32"/>
      <w:szCs w:val="32"/>
    </w:rPr>
  </w:style>
  <w:style w:type="paragraph" w:styleId="Heading2">
    <w:name w:val="heading 2"/>
    <w:basedOn w:val="Normal"/>
    <w:next w:val="Normal"/>
    <w:link w:val="Heading2Char"/>
    <w:uiPriority w:val="9"/>
    <w:unhideWhenUsed/>
    <w:qFormat/>
    <w:rsid w:val="00944F08"/>
    <w:pPr>
      <w:keepNext/>
      <w:keepLines/>
      <w:spacing w:before="120" w:after="40"/>
      <w:outlineLvl w:val="1"/>
    </w:pPr>
    <w:rPr>
      <w:rFonts w:ascii="Times New Roman" w:eastAsiaTheme="majorEastAsia" w:hAnsi="Times New Roman" w:cstheme="majorBidi"/>
      <w:b/>
      <w:sz w:val="26"/>
      <w:szCs w:val="26"/>
    </w:rPr>
  </w:style>
  <w:style w:type="paragraph" w:styleId="Heading3">
    <w:name w:val="heading 3"/>
    <w:basedOn w:val="Normal"/>
    <w:next w:val="Normal"/>
    <w:link w:val="Heading3Char"/>
    <w:uiPriority w:val="9"/>
    <w:unhideWhenUsed/>
    <w:qFormat/>
    <w:rsid w:val="00944F08"/>
    <w:pPr>
      <w:keepNext/>
      <w:keepLines/>
      <w:spacing w:before="120" w:after="40"/>
      <w:outlineLvl w:val="2"/>
    </w:pPr>
    <w:rPr>
      <w:rFonts w:ascii="Times New Roman" w:eastAsiaTheme="majorEastAsia" w:hAnsi="Times New Roman"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C31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80625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6252"/>
    <w:rPr>
      <w:rFonts w:ascii="Segoe UI" w:hAnsi="Segoe UI" w:cs="Segoe UI"/>
      <w:sz w:val="18"/>
      <w:szCs w:val="18"/>
      <w:lang w:val="en-GB"/>
    </w:rPr>
  </w:style>
  <w:style w:type="paragraph" w:styleId="ListParagraph">
    <w:name w:val="List Paragraph"/>
    <w:basedOn w:val="Normal"/>
    <w:uiPriority w:val="34"/>
    <w:qFormat/>
    <w:rsid w:val="00163DC2"/>
    <w:pPr>
      <w:ind w:left="720"/>
      <w:contextualSpacing/>
    </w:pPr>
  </w:style>
  <w:style w:type="character" w:styleId="PlaceholderText">
    <w:name w:val="Placeholder Text"/>
    <w:basedOn w:val="DefaultParagraphFont"/>
    <w:uiPriority w:val="99"/>
    <w:semiHidden/>
    <w:rsid w:val="00AC44D5"/>
    <w:rPr>
      <w:color w:val="808080"/>
    </w:rPr>
  </w:style>
  <w:style w:type="character" w:styleId="CommentReference">
    <w:name w:val="annotation reference"/>
    <w:basedOn w:val="DefaultParagraphFont"/>
    <w:uiPriority w:val="99"/>
    <w:semiHidden/>
    <w:unhideWhenUsed/>
    <w:rsid w:val="00484BF2"/>
    <w:rPr>
      <w:sz w:val="16"/>
      <w:szCs w:val="16"/>
    </w:rPr>
  </w:style>
  <w:style w:type="paragraph" w:styleId="CommentText">
    <w:name w:val="annotation text"/>
    <w:basedOn w:val="Normal"/>
    <w:link w:val="CommentTextChar"/>
    <w:uiPriority w:val="99"/>
    <w:unhideWhenUsed/>
    <w:rsid w:val="00484BF2"/>
    <w:pPr>
      <w:spacing w:after="200" w:line="240" w:lineRule="auto"/>
    </w:pPr>
    <w:rPr>
      <w:sz w:val="20"/>
      <w:szCs w:val="20"/>
      <w:lang w:val="de-DE"/>
    </w:rPr>
  </w:style>
  <w:style w:type="character" w:customStyle="1" w:styleId="CommentTextChar">
    <w:name w:val="Comment Text Char"/>
    <w:basedOn w:val="DefaultParagraphFont"/>
    <w:link w:val="CommentText"/>
    <w:uiPriority w:val="99"/>
    <w:semiHidden/>
    <w:rsid w:val="00484BF2"/>
    <w:rPr>
      <w:sz w:val="20"/>
      <w:szCs w:val="20"/>
    </w:rPr>
  </w:style>
  <w:style w:type="paragraph" w:styleId="CommentSubject">
    <w:name w:val="annotation subject"/>
    <w:basedOn w:val="CommentText"/>
    <w:next w:val="CommentText"/>
    <w:link w:val="CommentSubjectChar"/>
    <w:uiPriority w:val="99"/>
    <w:semiHidden/>
    <w:unhideWhenUsed/>
    <w:rsid w:val="006F0530"/>
    <w:pPr>
      <w:spacing w:after="160"/>
    </w:pPr>
    <w:rPr>
      <w:b/>
      <w:bCs/>
      <w:lang w:val="en-GB"/>
    </w:rPr>
  </w:style>
  <w:style w:type="character" w:customStyle="1" w:styleId="CommentSubjectChar">
    <w:name w:val="Comment Subject Char"/>
    <w:basedOn w:val="CommentTextChar"/>
    <w:link w:val="CommentSubject"/>
    <w:uiPriority w:val="99"/>
    <w:semiHidden/>
    <w:rsid w:val="006F0530"/>
    <w:rPr>
      <w:b/>
      <w:bCs/>
      <w:sz w:val="20"/>
      <w:szCs w:val="20"/>
      <w:lang w:val="en-GB"/>
    </w:rPr>
  </w:style>
  <w:style w:type="character" w:customStyle="1" w:styleId="Heading1Char">
    <w:name w:val="Heading 1 Char"/>
    <w:basedOn w:val="DefaultParagraphFont"/>
    <w:link w:val="Heading1"/>
    <w:uiPriority w:val="9"/>
    <w:rsid w:val="003B653F"/>
    <w:rPr>
      <w:rFonts w:ascii="Times New Roman" w:eastAsiaTheme="majorEastAsia" w:hAnsi="Times New Roman" w:cstheme="majorBidi"/>
      <w:b/>
      <w:sz w:val="32"/>
      <w:szCs w:val="32"/>
      <w:lang w:val="en-GB"/>
    </w:rPr>
  </w:style>
  <w:style w:type="character" w:customStyle="1" w:styleId="Heading2Char">
    <w:name w:val="Heading 2 Char"/>
    <w:basedOn w:val="DefaultParagraphFont"/>
    <w:link w:val="Heading2"/>
    <w:uiPriority w:val="9"/>
    <w:rsid w:val="00944F08"/>
    <w:rPr>
      <w:rFonts w:ascii="Times New Roman" w:eastAsiaTheme="majorEastAsia" w:hAnsi="Times New Roman" w:cstheme="majorBidi"/>
      <w:b/>
      <w:sz w:val="26"/>
      <w:szCs w:val="26"/>
      <w:lang w:val="en-GB"/>
    </w:rPr>
  </w:style>
  <w:style w:type="character" w:customStyle="1" w:styleId="Heading3Char">
    <w:name w:val="Heading 3 Char"/>
    <w:basedOn w:val="DefaultParagraphFont"/>
    <w:link w:val="Heading3"/>
    <w:uiPriority w:val="9"/>
    <w:rsid w:val="00944F08"/>
    <w:rPr>
      <w:rFonts w:ascii="Times New Roman" w:eastAsiaTheme="majorEastAsia" w:hAnsi="Times New Roman" w:cstheme="majorBidi"/>
      <w:sz w:val="24"/>
      <w:szCs w:val="24"/>
      <w:lang w:val="en-GB"/>
    </w:rPr>
  </w:style>
  <w:style w:type="character" w:styleId="Hyperlink">
    <w:name w:val="Hyperlink"/>
    <w:basedOn w:val="DefaultParagraphFont"/>
    <w:uiPriority w:val="99"/>
    <w:unhideWhenUsed/>
    <w:rsid w:val="00154240"/>
    <w:rPr>
      <w:color w:val="0563C1" w:themeColor="hyperlink"/>
      <w:u w:val="single"/>
    </w:rPr>
  </w:style>
  <w:style w:type="paragraph" w:styleId="TOC1">
    <w:name w:val="toc 1"/>
    <w:basedOn w:val="Normal"/>
    <w:next w:val="Normal"/>
    <w:autoRedefine/>
    <w:uiPriority w:val="39"/>
    <w:unhideWhenUsed/>
    <w:rsid w:val="00154240"/>
    <w:pPr>
      <w:spacing w:after="100"/>
    </w:pPr>
    <w:rPr>
      <w:rFonts w:ascii="Times New Roman" w:hAnsi="Times New Roman"/>
    </w:rPr>
  </w:style>
  <w:style w:type="paragraph" w:styleId="TOC2">
    <w:name w:val="toc 2"/>
    <w:basedOn w:val="Normal"/>
    <w:next w:val="Normal"/>
    <w:autoRedefine/>
    <w:uiPriority w:val="39"/>
    <w:unhideWhenUsed/>
    <w:rsid w:val="00154240"/>
    <w:pPr>
      <w:spacing w:after="100"/>
      <w:ind w:left="220"/>
    </w:pPr>
    <w:rPr>
      <w:rFonts w:ascii="Times New Roman" w:hAnsi="Times New Roman"/>
    </w:rPr>
  </w:style>
  <w:style w:type="paragraph" w:styleId="TOC3">
    <w:name w:val="toc 3"/>
    <w:basedOn w:val="Normal"/>
    <w:next w:val="Normal"/>
    <w:autoRedefine/>
    <w:uiPriority w:val="39"/>
    <w:unhideWhenUsed/>
    <w:rsid w:val="00154240"/>
    <w:pPr>
      <w:spacing w:after="100"/>
      <w:ind w:left="440"/>
    </w:pPr>
    <w:rPr>
      <w:rFonts w:ascii="Times New Roman" w:hAnsi="Times New Roman"/>
    </w:rPr>
  </w:style>
  <w:style w:type="paragraph" w:styleId="Header">
    <w:name w:val="header"/>
    <w:basedOn w:val="Normal"/>
    <w:link w:val="HeaderChar"/>
    <w:uiPriority w:val="99"/>
    <w:unhideWhenUsed/>
    <w:rsid w:val="008A63A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A63A8"/>
    <w:rPr>
      <w:lang w:val="en-GB"/>
    </w:rPr>
  </w:style>
  <w:style w:type="paragraph" w:styleId="Footer">
    <w:name w:val="footer"/>
    <w:basedOn w:val="Normal"/>
    <w:link w:val="FooterChar"/>
    <w:uiPriority w:val="99"/>
    <w:unhideWhenUsed/>
    <w:rsid w:val="008A63A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A63A8"/>
    <w:rPr>
      <w:lang w:val="en-GB"/>
    </w:rPr>
  </w:style>
  <w:style w:type="character" w:styleId="FollowedHyperlink">
    <w:name w:val="FollowedHyperlink"/>
    <w:basedOn w:val="DefaultParagraphFont"/>
    <w:uiPriority w:val="99"/>
    <w:semiHidden/>
    <w:unhideWhenUsed/>
    <w:rsid w:val="007501D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5777477">
      <w:bodyDiv w:val="1"/>
      <w:marLeft w:val="0"/>
      <w:marRight w:val="0"/>
      <w:marTop w:val="0"/>
      <w:marBottom w:val="0"/>
      <w:divBdr>
        <w:top w:val="none" w:sz="0" w:space="0" w:color="auto"/>
        <w:left w:val="none" w:sz="0" w:space="0" w:color="auto"/>
        <w:bottom w:val="none" w:sz="0" w:space="0" w:color="auto"/>
        <w:right w:val="none" w:sz="0" w:space="0" w:color="auto"/>
      </w:divBdr>
    </w:div>
    <w:div w:id="1098015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osf.io/qzjc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B4EE76-D380-45EE-9EA7-5C009BA93E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17067</Words>
  <Characters>97283</Characters>
  <Application>Microsoft Office Word</Application>
  <DocSecurity>0</DocSecurity>
  <Lines>810</Lines>
  <Paragraphs>228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MPI</Company>
  <LinksUpToDate>false</LinksUpToDate>
  <CharactersWithSpaces>114122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Kappelmann, Nils</dc:creator>
  <cp:keywords/>
  <dc:description/>
  <cp:lastModifiedBy>Nils Kappelmann</cp:lastModifiedBy>
  <cp:revision>9</cp:revision>
  <dcterms:created xsi:type="dcterms:W3CDTF">2020-04-02T08:59:00Z</dcterms:created>
  <dcterms:modified xsi:type="dcterms:W3CDTF">2020-05-07T09:16:00Z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http://www.zotero.org/styles/bmc-medicine</vt:lpwstr>
  </property>
  <property fmtid="{D5CDD505-2E9C-101B-9397-08002B2CF9AE}" pid="11" name="Mendeley Recent Style Name 4_1">
    <vt:lpwstr>BMC Medicine</vt:lpwstr>
  </property>
  <property fmtid="{D5CDD505-2E9C-101B-9397-08002B2CF9AE}" pid="12" name="Mendeley Recent Style Id 5_1">
    <vt:lpwstr>http://www.zotero.org/styles/biomed-central</vt:lpwstr>
  </property>
  <property fmtid="{D5CDD505-2E9C-101B-9397-08002B2CF9AE}" pid="13" name="Mendeley Recent Style Name 5_1">
    <vt:lpwstr>BioMed Central</vt:lpwstr>
  </property>
  <property fmtid="{D5CDD505-2E9C-101B-9397-08002B2CF9AE}" pid="14" name="Mendeley Recent Style Id 6_1">
    <vt:lpwstr>http://www.zotero.org/styles/chicago-author-date</vt:lpwstr>
  </property>
  <property fmtid="{D5CDD505-2E9C-101B-9397-08002B2CF9AE}" pid="15" name="Mendeley Recent Style Name 6_1">
    <vt:lpwstr>Chicago Manual of Style 17th edition (author-date)</vt:lpwstr>
  </property>
  <property fmtid="{D5CDD505-2E9C-101B-9397-08002B2CF9AE}" pid="16" name="Mendeley Recent Style Id 7_1">
    <vt:lpwstr>http://www.zotero.org/styles/harvard-cite-them-right</vt:lpwstr>
  </property>
  <property fmtid="{D5CDD505-2E9C-101B-9397-08002B2CF9AE}" pid="17" name="Mendeley Recent Style Name 7_1">
    <vt:lpwstr>Cite Them Right 10th edition - Harvard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http://www.zotero.org/styles/the-lancet</vt:lpwstr>
  </property>
  <property fmtid="{D5CDD505-2E9C-101B-9397-08002B2CF9AE}" pid="21" name="Mendeley Recent Style Name 9_1">
    <vt:lpwstr>The Lancet</vt:lpwstr>
  </property>
  <property fmtid="{D5CDD505-2E9C-101B-9397-08002B2CF9AE}" pid="22" name="Mendeley Document_1">
    <vt:lpwstr>True</vt:lpwstr>
  </property>
  <property fmtid="{D5CDD505-2E9C-101B-9397-08002B2CF9AE}" pid="23" name="Mendeley Unique User Id_1">
    <vt:lpwstr>35b55aec-20df-383b-a8ad-b86c592c76eb</vt:lpwstr>
  </property>
  <property fmtid="{D5CDD505-2E9C-101B-9397-08002B2CF9AE}" pid="24" name="Mendeley Citation Style_1">
    <vt:lpwstr>http://www.zotero.org/styles/bmc-medicine</vt:lpwstr>
  </property>
</Properties>
</file>