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1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7"/>
        <w:gridCol w:w="1417"/>
        <w:gridCol w:w="1276"/>
        <w:gridCol w:w="992"/>
        <w:gridCol w:w="1258"/>
        <w:gridCol w:w="1417"/>
        <w:gridCol w:w="1407"/>
      </w:tblGrid>
      <w:tr w:rsidR="00DF367A" w:rsidRPr="000E5648" w:rsidTr="00DF367A">
        <w:trPr>
          <w:trHeight w:val="319"/>
        </w:trPr>
        <w:tc>
          <w:tcPr>
            <w:tcW w:w="117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367A" w:rsidRPr="00384910" w:rsidRDefault="00DF367A" w:rsidP="00DF367A">
            <w:pPr>
              <w:suppressAutoHyphens w:val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Additional file 5, </w:t>
            </w:r>
            <w:r w:rsidRPr="00384910">
              <w:rPr>
                <w:rFonts w:cs="Arial"/>
                <w:b/>
              </w:rPr>
              <w:t>Table</w:t>
            </w:r>
            <w:r>
              <w:rPr>
                <w:rFonts w:cs="Arial"/>
                <w:b/>
              </w:rPr>
              <w:t xml:space="preserve"> 5</w:t>
            </w:r>
            <w:r w:rsidRPr="00384910">
              <w:rPr>
                <w:rFonts w:cs="Arial"/>
                <w:b/>
              </w:rPr>
              <w:t xml:space="preserve">: </w:t>
            </w:r>
            <w:bookmarkStart w:id="0" w:name="_Hlk33262490"/>
            <w:r w:rsidRPr="00384910">
              <w:rPr>
                <w:rFonts w:cs="Arial"/>
                <w:b/>
              </w:rPr>
              <w:t>Distribution of all covariates before and after matching</w:t>
            </w:r>
            <w:bookmarkEnd w:id="0"/>
          </w:p>
          <w:p w:rsidR="00DF367A" w:rsidRPr="000E5648" w:rsidRDefault="00DF367A" w:rsidP="00DF367A">
            <w:pPr>
              <w:suppressAutoHyphens w:val="0"/>
              <w:rPr>
                <w:rFonts w:cs="Arial"/>
              </w:rPr>
            </w:pPr>
          </w:p>
          <w:tbl>
            <w:tblPr>
              <w:tblStyle w:val="Tabellenraster"/>
              <w:tblW w:w="11619" w:type="dxa"/>
              <w:tblLayout w:type="fixed"/>
              <w:tblLook w:val="04A0" w:firstRow="1" w:lastRow="0" w:firstColumn="1" w:lastColumn="0" w:noHBand="0" w:noVBand="1"/>
            </w:tblPr>
            <w:tblGrid>
              <w:gridCol w:w="2195"/>
              <w:gridCol w:w="1560"/>
              <w:gridCol w:w="1275"/>
              <w:gridCol w:w="1769"/>
              <w:gridCol w:w="1484"/>
              <w:gridCol w:w="1493"/>
              <w:gridCol w:w="1816"/>
              <w:gridCol w:w="27"/>
            </w:tblGrid>
            <w:tr w:rsidR="00DF367A" w:rsidRPr="000E5648" w:rsidTr="00DF367A">
              <w:trPr>
                <w:gridAfter w:val="1"/>
                <w:wAfter w:w="27" w:type="dxa"/>
              </w:trPr>
              <w:tc>
                <w:tcPr>
                  <w:tcW w:w="6799" w:type="dxa"/>
                  <w:gridSpan w:val="4"/>
                </w:tcPr>
                <w:p w:rsidR="00DF367A" w:rsidRPr="000E5648" w:rsidRDefault="00DF367A" w:rsidP="00DF367A">
                  <w:pPr>
                    <w:suppressAutoHyphens w:val="0"/>
                    <w:jc w:val="center"/>
                    <w:rPr>
                      <w:rFonts w:cs="Arial"/>
                      <w:b/>
                    </w:rPr>
                  </w:pPr>
                  <w:r w:rsidRPr="000E5648">
                    <w:rPr>
                      <w:rFonts w:cs="Arial"/>
                      <w:b/>
                    </w:rPr>
                    <w:t>Before matching</w:t>
                  </w:r>
                </w:p>
              </w:tc>
              <w:tc>
                <w:tcPr>
                  <w:tcW w:w="4793" w:type="dxa"/>
                  <w:gridSpan w:val="3"/>
                </w:tcPr>
                <w:p w:rsidR="00DF367A" w:rsidRPr="000E5648" w:rsidRDefault="00DF367A" w:rsidP="00DF367A">
                  <w:pPr>
                    <w:suppressAutoHyphens w:val="0"/>
                    <w:jc w:val="center"/>
                    <w:rPr>
                      <w:rFonts w:cs="Arial"/>
                    </w:rPr>
                  </w:pPr>
                  <w:r w:rsidRPr="000E5648">
                    <w:rPr>
                      <w:rFonts w:cs="Arial"/>
                      <w:b/>
                    </w:rPr>
                    <w:t>After matching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b/>
                      <w:bCs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b/>
                      <w:bCs/>
                      <w:szCs w:val="24"/>
                      <w:lang w:val="de-DE" w:eastAsia="de-DE"/>
                    </w:rPr>
                    <w:t>Variable (ATC or ICD 10 or OPS-code)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3301BB" w:rsidP="00DF367A">
                  <w:pPr>
                    <w:spacing w:line="480" w:lineRule="auto"/>
                    <w:rPr>
                      <w:rFonts w:cs="Arial"/>
                      <w:b/>
                      <w:bCs/>
                      <w:szCs w:val="24"/>
                      <w:lang w:eastAsia="de-DE"/>
                    </w:rPr>
                  </w:pPr>
                  <w:r>
                    <w:rPr>
                      <w:rFonts w:cs="Arial"/>
                      <w:b/>
                      <w:bCs/>
                      <w:szCs w:val="24"/>
                      <w:lang w:eastAsia="de-DE"/>
                    </w:rPr>
                    <w:t>Non-opioid group</w:t>
                  </w:r>
                  <w:r>
                    <w:rPr>
                      <w:rFonts w:cs="Arial"/>
                      <w:b/>
                      <w:bCs/>
                      <w:szCs w:val="24"/>
                      <w:lang w:eastAsia="de-DE"/>
                    </w:rPr>
                    <w:br/>
                    <w:t>(N=143.743)</w:t>
                  </w:r>
                  <w:r w:rsidR="00DF367A" w:rsidRPr="000E5648">
                    <w:rPr>
                      <w:rFonts w:cs="Arial"/>
                      <w:b/>
                      <w:bCs/>
                      <w:szCs w:val="24"/>
                      <w:lang w:eastAsia="de-DE"/>
                    </w:rPr>
                    <w:t xml:space="preserve"> %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pacing w:line="480" w:lineRule="auto"/>
                    <w:rPr>
                      <w:rFonts w:cs="Arial"/>
                      <w:b/>
                      <w:bCs/>
                      <w:szCs w:val="24"/>
                      <w:lang w:eastAsia="de-DE"/>
                    </w:rPr>
                  </w:pPr>
                  <w:r w:rsidRPr="000E5648">
                    <w:rPr>
                      <w:rFonts w:cs="Arial"/>
                      <w:b/>
                      <w:bCs/>
                      <w:szCs w:val="24"/>
                      <w:lang w:eastAsia="de-DE"/>
                    </w:rPr>
                    <w:t xml:space="preserve"> Opioid-group</w:t>
                  </w:r>
                  <w:r w:rsidRPr="000E5648">
                    <w:rPr>
                      <w:rFonts w:cs="Arial"/>
                      <w:b/>
                      <w:bCs/>
                      <w:szCs w:val="24"/>
                      <w:lang w:eastAsia="de-DE"/>
                    </w:rPr>
                    <w:br/>
                    <w:t>(N=3415) %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pacing w:line="480" w:lineRule="auto"/>
                    <w:rPr>
                      <w:rFonts w:cs="Arial"/>
                      <w:b/>
                      <w:bCs/>
                      <w:szCs w:val="24"/>
                      <w:lang w:eastAsia="de-DE"/>
                    </w:rPr>
                  </w:pPr>
                  <w:r w:rsidRPr="000E5648">
                    <w:rPr>
                      <w:rFonts w:cs="Arial"/>
                      <w:b/>
                      <w:bCs/>
                      <w:szCs w:val="24"/>
                      <w:lang w:eastAsia="de-DE"/>
                    </w:rPr>
                    <w:t>Standardized difference  %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pacing w:line="480" w:lineRule="auto"/>
                    <w:rPr>
                      <w:rFonts w:cs="Arial"/>
                      <w:b/>
                      <w:bCs/>
                      <w:szCs w:val="24"/>
                      <w:lang w:eastAsia="de-DE"/>
                    </w:rPr>
                  </w:pPr>
                  <w:r w:rsidRPr="000E5648">
                    <w:rPr>
                      <w:rFonts w:cs="Arial"/>
                      <w:b/>
                      <w:bCs/>
                      <w:szCs w:val="24"/>
                      <w:lang w:eastAsia="de-DE"/>
                    </w:rPr>
                    <w:t>Non-opioid group</w:t>
                  </w:r>
                  <w:r w:rsidRPr="000E5648">
                    <w:rPr>
                      <w:rFonts w:cs="Arial"/>
                      <w:b/>
                      <w:bCs/>
                      <w:szCs w:val="24"/>
                      <w:lang w:eastAsia="de-DE"/>
                    </w:rPr>
                    <w:br/>
                    <w:t>(N=3.223) %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pacing w:line="480" w:lineRule="auto"/>
                    <w:rPr>
                      <w:rFonts w:cs="Arial"/>
                      <w:b/>
                      <w:bCs/>
                      <w:szCs w:val="24"/>
                      <w:lang w:eastAsia="de-DE"/>
                    </w:rPr>
                  </w:pPr>
                  <w:r w:rsidRPr="000E5648">
                    <w:rPr>
                      <w:rFonts w:cs="Arial"/>
                      <w:b/>
                      <w:bCs/>
                      <w:szCs w:val="24"/>
                      <w:lang w:eastAsia="de-DE"/>
                    </w:rPr>
                    <w:t xml:space="preserve"> Opioid-group</w:t>
                  </w:r>
                  <w:r w:rsidRPr="000E5648">
                    <w:rPr>
                      <w:rFonts w:cs="Arial"/>
                      <w:b/>
                      <w:bCs/>
                      <w:szCs w:val="24"/>
                      <w:lang w:eastAsia="de-DE"/>
                    </w:rPr>
                    <w:br/>
                    <w:t>(N=3.223) %</w:t>
                  </w:r>
                </w:p>
              </w:tc>
              <w:tc>
                <w:tcPr>
                  <w:tcW w:w="1843" w:type="dxa"/>
                  <w:gridSpan w:val="2"/>
                  <w:vAlign w:val="bottom"/>
                </w:tcPr>
                <w:p w:rsidR="00DF367A" w:rsidRPr="000E5648" w:rsidRDefault="00DF367A" w:rsidP="00DF367A">
                  <w:pPr>
                    <w:spacing w:line="480" w:lineRule="auto"/>
                    <w:rPr>
                      <w:rFonts w:cs="Arial"/>
                      <w:b/>
                      <w:bCs/>
                      <w:szCs w:val="24"/>
                      <w:lang w:eastAsia="de-DE"/>
                    </w:rPr>
                  </w:pPr>
                  <w:r w:rsidRPr="000E5648">
                    <w:rPr>
                      <w:rFonts w:cs="Arial"/>
                      <w:b/>
                      <w:bCs/>
                      <w:szCs w:val="24"/>
                      <w:lang w:eastAsia="de-DE"/>
                    </w:rPr>
                    <w:t>Standardized difference  %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Type 1 diabetes mellitus E10.x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5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4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15,</w:t>
                  </w: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9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.9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5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.1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5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.8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Type 2 diabetes mellitus E11.x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0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25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4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38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24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.9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28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.9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9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.0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Type 2 diabetes mellitus with kidney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br/>
                    <w:t>complications E11.2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0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6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13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5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.0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.2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7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.2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Type 2 diabetes mellitus with ophthalmic complications E11.3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0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9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10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.2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.0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5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.2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Type 2 diabetes mellitus with neurological complications E11.4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5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4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6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18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0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4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.3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6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.2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8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.4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 xml:space="preserve">Type 2 diabetes mellitus with  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lastRenderedPageBreak/>
                    <w:t>multiple complications E11.7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lastRenderedPageBreak/>
                    <w:t>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7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16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8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.7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5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.5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8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.8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lastRenderedPageBreak/>
                    <w:t>Type 2 diabetes mellitus with unspecified complications E11.8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0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8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9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10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.7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.6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6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.2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Unspecified diabetes mellitus with kidney complications E14.2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6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15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5%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29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8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14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.9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18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.8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10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.4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Unspecified diabetes mellitus with ophthalmic complications E14.3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0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10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.2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.0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8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.2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Unspecified diabetes mellitus with neurology complications E14.4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center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0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.6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14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.1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.1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6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.0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Overweight and obesity E66.x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6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19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0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17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6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8.6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17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.4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.1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Disorders of lipoprotein metabolism and other lipidemias E78.x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27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5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39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7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26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0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39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.4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41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.1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3301BB" w:rsidRDefault="003301BB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3301BB" w:rsidRDefault="003301BB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.5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Schizophrenia F2x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0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6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5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.1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.5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.9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3301BB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lastRenderedPageBreak/>
                    <w:t>Ma</w:t>
                  </w:r>
                  <w:r w:rsidR="003301BB">
                    <w:rPr>
                      <w:rFonts w:cs="Arial"/>
                      <w:szCs w:val="24"/>
                      <w:lang w:val="de-DE" w:eastAsia="de-DE"/>
                    </w:rPr>
                    <w:t>j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or depressive disorder, single episode F32.x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10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9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19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8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24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8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18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.5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18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.6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0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.1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Major depressive disorder, recurrent F33.x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5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8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17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7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5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.5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4,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.9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.5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Other anxiety disorders F41.9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4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5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9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7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5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5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.6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5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.5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0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.4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Panic disorder without agoraphobia F40.0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.0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0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9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0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.9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>
                    <w:rPr>
                      <w:rFonts w:cs="Arial"/>
                      <w:szCs w:val="24"/>
                      <w:lang w:val="de-DE" w:eastAsia="de-DE"/>
                    </w:rPr>
                    <w:t>1.0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0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.7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Sleep disorders not due to a substance or known physiol conditions F51.x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0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9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0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9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>
                    <w:rPr>
                      <w:rFonts w:cs="Arial"/>
                      <w:szCs w:val="24"/>
                      <w:lang w:val="de-DE" w:eastAsia="de-DE"/>
                    </w:rPr>
                    <w:t>2.0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.6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.6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Epilepsy and recurrent seizures G40.x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0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8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6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6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6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.5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.2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5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.6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Migraine G43.0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6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8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5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7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4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7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5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.7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4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.7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4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.7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Other headache syndromes G44.x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4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0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.1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.4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.7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Sleep disorders G47.x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6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.7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13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0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.7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.2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.5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lastRenderedPageBreak/>
                    <w:t>Essential (primary) hypertension I10.x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37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.5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61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7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49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8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60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.7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61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.4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.5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Hypertensive heart disease I11.x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6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7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9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18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5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7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.7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10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.3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9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.2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Angina pectoris I20.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5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.1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4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.7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8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.5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Myocardial infarction I21,I22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0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8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8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9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6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.8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.7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5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.6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Chronic ischemic heart disease I25.x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7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8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5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42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0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.8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27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.9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14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.2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Nonrheumatic mitral valve disorders I34.x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5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5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6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15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6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>
                    <w:rPr>
                      <w:rFonts w:cs="Arial"/>
                      <w:szCs w:val="24"/>
                      <w:lang w:val="de-DE" w:eastAsia="de-DE"/>
                    </w:rPr>
                    <w:t>5.5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>
                    <w:rPr>
                      <w:rFonts w:cs="Arial"/>
                      <w:szCs w:val="24"/>
                      <w:lang w:val="de-DE" w:eastAsia="de-DE"/>
                    </w:rPr>
                    <w:t>7.0</w:t>
                  </w:r>
                </w:p>
              </w:tc>
              <w:tc>
                <w:tcPr>
                  <w:tcW w:w="1843" w:type="dxa"/>
                  <w:gridSpan w:val="2"/>
                </w:tcPr>
                <w:p w:rsidR="00E9123A" w:rsidRDefault="00E9123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E9123A" w:rsidRDefault="00E9123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6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.2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Nonrheumatic aortic valve disorders I35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5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16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4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.9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>
                    <w:rPr>
                      <w:rFonts w:cs="Arial"/>
                      <w:szCs w:val="24"/>
                      <w:lang w:val="de-DE" w:eastAsia="de-DE"/>
                    </w:rPr>
                    <w:t>7.0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8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.8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Other cardiac arrhythmias I49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5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5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10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0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16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9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9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.8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1.9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6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.8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Heart failure I50.x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6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14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38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13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.8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1.0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19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.0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Cerebrovascular diseases I60-69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5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14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29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8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13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.6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16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.8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9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.2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Other peripheral vascular diseases I73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7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23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5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7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.0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8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.7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6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.1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Hypotension I95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8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5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6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.5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.6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>
                    <w:rPr>
                      <w:rFonts w:cs="Arial"/>
                      <w:szCs w:val="24"/>
                      <w:lang w:val="de-DE" w:eastAsia="de-DE"/>
                    </w:rPr>
                    <w:t>1.0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 xml:space="preserve">Other and unspecified 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lastRenderedPageBreak/>
                    <w:t>disorders of circulatory system I95-I99</w:t>
                  </w:r>
                </w:p>
              </w:tc>
              <w:tc>
                <w:tcPr>
                  <w:tcW w:w="1560" w:type="dxa"/>
                  <w:vAlign w:val="bottom"/>
                </w:tcPr>
                <w:p w:rsidR="00E9123A" w:rsidRDefault="00E9123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E9123A" w:rsidRDefault="00E9123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E9123A" w:rsidRDefault="00E9123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E9123A" w:rsidRDefault="00E9123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5</w:t>
                  </w:r>
                </w:p>
              </w:tc>
              <w:tc>
                <w:tcPr>
                  <w:tcW w:w="1275" w:type="dxa"/>
                  <w:vAlign w:val="bottom"/>
                </w:tcPr>
                <w:p w:rsidR="00E9123A" w:rsidRDefault="00E9123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E9123A" w:rsidRDefault="00E9123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E9123A" w:rsidRDefault="00E9123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E9123A" w:rsidRDefault="00E9123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0</w:t>
                  </w:r>
                </w:p>
              </w:tc>
              <w:tc>
                <w:tcPr>
                  <w:tcW w:w="1769" w:type="dxa"/>
                  <w:vAlign w:val="bottom"/>
                </w:tcPr>
                <w:p w:rsidR="00E9123A" w:rsidRDefault="00E9123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E9123A" w:rsidRDefault="00E9123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E9123A" w:rsidRDefault="00E9123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E9123A" w:rsidRDefault="00E9123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7</w:t>
                  </w:r>
                </w:p>
              </w:tc>
              <w:tc>
                <w:tcPr>
                  <w:tcW w:w="1484" w:type="dxa"/>
                  <w:vAlign w:val="bottom"/>
                </w:tcPr>
                <w:p w:rsidR="00E9123A" w:rsidRDefault="00E9123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E9123A" w:rsidRDefault="00E9123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E9123A" w:rsidRDefault="00E9123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E9123A" w:rsidRDefault="00E9123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.9</w:t>
                  </w:r>
                </w:p>
              </w:tc>
              <w:tc>
                <w:tcPr>
                  <w:tcW w:w="1493" w:type="dxa"/>
                  <w:vAlign w:val="bottom"/>
                </w:tcPr>
                <w:p w:rsidR="00E9123A" w:rsidRDefault="00E9123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E9123A" w:rsidRDefault="00E9123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E9123A" w:rsidRDefault="00E9123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E9123A" w:rsidRDefault="00E9123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.6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E9123A" w:rsidRDefault="00E9123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E9123A" w:rsidRDefault="00E9123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E9123A" w:rsidRDefault="00E9123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5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.0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lastRenderedPageBreak/>
                    <w:t>Other chronic obstructive pulmonary disease J44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5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5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14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6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30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8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14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.2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16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.1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5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.2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Asthma J45.x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7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8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4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10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.9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9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.0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6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.1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Other rheumatoid arthritis M06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6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5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19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9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4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.9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5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.2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.1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Gout M10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4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4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5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4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.3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4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.7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.9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Other arthritis M13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8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4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0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13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0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.9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.6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.3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Dorsalgia M54.x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35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5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54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4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38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8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53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.8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42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.4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3.0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Neuralgia and neuritis, unspecified M79.2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0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7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9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10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9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.6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.6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0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.2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Pain in limb, hand, foot, fingers and toes M79.6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7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4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8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4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4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.2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.5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.9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Stress incontinence (female) (male) N39.3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8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.2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.7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.0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Other specified urinary incontinence N39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4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4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7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14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6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.4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4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.2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.9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Abdominal and pelvic pain R10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8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10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9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8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10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.6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9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.4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4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.2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lastRenderedPageBreak/>
                    <w:t>Unspecified urinary incontinence R32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7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5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25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7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>
                    <w:rPr>
                      <w:rFonts w:cs="Arial"/>
                      <w:szCs w:val="24"/>
                      <w:lang w:val="de-DE" w:eastAsia="de-DE"/>
                    </w:rPr>
                    <w:t>6.7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9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.1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8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.9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Headache R51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5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4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8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6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4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.7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4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.2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.3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Pain, unspecified R52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4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18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45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7.0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15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.2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4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.8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Senility R54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0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6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9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>
                    <w:rPr>
                      <w:rFonts w:cs="Arial"/>
                      <w:szCs w:val="24"/>
                      <w:lang w:val="de-DE" w:eastAsia="de-DE"/>
                    </w:rPr>
                    <w:t>2.0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.4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.4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Transarterial left heart-catheter examination 1-275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13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.2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>
                    <w:rPr>
                      <w:rFonts w:cs="Arial"/>
                      <w:szCs w:val="24"/>
                      <w:lang w:val="de-DE" w:eastAsia="de-DE"/>
                    </w:rPr>
                    <w:t>5.0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9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.3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Endospopic biopsy upper gastrointestinal tract, bile tract and pankreas 1-440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0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8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0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16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4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.8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.8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E9123A" w:rsidRDefault="00E9123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5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.7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Diagnostic colonoscpoy 1-650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4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7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13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5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4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,4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4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.6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.1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 xml:space="preserve">Number hospitalizations in [t0-365] 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19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63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48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9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59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.1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68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.9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8.3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</w:rPr>
                    <w:t>Aminosalicylic acids and similar agents A07EC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0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6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8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4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.7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.5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.7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Antidiabetics A10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8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0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19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0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4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18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.7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.8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7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.9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Antithrombotic agents B01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9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0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27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0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48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25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.9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2.0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13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.5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Anti-platet agents, ex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c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l. heparin B01AC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4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6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13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8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3.0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19,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E9123A" w:rsidRDefault="00E9123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16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.8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3809A4">
                  <w:pPr>
                    <w:pStyle w:val="berschrift1"/>
                    <w:rPr>
                      <w:rFonts w:cs="Arial"/>
                      <w:szCs w:val="24"/>
                    </w:rPr>
                  </w:pPr>
                  <w:r>
                    <w:rPr>
                      <w:rFonts w:ascii="Arial" w:hAnsi="Arial" w:cs="Arial"/>
                      <w:b w:val="0"/>
                      <w:bCs w:val="0"/>
                      <w:sz w:val="24"/>
                      <w:szCs w:val="24"/>
                    </w:rPr>
                    <w:t>A</w:t>
                  </w:r>
                  <w:r w:rsidRPr="000E5648">
                    <w:rPr>
                      <w:rFonts w:ascii="Arial" w:hAnsi="Arial" w:cs="Arial"/>
                      <w:b w:val="0"/>
                      <w:bCs w:val="0"/>
                      <w:sz w:val="24"/>
                      <w:szCs w:val="24"/>
                    </w:rPr>
                    <w:t>cetylsalicylic a</w:t>
                  </w:r>
                  <w:r w:rsidRPr="000E5648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cid B01AC06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7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10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8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27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10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.0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15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.8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17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.3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lastRenderedPageBreak/>
                    <w:t>Organic nitrats C01DA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6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6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24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0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5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.7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>
                    <w:rPr>
                      <w:rFonts w:cs="Arial"/>
                      <w:szCs w:val="24"/>
                      <w:lang w:val="de-DE" w:eastAsia="de-DE"/>
                    </w:rPr>
                    <w:t>9.0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.7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High ceiling diuretics C03C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4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8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52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7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20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.7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28,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.7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18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.7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Beta-adrenoreceptor-antagonist C07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19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6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39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44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38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.6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42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.2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7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.5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Calcium channel blockers C08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9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5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34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8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20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.1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.3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.2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ACE-inhibitors, combination C09B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6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4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9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7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4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9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.7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9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.1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.9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Angiotensin-II-antagonists C01C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5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4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10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7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19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5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10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.5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.6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6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.8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HMG-CoA-reduktase inhibitors C10AA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24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8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9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4.3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28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.5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9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.5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Fibrates C10AB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0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5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0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9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4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9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>
                    <w:rPr>
                      <w:rFonts w:cs="Arial"/>
                      <w:szCs w:val="24"/>
                      <w:lang w:val="de-DE" w:eastAsia="de-DE"/>
                    </w:rPr>
                    <w:t>1.0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0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.9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0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.7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Corticosteroids, systemic H02Bx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6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4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16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9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33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16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.7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14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.9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4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.9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Immunsuppres</w:t>
                  </w:r>
                  <w:r w:rsidR="003809A4">
                    <w:rPr>
                      <w:rFonts w:cs="Arial"/>
                      <w:szCs w:val="24"/>
                      <w:lang w:val="de-DE" w:eastAsia="de-DE"/>
                    </w:rPr>
                    <w:t>-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 xml:space="preserve">sive agents, other </w:t>
                  </w:r>
                  <w:r w:rsidRPr="000E5648">
                    <w:rPr>
                      <w:rStyle w:val="st"/>
                      <w:rFonts w:cs="Arial"/>
                      <w:szCs w:val="24"/>
                    </w:rPr>
                    <w:t>L04AX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0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5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8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4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.4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.7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.5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Non-steroidal agents M01A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8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41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8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84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6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40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.5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2.0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17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.8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Analgesics N02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9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4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43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0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82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5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40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.9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>
                    <w:rPr>
                      <w:rFonts w:cs="Arial"/>
                      <w:szCs w:val="24"/>
                      <w:lang w:val="de-DE" w:eastAsia="de-DE"/>
                    </w:rPr>
                    <w:t>30.0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23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.3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Anticonvulsants N03A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7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0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30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5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.2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6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.5</w:t>
                  </w:r>
                </w:p>
              </w:tc>
              <w:tc>
                <w:tcPr>
                  <w:tcW w:w="1843" w:type="dxa"/>
                  <w:gridSpan w:val="2"/>
                </w:tcPr>
                <w:p w:rsidR="003809A4" w:rsidRDefault="003809A4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5.0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Psycholeptics N05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4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5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14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8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35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5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13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.2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16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.9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10.1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Antipsychotics N05A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5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6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0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23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9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>
                    <w:rPr>
                      <w:rFonts w:cs="Arial"/>
                      <w:szCs w:val="24"/>
                      <w:lang w:val="de-DE" w:eastAsia="de-DE"/>
                    </w:rPr>
                    <w:t>5.0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7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.4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10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.3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lastRenderedPageBreak/>
                    <w:t>Benzodiazepin-derivates N05BA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8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6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0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5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5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.4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5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.9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.4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 xml:space="preserve">Zopiclon </w:t>
                  </w:r>
                  <w:r w:rsidRPr="000E5648">
                    <w:rPr>
                      <w:rStyle w:val="st"/>
                      <w:rFonts w:cs="Arial"/>
                      <w:szCs w:val="24"/>
                    </w:rPr>
                    <w:t>N05CF01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0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8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0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16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4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.7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.9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6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.6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Antidepressants N06A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8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13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0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43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6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10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.3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8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.7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5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.5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 xml:space="preserve">Corticosteroids </w:t>
                  </w:r>
                  <w:r w:rsidRPr="000E5648">
                    <w:rPr>
                      <w:rStyle w:val="st"/>
                      <w:rFonts w:cs="Arial"/>
                      <w:szCs w:val="24"/>
                    </w:rPr>
                    <w:t>R01AD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4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7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.8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.1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.5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bCs/>
                      <w:szCs w:val="24"/>
                    </w:rPr>
                    <w:t>Products for obstructive airway diseases R03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10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18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23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4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17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.9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19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.0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>
                    <w:rPr>
                      <w:rFonts w:cs="Arial"/>
                      <w:szCs w:val="24"/>
                      <w:lang w:val="de-DE" w:eastAsia="de-DE"/>
                    </w:rPr>
                    <w:t>3.0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 xml:space="preserve">Selective Beta2-adrenoceptor-agonists </w:t>
                  </w:r>
                  <w:r w:rsidRPr="000E5648">
                    <w:rPr>
                      <w:rStyle w:val="st"/>
                      <w:rFonts w:cs="Arial"/>
                      <w:szCs w:val="24"/>
                    </w:rPr>
                    <w:t>R03AC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5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0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6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10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.7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10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.4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.0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 xml:space="preserve">Anticholinergica </w:t>
                  </w:r>
                  <w:r w:rsidRPr="000E5648">
                    <w:rPr>
                      <w:rStyle w:val="st"/>
                      <w:rFonts w:cs="Arial"/>
                      <w:szCs w:val="24"/>
                    </w:rPr>
                    <w:t>R03BB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5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0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4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.9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6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.4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6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.4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Anticonvulsants low dose*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0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8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23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.6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.5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0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.5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Anitdepressants high dose*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0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6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8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.5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.1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bookmarkStart w:id="1" w:name="_GoBack"/>
                  <w:bookmarkEnd w:id="1"/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.7</w:t>
                  </w:r>
                </w:p>
              </w:tc>
            </w:tr>
            <w:tr w:rsidR="00DF367A" w:rsidRPr="000E5648" w:rsidTr="003301BB">
              <w:tc>
                <w:tcPr>
                  <w:tcW w:w="219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Antidepressants low dose*</w:t>
                  </w:r>
                </w:p>
              </w:tc>
              <w:tc>
                <w:tcPr>
                  <w:tcW w:w="1560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0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</w:p>
              </w:tc>
              <w:tc>
                <w:tcPr>
                  <w:tcW w:w="1275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3</w:t>
                  </w:r>
                </w:p>
              </w:tc>
              <w:tc>
                <w:tcPr>
                  <w:tcW w:w="1769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24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</w:t>
                  </w: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8</w:t>
                  </w:r>
                </w:p>
              </w:tc>
              <w:tc>
                <w:tcPr>
                  <w:tcW w:w="1484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.9</w:t>
                  </w:r>
                </w:p>
              </w:tc>
              <w:tc>
                <w:tcPr>
                  <w:tcW w:w="1493" w:type="dxa"/>
                  <w:vAlign w:val="bottom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2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.0</w:t>
                  </w:r>
                </w:p>
              </w:tc>
              <w:tc>
                <w:tcPr>
                  <w:tcW w:w="1843" w:type="dxa"/>
                  <w:gridSpan w:val="2"/>
                </w:tcPr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</w:p>
                <w:p w:rsidR="00DF367A" w:rsidRPr="000E5648" w:rsidRDefault="00DF367A" w:rsidP="00DF367A">
                  <w:pPr>
                    <w:suppressAutoHyphens w:val="0"/>
                    <w:jc w:val="right"/>
                    <w:rPr>
                      <w:rFonts w:cs="Arial"/>
                      <w:szCs w:val="24"/>
                      <w:lang w:val="de-DE" w:eastAsia="de-DE"/>
                    </w:rPr>
                  </w:pPr>
                  <w:r w:rsidRPr="000E5648">
                    <w:rPr>
                      <w:rFonts w:cs="Arial"/>
                      <w:szCs w:val="24"/>
                      <w:lang w:val="de-DE" w:eastAsia="de-DE"/>
                    </w:rPr>
                    <w:t>1</w:t>
                  </w:r>
                  <w:r>
                    <w:rPr>
                      <w:rFonts w:cs="Arial"/>
                      <w:szCs w:val="24"/>
                      <w:lang w:val="de-DE" w:eastAsia="de-DE"/>
                    </w:rPr>
                    <w:t>.3</w:t>
                  </w:r>
                </w:p>
              </w:tc>
            </w:tr>
          </w:tbl>
          <w:p w:rsidR="00DF367A" w:rsidRPr="000E5648" w:rsidRDefault="00DF367A" w:rsidP="00DF367A">
            <w:pPr>
              <w:suppressAutoHyphens w:val="0"/>
              <w:rPr>
                <w:rFonts w:cs="Arial"/>
                <w:b/>
                <w:bCs/>
                <w:szCs w:val="22"/>
                <w:lang w:val="de-DE" w:eastAsia="de-DE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367A" w:rsidRPr="000E5648" w:rsidRDefault="00DF367A" w:rsidP="00DF367A">
            <w:pPr>
              <w:suppressAutoHyphens w:val="0"/>
              <w:rPr>
                <w:rFonts w:cs="Arial"/>
                <w:b/>
                <w:bCs/>
                <w:szCs w:val="22"/>
                <w:lang w:val="de-DE" w:eastAsia="de-DE"/>
              </w:rPr>
            </w:pPr>
          </w:p>
        </w:tc>
      </w:tr>
      <w:tr w:rsidR="00DF367A" w:rsidRPr="000E5648" w:rsidTr="00DF367A">
        <w:trPr>
          <w:trHeight w:val="315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367A" w:rsidRPr="000E5648" w:rsidRDefault="00DF367A" w:rsidP="00DF367A">
            <w:pPr>
              <w:suppressAutoHyphens w:val="0"/>
              <w:rPr>
                <w:rFonts w:ascii="Calibri" w:hAnsi="Calibri" w:cs="Calibri"/>
                <w:sz w:val="24"/>
                <w:szCs w:val="24"/>
                <w:lang w:val="de-DE" w:eastAsia="de-DE"/>
              </w:rPr>
            </w:pPr>
            <w:r w:rsidRPr="000E5648">
              <w:rPr>
                <w:rFonts w:ascii="Calibri" w:hAnsi="Calibri" w:cs="Calibri"/>
                <w:sz w:val="24"/>
                <w:szCs w:val="24"/>
                <w:lang w:val="de-DE" w:eastAsia="de-DE"/>
              </w:rPr>
              <w:lastRenderedPageBreak/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367A" w:rsidRPr="000E5648" w:rsidRDefault="00DF367A" w:rsidP="00DF367A">
            <w:pPr>
              <w:suppressAutoHyphens w:val="0"/>
              <w:rPr>
                <w:rFonts w:ascii="Calibri" w:hAnsi="Calibri" w:cs="Calibri"/>
                <w:sz w:val="24"/>
                <w:szCs w:val="24"/>
                <w:lang w:val="de-DE" w:eastAsia="de-DE"/>
              </w:rPr>
            </w:pPr>
            <w:r w:rsidRPr="000E5648">
              <w:rPr>
                <w:rFonts w:ascii="Calibri" w:hAnsi="Calibri" w:cs="Calibri"/>
                <w:sz w:val="24"/>
                <w:szCs w:val="24"/>
                <w:lang w:val="de-DE" w:eastAsia="de-D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367A" w:rsidRPr="000E5648" w:rsidRDefault="00DF367A" w:rsidP="00DF367A">
            <w:pPr>
              <w:suppressAutoHyphens w:val="0"/>
              <w:rPr>
                <w:rFonts w:ascii="Calibri" w:hAnsi="Calibri" w:cs="Calibri"/>
                <w:sz w:val="24"/>
                <w:szCs w:val="24"/>
                <w:lang w:val="de-DE" w:eastAsia="de-DE"/>
              </w:rPr>
            </w:pPr>
            <w:r w:rsidRPr="000E5648">
              <w:rPr>
                <w:rFonts w:ascii="Calibri" w:hAnsi="Calibri" w:cs="Calibri"/>
                <w:sz w:val="24"/>
                <w:szCs w:val="24"/>
                <w:lang w:val="de-DE" w:eastAsia="de-D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367A" w:rsidRPr="000E5648" w:rsidRDefault="00DF367A" w:rsidP="00DF367A">
            <w:pPr>
              <w:suppressAutoHyphens w:val="0"/>
              <w:jc w:val="right"/>
              <w:rPr>
                <w:rFonts w:ascii="Calibri" w:hAnsi="Calibri" w:cs="Calibri"/>
                <w:sz w:val="24"/>
                <w:szCs w:val="24"/>
                <w:lang w:val="de-DE" w:eastAsia="de-DE"/>
              </w:rPr>
            </w:pPr>
            <w:r w:rsidRPr="000E5648">
              <w:rPr>
                <w:rFonts w:ascii="Calibri" w:hAnsi="Calibri" w:cs="Calibri"/>
                <w:sz w:val="24"/>
                <w:szCs w:val="24"/>
                <w:lang w:val="de-DE" w:eastAsia="de-DE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367A" w:rsidRPr="000E5648" w:rsidRDefault="00DF367A" w:rsidP="00DF367A">
            <w:pPr>
              <w:suppressAutoHyphens w:val="0"/>
              <w:rPr>
                <w:rFonts w:ascii="Calibri" w:hAnsi="Calibri" w:cs="Calibri"/>
                <w:sz w:val="24"/>
                <w:szCs w:val="24"/>
                <w:lang w:val="de-DE" w:eastAsia="de-DE"/>
              </w:rPr>
            </w:pPr>
            <w:r w:rsidRPr="000E5648">
              <w:rPr>
                <w:rFonts w:ascii="Calibri" w:hAnsi="Calibri" w:cs="Calibri"/>
                <w:sz w:val="24"/>
                <w:szCs w:val="24"/>
                <w:lang w:val="de-DE" w:eastAsia="de-D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367A" w:rsidRPr="000E5648" w:rsidRDefault="00DF367A" w:rsidP="00DF367A">
            <w:pPr>
              <w:suppressAutoHyphens w:val="0"/>
              <w:rPr>
                <w:rFonts w:ascii="Calibri" w:hAnsi="Calibri" w:cs="Calibri"/>
                <w:sz w:val="24"/>
                <w:szCs w:val="24"/>
                <w:lang w:val="de-DE" w:eastAsia="de-DE"/>
              </w:rPr>
            </w:pPr>
            <w:r w:rsidRPr="000E5648">
              <w:rPr>
                <w:rFonts w:ascii="Calibri" w:hAnsi="Calibri" w:cs="Calibri"/>
                <w:sz w:val="24"/>
                <w:szCs w:val="24"/>
                <w:lang w:val="de-DE" w:eastAsia="de-DE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367A" w:rsidRPr="000E5648" w:rsidRDefault="00DF367A" w:rsidP="00DF367A">
            <w:pPr>
              <w:suppressAutoHyphens w:val="0"/>
              <w:rPr>
                <w:rFonts w:ascii="Calibri" w:hAnsi="Calibri" w:cs="Calibri"/>
                <w:sz w:val="24"/>
                <w:szCs w:val="24"/>
                <w:lang w:val="de-DE" w:eastAsia="de-DE"/>
              </w:rPr>
            </w:pPr>
          </w:p>
        </w:tc>
      </w:tr>
    </w:tbl>
    <w:p w:rsidR="00DF367A" w:rsidRPr="000E5648" w:rsidRDefault="00DF367A" w:rsidP="00DF367A">
      <w:pPr>
        <w:spacing w:line="480" w:lineRule="auto"/>
        <w:rPr>
          <w:rFonts w:cs="Arial"/>
          <w:sz w:val="24"/>
          <w:szCs w:val="24"/>
        </w:rPr>
      </w:pPr>
      <w:r w:rsidRPr="000E5648">
        <w:rPr>
          <w:rFonts w:cs="Arial"/>
          <w:sz w:val="24"/>
          <w:szCs w:val="24"/>
        </w:rPr>
        <w:t xml:space="preserve">ATC= </w:t>
      </w:r>
      <w:r w:rsidRPr="00913F42">
        <w:rPr>
          <w:rFonts w:cs="Arial"/>
          <w:iCs/>
          <w:sz w:val="24"/>
          <w:szCs w:val="24"/>
        </w:rPr>
        <w:t>Anatomical Therapeutic Chemical / Defined Daily Dose Classification</w:t>
      </w:r>
      <w:r w:rsidRPr="000E5648">
        <w:rPr>
          <w:rFonts w:cs="Arial"/>
          <w:i/>
          <w:iCs/>
          <w:sz w:val="24"/>
          <w:szCs w:val="24"/>
        </w:rPr>
        <w:t>;</w:t>
      </w:r>
      <w:r w:rsidRPr="000E5648">
        <w:rPr>
          <w:rFonts w:cs="Arial"/>
          <w:sz w:val="24"/>
          <w:szCs w:val="24"/>
        </w:rPr>
        <w:t xml:space="preserve"> ICD= International Classification of Diseases; OPS= official classification for the encoding of operations, procedures and general medical measures </w:t>
      </w:r>
    </w:p>
    <w:p w:rsidR="00B378B4" w:rsidRDefault="00DF367A" w:rsidP="00DF367A">
      <w:pPr>
        <w:spacing w:line="480" w:lineRule="auto"/>
      </w:pPr>
      <w:r w:rsidRPr="000E5648">
        <w:rPr>
          <w:rFonts w:cs="Arial"/>
          <w:sz w:val="24"/>
          <w:szCs w:val="24"/>
        </w:rPr>
        <w:t xml:space="preserve">*For definition, see </w:t>
      </w:r>
      <w:r>
        <w:rPr>
          <w:rFonts w:cs="Arial"/>
          <w:sz w:val="24"/>
          <w:szCs w:val="24"/>
        </w:rPr>
        <w:t>Additional file 6, T</w:t>
      </w:r>
      <w:r w:rsidRPr="000E5648">
        <w:rPr>
          <w:rFonts w:cs="Arial"/>
          <w:sz w:val="24"/>
          <w:szCs w:val="24"/>
        </w:rPr>
        <w:t xml:space="preserve">able </w:t>
      </w:r>
      <w:r>
        <w:rPr>
          <w:rFonts w:cs="Arial"/>
          <w:sz w:val="24"/>
          <w:szCs w:val="24"/>
        </w:rPr>
        <w:t>6</w:t>
      </w:r>
    </w:p>
    <w:sectPr w:rsidR="00B378B4" w:rsidSect="00DF367A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47B9F"/>
    <w:multiLevelType w:val="hybridMultilevel"/>
    <w:tmpl w:val="5A224ABC"/>
    <w:lvl w:ilvl="0" w:tplc="69D6D6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B40164"/>
    <w:multiLevelType w:val="hybridMultilevel"/>
    <w:tmpl w:val="3740EE52"/>
    <w:lvl w:ilvl="0" w:tplc="D70EC940">
      <w:start w:val="1"/>
      <w:numFmt w:val="lowerLetter"/>
      <w:lvlText w:val="(%1)"/>
      <w:lvlJc w:val="left"/>
      <w:pPr>
        <w:ind w:left="72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51284"/>
    <w:multiLevelType w:val="hybridMultilevel"/>
    <w:tmpl w:val="33825FE8"/>
    <w:lvl w:ilvl="0" w:tplc="7258390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116F0D"/>
    <w:multiLevelType w:val="hybridMultilevel"/>
    <w:tmpl w:val="00A402CA"/>
    <w:lvl w:ilvl="0" w:tplc="64404A62">
      <w:start w:val="1"/>
      <w:numFmt w:val="lowerLetter"/>
      <w:lvlText w:val="(%1)"/>
      <w:lvlJc w:val="left"/>
      <w:pPr>
        <w:ind w:left="72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67A"/>
    <w:rsid w:val="001049D0"/>
    <w:rsid w:val="001C2751"/>
    <w:rsid w:val="00253D4F"/>
    <w:rsid w:val="00267812"/>
    <w:rsid w:val="003301BB"/>
    <w:rsid w:val="003809A4"/>
    <w:rsid w:val="005822C0"/>
    <w:rsid w:val="00602EFE"/>
    <w:rsid w:val="00704692"/>
    <w:rsid w:val="00763980"/>
    <w:rsid w:val="007C6928"/>
    <w:rsid w:val="00841575"/>
    <w:rsid w:val="009B58F4"/>
    <w:rsid w:val="00B378B4"/>
    <w:rsid w:val="00C52C35"/>
    <w:rsid w:val="00C81DBF"/>
    <w:rsid w:val="00D51388"/>
    <w:rsid w:val="00DF367A"/>
    <w:rsid w:val="00E91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43509"/>
  <w15:chartTrackingRefBased/>
  <w15:docId w15:val="{DC2FEC34-E992-47D5-9467-320636040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F367A"/>
    <w:pPr>
      <w:suppressAutoHyphens/>
      <w:spacing w:after="0" w:line="240" w:lineRule="auto"/>
    </w:pPr>
    <w:rPr>
      <w:rFonts w:ascii="Arial" w:eastAsia="Times New Roman" w:hAnsi="Arial" w:cs="Times New Roman"/>
      <w:szCs w:val="20"/>
      <w:lang w:val="en-US"/>
    </w:rPr>
  </w:style>
  <w:style w:type="paragraph" w:styleId="berschrift1">
    <w:name w:val="heading 1"/>
    <w:basedOn w:val="Standard"/>
    <w:link w:val="berschrift1Zchn"/>
    <w:uiPriority w:val="9"/>
    <w:qFormat/>
    <w:rsid w:val="00DF367A"/>
    <w:pPr>
      <w:suppressAutoHyphens w:val="0"/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F367A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schriftung">
    <w:name w:val="caption"/>
    <w:basedOn w:val="Standard"/>
    <w:next w:val="Standard"/>
    <w:uiPriority w:val="35"/>
    <w:qFormat/>
    <w:rsid w:val="00DF367A"/>
    <w:pPr>
      <w:keepNext/>
      <w:spacing w:before="300" w:after="100"/>
      <w:jc w:val="center"/>
    </w:pPr>
    <w:rPr>
      <w:b/>
    </w:rPr>
  </w:style>
  <w:style w:type="paragraph" w:customStyle="1" w:styleId="TableHeader">
    <w:name w:val="TableHeader"/>
    <w:basedOn w:val="Standard"/>
    <w:rsid w:val="00DF367A"/>
    <w:pPr>
      <w:suppressAutoHyphens w:val="0"/>
      <w:spacing w:before="120"/>
    </w:pPr>
    <w:rPr>
      <w:rFonts w:ascii="Times New Roman" w:hAnsi="Times New Roman"/>
      <w:b/>
      <w:sz w:val="24"/>
      <w:lang w:val="en-GB"/>
    </w:rPr>
  </w:style>
  <w:style w:type="paragraph" w:customStyle="1" w:styleId="TableSubHead">
    <w:name w:val="TableSubHead"/>
    <w:basedOn w:val="TableHeader"/>
    <w:rsid w:val="00DF367A"/>
  </w:style>
  <w:style w:type="character" w:customStyle="1" w:styleId="st">
    <w:name w:val="st"/>
    <w:basedOn w:val="Absatz-Standardschriftart"/>
    <w:rsid w:val="00DF367A"/>
  </w:style>
  <w:style w:type="table" w:styleId="Tabellenraster">
    <w:name w:val="Table Grid"/>
    <w:basedOn w:val="NormaleTabelle"/>
    <w:uiPriority w:val="39"/>
    <w:rsid w:val="00DF367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F367A"/>
    <w:pPr>
      <w:ind w:left="720"/>
      <w:contextualSpacing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F367A"/>
    <w:rPr>
      <w:rFonts w:ascii="Arial" w:eastAsia="Times New Roman" w:hAnsi="Arial" w:cs="Times New Roman"/>
      <w:sz w:val="20"/>
      <w:szCs w:val="20"/>
      <w:lang w:val="en-US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F367A"/>
    <w:rPr>
      <w:sz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F367A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F367A"/>
    <w:rPr>
      <w:b/>
      <w:bCs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F367A"/>
    <w:rPr>
      <w:rFonts w:ascii="Segoe UI" w:eastAsia="Times New Roman" w:hAnsi="Segoe UI" w:cs="Segoe UI"/>
      <w:sz w:val="18"/>
      <w:szCs w:val="18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F367A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DF367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F367A"/>
    <w:rPr>
      <w:rFonts w:ascii="Arial" w:eastAsia="Times New Roman" w:hAnsi="Arial" w:cs="Times New Roman"/>
      <w:szCs w:val="20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DF367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F367A"/>
    <w:rPr>
      <w:rFonts w:ascii="Arial" w:eastAsia="Times New Roman" w:hAnsi="Arial" w:cs="Times New Roman"/>
      <w:szCs w:val="20"/>
      <w:lang w:val="en-US"/>
    </w:rPr>
  </w:style>
  <w:style w:type="character" w:styleId="Hyperlink">
    <w:name w:val="Hyperlink"/>
    <w:basedOn w:val="Absatz-Standardschriftart"/>
    <w:uiPriority w:val="99"/>
    <w:unhideWhenUsed/>
    <w:rsid w:val="00DF36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819</Words>
  <Characters>5161</Characters>
  <Application>Microsoft Office Word</Application>
  <DocSecurity>0</DocSecurity>
  <Lines>43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Klinikum Saarbrücken gGmbH</Company>
  <LinksUpToDate>false</LinksUpToDate>
  <CharactersWithSpaces>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whaeuser an PC-15289</dc:creator>
  <cp:keywords/>
  <dc:description/>
  <cp:lastModifiedBy>whaeuser an PC-15289</cp:lastModifiedBy>
  <cp:revision>1</cp:revision>
  <dcterms:created xsi:type="dcterms:W3CDTF">2020-05-14T06:03:00Z</dcterms:created>
  <dcterms:modified xsi:type="dcterms:W3CDTF">2020-05-14T06:09:00Z</dcterms:modified>
</cp:coreProperties>
</file>