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62E" w:rsidRPr="00D26EC8" w:rsidRDefault="00CC562E" w:rsidP="00CC562E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Additional file</w:t>
      </w:r>
      <w:r>
        <w:rPr>
          <w:rFonts w:cs="Arial"/>
          <w:b/>
          <w:sz w:val="24"/>
          <w:szCs w:val="24"/>
        </w:rPr>
        <w:t xml:space="preserve"> 7</w:t>
      </w:r>
      <w:r>
        <w:rPr>
          <w:rFonts w:cs="Arial"/>
          <w:b/>
          <w:sz w:val="24"/>
          <w:szCs w:val="24"/>
        </w:rPr>
        <w:t>,</w:t>
      </w:r>
      <w:r>
        <w:rPr>
          <w:rFonts w:cs="Arial"/>
          <w:b/>
          <w:sz w:val="24"/>
          <w:szCs w:val="24"/>
        </w:rPr>
        <w:t xml:space="preserve"> </w:t>
      </w:r>
      <w:r w:rsidRPr="00D26EC8">
        <w:rPr>
          <w:rFonts w:cs="Arial"/>
          <w:b/>
          <w:sz w:val="24"/>
          <w:szCs w:val="24"/>
        </w:rPr>
        <w:t>Table</w:t>
      </w:r>
      <w:r>
        <w:rPr>
          <w:rFonts w:cs="Arial"/>
          <w:b/>
          <w:sz w:val="24"/>
          <w:szCs w:val="24"/>
        </w:rPr>
        <w:t xml:space="preserve"> 7</w:t>
      </w:r>
      <w:bookmarkStart w:id="0" w:name="_GoBack"/>
      <w:bookmarkEnd w:id="0"/>
      <w:r w:rsidRPr="00D26EC8">
        <w:rPr>
          <w:rFonts w:cs="Arial"/>
          <w:b/>
          <w:sz w:val="24"/>
          <w:szCs w:val="24"/>
        </w:rPr>
        <w:t xml:space="preserve">:  </w:t>
      </w:r>
      <w:bookmarkStart w:id="1" w:name="_Hlk33262650"/>
      <w:r w:rsidRPr="00D26EC8">
        <w:rPr>
          <w:rFonts w:cs="Arial"/>
          <w:b/>
          <w:sz w:val="24"/>
          <w:szCs w:val="24"/>
        </w:rPr>
        <w:t>Sensitivity analysis of predictors of all-cause mortality in the study sample (N=2813 in non-opioid and N=2757 in opioid group)</w:t>
      </w:r>
      <w:bookmarkEnd w:id="1"/>
    </w:p>
    <w:tbl>
      <w:tblPr>
        <w:tblW w:w="6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3685"/>
      </w:tblGrid>
      <w:tr w:rsidR="00CC562E" w:rsidRPr="000E5648" w:rsidTr="00A366CF"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Predictor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 xml:space="preserve">Adjusted HR (95%-CI); p-value </w:t>
            </w:r>
          </w:p>
        </w:tc>
      </w:tr>
      <w:tr w:rsidR="00CC562E" w:rsidRPr="000E5648" w:rsidTr="00A366CF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Gender</w:t>
            </w:r>
          </w:p>
          <w:p w:rsidR="00CC562E" w:rsidRPr="000E5648" w:rsidRDefault="00CC562E" w:rsidP="00A366C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  Male</w:t>
            </w:r>
          </w:p>
          <w:p w:rsidR="00CC562E" w:rsidRPr="000E5648" w:rsidRDefault="00CC562E" w:rsidP="00A366C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   Female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  <w:p w:rsidR="00CC562E" w:rsidRPr="000E5648" w:rsidRDefault="00CC562E" w:rsidP="00A366C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1.34 (1.13 – 1.57); &lt;0.0001</w:t>
            </w:r>
          </w:p>
          <w:p w:rsidR="00CC562E" w:rsidRPr="000E5648" w:rsidRDefault="00CC562E" w:rsidP="00A366C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 Referent</w:t>
            </w:r>
          </w:p>
        </w:tc>
      </w:tr>
      <w:tr w:rsidR="00CC562E" w:rsidRPr="000E5648" w:rsidTr="00A366CF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Age (per year)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1.10 (1.10 –  1.12 ); &lt;0.0001</w:t>
            </w:r>
          </w:p>
        </w:tc>
      </w:tr>
      <w:tr w:rsidR="00CC562E" w:rsidRPr="000E5648" w:rsidTr="00A366CF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Long-term opioid therapy</w:t>
            </w:r>
          </w:p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 Non – opioid therapy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1.35 (1.14 – 1.58); 0.0004</w:t>
            </w:r>
          </w:p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 Referent</w:t>
            </w:r>
          </w:p>
        </w:tc>
      </w:tr>
      <w:tr w:rsidR="00CC562E" w:rsidRPr="000E5648" w:rsidTr="00A366CF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Duration of drug therapy (per month)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0.996 (0.995 – 0.996); &lt;0.0001</w:t>
            </w:r>
          </w:p>
        </w:tc>
      </w:tr>
      <w:tr w:rsidR="00CC562E" w:rsidRPr="000E5648" w:rsidTr="00A366CF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Comorbidity Index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1.20 (1.16 – 1.23); &lt;0.0001</w:t>
            </w:r>
          </w:p>
        </w:tc>
      </w:tr>
      <w:tr w:rsidR="00CC562E" w:rsidRPr="000E5648" w:rsidTr="00A366CF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Estimated propensity score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1.70 (1.167 – 2.467); 0.006</w:t>
            </w:r>
          </w:p>
        </w:tc>
      </w:tr>
      <w:tr w:rsidR="00CC562E" w:rsidRPr="000E5648" w:rsidTr="00A366CF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Index quarter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E" w:rsidRPr="000E5648" w:rsidRDefault="00CC562E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0E5648">
              <w:rPr>
                <w:rFonts w:cs="Arial"/>
                <w:sz w:val="24"/>
                <w:szCs w:val="24"/>
              </w:rPr>
              <w:t>0.998 (0.998 – 0.999); &lt;.0001</w:t>
            </w:r>
          </w:p>
        </w:tc>
      </w:tr>
    </w:tbl>
    <w:p w:rsidR="00B378B4" w:rsidRDefault="00B378B4"/>
    <w:sectPr w:rsidR="00B378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2E"/>
    <w:rsid w:val="001049D0"/>
    <w:rsid w:val="001C2751"/>
    <w:rsid w:val="00253D4F"/>
    <w:rsid w:val="00267812"/>
    <w:rsid w:val="005822C0"/>
    <w:rsid w:val="00602EFE"/>
    <w:rsid w:val="00704692"/>
    <w:rsid w:val="00763980"/>
    <w:rsid w:val="007C6928"/>
    <w:rsid w:val="00841575"/>
    <w:rsid w:val="009B58F4"/>
    <w:rsid w:val="00B378B4"/>
    <w:rsid w:val="00C52C35"/>
    <w:rsid w:val="00C81DBF"/>
    <w:rsid w:val="00CC562E"/>
    <w:rsid w:val="00D5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542E"/>
  <w15:chartTrackingRefBased/>
  <w15:docId w15:val="{C2C132C0-D742-4008-B500-A51F75B1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562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Saarbrücken gGmbH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whaeuser an PC-15289</dc:creator>
  <cp:keywords/>
  <dc:description/>
  <cp:lastModifiedBy>whaeuser an PC-15289</cp:lastModifiedBy>
  <cp:revision>1</cp:revision>
  <dcterms:created xsi:type="dcterms:W3CDTF">2020-05-14T06:12:00Z</dcterms:created>
  <dcterms:modified xsi:type="dcterms:W3CDTF">2020-05-14T06:12:00Z</dcterms:modified>
</cp:coreProperties>
</file>