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3D8" w:rsidRPr="005F5605" w:rsidRDefault="000623D8" w:rsidP="000623D8">
      <w:pPr>
        <w:spacing w:line="312" w:lineRule="auto"/>
        <w:rPr>
          <w:rFonts w:ascii="Arial" w:hAnsi="Arial" w:cs="Arial"/>
          <w:b/>
          <w:bCs/>
          <w:sz w:val="22"/>
          <w:szCs w:val="22"/>
        </w:rPr>
      </w:pPr>
      <w:r w:rsidRPr="005F5605">
        <w:rPr>
          <w:rFonts w:ascii="Arial" w:hAnsi="Arial" w:cs="Arial"/>
          <w:b/>
          <w:bCs/>
          <w:sz w:val="22"/>
          <w:szCs w:val="22"/>
        </w:rPr>
        <w:t>The potential impact o</w:t>
      </w:r>
      <w:bookmarkStart w:id="0" w:name="_GoBack"/>
      <w:bookmarkEnd w:id="0"/>
      <w:r w:rsidRPr="005F5605">
        <w:rPr>
          <w:rFonts w:ascii="Arial" w:hAnsi="Arial" w:cs="Arial"/>
          <w:b/>
          <w:bCs/>
          <w:sz w:val="22"/>
          <w:szCs w:val="22"/>
        </w:rPr>
        <w:t>f preventive therapy against tuberculosis in the WHO South-East Asian Region: a modelling approach</w:t>
      </w: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rPr>
          <w:color w:val="000000" w:themeColor="text1"/>
        </w:rPr>
      </w:pPr>
      <w:r w:rsidRPr="005F5605">
        <w:rPr>
          <w:color w:val="000000" w:themeColor="text1"/>
        </w:rPr>
        <w:t xml:space="preserve">Sandip Mandal, </w:t>
      </w:r>
      <w:proofErr w:type="spellStart"/>
      <w:r w:rsidRPr="005F5605">
        <w:rPr>
          <w:color w:val="000000" w:themeColor="text1"/>
        </w:rPr>
        <w:t>Vineet</w:t>
      </w:r>
      <w:proofErr w:type="spellEnd"/>
      <w:r w:rsidRPr="005F5605">
        <w:rPr>
          <w:color w:val="000000" w:themeColor="text1"/>
        </w:rPr>
        <w:t xml:space="preserve"> Bhatia, </w:t>
      </w:r>
      <w:proofErr w:type="spellStart"/>
      <w:r w:rsidRPr="005F5605">
        <w:rPr>
          <w:color w:val="000000" w:themeColor="text1"/>
        </w:rPr>
        <w:t>Mukta</w:t>
      </w:r>
      <w:proofErr w:type="spellEnd"/>
      <w:r w:rsidRPr="005F5605">
        <w:rPr>
          <w:color w:val="000000" w:themeColor="text1"/>
        </w:rPr>
        <w:t xml:space="preserve"> Sharma, </w:t>
      </w:r>
      <w:proofErr w:type="spellStart"/>
      <w:r w:rsidRPr="005F5605">
        <w:rPr>
          <w:color w:val="000000" w:themeColor="text1"/>
        </w:rPr>
        <w:t>Partha</w:t>
      </w:r>
      <w:proofErr w:type="spellEnd"/>
      <w:r w:rsidRPr="005F5605">
        <w:rPr>
          <w:color w:val="000000" w:themeColor="text1"/>
        </w:rPr>
        <w:t xml:space="preserve"> </w:t>
      </w:r>
      <w:proofErr w:type="spellStart"/>
      <w:r w:rsidRPr="005F5605">
        <w:rPr>
          <w:color w:val="000000" w:themeColor="text1"/>
        </w:rPr>
        <w:t>Pratim</w:t>
      </w:r>
      <w:proofErr w:type="spellEnd"/>
      <w:r w:rsidRPr="005F5605">
        <w:rPr>
          <w:color w:val="000000" w:themeColor="text1"/>
        </w:rPr>
        <w:t xml:space="preserve"> Mandal, </w:t>
      </w:r>
      <w:proofErr w:type="spellStart"/>
      <w:r w:rsidRPr="005F5605">
        <w:rPr>
          <w:color w:val="000000" w:themeColor="text1"/>
        </w:rPr>
        <w:t>Nimalan</w:t>
      </w:r>
      <w:proofErr w:type="spellEnd"/>
      <w:r w:rsidRPr="005F5605">
        <w:rPr>
          <w:color w:val="000000" w:themeColor="text1"/>
        </w:rPr>
        <w:t xml:space="preserve"> </w:t>
      </w:r>
      <w:proofErr w:type="spellStart"/>
      <w:r w:rsidRPr="005F5605">
        <w:rPr>
          <w:color w:val="000000" w:themeColor="text1"/>
        </w:rPr>
        <w:t>Arinaminpathy</w:t>
      </w:r>
      <w:proofErr w:type="spellEnd"/>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outlineLvl w:val="0"/>
        <w:rPr>
          <w:rFonts w:ascii="Arial" w:hAnsi="Arial" w:cs="Arial"/>
          <w:sz w:val="22"/>
          <w:szCs w:val="22"/>
          <w:u w:val="single"/>
        </w:rPr>
      </w:pPr>
      <w:r w:rsidRPr="005F5605">
        <w:rPr>
          <w:rFonts w:ascii="Arial" w:hAnsi="Arial" w:cs="Arial"/>
          <w:sz w:val="22"/>
          <w:szCs w:val="22"/>
          <w:u w:val="single"/>
        </w:rPr>
        <w:t>Supporting information</w:t>
      </w:r>
    </w:p>
    <w:p w:rsidR="000623D8" w:rsidRPr="005F5605" w:rsidRDefault="000623D8" w:rsidP="000623D8">
      <w:pPr>
        <w:spacing w:line="312" w:lineRule="auto"/>
        <w:rPr>
          <w:rFonts w:ascii="Arial" w:hAnsi="Arial" w:cs="Arial"/>
          <w:sz w:val="22"/>
          <w:szCs w:val="22"/>
          <w:u w:val="single"/>
        </w:rPr>
      </w:pPr>
    </w:p>
    <w:p w:rsidR="000623D8" w:rsidRPr="005F5605" w:rsidRDefault="000623D8" w:rsidP="000623D8">
      <w:pPr>
        <w:spacing w:line="312" w:lineRule="auto"/>
        <w:outlineLvl w:val="0"/>
        <w:rPr>
          <w:rFonts w:ascii="Arial" w:hAnsi="Arial" w:cs="Arial"/>
          <w:b/>
          <w:bCs/>
          <w:sz w:val="22"/>
          <w:szCs w:val="22"/>
        </w:rPr>
      </w:pPr>
      <w:r w:rsidRPr="005F5605">
        <w:rPr>
          <w:rFonts w:ascii="Arial" w:hAnsi="Arial" w:cs="Arial"/>
          <w:b/>
          <w:bCs/>
          <w:sz w:val="22"/>
          <w:szCs w:val="22"/>
        </w:rPr>
        <w:t>1. Model specification</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The model is governed by the following equations (see table S1 for definitions of state variables, and table S3 for parameter definitions and sources). First, for the states prior to a TB patient’s first visit to a provider, we have:</w:t>
      </w:r>
    </w:p>
    <w:p w:rsidR="000623D8" w:rsidRPr="005F5605" w:rsidRDefault="000623D8" w:rsidP="000623D8">
      <w:pPr>
        <w:spacing w:line="312" w:lineRule="auto"/>
        <w:rPr>
          <w:rFonts w:ascii="Arial" w:hAnsi="Arial" w:cs="Arial"/>
          <w:sz w:val="22"/>
          <w:szCs w:val="22"/>
        </w:rPr>
      </w:pPr>
    </w:p>
    <w:p w:rsidR="000623D8" w:rsidRPr="005F5605" w:rsidRDefault="005F5605" w:rsidP="000623D8">
      <w:pPr>
        <w:spacing w:line="312" w:lineRule="auto"/>
        <w:rPr>
          <w:rFonts w:ascii="Arial" w:hAnsi="Arial" w:cs="Arial"/>
          <w:sz w:val="22"/>
          <w:szCs w:val="22"/>
        </w:rPr>
      </w:pPr>
      <m:oMathPara>
        <m:oMathParaPr>
          <m:jc m:val="left"/>
        </m:oMathParaPr>
        <m:oMath>
          <m:m>
            <m:mPr>
              <m:mcs>
                <m:mc>
                  <m:mcPr>
                    <m:count m:val="2"/>
                    <m:mcJc m:val="center"/>
                  </m:mcPr>
                </m:mc>
                <m:mc>
                  <m:mcPr>
                    <m:count m:val="1"/>
                    <m:mcJc m:val="left"/>
                  </m:mcPr>
                </m:mc>
              </m:mcs>
              <m:ctrlPr>
                <w:rPr>
                  <w:rFonts w:ascii="Cambria Math" w:hAnsi="Cambria Math" w:cs="Arial"/>
                  <w:i/>
                  <w:sz w:val="22"/>
                  <w:szCs w:val="22"/>
                </w:rPr>
              </m:ctrlPr>
            </m:mPr>
            <m:mr>
              <m:e>
                <m:acc>
                  <m:accPr>
                    <m:chr m:val="̇"/>
                    <m:ctrlPr>
                      <w:rPr>
                        <w:rFonts w:ascii="Cambria Math" w:hAnsi="Cambria Math" w:cs="Arial"/>
                        <w:i/>
                        <w:sz w:val="22"/>
                        <w:szCs w:val="22"/>
                      </w:rPr>
                    </m:ctrlPr>
                  </m:accPr>
                  <m:e>
                    <m:r>
                      <w:rPr>
                        <w:rFonts w:ascii="Cambria Math" w:hAnsi="Cambria Math" w:cs="Arial"/>
                        <w:sz w:val="22"/>
                        <w:szCs w:val="22"/>
                      </w:rPr>
                      <m:t>U</m:t>
                    </m:r>
                  </m:e>
                </m:acc>
              </m:e>
              <m:e>
                <m:r>
                  <w:rPr>
                    <w:rFonts w:ascii="Cambria Math" w:hAnsi="Cambria Math" w:cs="Arial"/>
                    <w:sz w:val="22"/>
                    <w:szCs w:val="22"/>
                  </w:rPr>
                  <m:t>=</m:t>
                </m:r>
              </m:e>
              <m:e>
                <m:r>
                  <w:rPr>
                    <w:rFonts w:ascii="Cambria Math" w:hAnsi="Cambria Math" w:cs="Arial"/>
                    <w:sz w:val="22"/>
                    <w:szCs w:val="22"/>
                  </w:rPr>
                  <m:t>b-U</m:t>
                </m:r>
                <m:nary>
                  <m:naryPr>
                    <m:chr m:val="∑"/>
                    <m:supHide m:val="1"/>
                    <m:ctrlPr>
                      <w:rPr>
                        <w:rFonts w:ascii="Cambria Math" w:hAnsi="Cambria Math" w:cs="Arial"/>
                        <w:i/>
                        <w:sz w:val="22"/>
                        <w:szCs w:val="22"/>
                      </w:rPr>
                    </m:ctrlPr>
                  </m:naryPr>
                  <m:sub>
                    <m:r>
                      <w:rPr>
                        <w:rFonts w:ascii="Cambria Math" w:hAnsi="Cambria Math" w:cs="Arial"/>
                        <w:sz w:val="22"/>
                        <w:szCs w:val="22"/>
                      </w:rPr>
                      <m:t>s</m:t>
                    </m:r>
                  </m:sub>
                  <m:sup/>
                  <m:e>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s</m:t>
                        </m:r>
                      </m:sub>
                    </m:sSub>
                  </m:e>
                </m:nary>
                <m:r>
                  <w:rPr>
                    <w:rFonts w:ascii="Cambria Math" w:hAnsi="Cambria Math" w:cs="Arial"/>
                    <w:sz w:val="22"/>
                    <w:szCs w:val="22"/>
                  </w:rPr>
                  <m:t>-μU</m:t>
                </m:r>
              </m:e>
            </m:mr>
            <m:mr>
              <m:e>
                <m:acc>
                  <m:accPr>
                    <m:chr m:val="̇"/>
                    <m:ctrlPr>
                      <w:rPr>
                        <w:rFonts w:ascii="Cambria Math" w:hAnsi="Cambria Math" w:cs="Arial"/>
                        <w:i/>
                        <w:sz w:val="22"/>
                        <w:szCs w:val="22"/>
                      </w:rPr>
                    </m:ctrlPr>
                  </m:accPr>
                  <m:e>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hs</m:t>
                        </m:r>
                      </m:sub>
                    </m:sSub>
                  </m:e>
                </m:acc>
              </m:e>
              <m:e>
                <m:r>
                  <w:rPr>
                    <w:rFonts w:ascii="Cambria Math" w:hAnsi="Cambria Math" w:cs="Arial"/>
                    <w:sz w:val="22"/>
                    <w:szCs w:val="22"/>
                  </w:rPr>
                  <m:t>=</m:t>
                </m:r>
              </m:e>
              <m:e>
                <m:d>
                  <m:dPr>
                    <m:ctrlPr>
                      <w:rPr>
                        <w:rFonts w:ascii="Cambria Math" w:hAnsi="Cambria Math" w:cs="Arial"/>
                        <w:i/>
                        <w:sz w:val="22"/>
                        <w:szCs w:val="22"/>
                      </w:rPr>
                    </m:ctrlPr>
                  </m:dPr>
                  <m:e>
                    <m:r>
                      <w:rPr>
                        <w:rFonts w:ascii="Cambria Math" w:hAnsi="Cambria Math" w:cs="Arial"/>
                        <w:sz w:val="22"/>
                        <w:szCs w:val="22"/>
                      </w:rPr>
                      <m:t>1-</m:t>
                    </m:r>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h</m:t>
                        </m:r>
                      </m:sub>
                    </m:sSub>
                  </m:e>
                </m:d>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s</m:t>
                    </m:r>
                  </m:sub>
                </m:sSub>
                <m:d>
                  <m:dPr>
                    <m:begChr m:val="["/>
                    <m:endChr m:val="]"/>
                    <m:ctrlPr>
                      <w:rPr>
                        <w:rFonts w:ascii="Cambria Math" w:hAnsi="Cambria Math" w:cs="Arial"/>
                        <w:i/>
                        <w:sz w:val="22"/>
                        <w:szCs w:val="22"/>
                      </w:rPr>
                    </m:ctrlPr>
                  </m:dPr>
                  <m:e>
                    <m:r>
                      <w:rPr>
                        <w:rFonts w:ascii="Cambria Math" w:hAnsi="Cambria Math" w:cs="Arial"/>
                        <w:sz w:val="22"/>
                        <w:szCs w:val="22"/>
                      </w:rPr>
                      <m:t>U+</m:t>
                    </m:r>
                    <m:sSub>
                      <m:sSubPr>
                        <m:ctrlPr>
                          <w:rPr>
                            <w:rFonts w:ascii="Cambria Math" w:hAnsi="Cambria Math" w:cs="Arial"/>
                            <w:i/>
                            <w:sz w:val="22"/>
                            <w:szCs w:val="22"/>
                          </w:rPr>
                        </m:ctrlPr>
                      </m:sSubPr>
                      <m:e>
                        <m:r>
                          <w:rPr>
                            <w:rFonts w:ascii="Cambria Math" w:hAnsi="Cambria Math" w:cs="Arial"/>
                            <w:sz w:val="22"/>
                            <w:szCs w:val="22"/>
                          </w:rPr>
                          <m:t>c</m:t>
                        </m:r>
                      </m:e>
                      <m:sub>
                        <m:r>
                          <w:rPr>
                            <w:rFonts w:ascii="Cambria Math" w:hAnsi="Cambria Math" w:cs="Arial"/>
                            <w:sz w:val="22"/>
                            <w:szCs w:val="22"/>
                          </w:rPr>
                          <m:t>i</m:t>
                        </m:r>
                      </m:sub>
                    </m:sSub>
                    <m:nary>
                      <m:naryPr>
                        <m:chr m:val="∑"/>
                        <m:supHide m:val="1"/>
                        <m:ctrlPr>
                          <w:rPr>
                            <w:rFonts w:ascii="Cambria Math" w:hAnsi="Cambria Math" w:cs="Arial"/>
                            <w:i/>
                            <w:sz w:val="22"/>
                            <w:szCs w:val="22"/>
                          </w:rPr>
                        </m:ctrlPr>
                      </m:naryPr>
                      <m:sub>
                        <m:r>
                          <w:rPr>
                            <w:rFonts w:ascii="Cambria Math" w:hAnsi="Cambria Math" w:cs="Arial"/>
                            <w:sz w:val="22"/>
                            <w:szCs w:val="22"/>
                          </w:rPr>
                          <m:t>s</m:t>
                        </m:r>
                      </m:sub>
                      <m:sup/>
                      <m:e>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hs</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R</m:t>
                                </m:r>
                              </m:e>
                              <m:sub>
                                <m:r>
                                  <w:rPr>
                                    <w:rFonts w:ascii="Cambria Math" w:hAnsi="Cambria Math" w:cs="Arial"/>
                                    <w:sz w:val="22"/>
                                    <w:szCs w:val="22"/>
                                  </w:rPr>
                                  <m:t>hs</m:t>
                                </m:r>
                              </m:sub>
                            </m:sSub>
                          </m:e>
                        </m:d>
                      </m:e>
                    </m:nary>
                  </m:e>
                </m:d>
                <m:r>
                  <w:rPr>
                    <w:rFonts w:ascii="Cambria Math" w:hAnsi="Cambria Math" w:cs="Arial"/>
                    <w:sz w:val="22"/>
                    <w:szCs w:val="22"/>
                  </w:rPr>
                  <m:t>+r</m:t>
                </m:r>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hs</m:t>
                    </m:r>
                  </m:sub>
                </m:sSub>
                <m:r>
                  <w:rPr>
                    <w:rFonts w:ascii="Cambria Math" w:hAnsi="Cambria Math" w:cs="Arial"/>
                    <w:sz w:val="22"/>
                    <w:szCs w:val="22"/>
                  </w:rPr>
                  <m:t>-</m:t>
                </m:r>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g</m:t>
                        </m:r>
                      </m:e>
                      <m:sub>
                        <m:r>
                          <w:rPr>
                            <w:rFonts w:ascii="Cambria Math" w:hAnsi="Cambria Math" w:cs="Arial"/>
                            <w:sz w:val="22"/>
                            <w:szCs w:val="22"/>
                          </w:rPr>
                          <m:t>h</m:t>
                        </m:r>
                      </m:sub>
                    </m:sSub>
                    <m:r>
                      <w:rPr>
                        <w:rFonts w:ascii="Cambria Math" w:hAnsi="Cambria Math" w:cs="Arial"/>
                        <w:sz w:val="22"/>
                        <w:szCs w:val="22"/>
                      </w:rPr>
                      <m:t>+μ</m:t>
                    </m:r>
                  </m:e>
                </m:d>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hs</m:t>
                    </m:r>
                  </m:sub>
                </m:sSub>
              </m:e>
            </m:mr>
            <m:mr>
              <m:e>
                <m:acc>
                  <m:accPr>
                    <m:chr m:val="̇"/>
                    <m:ctrlPr>
                      <w:rPr>
                        <w:rFonts w:ascii="Cambria Math" w:hAnsi="Cambria Math" w:cs="Arial"/>
                        <w:i/>
                        <w:sz w:val="22"/>
                        <w:szCs w:val="22"/>
                      </w:rPr>
                    </m:ctrlPr>
                  </m:accPr>
                  <m:e>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hs</m:t>
                        </m:r>
                      </m:sub>
                    </m:sSub>
                  </m:e>
                </m:acc>
              </m:e>
              <m:e>
                <m:r>
                  <w:rPr>
                    <w:rFonts w:ascii="Cambria Math" w:hAnsi="Cambria Math" w:cs="Arial"/>
                    <w:sz w:val="22"/>
                    <w:szCs w:val="22"/>
                  </w:rPr>
                  <m:t>=</m:t>
                </m:r>
              </m:e>
              <m:e>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h</m:t>
                    </m:r>
                  </m:sub>
                </m:sSub>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s</m:t>
                    </m:r>
                  </m:sub>
                </m:sSub>
                <m:d>
                  <m:dPr>
                    <m:begChr m:val="["/>
                    <m:endChr m:val="]"/>
                    <m:ctrlPr>
                      <w:rPr>
                        <w:rFonts w:ascii="Cambria Math" w:hAnsi="Cambria Math" w:cs="Arial"/>
                        <w:i/>
                        <w:sz w:val="22"/>
                        <w:szCs w:val="22"/>
                      </w:rPr>
                    </m:ctrlPr>
                  </m:dPr>
                  <m:e>
                    <m:r>
                      <w:rPr>
                        <w:rFonts w:ascii="Cambria Math" w:hAnsi="Cambria Math" w:cs="Arial"/>
                        <w:sz w:val="22"/>
                        <w:szCs w:val="22"/>
                      </w:rPr>
                      <m:t>U+</m:t>
                    </m:r>
                    <m:sSub>
                      <m:sSubPr>
                        <m:ctrlPr>
                          <w:rPr>
                            <w:rFonts w:ascii="Cambria Math" w:hAnsi="Cambria Math" w:cs="Arial"/>
                            <w:i/>
                            <w:sz w:val="22"/>
                            <w:szCs w:val="22"/>
                          </w:rPr>
                        </m:ctrlPr>
                      </m:sSubPr>
                      <m:e>
                        <m:r>
                          <w:rPr>
                            <w:rFonts w:ascii="Cambria Math" w:hAnsi="Cambria Math" w:cs="Arial"/>
                            <w:sz w:val="22"/>
                            <w:szCs w:val="22"/>
                          </w:rPr>
                          <m:t>c</m:t>
                        </m:r>
                      </m:e>
                      <m:sub>
                        <m:r>
                          <w:rPr>
                            <w:rFonts w:ascii="Cambria Math" w:hAnsi="Cambria Math" w:cs="Arial"/>
                            <w:sz w:val="22"/>
                            <w:szCs w:val="22"/>
                          </w:rPr>
                          <m:t>i</m:t>
                        </m:r>
                      </m:sub>
                    </m:sSub>
                    <m:nary>
                      <m:naryPr>
                        <m:chr m:val="∑"/>
                        <m:supHide m:val="1"/>
                        <m:ctrlPr>
                          <w:rPr>
                            <w:rFonts w:ascii="Cambria Math" w:hAnsi="Cambria Math" w:cs="Arial"/>
                            <w:i/>
                            <w:sz w:val="22"/>
                            <w:szCs w:val="22"/>
                          </w:rPr>
                        </m:ctrlPr>
                      </m:naryPr>
                      <m:sub>
                        <m:r>
                          <w:rPr>
                            <w:rFonts w:ascii="Cambria Math" w:hAnsi="Cambria Math" w:cs="Arial"/>
                            <w:sz w:val="22"/>
                            <w:szCs w:val="22"/>
                          </w:rPr>
                          <m:t>s</m:t>
                        </m:r>
                      </m:sub>
                      <m:sup/>
                      <m:e>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hs</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R</m:t>
                                </m:r>
                              </m:e>
                              <m:sub>
                                <m:r>
                                  <w:rPr>
                                    <w:rFonts w:ascii="Cambria Math" w:hAnsi="Cambria Math" w:cs="Arial"/>
                                    <w:sz w:val="22"/>
                                    <w:szCs w:val="22"/>
                                  </w:rPr>
                                  <m:t>hs</m:t>
                                </m:r>
                              </m:sub>
                            </m:sSub>
                          </m:e>
                        </m:d>
                      </m:e>
                    </m:nary>
                  </m:e>
                </m:d>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g</m:t>
                    </m:r>
                  </m:e>
                  <m:sub>
                    <m:r>
                      <w:rPr>
                        <w:rFonts w:ascii="Cambria Math" w:hAnsi="Cambria Math" w:cs="Arial"/>
                        <w:sz w:val="22"/>
                        <w:szCs w:val="22"/>
                      </w:rPr>
                      <m:t>h</m:t>
                    </m:r>
                  </m:sub>
                </m:sSub>
                <m:sSub>
                  <m:sSubPr>
                    <m:ctrlPr>
                      <w:rPr>
                        <w:rFonts w:ascii="Cambria Math" w:hAnsi="Cambria Math" w:cs="Arial"/>
                        <w:i/>
                        <w:sz w:val="22"/>
                        <w:szCs w:val="22"/>
                      </w:rPr>
                    </m:ctrlPr>
                  </m:sSubPr>
                  <m:e>
                    <m:r>
                      <w:rPr>
                        <w:rFonts w:ascii="Cambria Math" w:hAnsi="Cambria Math" w:cs="Arial"/>
                        <w:sz w:val="22"/>
                        <w:szCs w:val="22"/>
                      </w:rPr>
                      <m:t>L</m:t>
                    </m:r>
                  </m:e>
                  <m:sub>
                    <m:r>
                      <w:rPr>
                        <w:rFonts w:ascii="Cambria Math" w:hAnsi="Cambria Math" w:cs="Arial"/>
                        <w:sz w:val="22"/>
                        <w:szCs w:val="22"/>
                      </w:rPr>
                      <m:t>hs</m:t>
                    </m:r>
                  </m:sub>
                </m:sSub>
                <m:r>
                  <w:rPr>
                    <w:rFonts w:ascii="Cambria Math" w:hAnsi="Cambria Math" w:cs="Arial"/>
                    <w:sz w:val="22"/>
                    <w:szCs w:val="22"/>
                  </w:rPr>
                  <m:t>-</m:t>
                </m:r>
                <m:d>
                  <m:dPr>
                    <m:ctrlPr>
                      <w:rPr>
                        <w:rFonts w:ascii="Cambria Math" w:hAnsi="Cambria Math" w:cs="Arial"/>
                        <w:i/>
                        <w:sz w:val="22"/>
                        <w:szCs w:val="22"/>
                      </w:rPr>
                    </m:ctrlPr>
                  </m:dPr>
                  <m:e>
                    <m:r>
                      <w:rPr>
                        <w:rFonts w:ascii="Cambria Math" w:hAnsi="Cambria Math" w:cs="Arial"/>
                        <w:sz w:val="22"/>
                        <w:szCs w:val="22"/>
                      </w:rPr>
                      <m:t>r+h+μ</m:t>
                    </m:r>
                  </m:e>
                </m:d>
                <m:sSub>
                  <m:sSubPr>
                    <m:ctrlPr>
                      <w:rPr>
                        <w:rFonts w:ascii="Cambria Math" w:hAnsi="Cambria Math" w:cs="Arial"/>
                        <w:i/>
                        <w:sz w:val="22"/>
                        <w:szCs w:val="22"/>
                      </w:rPr>
                    </m:ctrlPr>
                  </m:sSubPr>
                  <m:e>
                    <m:r>
                      <w:rPr>
                        <w:rFonts w:ascii="Cambria Math" w:hAnsi="Cambria Math" w:cs="Arial"/>
                        <w:sz w:val="22"/>
                        <w:szCs w:val="22"/>
                      </w:rPr>
                      <m:t>M</m:t>
                    </m:r>
                  </m:e>
                  <m:sub>
                    <m:r>
                      <w:rPr>
                        <w:rFonts w:ascii="Cambria Math" w:hAnsi="Cambria Math" w:cs="Arial"/>
                        <w:sz w:val="22"/>
                        <w:szCs w:val="22"/>
                      </w:rPr>
                      <m:t>hs</m:t>
                    </m:r>
                  </m:sub>
                </m:sSub>
                <m:ctrlPr>
                  <w:rPr>
                    <w:rFonts w:ascii="Cambria Math" w:eastAsia="Cambria Math" w:hAnsi="Cambria Math" w:cs="Arial"/>
                    <w:i/>
                    <w:sz w:val="22"/>
                    <w:szCs w:val="22"/>
                  </w:rPr>
                </m:ctrlPr>
              </m:e>
            </m:mr>
            <m:mr>
              <m:e>
                <m:sSub>
                  <m:sSubPr>
                    <m:ctrlPr>
                      <w:rPr>
                        <w:rFonts w:ascii="Cambria Math" w:eastAsia="Cambria Math" w:hAnsi="Cambria Math" w:cs="Arial"/>
                        <w:i/>
                        <w:sz w:val="22"/>
                        <w:szCs w:val="22"/>
                      </w:rPr>
                    </m:ctrlPr>
                  </m:sSubPr>
                  <m:e>
                    <m:acc>
                      <m:accPr>
                        <m:chr m:val="̇"/>
                        <m:ctrlPr>
                          <w:rPr>
                            <w:rFonts w:ascii="Cambria Math" w:eastAsia="Cambria Math" w:hAnsi="Cambria Math" w:cs="Arial"/>
                            <w:i/>
                            <w:sz w:val="22"/>
                            <w:szCs w:val="22"/>
                          </w:rPr>
                        </m:ctrlPr>
                      </m:accPr>
                      <m:e>
                        <m:r>
                          <w:rPr>
                            <w:rFonts w:ascii="Cambria Math" w:eastAsia="Cambria Math" w:hAnsi="Cambria Math" w:cs="Arial"/>
                            <w:sz w:val="22"/>
                            <w:szCs w:val="22"/>
                          </w:rPr>
                          <m:t>I</m:t>
                        </m:r>
                      </m:e>
                    </m:acc>
                  </m:e>
                  <m:sub>
                    <m:r>
                      <w:rPr>
                        <w:rFonts w:ascii="Cambria Math" w:eastAsia="Cambria Math" w:hAnsi="Cambria Math" w:cs="Arial"/>
                        <w:sz w:val="22"/>
                        <w:szCs w:val="22"/>
                      </w:rPr>
                      <m:t>hs</m:t>
                    </m:r>
                  </m:sub>
                </m:sSub>
                <m:ctrlPr>
                  <w:rPr>
                    <w:rFonts w:ascii="Cambria Math" w:eastAsia="Cambria Math" w:hAnsi="Cambria Math" w:cs="Arial"/>
                    <w:i/>
                    <w:sz w:val="22"/>
                    <w:szCs w:val="22"/>
                  </w:rPr>
                </m:ctrlPr>
              </m:e>
              <m:e>
                <m:r>
                  <w:rPr>
                    <w:rFonts w:ascii="Cambria Math" w:eastAsia="Cambria Math" w:hAnsi="Cambria Math" w:cs="Arial"/>
                    <w:sz w:val="22"/>
                    <w:szCs w:val="22"/>
                  </w:rPr>
                  <m:t>=</m:t>
                </m:r>
                <m:ctrlPr>
                  <w:rPr>
                    <w:rFonts w:ascii="Cambria Math" w:eastAsia="Cambria Math" w:hAnsi="Cambria Math" w:cs="Arial"/>
                    <w:i/>
                    <w:sz w:val="22"/>
                    <w:szCs w:val="22"/>
                  </w:rPr>
                </m:ctrlPr>
              </m:e>
              <m:e>
                <m:r>
                  <w:rPr>
                    <w:rFonts w:ascii="Cambria Math" w:eastAsia="Cambria Math" w:hAnsi="Cambria Math" w:cs="Arial"/>
                    <w:sz w:val="22"/>
                    <w:szCs w:val="22"/>
                  </w:rPr>
                  <m:t>h</m:t>
                </m:r>
                <m:sSub>
                  <m:sSubPr>
                    <m:ctrlPr>
                      <w:rPr>
                        <w:rFonts w:ascii="Cambria Math" w:eastAsia="Cambria Math" w:hAnsi="Cambria Math" w:cs="Arial"/>
                        <w:i/>
                        <w:sz w:val="22"/>
                        <w:szCs w:val="22"/>
                      </w:rPr>
                    </m:ctrlPr>
                  </m:sSubPr>
                  <m:e>
                    <m:r>
                      <w:rPr>
                        <w:rFonts w:ascii="Cambria Math" w:eastAsia="Cambria Math" w:hAnsi="Cambria Math" w:cs="Arial"/>
                        <w:sz w:val="22"/>
                        <w:szCs w:val="22"/>
                      </w:rPr>
                      <m:t>M</m:t>
                    </m:r>
                  </m:e>
                  <m:sub>
                    <m:r>
                      <w:rPr>
                        <w:rFonts w:ascii="Cambria Math" w:eastAsia="Cambria Math" w:hAnsi="Cambria Math" w:cs="Arial"/>
                        <w:sz w:val="22"/>
                        <w:szCs w:val="22"/>
                      </w:rPr>
                      <m:t>hs</m:t>
                    </m:r>
                  </m:sub>
                </m:sSub>
                <m:r>
                  <w:rPr>
                    <w:rFonts w:ascii="Cambria Math" w:eastAsia="Cambria Math" w:hAnsi="Cambria Math" w:cs="Arial"/>
                    <w:sz w:val="22"/>
                    <w:szCs w:val="22"/>
                  </w:rPr>
                  <m:t>+ρ</m:t>
                </m:r>
                <m:sSub>
                  <m:sSubPr>
                    <m:ctrlPr>
                      <w:rPr>
                        <w:rFonts w:ascii="Cambria Math" w:eastAsia="Cambria Math" w:hAnsi="Cambria Math" w:cs="Arial"/>
                        <w:i/>
                        <w:sz w:val="22"/>
                        <w:szCs w:val="22"/>
                      </w:rPr>
                    </m:ctrlPr>
                  </m:sSubPr>
                  <m:e>
                    <m:r>
                      <w:rPr>
                        <w:rFonts w:ascii="Cambria Math" w:eastAsia="Cambria Math" w:hAnsi="Cambria Math" w:cs="Arial"/>
                        <w:sz w:val="22"/>
                        <w:szCs w:val="22"/>
                      </w:rPr>
                      <m:t>R</m:t>
                    </m:r>
                  </m:e>
                  <m:sub>
                    <m:r>
                      <w:rPr>
                        <w:rFonts w:ascii="Cambria Math" w:eastAsia="Cambria Math" w:hAnsi="Cambria Math" w:cs="Arial"/>
                        <w:sz w:val="22"/>
                        <w:szCs w:val="22"/>
                      </w:rPr>
                      <m:t>hs</m:t>
                    </m:r>
                  </m:sub>
                </m:sSub>
                <m:r>
                  <w:rPr>
                    <w:rFonts w:ascii="Cambria Math" w:eastAsia="Cambria Math" w:hAnsi="Cambria Math" w:cs="Arial"/>
                    <w:sz w:val="22"/>
                    <w:szCs w:val="22"/>
                  </w:rPr>
                  <m:t>-</m:t>
                </m:r>
                <m:d>
                  <m:dPr>
                    <m:ctrlPr>
                      <w:rPr>
                        <w:rFonts w:ascii="Cambria Math" w:eastAsia="Cambria Math" w:hAnsi="Cambria Math" w:cs="Arial"/>
                        <w:i/>
                        <w:sz w:val="22"/>
                        <w:szCs w:val="22"/>
                      </w:rPr>
                    </m:ctrlPr>
                  </m:dPr>
                  <m:e>
                    <m:r>
                      <w:rPr>
                        <w:rFonts w:ascii="Cambria Math" w:eastAsia="Cambria Math" w:hAnsi="Cambria Math" w:cs="Arial"/>
                        <w:sz w:val="22"/>
                        <w:szCs w:val="22"/>
                      </w:rPr>
                      <m:t>c+σ+</m:t>
                    </m:r>
                    <m:sSub>
                      <m:sSubPr>
                        <m:ctrlPr>
                          <w:rPr>
                            <w:rFonts w:ascii="Cambria Math" w:eastAsia="Cambria Math" w:hAnsi="Cambria Math" w:cs="Arial"/>
                            <w:i/>
                            <w:sz w:val="22"/>
                            <w:szCs w:val="22"/>
                          </w:rPr>
                        </m:ctrlPr>
                      </m:sSubPr>
                      <m:e>
                        <m:r>
                          <w:rPr>
                            <w:rFonts w:ascii="Cambria Math" w:eastAsia="Cambria Math" w:hAnsi="Cambria Math" w:cs="Arial"/>
                            <w:sz w:val="22"/>
                            <w:szCs w:val="22"/>
                          </w:rPr>
                          <m:t>μ</m:t>
                        </m:r>
                      </m:e>
                      <m:sub>
                        <m:r>
                          <w:rPr>
                            <w:rFonts w:ascii="Cambria Math" w:eastAsia="Cambria Math" w:hAnsi="Cambria Math" w:cs="Arial"/>
                            <w:sz w:val="22"/>
                            <w:szCs w:val="22"/>
                          </w:rPr>
                          <m:t>TB</m:t>
                        </m:r>
                      </m:sub>
                    </m:sSub>
                  </m:e>
                </m:d>
                <m:sSub>
                  <m:sSubPr>
                    <m:ctrlPr>
                      <w:rPr>
                        <w:rFonts w:ascii="Cambria Math" w:eastAsia="Cambria Math" w:hAnsi="Cambria Math" w:cs="Arial"/>
                        <w:i/>
                        <w:sz w:val="22"/>
                        <w:szCs w:val="22"/>
                      </w:rPr>
                    </m:ctrlPr>
                  </m:sSubPr>
                  <m:e>
                    <m:r>
                      <w:rPr>
                        <w:rFonts w:ascii="Cambria Math" w:eastAsia="Cambria Math" w:hAnsi="Cambria Math" w:cs="Arial"/>
                        <w:sz w:val="22"/>
                        <w:szCs w:val="22"/>
                      </w:rPr>
                      <m:t>I</m:t>
                    </m:r>
                  </m:e>
                  <m:sub>
                    <m:r>
                      <w:rPr>
                        <w:rFonts w:ascii="Cambria Math" w:eastAsia="Cambria Math" w:hAnsi="Cambria Math" w:cs="Arial"/>
                        <w:sz w:val="22"/>
                        <w:szCs w:val="22"/>
                      </w:rPr>
                      <m:t>hs</m:t>
                    </m:r>
                  </m:sub>
                </m:sSub>
              </m:e>
            </m:mr>
          </m:m>
        </m:oMath>
      </m:oMathPara>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proofErr w:type="gramStart"/>
      <w:r w:rsidRPr="005F5605">
        <w:rPr>
          <w:rFonts w:ascii="Arial" w:hAnsi="Arial" w:cs="Arial"/>
          <w:sz w:val="22"/>
          <w:szCs w:val="22"/>
        </w:rPr>
        <w:t>where</w:t>
      </w:r>
      <w:proofErr w:type="gramEnd"/>
      <w:r w:rsidRPr="005F5605">
        <w:rPr>
          <w:rFonts w:ascii="Arial" w:hAnsi="Arial" w:cs="Arial"/>
          <w:sz w:val="22"/>
          <w:szCs w:val="22"/>
        </w:rPr>
        <w:t xml:space="preserve"> subscript </w:t>
      </w:r>
      <w:r w:rsidRPr="005F5605">
        <w:rPr>
          <w:rFonts w:ascii="Arial" w:hAnsi="Arial" w:cs="Arial"/>
          <w:i/>
          <w:iCs/>
          <w:sz w:val="22"/>
          <w:szCs w:val="22"/>
        </w:rPr>
        <w:t xml:space="preserve">h </w:t>
      </w:r>
      <w:r w:rsidRPr="005F5605">
        <w:rPr>
          <w:rFonts w:ascii="Arial" w:hAnsi="Arial" w:cs="Arial"/>
          <w:sz w:val="22"/>
          <w:szCs w:val="22"/>
        </w:rPr>
        <w:t>denotes the HIV status (denoting ‘HIV +</w:t>
      </w:r>
      <w:proofErr w:type="spellStart"/>
      <w:r w:rsidRPr="005F5605">
        <w:rPr>
          <w:rFonts w:ascii="Arial" w:hAnsi="Arial" w:cs="Arial"/>
          <w:sz w:val="22"/>
          <w:szCs w:val="22"/>
        </w:rPr>
        <w:t>ve</w:t>
      </w:r>
      <w:proofErr w:type="spellEnd"/>
      <w:r w:rsidRPr="005F5605">
        <w:rPr>
          <w:rFonts w:ascii="Arial" w:hAnsi="Arial" w:cs="Arial"/>
          <w:sz w:val="22"/>
          <w:szCs w:val="22"/>
        </w:rPr>
        <w:t>’ and ‘HIV -</w:t>
      </w:r>
      <w:proofErr w:type="spellStart"/>
      <w:r w:rsidRPr="005F5605">
        <w:rPr>
          <w:rFonts w:ascii="Arial" w:hAnsi="Arial" w:cs="Arial"/>
          <w:sz w:val="22"/>
          <w:szCs w:val="22"/>
        </w:rPr>
        <w:t>ve</w:t>
      </w:r>
      <w:proofErr w:type="spellEnd"/>
      <w:r w:rsidRPr="005F5605">
        <w:rPr>
          <w:rFonts w:ascii="Arial" w:hAnsi="Arial" w:cs="Arial"/>
          <w:sz w:val="22"/>
          <w:szCs w:val="22"/>
        </w:rPr>
        <w:t xml:space="preserve">’ populations) and </w:t>
      </w:r>
      <w:r w:rsidRPr="005F5605">
        <w:rPr>
          <w:rFonts w:ascii="Arial" w:hAnsi="Arial" w:cs="Arial"/>
          <w:i/>
          <w:iCs/>
          <w:sz w:val="22"/>
          <w:szCs w:val="22"/>
        </w:rPr>
        <w:t xml:space="preserve">s </w:t>
      </w:r>
      <w:r w:rsidRPr="005F5605">
        <w:rPr>
          <w:rFonts w:ascii="Arial" w:hAnsi="Arial" w:cs="Arial"/>
          <w:sz w:val="22"/>
          <w:szCs w:val="22"/>
        </w:rPr>
        <w:t xml:space="preserve">denotes the infecting strain (denoting drug-susceptible and drug resistant TB). Next, we assume that a proportion </w:t>
      </w:r>
      <w:proofErr w:type="spellStart"/>
      <w:proofErr w:type="gramStart"/>
      <w:r w:rsidRPr="005F5605">
        <w:rPr>
          <w:rFonts w:ascii="Arial" w:hAnsi="Arial" w:cs="Arial"/>
          <w:i/>
          <w:iCs/>
          <w:sz w:val="22"/>
          <w:szCs w:val="22"/>
        </w:rPr>
        <w:t>p</w:t>
      </w:r>
      <w:r w:rsidRPr="005F5605">
        <w:rPr>
          <w:rFonts w:ascii="Arial" w:hAnsi="Arial" w:cs="Arial"/>
          <w:i/>
          <w:iCs/>
          <w:sz w:val="22"/>
          <w:szCs w:val="22"/>
          <w:vertAlign w:val="subscript"/>
        </w:rPr>
        <w:t>q</w:t>
      </w:r>
      <w:proofErr w:type="spellEnd"/>
      <w:proofErr w:type="gramEnd"/>
      <w:r w:rsidRPr="005F5605">
        <w:rPr>
          <w:rFonts w:ascii="Arial" w:hAnsi="Arial" w:cs="Arial"/>
          <w:i/>
          <w:iCs/>
          <w:sz w:val="22"/>
          <w:szCs w:val="22"/>
        </w:rPr>
        <w:t xml:space="preserve"> </w:t>
      </w:r>
      <w:r w:rsidRPr="005F5605">
        <w:rPr>
          <w:rFonts w:ascii="Arial" w:hAnsi="Arial" w:cs="Arial"/>
          <w:sz w:val="22"/>
          <w:szCs w:val="22"/>
        </w:rPr>
        <w:t xml:space="preserve">of patient visits are to a provider of type </w:t>
      </w:r>
      <w:r w:rsidRPr="005F5605">
        <w:rPr>
          <w:rFonts w:ascii="Arial" w:hAnsi="Arial" w:cs="Arial"/>
          <w:i/>
          <w:iCs/>
          <w:sz w:val="22"/>
          <w:szCs w:val="22"/>
        </w:rPr>
        <w:t xml:space="preserve">q </w:t>
      </w:r>
      <w:r w:rsidRPr="005F5605">
        <w:rPr>
          <w:rFonts w:ascii="Arial" w:hAnsi="Arial" w:cs="Arial"/>
          <w:sz w:val="22"/>
          <w:szCs w:val="22"/>
        </w:rPr>
        <w:t xml:space="preserve">(denoting NTP and non-NTP providers). We have, for those awaiting diagnosis with provider type </w:t>
      </w:r>
      <w:r w:rsidRPr="005F5605">
        <w:rPr>
          <w:rFonts w:ascii="Arial" w:hAnsi="Arial" w:cs="Arial"/>
          <w:i/>
          <w:iCs/>
          <w:sz w:val="22"/>
          <w:szCs w:val="22"/>
        </w:rPr>
        <w:t>q</w:t>
      </w:r>
      <w:r w:rsidRPr="005F5605">
        <w:rPr>
          <w:rFonts w:ascii="Arial" w:hAnsi="Arial" w:cs="Arial"/>
          <w:sz w:val="22"/>
          <w:szCs w:val="22"/>
        </w:rPr>
        <w:t xml:space="preserve">: </w:t>
      </w:r>
    </w:p>
    <w:p w:rsidR="000623D8" w:rsidRPr="005F5605" w:rsidRDefault="000623D8" w:rsidP="000623D8">
      <w:pPr>
        <w:spacing w:line="312" w:lineRule="auto"/>
        <w:rPr>
          <w:rFonts w:ascii="Arial" w:hAnsi="Arial" w:cs="Arial"/>
          <w:sz w:val="22"/>
          <w:szCs w:val="22"/>
        </w:rPr>
      </w:pPr>
    </w:p>
    <w:p w:rsidR="000623D8" w:rsidRPr="005F5605" w:rsidRDefault="005F5605" w:rsidP="000623D8">
      <w:pPr>
        <w:spacing w:line="312" w:lineRule="auto"/>
        <w:rPr>
          <w:rFonts w:ascii="Arial" w:hAnsi="Arial" w:cs="Arial"/>
          <w:sz w:val="22"/>
          <w:szCs w:val="22"/>
        </w:rPr>
      </w:pPr>
      <m:oMathPara>
        <m:oMathParaPr>
          <m:jc m:val="left"/>
        </m:oMathParaPr>
        <m:oMath>
          <m:m>
            <m:mPr>
              <m:mcs>
                <m:mc>
                  <m:mcPr>
                    <m:count m:val="3"/>
                    <m:mcJc m:val="center"/>
                  </m:mcPr>
                </m:mc>
              </m:mcs>
              <m:ctrlPr>
                <w:rPr>
                  <w:rFonts w:ascii="Cambria Math" w:hAnsi="Cambria Math" w:cs="Arial"/>
                  <w:i/>
                  <w:sz w:val="22"/>
                  <w:szCs w:val="22"/>
                </w:rPr>
              </m:ctrlPr>
            </m:mPr>
            <m:mr>
              <m:e>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D</m:t>
                        </m:r>
                      </m:e>
                    </m:acc>
                  </m:e>
                  <m:sub>
                    <m:r>
                      <w:rPr>
                        <w:rFonts w:ascii="Cambria Math" w:hAnsi="Cambria Math" w:cs="Arial"/>
                        <w:sz w:val="22"/>
                        <w:szCs w:val="22"/>
                      </w:rPr>
                      <m:t>qhs</m:t>
                    </m:r>
                  </m:sub>
                </m:sSub>
              </m:e>
              <m:e>
                <m:r>
                  <w:rPr>
                    <w:rFonts w:ascii="Cambria Math" w:hAnsi="Cambria Math" w:cs="Arial"/>
                    <w:sz w:val="22"/>
                    <w:szCs w:val="22"/>
                  </w:rPr>
                  <m:t>=</m:t>
                </m:r>
              </m:e>
              <m:e>
                <m:r>
                  <w:rPr>
                    <w:rFonts w:ascii="Cambria Math" w:hAnsi="Cambria Math" w:cs="Arial"/>
                    <w:sz w:val="22"/>
                    <w:szCs w:val="22"/>
                  </w:rPr>
                  <m:t>c</m:t>
                </m:r>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q</m:t>
                    </m:r>
                  </m:sub>
                </m:sSub>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hs</m:t>
                    </m:r>
                  </m:sub>
                </m:sSub>
                <m:r>
                  <w:rPr>
                    <w:rFonts w:ascii="Cambria Math" w:hAnsi="Cambria Math" w:cs="Arial"/>
                    <w:sz w:val="22"/>
                    <w:szCs w:val="22"/>
                  </w:rPr>
                  <m:t>-</m:t>
                </m:r>
                <m:d>
                  <m:dPr>
                    <m:ctrlPr>
                      <w:rPr>
                        <w:rFonts w:ascii="Cambria Math" w:hAnsi="Cambria Math" w:cs="Arial"/>
                        <w:i/>
                        <w:sz w:val="22"/>
                        <w:szCs w:val="22"/>
                      </w:rPr>
                    </m:ctrlPr>
                  </m:dPr>
                  <m:e>
                    <m:r>
                      <w:rPr>
                        <w:rFonts w:ascii="Cambria Math" w:hAnsi="Cambria Math" w:cs="Arial"/>
                        <w:sz w:val="22"/>
                        <w:szCs w:val="22"/>
                      </w:rPr>
                      <m:t>d+σ+</m:t>
                    </m:r>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TB</m:t>
                        </m:r>
                      </m:sub>
                    </m:sSub>
                  </m:e>
                </m:d>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qhs</m:t>
                    </m:r>
                  </m:sub>
                </m:sSub>
              </m:e>
            </m:mr>
          </m:m>
        </m:oMath>
      </m:oMathPara>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 xml:space="preserve">We assume that a proportion </w:t>
      </w:r>
      <m:oMath>
        <m:sSub>
          <m:sSubPr>
            <m:ctrlPr>
              <w:rPr>
                <w:rFonts w:ascii="Cambria Math" w:hAnsi="Cambria Math" w:cs="Arial"/>
                <w:i/>
                <w:sz w:val="22"/>
                <w:szCs w:val="22"/>
              </w:rPr>
            </m:ctrlPr>
          </m:sSubPr>
          <m:e>
            <m:r>
              <w:rPr>
                <w:rFonts w:ascii="Cambria Math" w:hAnsi="Cambria Math" w:cs="Arial"/>
                <w:sz w:val="22"/>
                <w:szCs w:val="22"/>
              </w:rPr>
              <m:t>u</m:t>
            </m:r>
          </m:e>
          <m:sub>
            <m:r>
              <w:rPr>
                <w:rFonts w:ascii="Cambria Math" w:hAnsi="Cambria Math" w:cs="Arial"/>
                <w:sz w:val="22"/>
                <w:szCs w:val="22"/>
              </w:rPr>
              <m:t>q</m:t>
            </m:r>
          </m:sub>
        </m:sSub>
      </m:oMath>
      <w:r w:rsidRPr="005F5605">
        <w:rPr>
          <w:rFonts w:ascii="Arial" w:hAnsi="Arial" w:cs="Arial"/>
          <w:sz w:val="22"/>
          <w:szCs w:val="22"/>
        </w:rPr>
        <w:t xml:space="preserve"> of TB patients visiting provider type </w:t>
      </w:r>
      <w:r w:rsidRPr="005F5605">
        <w:rPr>
          <w:rFonts w:ascii="Arial" w:hAnsi="Arial" w:cs="Arial"/>
          <w:i/>
          <w:iCs/>
          <w:sz w:val="22"/>
          <w:szCs w:val="22"/>
        </w:rPr>
        <w:t xml:space="preserve">q </w:t>
      </w:r>
      <w:r w:rsidRPr="005F5605">
        <w:rPr>
          <w:rFonts w:ascii="Arial" w:hAnsi="Arial" w:cs="Arial"/>
          <w:sz w:val="22"/>
          <w:szCs w:val="22"/>
        </w:rPr>
        <w:t>successfully initiate TB treatment (the remainder constituting missed diagnosis as well as initial loss to follow up, covered below). For those initiating first-line treatment, it is convenient to specify equations separately by drug-susceptible (</w:t>
      </w:r>
      <w:r w:rsidRPr="005F5605">
        <w:rPr>
          <w:rFonts w:ascii="Arial" w:hAnsi="Arial" w:cs="Arial"/>
          <w:i/>
          <w:iCs/>
          <w:sz w:val="22"/>
          <w:szCs w:val="22"/>
        </w:rPr>
        <w:t>s</w:t>
      </w:r>
      <w:r w:rsidRPr="005F5605">
        <w:rPr>
          <w:rFonts w:ascii="Arial" w:hAnsi="Arial" w:cs="Arial"/>
          <w:sz w:val="22"/>
          <w:szCs w:val="22"/>
        </w:rPr>
        <w:t xml:space="preserve"> = 0) and drug-resistant (</w:t>
      </w:r>
      <w:r w:rsidRPr="005F5605">
        <w:rPr>
          <w:rFonts w:ascii="Arial" w:hAnsi="Arial" w:cs="Arial"/>
          <w:i/>
          <w:iCs/>
          <w:sz w:val="22"/>
          <w:szCs w:val="22"/>
        </w:rPr>
        <w:t>s</w:t>
      </w:r>
      <w:r w:rsidRPr="005F5605">
        <w:rPr>
          <w:rFonts w:ascii="Arial" w:hAnsi="Arial" w:cs="Arial"/>
          <w:sz w:val="22"/>
          <w:szCs w:val="22"/>
        </w:rPr>
        <w:t xml:space="preserve"> = 1) status. Thus we have, for drug-susceptible TB:</w:t>
      </w:r>
    </w:p>
    <w:p w:rsidR="000623D8" w:rsidRPr="005F5605" w:rsidRDefault="000623D8" w:rsidP="000623D8">
      <w:pPr>
        <w:spacing w:line="312" w:lineRule="auto"/>
        <w:rPr>
          <w:rFonts w:ascii="Arial" w:hAnsi="Arial" w:cs="Arial"/>
          <w:sz w:val="22"/>
          <w:szCs w:val="22"/>
        </w:rPr>
      </w:pPr>
    </w:p>
    <w:p w:rsidR="000623D8" w:rsidRPr="005F5605" w:rsidRDefault="005F5605" w:rsidP="000623D8">
      <w:pPr>
        <w:spacing w:line="312" w:lineRule="auto"/>
        <w:rPr>
          <w:rFonts w:ascii="Arial" w:hAnsi="Arial" w:cs="Arial"/>
          <w:sz w:val="22"/>
          <w:szCs w:val="22"/>
        </w:rPr>
      </w:pPr>
      <m:oMathPara>
        <m:oMathParaPr>
          <m:jc m:val="left"/>
        </m:oMathParaP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F</m:t>
                  </m:r>
                </m:e>
              </m:acc>
            </m:e>
            <m:sub>
              <m:r>
                <w:rPr>
                  <w:rFonts w:ascii="Cambria Math" w:hAnsi="Cambria Math" w:cs="Arial"/>
                  <w:sz w:val="22"/>
                  <w:szCs w:val="22"/>
                </w:rPr>
                <m:t>qh,0</m:t>
              </m:r>
            </m:sub>
          </m:sSub>
          <m:r>
            <w:rPr>
              <w:rFonts w:ascii="Cambria Math" w:hAnsi="Cambria Math" w:cs="Arial"/>
              <w:sz w:val="22"/>
              <w:szCs w:val="22"/>
            </w:rPr>
            <m:t>=d</m:t>
          </m:r>
          <m:sSub>
            <m:sSubPr>
              <m:ctrlPr>
                <w:rPr>
                  <w:rFonts w:ascii="Cambria Math" w:hAnsi="Cambria Math" w:cs="Arial"/>
                  <w:i/>
                  <w:sz w:val="22"/>
                  <w:szCs w:val="22"/>
                </w:rPr>
              </m:ctrlPr>
            </m:sSubPr>
            <m:e>
              <m:r>
                <w:rPr>
                  <w:rFonts w:ascii="Cambria Math" w:hAnsi="Cambria Math" w:cs="Arial"/>
                  <w:sz w:val="22"/>
                  <w:szCs w:val="22"/>
                </w:rPr>
                <m:t>u</m:t>
              </m:r>
            </m:e>
            <m:sub>
              <m:r>
                <w:rPr>
                  <w:rFonts w:ascii="Cambria Math" w:hAnsi="Cambria Math" w:cs="Arial"/>
                  <w:sz w:val="22"/>
                  <w:szCs w:val="22"/>
                </w:rPr>
                <m:t>q</m:t>
              </m:r>
            </m:sub>
          </m:sSub>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qh,0</m:t>
              </m:r>
            </m:sub>
          </m:sSub>
          <m:r>
            <w:rPr>
              <w:rFonts w:ascii="Cambria Math" w:hAnsi="Cambria Math" w:cs="Arial"/>
              <w:sz w:val="22"/>
              <w:szCs w:val="22"/>
            </w:rPr>
            <m:t>-</m:t>
          </m:r>
          <m:d>
            <m:dPr>
              <m:ctrlPr>
                <w:rPr>
                  <w:rFonts w:ascii="Cambria Math" w:hAnsi="Cambria Math" w:cs="Arial"/>
                  <w:i/>
                  <w:sz w:val="22"/>
                  <w:szCs w:val="22"/>
                </w:rPr>
              </m:ctrlPr>
            </m:dPr>
            <m:e>
              <m:sSup>
                <m:sSupPr>
                  <m:ctrlPr>
                    <w:rPr>
                      <w:rFonts w:ascii="Cambria Math" w:hAnsi="Cambria Math" w:cs="Arial"/>
                      <w:i/>
                      <w:sz w:val="22"/>
                      <w:szCs w:val="22"/>
                    </w:rPr>
                  </m:ctrlPr>
                </m:sSupPr>
                <m:e>
                  <m:r>
                    <w:rPr>
                      <w:rFonts w:ascii="Cambria Math" w:hAnsi="Cambria Math" w:cs="Arial"/>
                      <w:sz w:val="22"/>
                      <w:szCs w:val="22"/>
                    </w:rPr>
                    <m:t>τ</m:t>
                  </m:r>
                </m:e>
                <m:sup>
                  <m:d>
                    <m:dPr>
                      <m:ctrlPr>
                        <w:rPr>
                          <w:rFonts w:ascii="Cambria Math" w:hAnsi="Cambria Math" w:cs="Arial"/>
                          <w:i/>
                          <w:sz w:val="22"/>
                          <w:szCs w:val="22"/>
                        </w:rPr>
                      </m:ctrlPr>
                    </m:dPr>
                    <m:e>
                      <m:r>
                        <w:rPr>
                          <w:rFonts w:ascii="Cambria Math" w:hAnsi="Cambria Math" w:cs="Arial"/>
                          <w:sz w:val="22"/>
                          <w:szCs w:val="22"/>
                        </w:rPr>
                        <m:t>FL</m:t>
                      </m:r>
                    </m:e>
                  </m:d>
                </m:sup>
              </m:sSup>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δ</m:t>
                  </m:r>
                </m:e>
                <m:sub>
                  <m:r>
                    <w:rPr>
                      <w:rFonts w:ascii="Cambria Math" w:hAnsi="Cambria Math" w:cs="Arial"/>
                      <w:sz w:val="22"/>
                      <w:szCs w:val="22"/>
                    </w:rPr>
                    <m:t>q</m:t>
                  </m:r>
                </m:sub>
              </m:sSub>
              <m:r>
                <w:rPr>
                  <w:rFonts w:ascii="Cambria Math" w:hAnsi="Cambria Math" w:cs="Arial"/>
                  <w:sz w:val="22"/>
                  <w:szCs w:val="22"/>
                </w:rPr>
                <m:t>+α+σ+μ</m:t>
              </m:r>
            </m:e>
          </m:d>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qh,0</m:t>
              </m:r>
            </m:sub>
          </m:sSub>
        </m:oMath>
      </m:oMathPara>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proofErr w:type="gramStart"/>
      <w:r w:rsidRPr="005F5605">
        <w:rPr>
          <w:rFonts w:ascii="Arial" w:hAnsi="Arial" w:cs="Arial"/>
          <w:sz w:val="22"/>
          <w:szCs w:val="22"/>
        </w:rPr>
        <w:t>where</w:t>
      </w:r>
      <w:proofErr w:type="gramEnd"/>
      <w:r w:rsidRPr="005F5605">
        <w:rPr>
          <w:rFonts w:ascii="Arial" w:hAnsi="Arial" w:cs="Arial"/>
          <w:sz w:val="22"/>
          <w:szCs w:val="22"/>
        </w:rPr>
        <w:t xml:space="preserve"> </w:t>
      </w:r>
      <m:oMath>
        <m:r>
          <w:rPr>
            <w:rFonts w:ascii="Cambria Math" w:hAnsi="Cambria Math" w:cs="Arial"/>
            <w:sz w:val="22"/>
            <w:szCs w:val="22"/>
          </w:rPr>
          <m:t>α</m:t>
        </m:r>
      </m:oMath>
      <w:r w:rsidRPr="005F5605">
        <w:rPr>
          <w:rFonts w:ascii="Arial" w:hAnsi="Arial" w:cs="Arial"/>
          <w:sz w:val="22"/>
          <w:szCs w:val="22"/>
        </w:rPr>
        <w:t xml:space="preserve"> represents the per-capita hazard of acquisition of multi-drug-resistance while on first-line TB treatment, only applicable to drug-sensitive TB. For drug-resistant TB, we have:</w:t>
      </w:r>
    </w:p>
    <w:p w:rsidR="000623D8" w:rsidRPr="005F5605" w:rsidRDefault="000623D8" w:rsidP="000623D8">
      <w:pPr>
        <w:spacing w:line="312" w:lineRule="auto"/>
        <w:rPr>
          <w:rFonts w:ascii="Arial" w:hAnsi="Arial" w:cs="Arial"/>
          <w:sz w:val="22"/>
          <w:szCs w:val="22"/>
        </w:rPr>
      </w:pPr>
    </w:p>
    <w:p w:rsidR="000623D8" w:rsidRPr="005F5605" w:rsidRDefault="005F5605" w:rsidP="000623D8">
      <w:pPr>
        <w:spacing w:line="312" w:lineRule="auto"/>
        <w:rPr>
          <w:rFonts w:ascii="Arial" w:hAnsi="Arial" w:cs="Arial"/>
          <w:sz w:val="22"/>
          <w:szCs w:val="22"/>
        </w:rPr>
      </w:pPr>
      <m:oMathPara>
        <m:oMathParaPr>
          <m:jc m:val="left"/>
        </m:oMathParaP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F</m:t>
                  </m:r>
                </m:e>
              </m:acc>
            </m:e>
            <m:sub>
              <m:r>
                <w:rPr>
                  <w:rFonts w:ascii="Cambria Math" w:hAnsi="Cambria Math" w:cs="Arial"/>
                  <w:sz w:val="22"/>
                  <w:szCs w:val="22"/>
                </w:rPr>
                <m:t>qh,1</m:t>
              </m:r>
            </m:sub>
          </m:sSub>
          <m:r>
            <w:rPr>
              <w:rFonts w:ascii="Cambria Math" w:hAnsi="Cambria Math" w:cs="Arial"/>
              <w:sz w:val="22"/>
              <w:szCs w:val="22"/>
            </w:rPr>
            <m:t>=d</m:t>
          </m:r>
          <m:sSub>
            <m:sSubPr>
              <m:ctrlPr>
                <w:rPr>
                  <w:rFonts w:ascii="Cambria Math" w:hAnsi="Cambria Math" w:cs="Arial"/>
                  <w:i/>
                  <w:sz w:val="22"/>
                  <w:szCs w:val="22"/>
                </w:rPr>
              </m:ctrlPr>
            </m:sSubPr>
            <m:e>
              <m:r>
                <w:rPr>
                  <w:rFonts w:ascii="Cambria Math" w:hAnsi="Cambria Math" w:cs="Arial"/>
                  <w:sz w:val="22"/>
                  <w:szCs w:val="22"/>
                </w:rPr>
                <m:t>u</m:t>
              </m:r>
            </m:e>
            <m:sub>
              <m:r>
                <w:rPr>
                  <w:rFonts w:ascii="Cambria Math" w:hAnsi="Cambria Math" w:cs="Arial"/>
                  <w:sz w:val="22"/>
                  <w:szCs w:val="22"/>
                </w:rPr>
                <m:t>q</m:t>
              </m:r>
            </m:sub>
          </m:sSub>
          <m:sSub>
            <m:sSubPr>
              <m:ctrlPr>
                <w:rPr>
                  <w:rFonts w:ascii="Cambria Math" w:hAnsi="Cambria Math" w:cs="Arial"/>
                  <w:i/>
                  <w:sz w:val="22"/>
                  <w:szCs w:val="22"/>
                </w:rPr>
              </m:ctrlPr>
            </m:sSubPr>
            <m:e>
              <m:r>
                <w:rPr>
                  <w:rFonts w:ascii="Cambria Math" w:hAnsi="Cambria Math" w:cs="Arial"/>
                  <w:sz w:val="22"/>
                  <w:szCs w:val="22"/>
                </w:rPr>
                <m:t>(1-</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q</m:t>
                  </m:r>
                </m:sub>
              </m:sSub>
              <m:r>
                <w:rPr>
                  <w:rFonts w:ascii="Cambria Math" w:hAnsi="Cambria Math" w:cs="Arial"/>
                  <w:sz w:val="22"/>
                  <w:szCs w:val="22"/>
                </w:rPr>
                <m:t>)D</m:t>
              </m:r>
            </m:e>
            <m:sub>
              <m:r>
                <w:rPr>
                  <w:rFonts w:ascii="Cambria Math" w:hAnsi="Cambria Math" w:cs="Arial"/>
                  <w:sz w:val="22"/>
                  <w:szCs w:val="22"/>
                </w:rPr>
                <m:t>qh,1</m:t>
              </m:r>
            </m:sub>
          </m:sSub>
          <m:r>
            <w:rPr>
              <w:rFonts w:ascii="Cambria Math" w:hAnsi="Cambria Math" w:cs="Arial"/>
              <w:sz w:val="22"/>
              <w:szCs w:val="22"/>
            </w:rPr>
            <m:t>+α</m:t>
          </m:r>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qh,0</m:t>
              </m:r>
            </m:sub>
          </m:sSub>
          <m:r>
            <w:rPr>
              <w:rFonts w:ascii="Cambria Math" w:hAnsi="Cambria Math" w:cs="Arial"/>
              <w:sz w:val="22"/>
              <w:szCs w:val="22"/>
            </w:rPr>
            <m:t>-</m:t>
          </m:r>
          <m:d>
            <m:dPr>
              <m:ctrlPr>
                <w:rPr>
                  <w:rFonts w:ascii="Cambria Math" w:hAnsi="Cambria Math" w:cs="Arial"/>
                  <w:i/>
                  <w:sz w:val="22"/>
                  <w:szCs w:val="22"/>
                </w:rPr>
              </m:ctrlPr>
            </m:dPr>
            <m:e>
              <m:sSup>
                <m:sSupPr>
                  <m:ctrlPr>
                    <w:rPr>
                      <w:rFonts w:ascii="Cambria Math" w:hAnsi="Cambria Math" w:cs="Arial"/>
                      <w:i/>
                      <w:sz w:val="22"/>
                      <w:szCs w:val="22"/>
                    </w:rPr>
                  </m:ctrlPr>
                </m:sSupPr>
                <m:e>
                  <m:r>
                    <w:rPr>
                      <w:rFonts w:ascii="Cambria Math" w:hAnsi="Cambria Math" w:cs="Arial"/>
                      <w:sz w:val="22"/>
                      <w:szCs w:val="22"/>
                    </w:rPr>
                    <m:t>τ</m:t>
                  </m:r>
                </m:e>
                <m:sup>
                  <m:d>
                    <m:dPr>
                      <m:ctrlPr>
                        <w:rPr>
                          <w:rFonts w:ascii="Cambria Math" w:hAnsi="Cambria Math" w:cs="Arial"/>
                          <w:i/>
                          <w:sz w:val="22"/>
                          <w:szCs w:val="22"/>
                        </w:rPr>
                      </m:ctrlPr>
                    </m:dPr>
                    <m:e>
                      <m:r>
                        <w:rPr>
                          <w:rFonts w:ascii="Cambria Math" w:hAnsi="Cambria Math" w:cs="Arial"/>
                          <w:sz w:val="22"/>
                          <w:szCs w:val="22"/>
                        </w:rPr>
                        <m:t>FL</m:t>
                      </m:r>
                    </m:e>
                  </m:d>
                </m:sup>
              </m:sSup>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δ</m:t>
                  </m:r>
                </m:e>
                <m:sub>
                  <m:r>
                    <w:rPr>
                      <w:rFonts w:ascii="Cambria Math" w:hAnsi="Cambria Math" w:cs="Arial"/>
                      <w:sz w:val="22"/>
                      <w:szCs w:val="22"/>
                    </w:rPr>
                    <m:t>q</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σ+μ</m:t>
                  </m:r>
                </m:e>
                <m:sub>
                  <m:r>
                    <w:rPr>
                      <w:rFonts w:ascii="Cambria Math" w:hAnsi="Cambria Math" w:cs="Arial"/>
                      <w:sz w:val="22"/>
                      <w:szCs w:val="22"/>
                    </w:rPr>
                    <m:t>TB</m:t>
                  </m:r>
                </m:sub>
              </m:sSub>
            </m:e>
          </m:d>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qh,1</m:t>
              </m:r>
            </m:sub>
          </m:sSub>
        </m:oMath>
      </m:oMathPara>
    </w:p>
    <w:p w:rsidR="000623D8" w:rsidRPr="005F5605" w:rsidRDefault="000623D8" w:rsidP="000623D8">
      <w:pPr>
        <w:spacing w:line="312" w:lineRule="auto"/>
        <w:rPr>
          <w:rFonts w:ascii="Arial" w:hAnsi="Arial" w:cs="Arial"/>
          <w:sz w:val="22"/>
          <w:szCs w:val="22"/>
        </w:rPr>
      </w:pPr>
      <w:proofErr w:type="gramStart"/>
      <w:r w:rsidRPr="005F5605">
        <w:rPr>
          <w:rFonts w:ascii="Arial" w:hAnsi="Arial" w:cs="Arial"/>
          <w:sz w:val="22"/>
          <w:szCs w:val="22"/>
        </w:rPr>
        <w:lastRenderedPageBreak/>
        <w:t>where</w:t>
      </w:r>
      <w:proofErr w:type="gramEnd"/>
      <w:r w:rsidRPr="005F5605">
        <w:rPr>
          <w:rFonts w:ascii="Arial" w:hAnsi="Arial" w:cs="Arial"/>
          <w:sz w:val="22"/>
          <w:szCs w:val="22"/>
        </w:rPr>
        <w:t xml:space="preserve"> </w:t>
      </w:r>
      <m:oMath>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q</m:t>
            </m:r>
          </m:sub>
        </m:sSub>
      </m:oMath>
      <w:r w:rsidRPr="005F5605">
        <w:rPr>
          <w:rFonts w:ascii="Arial" w:hAnsi="Arial" w:cs="Arial"/>
          <w:i/>
          <w:iCs/>
          <w:sz w:val="22"/>
          <w:szCs w:val="22"/>
        </w:rPr>
        <w:t xml:space="preserve"> </w:t>
      </w:r>
      <w:r w:rsidRPr="005F5605">
        <w:rPr>
          <w:rFonts w:ascii="Arial" w:hAnsi="Arial" w:cs="Arial"/>
          <w:sz w:val="22"/>
          <w:szCs w:val="22"/>
        </w:rPr>
        <w:t xml:space="preserve">is the proportion of TB patients presenting to a provider of type </w:t>
      </w:r>
      <w:r w:rsidRPr="005F5605">
        <w:rPr>
          <w:rFonts w:ascii="Arial" w:hAnsi="Arial" w:cs="Arial"/>
          <w:i/>
          <w:iCs/>
          <w:sz w:val="22"/>
          <w:szCs w:val="22"/>
        </w:rPr>
        <w:t xml:space="preserve">q </w:t>
      </w:r>
      <w:r w:rsidRPr="005F5605">
        <w:rPr>
          <w:rFonts w:ascii="Arial" w:hAnsi="Arial" w:cs="Arial"/>
          <w:sz w:val="22"/>
          <w:szCs w:val="22"/>
        </w:rPr>
        <w:t xml:space="preserve">who undergo drug sensitivity testing at the point of TB diagnosis. </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For second-line treatment (only for DR-TB), we have:</w:t>
      </w:r>
    </w:p>
    <w:p w:rsidR="000623D8" w:rsidRPr="005F5605" w:rsidRDefault="000623D8" w:rsidP="000623D8">
      <w:pPr>
        <w:spacing w:line="312" w:lineRule="auto"/>
        <w:rPr>
          <w:rFonts w:ascii="Arial" w:hAnsi="Arial" w:cs="Arial"/>
          <w:sz w:val="22"/>
          <w:szCs w:val="22"/>
        </w:rPr>
      </w:pPr>
    </w:p>
    <w:p w:rsidR="000623D8" w:rsidRPr="005F5605" w:rsidRDefault="005F5605" w:rsidP="000623D8">
      <w:pPr>
        <w:spacing w:line="312" w:lineRule="auto"/>
        <w:rPr>
          <w:rFonts w:ascii="Arial" w:hAnsi="Arial" w:cs="Arial"/>
          <w:sz w:val="22"/>
          <w:szCs w:val="22"/>
        </w:rPr>
      </w:pPr>
      <m:oMathPara>
        <m:oMathParaPr>
          <m:jc m:val="left"/>
        </m:oMathParaP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S</m:t>
                  </m:r>
                </m:e>
              </m:acc>
            </m:e>
            <m:sub>
              <m:r>
                <w:rPr>
                  <w:rFonts w:ascii="Cambria Math" w:hAnsi="Cambria Math" w:cs="Arial"/>
                  <w:sz w:val="22"/>
                  <w:szCs w:val="22"/>
                </w:rPr>
                <m:t>qh,1</m:t>
              </m:r>
            </m:sub>
          </m:sSub>
          <m:r>
            <w:rPr>
              <w:rFonts w:ascii="Cambria Math" w:hAnsi="Cambria Math" w:cs="Arial"/>
              <w:sz w:val="22"/>
              <w:szCs w:val="22"/>
            </w:rPr>
            <m:t>=d</m:t>
          </m:r>
          <m:sSub>
            <m:sSubPr>
              <m:ctrlPr>
                <w:rPr>
                  <w:rFonts w:ascii="Cambria Math" w:hAnsi="Cambria Math" w:cs="Arial"/>
                  <w:i/>
                  <w:sz w:val="22"/>
                  <w:szCs w:val="22"/>
                </w:rPr>
              </m:ctrlPr>
            </m:sSubPr>
            <m:e>
              <m:r>
                <w:rPr>
                  <w:rFonts w:ascii="Cambria Math" w:hAnsi="Cambria Math" w:cs="Arial"/>
                  <w:sz w:val="22"/>
                  <w:szCs w:val="22"/>
                </w:rPr>
                <m:t>u</m:t>
              </m:r>
            </m:e>
            <m:sub>
              <m:r>
                <w:rPr>
                  <w:rFonts w:ascii="Cambria Math" w:hAnsi="Cambria Math" w:cs="Arial"/>
                  <w:sz w:val="22"/>
                  <w:szCs w:val="22"/>
                </w:rPr>
                <m:t>q</m:t>
              </m:r>
            </m:sub>
          </m:sSub>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q</m:t>
              </m:r>
            </m:sub>
          </m:sSub>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qh,1</m:t>
              </m:r>
            </m:sub>
          </m:sSub>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τ</m:t>
              </m:r>
            </m:e>
            <m:sup>
              <m:d>
                <m:dPr>
                  <m:ctrlPr>
                    <w:rPr>
                      <w:rFonts w:ascii="Cambria Math" w:hAnsi="Cambria Math" w:cs="Arial"/>
                      <w:i/>
                      <w:sz w:val="22"/>
                      <w:szCs w:val="22"/>
                    </w:rPr>
                  </m:ctrlPr>
                </m:dPr>
                <m:e>
                  <m:r>
                    <w:rPr>
                      <w:rFonts w:ascii="Cambria Math" w:hAnsi="Cambria Math" w:cs="Arial"/>
                      <w:sz w:val="22"/>
                      <w:szCs w:val="22"/>
                    </w:rPr>
                    <m:t>FL</m:t>
                  </m:r>
                </m:e>
              </m:d>
            </m:sup>
          </m:sSup>
          <m:sSub>
            <m:sSubPr>
              <m:ctrlPr>
                <w:rPr>
                  <w:rFonts w:ascii="Cambria Math" w:hAnsi="Cambria Math" w:cs="Arial"/>
                  <w:i/>
                  <w:sz w:val="22"/>
                  <w:szCs w:val="22"/>
                </w:rPr>
              </m:ctrlPr>
            </m:sSubPr>
            <m:e>
              <m:r>
                <w:rPr>
                  <w:rFonts w:ascii="Cambria Math" w:hAnsi="Cambria Math" w:cs="Arial"/>
                  <w:sz w:val="22"/>
                  <w:szCs w:val="22"/>
                </w:rPr>
                <m:t>w</m:t>
              </m:r>
            </m:e>
            <m:sub>
              <m:r>
                <w:rPr>
                  <w:rFonts w:ascii="Cambria Math" w:hAnsi="Cambria Math" w:cs="Arial"/>
                  <w:sz w:val="22"/>
                  <w:szCs w:val="22"/>
                </w:rPr>
                <m:t>q</m:t>
              </m:r>
            </m:sub>
          </m:sSub>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qh,1</m:t>
              </m:r>
            </m:sub>
          </m:sSub>
          <m:r>
            <w:rPr>
              <w:rFonts w:ascii="Cambria Math" w:hAnsi="Cambria Math" w:cs="Arial"/>
              <w:sz w:val="22"/>
              <w:szCs w:val="22"/>
            </w:rPr>
            <m:t>-</m:t>
          </m:r>
          <m:d>
            <m:dPr>
              <m:ctrlPr>
                <w:rPr>
                  <w:rFonts w:ascii="Cambria Math" w:hAnsi="Cambria Math" w:cs="Arial"/>
                  <w:i/>
                  <w:sz w:val="22"/>
                  <w:szCs w:val="22"/>
                </w:rPr>
              </m:ctrlPr>
            </m:dPr>
            <m:e>
              <m:sSup>
                <m:sSupPr>
                  <m:ctrlPr>
                    <w:rPr>
                      <w:rFonts w:ascii="Cambria Math" w:hAnsi="Cambria Math" w:cs="Arial"/>
                      <w:i/>
                      <w:sz w:val="22"/>
                      <w:szCs w:val="22"/>
                    </w:rPr>
                  </m:ctrlPr>
                </m:sSupPr>
                <m:e>
                  <m:r>
                    <w:rPr>
                      <w:rFonts w:ascii="Cambria Math" w:hAnsi="Cambria Math" w:cs="Arial"/>
                      <w:sz w:val="22"/>
                      <w:szCs w:val="22"/>
                    </w:rPr>
                    <m:t>τ</m:t>
                  </m:r>
                </m:e>
                <m:sup>
                  <m:d>
                    <m:dPr>
                      <m:ctrlPr>
                        <w:rPr>
                          <w:rFonts w:ascii="Cambria Math" w:hAnsi="Cambria Math" w:cs="Arial"/>
                          <w:i/>
                          <w:sz w:val="22"/>
                          <w:szCs w:val="22"/>
                        </w:rPr>
                      </m:ctrlPr>
                    </m:dPr>
                    <m:e>
                      <m:r>
                        <w:rPr>
                          <w:rFonts w:ascii="Cambria Math" w:hAnsi="Cambria Math" w:cs="Arial"/>
                          <w:sz w:val="22"/>
                          <w:szCs w:val="22"/>
                        </w:rPr>
                        <m:t>SL</m:t>
                      </m:r>
                    </m:e>
                  </m:d>
                </m:sup>
              </m:sSup>
              <m:r>
                <w:rPr>
                  <w:rFonts w:ascii="Cambria Math" w:hAnsi="Cambria Math" w:cs="Arial"/>
                  <w:sz w:val="22"/>
                  <w:szCs w:val="22"/>
                </w:rPr>
                <m:t>+μ</m:t>
              </m:r>
            </m:e>
          </m:d>
          <m:sSub>
            <m:sSubPr>
              <m:ctrlPr>
                <w:rPr>
                  <w:rFonts w:ascii="Cambria Math" w:hAnsi="Cambria Math" w:cs="Arial"/>
                  <w:i/>
                  <w:sz w:val="22"/>
                  <w:szCs w:val="22"/>
                </w:rPr>
              </m:ctrlPr>
            </m:sSubPr>
            <m:e>
              <m:r>
                <w:rPr>
                  <w:rFonts w:ascii="Cambria Math" w:hAnsi="Cambria Math" w:cs="Arial"/>
                  <w:sz w:val="22"/>
                  <w:szCs w:val="22"/>
                </w:rPr>
                <m:t>S</m:t>
              </m:r>
            </m:e>
            <m:sub>
              <m:r>
                <w:rPr>
                  <w:rFonts w:ascii="Cambria Math" w:hAnsi="Cambria Math" w:cs="Arial"/>
                  <w:sz w:val="22"/>
                  <w:szCs w:val="22"/>
                </w:rPr>
                <m:t>qh,1</m:t>
              </m:r>
            </m:sub>
          </m:sSub>
        </m:oMath>
      </m:oMathPara>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proofErr w:type="gramStart"/>
      <w:r w:rsidRPr="005F5605">
        <w:rPr>
          <w:rFonts w:ascii="Arial" w:hAnsi="Arial" w:cs="Arial"/>
          <w:sz w:val="22"/>
          <w:szCs w:val="22"/>
        </w:rPr>
        <w:t>where</w:t>
      </w:r>
      <w:proofErr w:type="gramEnd"/>
      <w:r w:rsidRPr="005F5605">
        <w:rPr>
          <w:rFonts w:ascii="Arial" w:hAnsi="Arial" w:cs="Arial"/>
          <w:sz w:val="22"/>
          <w:szCs w:val="22"/>
        </w:rPr>
        <w:t xml:space="preserve"> </w:t>
      </w:r>
      <m:oMath>
        <m:sSub>
          <m:sSubPr>
            <m:ctrlPr>
              <w:rPr>
                <w:rFonts w:ascii="Cambria Math" w:hAnsi="Cambria Math" w:cs="Arial"/>
                <w:i/>
                <w:sz w:val="22"/>
                <w:szCs w:val="22"/>
              </w:rPr>
            </m:ctrlPr>
          </m:sSubPr>
          <m:e>
            <m:r>
              <w:rPr>
                <w:rFonts w:ascii="Cambria Math" w:hAnsi="Cambria Math" w:cs="Arial"/>
                <w:sz w:val="22"/>
                <w:szCs w:val="22"/>
              </w:rPr>
              <m:t>w</m:t>
            </m:r>
          </m:e>
          <m:sub>
            <m:r>
              <w:rPr>
                <w:rFonts w:ascii="Cambria Math" w:hAnsi="Cambria Math" w:cs="Arial"/>
                <w:sz w:val="22"/>
                <w:szCs w:val="22"/>
              </w:rPr>
              <m:t>q</m:t>
            </m:r>
          </m:sub>
        </m:sSub>
      </m:oMath>
      <w:r w:rsidRPr="005F5605">
        <w:rPr>
          <w:rFonts w:ascii="Arial" w:hAnsi="Arial" w:cs="Arial"/>
          <w:sz w:val="22"/>
          <w:szCs w:val="22"/>
        </w:rPr>
        <w:t xml:space="preserve"> represents the proportion of DR-TB patients with provider type </w:t>
      </w:r>
      <w:r w:rsidRPr="005F5605">
        <w:rPr>
          <w:rFonts w:ascii="Arial" w:hAnsi="Arial" w:cs="Arial"/>
          <w:i/>
          <w:iCs/>
          <w:sz w:val="22"/>
          <w:szCs w:val="22"/>
        </w:rPr>
        <w:t xml:space="preserve">q </w:t>
      </w:r>
      <w:r w:rsidRPr="005F5605">
        <w:rPr>
          <w:rFonts w:ascii="Arial" w:hAnsi="Arial" w:cs="Arial"/>
          <w:sz w:val="22"/>
          <w:szCs w:val="22"/>
        </w:rPr>
        <w:t xml:space="preserve">who are switched to second-line treatment after failing first-line treatment. </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 xml:space="preserve">Next, the compartment </w:t>
      </w:r>
      <w:r w:rsidRPr="005F5605">
        <w:rPr>
          <w:rFonts w:ascii="Arial" w:hAnsi="Arial" w:cs="Arial"/>
          <w:i/>
          <w:iCs/>
          <w:sz w:val="22"/>
          <w:szCs w:val="22"/>
        </w:rPr>
        <w:t>B</w:t>
      </w:r>
      <w:r w:rsidRPr="005F5605">
        <w:rPr>
          <w:rFonts w:ascii="Arial" w:hAnsi="Arial" w:cs="Arial"/>
          <w:sz w:val="22"/>
          <w:szCs w:val="22"/>
        </w:rPr>
        <w:t xml:space="preserve"> captures those patients who have dropped out of the care cascade and remain infectious, whether by failed diagnosis, loss to follow up, subsequent default, or failed treatment. We have, for </w:t>
      </w:r>
      <w:r w:rsidRPr="005F5605">
        <w:rPr>
          <w:rFonts w:ascii="Arial" w:hAnsi="Arial" w:cs="Arial"/>
          <w:i/>
          <w:iCs/>
          <w:sz w:val="22"/>
          <w:szCs w:val="22"/>
        </w:rPr>
        <w:t>B</w:t>
      </w:r>
      <w:r w:rsidRPr="005F5605">
        <w:rPr>
          <w:rFonts w:ascii="Arial" w:hAnsi="Arial" w:cs="Arial"/>
          <w:sz w:val="22"/>
          <w:szCs w:val="22"/>
        </w:rPr>
        <w:t>:</w:t>
      </w:r>
    </w:p>
    <w:p w:rsidR="000623D8" w:rsidRPr="005F5605" w:rsidRDefault="000623D8" w:rsidP="000623D8">
      <w:pPr>
        <w:spacing w:line="312" w:lineRule="auto"/>
        <w:rPr>
          <w:rFonts w:ascii="Arial" w:hAnsi="Arial" w:cs="Arial"/>
          <w:sz w:val="22"/>
          <w:szCs w:val="22"/>
        </w:rPr>
      </w:pPr>
    </w:p>
    <w:p w:rsidR="000623D8" w:rsidRPr="005F5605" w:rsidRDefault="005F5605" w:rsidP="000623D8">
      <w:pPr>
        <w:spacing w:line="312" w:lineRule="auto"/>
        <w:rPr>
          <w:rFonts w:ascii="Arial" w:hAnsi="Arial" w:cs="Arial"/>
          <w:sz w:val="22"/>
          <w:szCs w:val="22"/>
        </w:rPr>
      </w:pPr>
      <m:oMathPara>
        <m:oMathParaPr>
          <m:jc m:val="left"/>
        </m:oMathParaP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B</m:t>
                  </m:r>
                </m:e>
              </m:acc>
            </m:e>
            <m:sub>
              <m:r>
                <w:rPr>
                  <w:rFonts w:ascii="Cambria Math" w:hAnsi="Cambria Math" w:cs="Arial"/>
                  <w:sz w:val="22"/>
                  <w:szCs w:val="22"/>
                </w:rPr>
                <m:t>hs</m:t>
              </m:r>
            </m:sub>
          </m:sSub>
          <m:r>
            <w:rPr>
              <w:rFonts w:ascii="Cambria Math" w:hAnsi="Cambria Math" w:cs="Arial"/>
              <w:sz w:val="22"/>
              <w:szCs w:val="22"/>
            </w:rPr>
            <m:t>=</m:t>
          </m:r>
          <m:nary>
            <m:naryPr>
              <m:chr m:val="∑"/>
              <m:supHide m:val="1"/>
              <m:ctrlPr>
                <w:rPr>
                  <w:rFonts w:ascii="Cambria Math" w:hAnsi="Cambria Math" w:cs="Arial"/>
                  <w:i/>
                  <w:sz w:val="22"/>
                  <w:szCs w:val="22"/>
                </w:rPr>
              </m:ctrlPr>
            </m:naryPr>
            <m:sub>
              <m:r>
                <w:rPr>
                  <w:rFonts w:ascii="Cambria Math" w:hAnsi="Cambria Math" w:cs="Arial"/>
                  <w:sz w:val="22"/>
                  <w:szCs w:val="22"/>
                </w:rPr>
                <m:t>q</m:t>
              </m:r>
            </m:sub>
            <m:sup/>
            <m:e>
              <m:d>
                <m:dPr>
                  <m:begChr m:val="["/>
                  <m:endChr m:val="]"/>
                  <m:ctrlPr>
                    <w:rPr>
                      <w:rFonts w:ascii="Cambria Math" w:hAnsi="Cambria Math" w:cs="Arial"/>
                      <w:i/>
                      <w:sz w:val="22"/>
                      <w:szCs w:val="22"/>
                    </w:rPr>
                  </m:ctrlPr>
                </m:dPr>
                <m:e>
                  <m:r>
                    <w:rPr>
                      <w:rFonts w:ascii="Cambria Math" w:hAnsi="Cambria Math" w:cs="Arial"/>
                      <w:sz w:val="22"/>
                      <w:szCs w:val="22"/>
                    </w:rPr>
                    <m:t>d</m:t>
                  </m:r>
                  <m:d>
                    <m:dPr>
                      <m:ctrlPr>
                        <w:rPr>
                          <w:rFonts w:ascii="Cambria Math" w:hAnsi="Cambria Math" w:cs="Arial"/>
                          <w:i/>
                          <w:sz w:val="22"/>
                          <w:szCs w:val="22"/>
                        </w:rPr>
                      </m:ctrlPr>
                    </m:dPr>
                    <m:e>
                      <m:r>
                        <w:rPr>
                          <w:rFonts w:ascii="Cambria Math" w:hAnsi="Cambria Math" w:cs="Arial"/>
                          <w:sz w:val="22"/>
                          <w:szCs w:val="22"/>
                        </w:rPr>
                        <m:t>1-</m:t>
                      </m:r>
                      <m:sSub>
                        <m:sSubPr>
                          <m:ctrlPr>
                            <w:rPr>
                              <w:rFonts w:ascii="Cambria Math" w:hAnsi="Cambria Math" w:cs="Arial"/>
                              <w:i/>
                              <w:sz w:val="22"/>
                              <w:szCs w:val="22"/>
                            </w:rPr>
                          </m:ctrlPr>
                        </m:sSubPr>
                        <m:e>
                          <m:r>
                            <w:rPr>
                              <w:rFonts w:ascii="Cambria Math" w:hAnsi="Cambria Math" w:cs="Arial"/>
                              <w:sz w:val="22"/>
                              <w:szCs w:val="22"/>
                            </w:rPr>
                            <m:t>u</m:t>
                          </m:r>
                        </m:e>
                        <m:sub>
                          <m:r>
                            <w:rPr>
                              <w:rFonts w:ascii="Cambria Math" w:hAnsi="Cambria Math" w:cs="Arial"/>
                              <w:sz w:val="22"/>
                              <w:szCs w:val="22"/>
                            </w:rPr>
                            <m:t>q</m:t>
                          </m:r>
                        </m:sub>
                      </m:sSub>
                    </m:e>
                  </m:d>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qhs</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δ</m:t>
                      </m:r>
                    </m:e>
                    <m:sub>
                      <m:r>
                        <w:rPr>
                          <w:rFonts w:ascii="Cambria Math" w:hAnsi="Cambria Math" w:cs="Arial"/>
                          <w:sz w:val="22"/>
                          <w:szCs w:val="22"/>
                        </w:rPr>
                        <m:t>q</m:t>
                      </m:r>
                    </m:sub>
                  </m:sSub>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qhs</m:t>
                      </m:r>
                    </m:sub>
                  </m:sSub>
                  <m:r>
                    <w:rPr>
                      <w:rFonts w:ascii="Cambria Math" w:hAnsi="Cambria Math" w:cs="Arial"/>
                      <w:sz w:val="22"/>
                      <w:szCs w:val="22"/>
                    </w:rPr>
                    <m:t>+</m:t>
                  </m:r>
                  <m:d>
                    <m:dPr>
                      <m:ctrlPr>
                        <w:rPr>
                          <w:rFonts w:ascii="Cambria Math" w:hAnsi="Cambria Math" w:cs="Arial"/>
                          <w:i/>
                          <w:sz w:val="22"/>
                          <w:szCs w:val="22"/>
                        </w:rPr>
                      </m:ctrlPr>
                    </m:dPr>
                    <m:e>
                      <m:r>
                        <w:rPr>
                          <w:rFonts w:ascii="Cambria Math" w:hAnsi="Cambria Math" w:cs="Arial"/>
                          <w:sz w:val="22"/>
                          <w:szCs w:val="22"/>
                        </w:rPr>
                        <m:t>1-</m:t>
                      </m:r>
                      <m:sSubSup>
                        <m:sSubSupPr>
                          <m:ctrlPr>
                            <w:rPr>
                              <w:rFonts w:ascii="Cambria Math" w:hAnsi="Cambria Math" w:cs="Arial"/>
                              <w:i/>
                              <w:sz w:val="22"/>
                              <w:szCs w:val="22"/>
                            </w:rPr>
                          </m:ctrlPr>
                        </m:sSubSupPr>
                        <m:e>
                          <m:r>
                            <w:rPr>
                              <w:rFonts w:ascii="Cambria Math" w:hAnsi="Cambria Math" w:cs="Arial"/>
                              <w:sz w:val="22"/>
                              <w:szCs w:val="22"/>
                            </w:rPr>
                            <m:t>p</m:t>
                          </m:r>
                        </m:e>
                        <m:sub>
                          <m:r>
                            <w:rPr>
                              <w:rFonts w:ascii="Cambria Math" w:hAnsi="Cambria Math" w:cs="Arial"/>
                              <w:sz w:val="22"/>
                              <w:szCs w:val="22"/>
                            </w:rPr>
                            <m:t>q</m:t>
                          </m:r>
                        </m:sub>
                        <m:sup>
                          <m:d>
                            <m:dPr>
                              <m:ctrlPr>
                                <w:rPr>
                                  <w:rFonts w:ascii="Cambria Math" w:hAnsi="Cambria Math" w:cs="Arial"/>
                                  <w:i/>
                                  <w:sz w:val="22"/>
                                  <w:szCs w:val="22"/>
                                </w:rPr>
                              </m:ctrlPr>
                            </m:dPr>
                            <m:e>
                              <m:r>
                                <w:rPr>
                                  <w:rFonts w:ascii="Cambria Math" w:hAnsi="Cambria Math" w:cs="Arial"/>
                                  <w:sz w:val="22"/>
                                  <w:szCs w:val="22"/>
                                </w:rPr>
                                <m:t>SL</m:t>
                              </m:r>
                            </m:e>
                          </m:d>
                        </m:sup>
                      </m:sSubSup>
                    </m:e>
                  </m:d>
                  <m:sSup>
                    <m:sSupPr>
                      <m:ctrlPr>
                        <w:rPr>
                          <w:rFonts w:ascii="Cambria Math" w:hAnsi="Cambria Math" w:cs="Arial"/>
                          <w:i/>
                          <w:sz w:val="22"/>
                          <w:szCs w:val="22"/>
                        </w:rPr>
                      </m:ctrlPr>
                    </m:sSupPr>
                    <m:e>
                      <m:r>
                        <w:rPr>
                          <w:rFonts w:ascii="Cambria Math" w:hAnsi="Cambria Math" w:cs="Arial"/>
                          <w:sz w:val="22"/>
                          <w:szCs w:val="22"/>
                        </w:rPr>
                        <m:t>τ</m:t>
                      </m:r>
                    </m:e>
                    <m:sup>
                      <m:d>
                        <m:dPr>
                          <m:ctrlPr>
                            <w:rPr>
                              <w:rFonts w:ascii="Cambria Math" w:hAnsi="Cambria Math" w:cs="Arial"/>
                              <w:i/>
                              <w:sz w:val="22"/>
                              <w:szCs w:val="22"/>
                            </w:rPr>
                          </m:ctrlPr>
                        </m:dPr>
                        <m:e>
                          <m:r>
                            <w:rPr>
                              <w:rFonts w:ascii="Cambria Math" w:hAnsi="Cambria Math" w:cs="Arial"/>
                              <w:sz w:val="22"/>
                              <w:szCs w:val="22"/>
                            </w:rPr>
                            <m:t>SL</m:t>
                          </m:r>
                        </m:e>
                      </m:d>
                    </m:sup>
                  </m:sSup>
                  <m:sSub>
                    <m:sSubPr>
                      <m:ctrlPr>
                        <w:rPr>
                          <w:rFonts w:ascii="Cambria Math" w:hAnsi="Cambria Math" w:cs="Arial"/>
                          <w:i/>
                          <w:sz w:val="22"/>
                          <w:szCs w:val="22"/>
                        </w:rPr>
                      </m:ctrlPr>
                    </m:sSubPr>
                    <m:e>
                      <m:r>
                        <w:rPr>
                          <w:rFonts w:ascii="Cambria Math" w:hAnsi="Cambria Math" w:cs="Arial"/>
                          <w:sz w:val="22"/>
                          <w:szCs w:val="22"/>
                        </w:rPr>
                        <m:t>S</m:t>
                      </m:r>
                    </m:e>
                    <m:sub>
                      <m:r>
                        <w:rPr>
                          <w:rFonts w:ascii="Cambria Math" w:hAnsi="Cambria Math" w:cs="Arial"/>
                          <w:sz w:val="22"/>
                          <w:szCs w:val="22"/>
                        </w:rPr>
                        <m:t>qhs</m:t>
                      </m:r>
                    </m:sub>
                  </m:sSub>
                </m:e>
              </m:d>
            </m:e>
          </m:nary>
          <m:r>
            <w:rPr>
              <w:rFonts w:ascii="Cambria Math" w:hAnsi="Cambria Math" w:cs="Arial"/>
              <w:sz w:val="22"/>
              <w:szCs w:val="22"/>
            </w:rPr>
            <m:t>-</m:t>
          </m:r>
          <m:d>
            <m:dPr>
              <m:ctrlPr>
                <w:rPr>
                  <w:rFonts w:ascii="Cambria Math" w:hAnsi="Cambria Math" w:cs="Arial"/>
                  <w:i/>
                  <w:sz w:val="22"/>
                  <w:szCs w:val="22"/>
                </w:rPr>
              </m:ctrlPr>
            </m:dPr>
            <m:e>
              <m:r>
                <w:rPr>
                  <w:rFonts w:ascii="Cambria Math" w:hAnsi="Cambria Math" w:cs="Arial"/>
                  <w:sz w:val="22"/>
                  <w:szCs w:val="22"/>
                </w:rPr>
                <m:t>γ+σ+</m:t>
              </m:r>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TB</m:t>
                  </m:r>
                </m:sub>
              </m:sSub>
            </m:e>
          </m:d>
          <m:sSub>
            <m:sSubPr>
              <m:ctrlPr>
                <w:rPr>
                  <w:rFonts w:ascii="Cambria Math" w:hAnsi="Cambria Math" w:cs="Arial"/>
                  <w:i/>
                  <w:sz w:val="22"/>
                  <w:szCs w:val="22"/>
                </w:rPr>
              </m:ctrlPr>
            </m:sSubPr>
            <m:e>
              <m:r>
                <w:rPr>
                  <w:rFonts w:ascii="Cambria Math" w:hAnsi="Cambria Math" w:cs="Arial"/>
                  <w:sz w:val="22"/>
                  <w:szCs w:val="22"/>
                </w:rPr>
                <m:t>B</m:t>
              </m:r>
            </m:e>
            <m:sub>
              <m:r>
                <w:rPr>
                  <w:rFonts w:ascii="Cambria Math" w:hAnsi="Cambria Math" w:cs="Arial"/>
                  <w:sz w:val="22"/>
                  <w:szCs w:val="22"/>
                </w:rPr>
                <m:t>hs</m:t>
              </m:r>
            </m:sub>
          </m:sSub>
        </m:oMath>
      </m:oMathPara>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For those who have recovered from disease, whether from treatment or cure, we have:</w:t>
      </w:r>
    </w:p>
    <w:p w:rsidR="000623D8" w:rsidRPr="005F5605" w:rsidRDefault="000623D8" w:rsidP="000623D8">
      <w:pPr>
        <w:spacing w:line="312" w:lineRule="auto"/>
        <w:rPr>
          <w:rFonts w:ascii="Arial" w:hAnsi="Arial" w:cs="Arial"/>
          <w:sz w:val="22"/>
          <w:szCs w:val="22"/>
        </w:rPr>
      </w:pPr>
    </w:p>
    <w:p w:rsidR="000623D8" w:rsidRPr="005F5605" w:rsidRDefault="005F5605" w:rsidP="000623D8">
      <w:pPr>
        <w:spacing w:line="312" w:lineRule="auto"/>
        <w:rPr>
          <w:rFonts w:ascii="Arial" w:hAnsi="Arial" w:cs="Arial"/>
          <w:sz w:val="22"/>
          <w:szCs w:val="22"/>
        </w:rPr>
      </w:pPr>
      <m:oMathPara>
        <m:oMathParaPr>
          <m:jc m:val="left"/>
        </m:oMathParaP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R</m:t>
                  </m:r>
                </m:e>
              </m:acc>
            </m:e>
            <m:sub>
              <m:r>
                <w:rPr>
                  <w:rFonts w:ascii="Cambria Math" w:hAnsi="Cambria Math" w:cs="Arial"/>
                  <w:sz w:val="22"/>
                  <w:szCs w:val="22"/>
                </w:rPr>
                <m:t>hs</m:t>
              </m:r>
            </m:sub>
          </m:sSub>
          <m:r>
            <w:rPr>
              <w:rFonts w:ascii="Cambria Math" w:hAnsi="Cambria Math" w:cs="Arial"/>
              <w:sz w:val="22"/>
              <w:szCs w:val="22"/>
            </w:rPr>
            <m:t>=</m:t>
          </m:r>
          <m:nary>
            <m:naryPr>
              <m:chr m:val="∑"/>
              <m:supHide m:val="1"/>
              <m:ctrlPr>
                <w:rPr>
                  <w:rFonts w:ascii="Cambria Math" w:hAnsi="Cambria Math" w:cs="Arial"/>
                  <w:i/>
                  <w:sz w:val="22"/>
                  <w:szCs w:val="22"/>
                </w:rPr>
              </m:ctrlPr>
            </m:naryPr>
            <m:sub>
              <m:r>
                <w:rPr>
                  <w:rFonts w:ascii="Cambria Math" w:hAnsi="Cambria Math" w:cs="Arial"/>
                  <w:sz w:val="22"/>
                  <w:szCs w:val="22"/>
                </w:rPr>
                <m:t>q</m:t>
              </m:r>
            </m:sub>
            <m:sup/>
            <m:e>
              <m:d>
                <m:dPr>
                  <m:begChr m:val="["/>
                  <m:endChr m:val="]"/>
                  <m:ctrlPr>
                    <w:rPr>
                      <w:rFonts w:ascii="Cambria Math" w:hAnsi="Cambria Math" w:cs="Arial"/>
                      <w:i/>
                      <w:sz w:val="22"/>
                      <w:szCs w:val="22"/>
                    </w:rPr>
                  </m:ctrlPr>
                </m:dPr>
                <m:e>
                  <m:sSup>
                    <m:sSupPr>
                      <m:ctrlPr>
                        <w:rPr>
                          <w:rFonts w:ascii="Cambria Math" w:hAnsi="Cambria Math" w:cs="Arial"/>
                          <w:i/>
                          <w:sz w:val="22"/>
                          <w:szCs w:val="22"/>
                        </w:rPr>
                      </m:ctrlPr>
                    </m:sSupPr>
                    <m:e>
                      <m:r>
                        <w:rPr>
                          <w:rFonts w:ascii="Cambria Math" w:hAnsi="Cambria Math" w:cs="Arial"/>
                          <w:sz w:val="22"/>
                          <w:szCs w:val="22"/>
                        </w:rPr>
                        <m:t>τ</m:t>
                      </m:r>
                    </m:e>
                    <m:sup>
                      <m:d>
                        <m:dPr>
                          <m:ctrlPr>
                            <w:rPr>
                              <w:rFonts w:ascii="Cambria Math" w:hAnsi="Cambria Math" w:cs="Arial"/>
                              <w:i/>
                              <w:sz w:val="22"/>
                              <w:szCs w:val="22"/>
                            </w:rPr>
                          </m:ctrlPr>
                        </m:dPr>
                        <m:e>
                          <m:r>
                            <w:rPr>
                              <w:rFonts w:ascii="Cambria Math" w:hAnsi="Cambria Math" w:cs="Arial"/>
                              <w:sz w:val="22"/>
                              <w:szCs w:val="22"/>
                            </w:rPr>
                            <m:t>FL</m:t>
                          </m:r>
                        </m:e>
                      </m:d>
                    </m:sup>
                  </m:sSup>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qhs</m:t>
                      </m:r>
                    </m:sub>
                  </m:sSub>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τ</m:t>
                      </m:r>
                    </m:e>
                    <m:sup>
                      <m:d>
                        <m:dPr>
                          <m:ctrlPr>
                            <w:rPr>
                              <w:rFonts w:ascii="Cambria Math" w:hAnsi="Cambria Math" w:cs="Arial"/>
                              <w:i/>
                              <w:sz w:val="22"/>
                              <w:szCs w:val="22"/>
                            </w:rPr>
                          </m:ctrlPr>
                        </m:dPr>
                        <m:e>
                          <m:r>
                            <w:rPr>
                              <w:rFonts w:ascii="Cambria Math" w:hAnsi="Cambria Math" w:cs="Arial"/>
                              <w:sz w:val="22"/>
                              <w:szCs w:val="22"/>
                            </w:rPr>
                            <m:t>SL</m:t>
                          </m:r>
                        </m:e>
                      </m:d>
                    </m:sup>
                  </m:sSup>
                  <m:sSubSup>
                    <m:sSubSupPr>
                      <m:ctrlPr>
                        <w:rPr>
                          <w:rFonts w:ascii="Cambria Math" w:hAnsi="Cambria Math" w:cs="Arial"/>
                          <w:i/>
                          <w:sz w:val="22"/>
                          <w:szCs w:val="22"/>
                        </w:rPr>
                      </m:ctrlPr>
                    </m:sSubSupPr>
                    <m:e>
                      <m:r>
                        <w:rPr>
                          <w:rFonts w:ascii="Cambria Math" w:hAnsi="Cambria Math" w:cs="Arial"/>
                          <w:sz w:val="22"/>
                          <w:szCs w:val="22"/>
                        </w:rPr>
                        <m:t>p</m:t>
                      </m:r>
                    </m:e>
                    <m:sub>
                      <m:r>
                        <w:rPr>
                          <w:rFonts w:ascii="Cambria Math" w:hAnsi="Cambria Math" w:cs="Arial"/>
                          <w:sz w:val="22"/>
                          <w:szCs w:val="22"/>
                        </w:rPr>
                        <m:t>q</m:t>
                      </m:r>
                    </m:sub>
                    <m:sup>
                      <m:d>
                        <m:dPr>
                          <m:ctrlPr>
                            <w:rPr>
                              <w:rFonts w:ascii="Cambria Math" w:hAnsi="Cambria Math" w:cs="Arial"/>
                              <w:i/>
                              <w:sz w:val="22"/>
                              <w:szCs w:val="22"/>
                            </w:rPr>
                          </m:ctrlPr>
                        </m:dPr>
                        <m:e>
                          <m:r>
                            <w:rPr>
                              <w:rFonts w:ascii="Cambria Math" w:hAnsi="Cambria Math" w:cs="Arial"/>
                              <w:sz w:val="22"/>
                              <w:szCs w:val="22"/>
                            </w:rPr>
                            <m:t>SL</m:t>
                          </m:r>
                        </m:e>
                      </m:d>
                    </m:sup>
                  </m:sSubSup>
                  <m:sSub>
                    <m:sSubPr>
                      <m:ctrlPr>
                        <w:rPr>
                          <w:rFonts w:ascii="Cambria Math" w:hAnsi="Cambria Math" w:cs="Arial"/>
                          <w:i/>
                          <w:sz w:val="22"/>
                          <w:szCs w:val="22"/>
                        </w:rPr>
                      </m:ctrlPr>
                    </m:sSubPr>
                    <m:e>
                      <m:r>
                        <w:rPr>
                          <w:rFonts w:ascii="Cambria Math" w:hAnsi="Cambria Math" w:cs="Arial"/>
                          <w:sz w:val="22"/>
                          <w:szCs w:val="22"/>
                        </w:rPr>
                        <m:t>S</m:t>
                      </m:r>
                    </m:e>
                    <m:sub>
                      <m:r>
                        <w:rPr>
                          <w:rFonts w:ascii="Cambria Math" w:hAnsi="Cambria Math" w:cs="Arial"/>
                          <w:sz w:val="22"/>
                          <w:szCs w:val="22"/>
                        </w:rPr>
                        <m:t>qhs</m:t>
                      </m:r>
                    </m:sub>
                  </m:sSub>
                  <m:r>
                    <w:rPr>
                      <w:rFonts w:ascii="Cambria Math" w:hAnsi="Cambria Math" w:cs="Arial"/>
                      <w:sz w:val="22"/>
                      <w:szCs w:val="22"/>
                    </w:rPr>
                    <m:t>+σ</m:t>
                  </m:r>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qhs</m:t>
                      </m:r>
                    </m:sub>
                  </m:sSub>
                </m:e>
              </m:d>
            </m:e>
          </m:nary>
          <m:r>
            <w:rPr>
              <w:rFonts w:ascii="Cambria Math" w:hAnsi="Cambria Math" w:cs="Arial"/>
              <w:sz w:val="22"/>
              <w:szCs w:val="22"/>
            </w:rPr>
            <m:t>+σ</m:t>
          </m:r>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hs</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B</m:t>
                  </m:r>
                </m:e>
                <m:sub>
                  <m:r>
                    <w:rPr>
                      <w:rFonts w:ascii="Cambria Math" w:hAnsi="Cambria Math" w:cs="Arial"/>
                      <w:sz w:val="22"/>
                      <w:szCs w:val="22"/>
                    </w:rPr>
                    <m:t>hs</m:t>
                  </m:r>
                </m:sub>
              </m:sSub>
            </m:e>
          </m:d>
          <m:r>
            <w:rPr>
              <w:rFonts w:ascii="Cambria Math" w:hAnsi="Cambria Math" w:cs="Arial"/>
              <w:sz w:val="22"/>
              <w:szCs w:val="22"/>
            </w:rPr>
            <m:t>-</m:t>
          </m:r>
          <m:d>
            <m:dPr>
              <m:ctrlPr>
                <w:rPr>
                  <w:rFonts w:ascii="Cambria Math" w:hAnsi="Cambria Math" w:cs="Arial"/>
                  <w:i/>
                  <w:sz w:val="22"/>
                  <w:szCs w:val="22"/>
                </w:rPr>
              </m:ctrlPr>
            </m:dPr>
            <m:e>
              <m:r>
                <w:rPr>
                  <w:rFonts w:ascii="Cambria Math" w:hAnsi="Cambria Math" w:cs="Arial"/>
                  <w:sz w:val="22"/>
                  <w:szCs w:val="22"/>
                </w:rPr>
                <m:t>μ+ρ</m:t>
              </m:r>
            </m:e>
          </m:d>
          <m:sSub>
            <m:sSubPr>
              <m:ctrlPr>
                <w:rPr>
                  <w:rFonts w:ascii="Cambria Math" w:hAnsi="Cambria Math" w:cs="Arial"/>
                  <w:i/>
                  <w:sz w:val="22"/>
                  <w:szCs w:val="22"/>
                </w:rPr>
              </m:ctrlPr>
            </m:sSubPr>
            <m:e>
              <m:r>
                <w:rPr>
                  <w:rFonts w:ascii="Cambria Math" w:hAnsi="Cambria Math" w:cs="Arial"/>
                  <w:sz w:val="22"/>
                  <w:szCs w:val="22"/>
                </w:rPr>
                <m:t>R</m:t>
              </m:r>
            </m:e>
            <m:sub>
              <m:r>
                <w:rPr>
                  <w:rFonts w:ascii="Cambria Math" w:hAnsi="Cambria Math" w:cs="Arial"/>
                  <w:sz w:val="22"/>
                  <w:szCs w:val="22"/>
                </w:rPr>
                <m:t>hs</m:t>
              </m:r>
            </m:sub>
          </m:sSub>
        </m:oMath>
      </m:oMathPara>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 xml:space="preserve">Finally, for the forces-of-infection </w:t>
      </w:r>
      <m:oMath>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0</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1</m:t>
            </m:r>
          </m:sub>
        </m:sSub>
      </m:oMath>
      <w:r w:rsidRPr="005F5605">
        <w:rPr>
          <w:rFonts w:ascii="Arial" w:hAnsi="Arial" w:cs="Arial"/>
          <w:sz w:val="22"/>
          <w:szCs w:val="22"/>
        </w:rPr>
        <w:t xml:space="preserve"> for DS- and DR-TB respectively, we have:</w:t>
      </w:r>
    </w:p>
    <w:p w:rsidR="000623D8" w:rsidRPr="005F5605" w:rsidRDefault="000623D8" w:rsidP="000623D8">
      <w:pPr>
        <w:spacing w:line="312" w:lineRule="auto"/>
        <w:rPr>
          <w:rFonts w:ascii="Arial" w:hAnsi="Arial" w:cs="Arial"/>
          <w:sz w:val="22"/>
          <w:szCs w:val="22"/>
        </w:rPr>
      </w:pPr>
    </w:p>
    <w:p w:rsidR="000623D8" w:rsidRPr="005F5605" w:rsidRDefault="005F5605" w:rsidP="000623D8">
      <w:pPr>
        <w:spacing w:line="312" w:lineRule="auto"/>
        <w:rPr>
          <w:rFonts w:ascii="Arial" w:hAnsi="Arial" w:cs="Arial"/>
          <w:sz w:val="22"/>
          <w:szCs w:val="22"/>
        </w:rPr>
      </w:pPr>
      <m:oMath>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0</m:t>
            </m:r>
          </m:sub>
        </m:sSub>
        <m:r>
          <w:rPr>
            <w:rFonts w:ascii="Cambria Math" w:hAnsi="Cambria Math" w:cs="Arial"/>
            <w:sz w:val="22"/>
            <w:szCs w:val="22"/>
          </w:rPr>
          <m:t>=β</m:t>
        </m:r>
        <m:d>
          <m:dPr>
            <m:begChr m:val="["/>
            <m:endChr m:val="]"/>
            <m:ctrlPr>
              <w:rPr>
                <w:rFonts w:ascii="Cambria Math" w:hAnsi="Cambria Math" w:cs="Arial"/>
                <w:i/>
                <w:sz w:val="22"/>
                <w:szCs w:val="22"/>
              </w:rPr>
            </m:ctrlPr>
          </m:dPr>
          <m:e>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0s</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B</m:t>
                    </m:r>
                  </m:e>
                  <m:sub>
                    <m:r>
                      <w:rPr>
                        <w:rFonts w:ascii="Cambria Math" w:hAnsi="Cambria Math" w:cs="Arial"/>
                        <w:sz w:val="22"/>
                        <w:szCs w:val="22"/>
                      </w:rPr>
                      <m:t>0s</m:t>
                    </m:r>
                  </m:sub>
                </m:sSub>
              </m:e>
            </m:d>
            <m:r>
              <w:rPr>
                <w:rFonts w:ascii="Cambria Math" w:hAnsi="Cambria Math" w:cs="Arial"/>
                <w:sz w:val="22"/>
                <w:szCs w:val="22"/>
              </w:rPr>
              <m:t>+</m:t>
            </m:r>
            <m:nary>
              <m:naryPr>
                <m:chr m:val="∑"/>
                <m:supHide m:val="1"/>
                <m:ctrlPr>
                  <w:rPr>
                    <w:rFonts w:ascii="Cambria Math" w:hAnsi="Cambria Math" w:cs="Arial"/>
                    <w:i/>
                    <w:sz w:val="22"/>
                    <w:szCs w:val="22"/>
                  </w:rPr>
                </m:ctrlPr>
              </m:naryPr>
              <m:sub>
                <m:r>
                  <w:rPr>
                    <w:rFonts w:ascii="Cambria Math" w:hAnsi="Cambria Math" w:cs="Arial"/>
                    <w:sz w:val="22"/>
                    <w:szCs w:val="22"/>
                  </w:rPr>
                  <m:t>q,0</m:t>
                </m:r>
              </m:sub>
              <m:sup/>
              <m:e>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q0s</m:t>
                    </m:r>
                  </m:sub>
                </m:sSub>
              </m:e>
            </m:nary>
          </m:e>
        </m:d>
        <m:r>
          <w:rPr>
            <w:rFonts w:ascii="Cambria Math" w:hAnsi="Cambria Math" w:cs="Arial"/>
            <w:sz w:val="22"/>
            <w:szCs w:val="22"/>
          </w:rPr>
          <m:t>+κ β</m:t>
        </m:r>
        <m:d>
          <m:dPr>
            <m:begChr m:val="["/>
            <m:endChr m:val="]"/>
            <m:ctrlPr>
              <w:rPr>
                <w:rFonts w:ascii="Cambria Math" w:hAnsi="Cambria Math" w:cs="Arial"/>
                <w:i/>
                <w:sz w:val="22"/>
                <w:szCs w:val="22"/>
              </w:rPr>
            </m:ctrlPr>
          </m:dPr>
          <m:e>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1s</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B</m:t>
                    </m:r>
                  </m:e>
                  <m:sub>
                    <m:r>
                      <w:rPr>
                        <w:rFonts w:ascii="Cambria Math" w:hAnsi="Cambria Math" w:cs="Arial"/>
                        <w:sz w:val="22"/>
                        <w:szCs w:val="22"/>
                      </w:rPr>
                      <m:t>1s</m:t>
                    </m:r>
                  </m:sub>
                </m:sSub>
              </m:e>
            </m:d>
            <m:r>
              <w:rPr>
                <w:rFonts w:ascii="Cambria Math" w:hAnsi="Cambria Math" w:cs="Arial"/>
                <w:sz w:val="22"/>
                <w:szCs w:val="22"/>
              </w:rPr>
              <m:t>+</m:t>
            </m:r>
            <m:nary>
              <m:naryPr>
                <m:chr m:val="∑"/>
                <m:supHide m:val="1"/>
                <m:ctrlPr>
                  <w:rPr>
                    <w:rFonts w:ascii="Cambria Math" w:hAnsi="Cambria Math" w:cs="Arial"/>
                    <w:i/>
                    <w:sz w:val="22"/>
                    <w:szCs w:val="22"/>
                  </w:rPr>
                </m:ctrlPr>
              </m:naryPr>
              <m:sub>
                <m:r>
                  <w:rPr>
                    <w:rFonts w:ascii="Cambria Math" w:hAnsi="Cambria Math" w:cs="Arial"/>
                    <w:sz w:val="22"/>
                    <w:szCs w:val="22"/>
                  </w:rPr>
                  <m:t>q,1</m:t>
                </m:r>
              </m:sub>
              <m:sup/>
              <m:e>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q1s</m:t>
                    </m:r>
                  </m:sub>
                </m:sSub>
              </m:e>
            </m:nary>
          </m:e>
        </m:d>
      </m:oMath>
      <w:r w:rsidR="000623D8" w:rsidRPr="005F5605">
        <w:rPr>
          <w:rFonts w:ascii="Arial" w:hAnsi="Arial" w:cs="Arial"/>
          <w:sz w:val="22"/>
          <w:szCs w:val="22"/>
        </w:rPr>
        <w:t xml:space="preserve">,     </w:t>
      </w:r>
      <w:r w:rsidR="000623D8" w:rsidRPr="005F5605">
        <w:rPr>
          <w:rFonts w:ascii="Arial" w:hAnsi="Arial" w:cs="Arial"/>
          <w:sz w:val="22"/>
          <w:szCs w:val="22"/>
        </w:rPr>
        <w:tab/>
      </w:r>
      <w:r w:rsidR="000623D8" w:rsidRPr="005F5605">
        <w:rPr>
          <w:rFonts w:ascii="Arial" w:hAnsi="Arial" w:cs="Arial"/>
          <w:sz w:val="22"/>
          <w:szCs w:val="22"/>
        </w:rPr>
        <w:tab/>
      </w:r>
      <w:r w:rsidR="000623D8" w:rsidRPr="005F5605">
        <w:rPr>
          <w:rFonts w:ascii="Arial" w:hAnsi="Arial" w:cs="Arial"/>
          <w:sz w:val="22"/>
          <w:szCs w:val="22"/>
        </w:rPr>
        <w:tab/>
      </w:r>
      <w:r w:rsidR="000623D8" w:rsidRPr="005F5605">
        <w:rPr>
          <w:rFonts w:ascii="Arial" w:hAnsi="Arial" w:cs="Arial"/>
          <w:sz w:val="22"/>
          <w:szCs w:val="22"/>
        </w:rPr>
        <w:tab/>
        <w:t>(*)</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proofErr w:type="gramStart"/>
      <w:r w:rsidRPr="005F5605">
        <w:rPr>
          <w:rFonts w:ascii="Arial" w:hAnsi="Arial" w:cs="Arial"/>
          <w:sz w:val="22"/>
          <w:szCs w:val="22"/>
        </w:rPr>
        <w:t>and</w:t>
      </w:r>
      <w:proofErr w:type="gramEnd"/>
      <w:r w:rsidRPr="005F5605">
        <w:rPr>
          <w:rFonts w:ascii="Arial" w:hAnsi="Arial" w:cs="Arial"/>
          <w:sz w:val="22"/>
          <w:szCs w:val="22"/>
        </w:rPr>
        <w:t xml:space="preserve"> likewise for </w:t>
      </w:r>
      <m:oMath>
        <m:sSub>
          <m:sSubPr>
            <m:ctrlPr>
              <w:rPr>
                <w:rFonts w:ascii="Cambria Math" w:hAnsi="Cambria Math" w:cs="Arial"/>
                <w:i/>
                <w:sz w:val="22"/>
                <w:szCs w:val="22"/>
              </w:rPr>
            </m:ctrlPr>
          </m:sSubPr>
          <m:e>
            <m:r>
              <w:rPr>
                <w:rFonts w:ascii="Cambria Math" w:hAnsi="Cambria Math" w:cs="Arial"/>
                <w:sz w:val="22"/>
                <w:szCs w:val="22"/>
              </w:rPr>
              <m:t>λ</m:t>
            </m:r>
          </m:e>
          <m:sub>
            <m:r>
              <w:rPr>
                <w:rFonts w:ascii="Cambria Math" w:hAnsi="Cambria Math" w:cs="Arial"/>
                <w:sz w:val="22"/>
                <w:szCs w:val="22"/>
              </w:rPr>
              <m:t>1</m:t>
            </m:r>
          </m:sub>
        </m:sSub>
      </m:oMath>
      <w:r w:rsidRPr="005F5605">
        <w:rPr>
          <w:rFonts w:ascii="Arial" w:hAnsi="Arial" w:cs="Arial"/>
          <w:sz w:val="22"/>
          <w:szCs w:val="22"/>
        </w:rPr>
        <w:t xml:space="preserve">, but with </w:t>
      </w:r>
      <m:oMath>
        <m:sSub>
          <m:sSubPr>
            <m:ctrlPr>
              <w:rPr>
                <w:rFonts w:ascii="Cambria Math" w:hAnsi="Cambria Math" w:cs="Arial"/>
                <w:i/>
                <w:sz w:val="22"/>
                <w:szCs w:val="22"/>
              </w:rPr>
            </m:ctrlPr>
          </m:sSubPr>
          <m:e>
            <m:r>
              <w:rPr>
                <w:rFonts w:ascii="Cambria Math" w:hAnsi="Cambria Math" w:cs="Arial"/>
                <w:sz w:val="22"/>
                <w:szCs w:val="22"/>
              </w:rPr>
              <m:t>β</m:t>
            </m:r>
          </m:e>
          <m:sub>
            <m:r>
              <w:rPr>
                <w:rFonts w:ascii="Cambria Math" w:hAnsi="Cambria Math" w:cs="Arial"/>
                <w:sz w:val="22"/>
                <w:szCs w:val="22"/>
              </w:rPr>
              <m:t>MDR</m:t>
            </m:r>
          </m:sub>
        </m:sSub>
      </m:oMath>
      <w:r w:rsidRPr="005F5605">
        <w:rPr>
          <w:rFonts w:ascii="Arial" w:hAnsi="Arial" w:cs="Arial"/>
          <w:sz w:val="22"/>
          <w:szCs w:val="22"/>
        </w:rPr>
        <w:t xml:space="preserve"> in place of </w:t>
      </w:r>
      <m:oMath>
        <m:r>
          <w:rPr>
            <w:rFonts w:ascii="Cambria Math" w:hAnsi="Cambria Math" w:cs="Arial"/>
            <w:sz w:val="22"/>
            <w:szCs w:val="22"/>
          </w:rPr>
          <m:t>β</m:t>
        </m:r>
      </m:oMath>
      <w:r w:rsidRPr="005F5605">
        <w:rPr>
          <w:rFonts w:ascii="Arial" w:hAnsi="Arial" w:cs="Arial"/>
          <w:sz w:val="22"/>
          <w:szCs w:val="22"/>
        </w:rPr>
        <w:t xml:space="preserve">. </w:t>
      </w:r>
    </w:p>
    <w:p w:rsidR="000623D8" w:rsidRPr="005F5605" w:rsidRDefault="000623D8" w:rsidP="000623D8">
      <w:pPr>
        <w:spacing w:line="312" w:lineRule="auto"/>
        <w:outlineLvl w:val="0"/>
        <w:rPr>
          <w:sz w:val="22"/>
          <w:szCs w:val="22"/>
        </w:rPr>
      </w:pPr>
    </w:p>
    <w:p w:rsidR="000623D8" w:rsidRPr="005F5605" w:rsidRDefault="000623D8" w:rsidP="000623D8">
      <w:pPr>
        <w:rPr>
          <w:rFonts w:ascii="Arial" w:hAnsi="Arial" w:cs="Arial"/>
          <w:sz w:val="22"/>
          <w:szCs w:val="22"/>
        </w:rPr>
      </w:pPr>
      <w:r w:rsidRPr="005F5605">
        <w:rPr>
          <w:rFonts w:ascii="Arial" w:hAnsi="Arial" w:cs="Arial"/>
          <w:sz w:val="22"/>
          <w:szCs w:val="22"/>
        </w:rPr>
        <w:br w:type="page"/>
      </w:r>
    </w:p>
    <w:p w:rsidR="000623D8" w:rsidRPr="005F5605" w:rsidRDefault="000623D8" w:rsidP="000623D8">
      <w:pPr>
        <w:rPr>
          <w:rFonts w:ascii="Arial" w:hAnsi="Arial" w:cs="Arial"/>
          <w:sz w:val="22"/>
          <w:szCs w:val="22"/>
        </w:rPr>
      </w:pPr>
    </w:p>
    <w:p w:rsidR="000623D8" w:rsidRPr="005F5605" w:rsidRDefault="000623D8" w:rsidP="000623D8">
      <w:pPr>
        <w:rPr>
          <w:rFonts w:ascii="Arial" w:hAnsi="Arial" w:cs="Arial"/>
          <w:b/>
          <w:bCs/>
          <w:sz w:val="22"/>
          <w:szCs w:val="22"/>
        </w:rPr>
      </w:pPr>
      <w:r w:rsidRPr="005F5605">
        <w:rPr>
          <w:rFonts w:ascii="Arial" w:hAnsi="Arial" w:cs="Arial"/>
          <w:b/>
          <w:bCs/>
          <w:sz w:val="22"/>
          <w:szCs w:val="22"/>
        </w:rPr>
        <w:t>Table S1. List of state variables used in the model.</w:t>
      </w:r>
    </w:p>
    <w:p w:rsidR="000623D8" w:rsidRPr="005F5605" w:rsidRDefault="000623D8" w:rsidP="000623D8">
      <w:pPr>
        <w:rPr>
          <w:rFonts w:ascii="Arial" w:hAnsi="Arial" w:cs="Arial"/>
          <w:sz w:val="22"/>
          <w:szCs w:val="22"/>
        </w:rPr>
      </w:pPr>
    </w:p>
    <w:tbl>
      <w:tblPr>
        <w:tblStyle w:val="PlainTable1"/>
        <w:tblW w:w="9067" w:type="dxa"/>
        <w:tblCellMar>
          <w:top w:w="57" w:type="dxa"/>
          <w:bottom w:w="57" w:type="dxa"/>
        </w:tblCellMar>
        <w:tblLook w:val="04A0" w:firstRow="1" w:lastRow="0" w:firstColumn="1" w:lastColumn="0" w:noHBand="0" w:noVBand="1"/>
      </w:tblPr>
      <w:tblGrid>
        <w:gridCol w:w="1011"/>
        <w:gridCol w:w="8056"/>
      </w:tblGrid>
      <w:tr w:rsidR="000623D8" w:rsidRPr="005F5605" w:rsidTr="000731FD">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011" w:type="dxa"/>
          </w:tcPr>
          <w:p w:rsidR="000623D8" w:rsidRPr="005F5605" w:rsidRDefault="000623D8" w:rsidP="000731FD">
            <w:pPr>
              <w:spacing w:line="312" w:lineRule="auto"/>
              <w:rPr>
                <w:rFonts w:ascii="Arial" w:hAnsi="Arial" w:cs="Arial"/>
                <w:sz w:val="22"/>
                <w:szCs w:val="22"/>
              </w:rPr>
            </w:pPr>
            <w:r w:rsidRPr="005F5605">
              <w:rPr>
                <w:rFonts w:ascii="Arial" w:hAnsi="Arial" w:cs="Arial"/>
                <w:sz w:val="22"/>
                <w:szCs w:val="22"/>
              </w:rPr>
              <w:t>Symbol</w:t>
            </w:r>
          </w:p>
        </w:tc>
        <w:tc>
          <w:tcPr>
            <w:tcW w:w="8056" w:type="dxa"/>
          </w:tcPr>
          <w:p w:rsidR="000623D8" w:rsidRPr="005F5605" w:rsidRDefault="000623D8" w:rsidP="000731FD">
            <w:pPr>
              <w:spacing w:line="312" w:lineRule="auto"/>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5F5605">
              <w:rPr>
                <w:rFonts w:ascii="Arial" w:hAnsi="Arial" w:cs="Arial"/>
                <w:sz w:val="22"/>
                <w:szCs w:val="22"/>
              </w:rPr>
              <w:t>Meaning</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067" w:type="dxa"/>
            <w:gridSpan w:val="2"/>
            <w:vAlign w:val="bottom"/>
          </w:tcPr>
          <w:p w:rsidR="000623D8" w:rsidRPr="005F5605" w:rsidRDefault="000623D8" w:rsidP="000731FD">
            <w:pPr>
              <w:spacing w:line="312" w:lineRule="auto"/>
              <w:rPr>
                <w:rFonts w:ascii="Arial" w:hAnsi="Arial" w:cs="Arial"/>
                <w:b w:val="0"/>
                <w:bCs w:val="0"/>
                <w:i/>
                <w:iCs/>
                <w:sz w:val="22"/>
                <w:szCs w:val="22"/>
              </w:rPr>
            </w:pPr>
            <w:r w:rsidRPr="005F5605">
              <w:rPr>
                <w:rFonts w:ascii="Arial" w:hAnsi="Arial" w:cs="Arial"/>
                <w:b w:val="0"/>
                <w:bCs w:val="0"/>
                <w:i/>
                <w:iCs/>
                <w:sz w:val="22"/>
                <w:szCs w:val="22"/>
              </w:rPr>
              <w:t>Indicators</w:t>
            </w:r>
          </w:p>
        </w:tc>
      </w:tr>
      <w:tr w:rsidR="000623D8" w:rsidRPr="005F5605" w:rsidTr="000731FD">
        <w:trPr>
          <w:trHeight w:val="699"/>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0623D8" w:rsidP="000731FD">
            <w:pPr>
              <w:spacing w:line="312" w:lineRule="auto"/>
              <w:jc w:val="center"/>
              <w:rPr>
                <w:rFonts w:ascii="Arial" w:hAnsi="Arial" w:cs="Arial"/>
                <w:b w:val="0"/>
                <w:bCs w:val="0"/>
                <w:i/>
                <w:iCs/>
                <w:sz w:val="22"/>
                <w:szCs w:val="22"/>
              </w:rPr>
            </w:pPr>
            <w:r w:rsidRPr="005F5605">
              <w:rPr>
                <w:rFonts w:ascii="Arial" w:hAnsi="Arial" w:cs="Arial"/>
                <w:b w:val="0"/>
                <w:bCs w:val="0"/>
                <w:i/>
                <w:iCs/>
                <w:sz w:val="22"/>
                <w:szCs w:val="22"/>
              </w:rPr>
              <w:t>q</w:t>
            </w:r>
          </w:p>
        </w:tc>
        <w:tc>
          <w:tcPr>
            <w:tcW w:w="8056" w:type="dxa"/>
          </w:tcPr>
          <w:p w:rsidR="000623D8" w:rsidRPr="005F5605" w:rsidRDefault="000623D8" w:rsidP="000731FD">
            <w:pPr>
              <w:spacing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5605">
              <w:rPr>
                <w:rFonts w:ascii="Arial" w:hAnsi="Arial" w:cs="Arial"/>
                <w:sz w:val="22"/>
                <w:szCs w:val="22"/>
              </w:rPr>
              <w:t xml:space="preserve">Indicator variable for provider type: </w:t>
            </w:r>
            <w:r w:rsidRPr="005F5605">
              <w:rPr>
                <w:rFonts w:ascii="Arial" w:hAnsi="Arial" w:cs="Arial"/>
                <w:i/>
                <w:iCs/>
                <w:sz w:val="22"/>
                <w:szCs w:val="22"/>
              </w:rPr>
              <w:t>q</w:t>
            </w:r>
            <w:r w:rsidRPr="005F5605">
              <w:rPr>
                <w:rFonts w:ascii="Arial" w:hAnsi="Arial" w:cs="Arial"/>
                <w:sz w:val="22"/>
                <w:szCs w:val="22"/>
              </w:rPr>
              <w:t xml:space="preserve"> = 0, 1, 2 respectively for NTP providers, non-NTP providers and ‘engaged’ non-NTP providers </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0623D8" w:rsidP="000731FD">
            <w:pPr>
              <w:spacing w:line="312" w:lineRule="auto"/>
              <w:jc w:val="center"/>
              <w:rPr>
                <w:rFonts w:ascii="Arial" w:hAnsi="Arial" w:cs="Arial"/>
                <w:b w:val="0"/>
                <w:bCs w:val="0"/>
                <w:i/>
                <w:iCs/>
                <w:sz w:val="22"/>
                <w:szCs w:val="22"/>
              </w:rPr>
            </w:pPr>
            <w:r w:rsidRPr="005F5605">
              <w:rPr>
                <w:rFonts w:ascii="Arial" w:hAnsi="Arial" w:cs="Arial"/>
                <w:b w:val="0"/>
                <w:bCs w:val="0"/>
                <w:i/>
                <w:iCs/>
                <w:sz w:val="22"/>
                <w:szCs w:val="22"/>
              </w:rPr>
              <w:t>h</w:t>
            </w:r>
          </w:p>
        </w:tc>
        <w:tc>
          <w:tcPr>
            <w:tcW w:w="8056" w:type="dxa"/>
          </w:tcPr>
          <w:p w:rsidR="000623D8" w:rsidRPr="005F5605" w:rsidRDefault="000623D8" w:rsidP="000731FD">
            <w:pPr>
              <w:spacing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5605">
              <w:rPr>
                <w:rFonts w:ascii="Arial" w:hAnsi="Arial" w:cs="Arial"/>
                <w:sz w:val="22"/>
                <w:szCs w:val="22"/>
              </w:rPr>
              <w:t xml:space="preserve">Indicator variable for </w:t>
            </w:r>
            <w:r w:rsidRPr="005F5605">
              <w:rPr>
                <w:rFonts w:ascii="Arial" w:hAnsi="Arial" w:cs="Arial"/>
                <w:i/>
                <w:sz w:val="22"/>
                <w:szCs w:val="22"/>
              </w:rPr>
              <w:t>HIV</w:t>
            </w:r>
            <w:r w:rsidRPr="005F5605">
              <w:rPr>
                <w:rFonts w:ascii="Arial" w:hAnsi="Arial" w:cs="Arial"/>
                <w:sz w:val="22"/>
                <w:szCs w:val="22"/>
              </w:rPr>
              <w:t xml:space="preserve"> status: </w:t>
            </w:r>
            <w:r w:rsidRPr="005F5605">
              <w:rPr>
                <w:rFonts w:ascii="Arial" w:hAnsi="Arial" w:cs="Arial"/>
                <w:i/>
                <w:iCs/>
                <w:sz w:val="22"/>
                <w:szCs w:val="22"/>
              </w:rPr>
              <w:t>h</w:t>
            </w:r>
            <w:r w:rsidRPr="005F5605">
              <w:rPr>
                <w:rFonts w:ascii="Arial" w:hAnsi="Arial" w:cs="Arial"/>
                <w:sz w:val="22"/>
                <w:szCs w:val="22"/>
              </w:rPr>
              <w:t xml:space="preserve"> = 0, 1 respectively for HIV-negative and </w:t>
            </w:r>
            <w:r w:rsidRPr="005F5605">
              <w:rPr>
                <w:rFonts w:ascii="Arial" w:hAnsi="Arial" w:cs="Arial"/>
                <w:i/>
                <w:sz w:val="22"/>
                <w:szCs w:val="22"/>
              </w:rPr>
              <w:t>HIV-</w:t>
            </w:r>
            <w:r w:rsidRPr="005F5605">
              <w:rPr>
                <w:rFonts w:ascii="Arial" w:hAnsi="Arial" w:cs="Arial"/>
                <w:sz w:val="22"/>
                <w:szCs w:val="22"/>
              </w:rPr>
              <w:t xml:space="preserve">positive </w:t>
            </w:r>
          </w:p>
        </w:tc>
      </w:tr>
      <w:tr w:rsidR="000623D8" w:rsidRPr="005F5605" w:rsidTr="000731FD">
        <w:trPr>
          <w:trHeight w:val="341"/>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0623D8" w:rsidP="000731FD">
            <w:pPr>
              <w:spacing w:line="312" w:lineRule="auto"/>
              <w:jc w:val="center"/>
              <w:rPr>
                <w:rFonts w:ascii="Arial" w:hAnsi="Arial" w:cs="Arial"/>
                <w:b w:val="0"/>
                <w:bCs w:val="0"/>
                <w:i/>
                <w:iCs/>
                <w:sz w:val="22"/>
                <w:szCs w:val="22"/>
              </w:rPr>
            </w:pPr>
            <w:r w:rsidRPr="005F5605">
              <w:rPr>
                <w:rFonts w:ascii="Arial" w:hAnsi="Arial" w:cs="Arial"/>
                <w:b w:val="0"/>
                <w:bCs w:val="0"/>
                <w:i/>
                <w:iCs/>
                <w:sz w:val="22"/>
                <w:szCs w:val="22"/>
              </w:rPr>
              <w:t>s</w:t>
            </w:r>
          </w:p>
        </w:tc>
        <w:tc>
          <w:tcPr>
            <w:tcW w:w="8056" w:type="dxa"/>
          </w:tcPr>
          <w:p w:rsidR="000623D8" w:rsidRPr="005F5605" w:rsidRDefault="000623D8" w:rsidP="000731FD">
            <w:pPr>
              <w:spacing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5605">
              <w:rPr>
                <w:rFonts w:ascii="Arial" w:hAnsi="Arial" w:cs="Arial"/>
                <w:sz w:val="22"/>
                <w:szCs w:val="22"/>
              </w:rPr>
              <w:t xml:space="preserve">Indicator variable for drug sensitivity status: </w:t>
            </w:r>
            <w:r w:rsidRPr="005F5605">
              <w:rPr>
                <w:rFonts w:ascii="Arial" w:hAnsi="Arial" w:cs="Arial"/>
                <w:i/>
                <w:iCs/>
                <w:sz w:val="22"/>
                <w:szCs w:val="22"/>
              </w:rPr>
              <w:t>s</w:t>
            </w:r>
            <w:r w:rsidRPr="005F5605">
              <w:rPr>
                <w:rFonts w:ascii="Arial" w:hAnsi="Arial" w:cs="Arial"/>
                <w:sz w:val="22"/>
                <w:szCs w:val="22"/>
              </w:rPr>
              <w:t xml:space="preserve"> = 0, 1 respectively for DS- and DR-TB</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9067" w:type="dxa"/>
            <w:gridSpan w:val="2"/>
            <w:vAlign w:val="center"/>
          </w:tcPr>
          <w:p w:rsidR="000623D8" w:rsidRPr="005F5605" w:rsidRDefault="000623D8" w:rsidP="000731FD">
            <w:pPr>
              <w:spacing w:line="312" w:lineRule="auto"/>
              <w:rPr>
                <w:rFonts w:ascii="Arial" w:hAnsi="Arial" w:cs="Arial"/>
                <w:b w:val="0"/>
                <w:bCs w:val="0"/>
                <w:sz w:val="22"/>
                <w:szCs w:val="22"/>
              </w:rPr>
            </w:pPr>
          </w:p>
          <w:p w:rsidR="000623D8" w:rsidRPr="005F5605" w:rsidRDefault="000623D8" w:rsidP="000731FD">
            <w:pPr>
              <w:spacing w:line="312" w:lineRule="auto"/>
              <w:rPr>
                <w:rFonts w:ascii="Arial" w:hAnsi="Arial" w:cs="Arial"/>
                <w:b w:val="0"/>
                <w:bCs w:val="0"/>
                <w:i/>
                <w:iCs/>
                <w:sz w:val="22"/>
                <w:szCs w:val="22"/>
              </w:rPr>
            </w:pPr>
            <w:r w:rsidRPr="005F5605">
              <w:rPr>
                <w:rFonts w:ascii="Arial" w:hAnsi="Arial" w:cs="Arial"/>
                <w:b w:val="0"/>
                <w:bCs w:val="0"/>
                <w:i/>
                <w:iCs/>
                <w:sz w:val="22"/>
                <w:szCs w:val="22"/>
              </w:rPr>
              <w:t>State Variables</w:t>
            </w:r>
          </w:p>
        </w:tc>
      </w:tr>
      <w:tr w:rsidR="000623D8" w:rsidRPr="005F5605" w:rsidTr="000731FD">
        <w:trPr>
          <w:trHeight w:val="341"/>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0623D8" w:rsidP="000731FD">
            <w:pPr>
              <w:spacing w:line="312" w:lineRule="auto"/>
              <w:jc w:val="center"/>
              <w:rPr>
                <w:rFonts w:ascii="Arial" w:hAnsi="Arial" w:cs="Arial"/>
                <w:b w:val="0"/>
                <w:bCs w:val="0"/>
                <w:sz w:val="22"/>
                <w:szCs w:val="22"/>
              </w:rPr>
            </w:pPr>
            <m:oMathPara>
              <m:oMath>
                <m:r>
                  <m:rPr>
                    <m:sty m:val="bi"/>
                  </m:rPr>
                  <w:rPr>
                    <w:rFonts w:ascii="Cambria Math" w:hAnsi="Cambria Math" w:cs="Arial"/>
                    <w:sz w:val="22"/>
                    <w:szCs w:val="22"/>
                  </w:rPr>
                  <m:t>U</m:t>
                </m:r>
              </m:oMath>
            </m:oMathPara>
          </w:p>
        </w:tc>
        <w:tc>
          <w:tcPr>
            <w:tcW w:w="8056" w:type="dxa"/>
          </w:tcPr>
          <w:p w:rsidR="000623D8" w:rsidRPr="005F5605" w:rsidRDefault="000623D8" w:rsidP="000731FD">
            <w:pPr>
              <w:spacing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5605">
              <w:rPr>
                <w:rFonts w:ascii="Arial" w:hAnsi="Arial" w:cs="Arial"/>
                <w:sz w:val="22"/>
                <w:szCs w:val="22"/>
              </w:rPr>
              <w:t>Proportion uninfected</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5F5605" w:rsidP="000731FD">
            <w:pPr>
              <w:spacing w:line="312" w:lineRule="auto"/>
              <w:jc w:val="center"/>
              <w:rPr>
                <w:rFonts w:ascii="Arial" w:hAnsi="Arial" w:cs="Arial"/>
                <w:b w:val="0"/>
                <w:bCs w:val="0"/>
                <w:sz w:val="22"/>
                <w:szCs w:val="22"/>
              </w:rPr>
            </w:pPr>
            <m:oMathPara>
              <m:oMath>
                <m:sSub>
                  <m:sSubPr>
                    <m:ctrlPr>
                      <w:rPr>
                        <w:rFonts w:ascii="Cambria Math" w:hAnsi="Cambria Math" w:cs="Arial"/>
                        <w:b w:val="0"/>
                        <w:bCs w:val="0"/>
                        <w:i/>
                        <w:sz w:val="22"/>
                        <w:szCs w:val="22"/>
                      </w:rPr>
                    </m:ctrlPr>
                  </m:sSubPr>
                  <m:e>
                    <m:r>
                      <m:rPr>
                        <m:sty m:val="bi"/>
                      </m:rPr>
                      <w:rPr>
                        <w:rFonts w:ascii="Cambria Math" w:hAnsi="Cambria Math" w:cs="Arial"/>
                        <w:sz w:val="22"/>
                        <w:szCs w:val="22"/>
                      </w:rPr>
                      <m:t>L</m:t>
                    </m:r>
                  </m:e>
                  <m:sub>
                    <m:r>
                      <m:rPr>
                        <m:sty m:val="bi"/>
                      </m:rPr>
                      <w:rPr>
                        <w:rFonts w:ascii="Cambria Math" w:hAnsi="Cambria Math" w:cs="Arial"/>
                        <w:sz w:val="22"/>
                        <w:szCs w:val="22"/>
                      </w:rPr>
                      <m:t>hs</m:t>
                    </m:r>
                  </m:sub>
                </m:sSub>
              </m:oMath>
            </m:oMathPara>
          </w:p>
        </w:tc>
        <w:tc>
          <w:tcPr>
            <w:tcW w:w="8056" w:type="dxa"/>
          </w:tcPr>
          <w:p w:rsidR="000623D8" w:rsidRPr="005F5605" w:rsidRDefault="000623D8" w:rsidP="000731FD">
            <w:pPr>
              <w:spacing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5605">
              <w:rPr>
                <w:rFonts w:ascii="Arial" w:hAnsi="Arial" w:cs="Arial"/>
                <w:sz w:val="22"/>
                <w:szCs w:val="22"/>
              </w:rPr>
              <w:t xml:space="preserve">Proportion having </w:t>
            </w:r>
            <w:r w:rsidRPr="005F5605">
              <w:rPr>
                <w:rFonts w:ascii="Arial" w:hAnsi="Arial" w:cs="Arial"/>
                <w:i/>
                <w:iCs/>
                <w:sz w:val="22"/>
                <w:szCs w:val="22"/>
              </w:rPr>
              <w:t>latent infection</w:t>
            </w:r>
            <w:r w:rsidRPr="005F5605">
              <w:rPr>
                <w:rFonts w:ascii="Arial" w:hAnsi="Arial" w:cs="Arial"/>
                <w:sz w:val="22"/>
                <w:szCs w:val="22"/>
              </w:rPr>
              <w:t xml:space="preserve"> with HIV status </w:t>
            </w:r>
            <w:r w:rsidRPr="005F5605">
              <w:rPr>
                <w:rFonts w:ascii="Arial" w:hAnsi="Arial" w:cs="Arial"/>
                <w:i/>
                <w:iCs/>
                <w:sz w:val="22"/>
                <w:szCs w:val="22"/>
              </w:rPr>
              <w:t>h</w:t>
            </w:r>
            <w:r w:rsidRPr="005F5605">
              <w:rPr>
                <w:rFonts w:ascii="Arial" w:hAnsi="Arial" w:cs="Arial"/>
                <w:sz w:val="22"/>
                <w:szCs w:val="22"/>
              </w:rPr>
              <w:t xml:space="preserve"> and having strain </w:t>
            </w:r>
            <w:r w:rsidRPr="005F5605">
              <w:rPr>
                <w:rFonts w:ascii="Arial" w:hAnsi="Arial" w:cs="Arial"/>
                <w:i/>
                <w:iCs/>
                <w:sz w:val="22"/>
                <w:szCs w:val="22"/>
              </w:rPr>
              <w:t>s</w:t>
            </w:r>
          </w:p>
        </w:tc>
      </w:tr>
      <w:tr w:rsidR="000623D8" w:rsidRPr="005F5605" w:rsidTr="000731FD">
        <w:trPr>
          <w:trHeight w:val="357"/>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5F5605" w:rsidP="000731FD">
            <w:pPr>
              <w:spacing w:line="312" w:lineRule="auto"/>
              <w:jc w:val="center"/>
              <w:rPr>
                <w:rFonts w:ascii="Arial" w:hAnsi="Arial" w:cs="Arial"/>
                <w:b w:val="0"/>
                <w:bCs w:val="0"/>
                <w:sz w:val="22"/>
                <w:szCs w:val="22"/>
              </w:rPr>
            </w:pPr>
            <m:oMathPara>
              <m:oMath>
                <m:sSub>
                  <m:sSubPr>
                    <m:ctrlPr>
                      <w:rPr>
                        <w:rFonts w:ascii="Cambria Math" w:hAnsi="Cambria Math" w:cs="Arial"/>
                        <w:b w:val="0"/>
                        <w:bCs w:val="0"/>
                        <w:i/>
                        <w:sz w:val="22"/>
                        <w:szCs w:val="22"/>
                      </w:rPr>
                    </m:ctrlPr>
                  </m:sSubPr>
                  <m:e>
                    <m:r>
                      <m:rPr>
                        <m:sty m:val="bi"/>
                      </m:rPr>
                      <w:rPr>
                        <w:rFonts w:ascii="Cambria Math" w:hAnsi="Cambria Math" w:cs="Arial"/>
                        <w:sz w:val="22"/>
                        <w:szCs w:val="22"/>
                      </w:rPr>
                      <m:t>M</m:t>
                    </m:r>
                  </m:e>
                  <m:sub>
                    <m:r>
                      <m:rPr>
                        <m:sty m:val="bi"/>
                      </m:rPr>
                      <w:rPr>
                        <w:rFonts w:ascii="Cambria Math" w:hAnsi="Cambria Math" w:cs="Arial"/>
                        <w:sz w:val="22"/>
                        <w:szCs w:val="22"/>
                      </w:rPr>
                      <m:t>hs</m:t>
                    </m:r>
                  </m:sub>
                </m:sSub>
              </m:oMath>
            </m:oMathPara>
          </w:p>
        </w:tc>
        <w:tc>
          <w:tcPr>
            <w:tcW w:w="8056" w:type="dxa"/>
          </w:tcPr>
          <w:p w:rsidR="000623D8" w:rsidRPr="005F5605" w:rsidRDefault="000623D8" w:rsidP="000731FD">
            <w:pPr>
              <w:spacing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5605">
              <w:rPr>
                <w:rFonts w:ascii="Arial" w:hAnsi="Arial" w:cs="Arial"/>
                <w:sz w:val="22"/>
                <w:szCs w:val="22"/>
              </w:rPr>
              <w:t xml:space="preserve">Proportion with latent infection but at </w:t>
            </w:r>
            <w:r w:rsidRPr="005F5605">
              <w:rPr>
                <w:rFonts w:ascii="Arial" w:hAnsi="Arial" w:cs="Arial"/>
                <w:i/>
                <w:iCs/>
                <w:sz w:val="22"/>
                <w:szCs w:val="22"/>
              </w:rPr>
              <w:t>imminent risk</w:t>
            </w:r>
            <w:r w:rsidRPr="005F5605">
              <w:rPr>
                <w:rFonts w:ascii="Arial" w:hAnsi="Arial" w:cs="Arial"/>
                <w:sz w:val="22"/>
                <w:szCs w:val="22"/>
              </w:rPr>
              <w:t xml:space="preserve"> of developing TB (within next two years), with HIV status </w:t>
            </w:r>
            <w:r w:rsidRPr="005F5605">
              <w:rPr>
                <w:rFonts w:ascii="Arial" w:hAnsi="Arial" w:cs="Arial"/>
                <w:i/>
                <w:iCs/>
                <w:sz w:val="22"/>
                <w:szCs w:val="22"/>
              </w:rPr>
              <w:t>h</w:t>
            </w:r>
            <w:r w:rsidRPr="005F5605">
              <w:rPr>
                <w:rFonts w:ascii="Arial" w:hAnsi="Arial" w:cs="Arial"/>
                <w:sz w:val="22"/>
                <w:szCs w:val="22"/>
              </w:rPr>
              <w:t xml:space="preserve"> and strain </w:t>
            </w:r>
            <w:r w:rsidRPr="005F5605">
              <w:rPr>
                <w:rFonts w:ascii="Arial" w:hAnsi="Arial" w:cs="Arial"/>
                <w:i/>
                <w:iCs/>
                <w:sz w:val="22"/>
                <w:szCs w:val="22"/>
              </w:rPr>
              <w:t>s</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5F5605" w:rsidP="000731FD">
            <w:pPr>
              <w:spacing w:line="312" w:lineRule="auto"/>
              <w:jc w:val="center"/>
              <w:rPr>
                <w:rFonts w:ascii="Arial" w:hAnsi="Arial" w:cs="Arial"/>
                <w:b w:val="0"/>
                <w:bCs w:val="0"/>
                <w:sz w:val="22"/>
                <w:szCs w:val="22"/>
              </w:rPr>
            </w:pPr>
            <m:oMathPara>
              <m:oMath>
                <m:sSub>
                  <m:sSubPr>
                    <m:ctrlPr>
                      <w:rPr>
                        <w:rFonts w:ascii="Cambria Math" w:hAnsi="Cambria Math" w:cs="Arial"/>
                        <w:i/>
                        <w:sz w:val="22"/>
                        <w:szCs w:val="22"/>
                      </w:rPr>
                    </m:ctrlPr>
                  </m:sSubPr>
                  <m:e>
                    <m:r>
                      <m:rPr>
                        <m:sty m:val="bi"/>
                      </m:rPr>
                      <w:rPr>
                        <w:rFonts w:ascii="Cambria Math" w:hAnsi="Cambria Math" w:cs="Arial"/>
                        <w:sz w:val="22"/>
                        <w:szCs w:val="22"/>
                      </w:rPr>
                      <m:t>I</m:t>
                    </m:r>
                    <m:ctrlPr>
                      <w:rPr>
                        <w:rFonts w:ascii="Cambria Math" w:hAnsi="Cambria Math" w:cs="Arial"/>
                        <w:b w:val="0"/>
                        <w:bCs w:val="0"/>
                        <w:i/>
                        <w:sz w:val="22"/>
                        <w:szCs w:val="22"/>
                      </w:rPr>
                    </m:ctrlPr>
                  </m:e>
                  <m:sub>
                    <m:r>
                      <m:rPr>
                        <m:sty m:val="bi"/>
                      </m:rPr>
                      <w:rPr>
                        <w:rFonts w:ascii="Cambria Math" w:hAnsi="Cambria Math" w:cs="Arial"/>
                        <w:sz w:val="22"/>
                        <w:szCs w:val="22"/>
                      </w:rPr>
                      <m:t>hs</m:t>
                    </m:r>
                  </m:sub>
                </m:sSub>
              </m:oMath>
            </m:oMathPara>
          </w:p>
        </w:tc>
        <w:tc>
          <w:tcPr>
            <w:tcW w:w="8056" w:type="dxa"/>
          </w:tcPr>
          <w:p w:rsidR="000623D8" w:rsidRPr="005F5605" w:rsidRDefault="000623D8" w:rsidP="000731FD">
            <w:pPr>
              <w:spacing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5605">
              <w:rPr>
                <w:rFonts w:ascii="Arial" w:hAnsi="Arial" w:cs="Arial"/>
                <w:sz w:val="22"/>
                <w:szCs w:val="22"/>
              </w:rPr>
              <w:t xml:space="preserve">Proportion having </w:t>
            </w:r>
            <w:r w:rsidRPr="005F5605">
              <w:rPr>
                <w:rFonts w:ascii="Arial" w:hAnsi="Arial" w:cs="Arial"/>
                <w:i/>
                <w:iCs/>
                <w:sz w:val="22"/>
                <w:szCs w:val="22"/>
              </w:rPr>
              <w:t>active disease</w:t>
            </w:r>
            <w:r w:rsidRPr="005F5605">
              <w:rPr>
                <w:rFonts w:ascii="Arial" w:hAnsi="Arial" w:cs="Arial"/>
                <w:sz w:val="22"/>
                <w:szCs w:val="22"/>
              </w:rPr>
              <w:t xml:space="preserve"> that have not yet presented for care, with HIV status </w:t>
            </w:r>
            <w:r w:rsidRPr="005F5605">
              <w:rPr>
                <w:rFonts w:ascii="Arial" w:hAnsi="Arial" w:cs="Arial"/>
                <w:i/>
                <w:iCs/>
                <w:sz w:val="22"/>
                <w:szCs w:val="22"/>
              </w:rPr>
              <w:t>h</w:t>
            </w:r>
            <w:r w:rsidRPr="005F5605">
              <w:rPr>
                <w:rFonts w:ascii="Arial" w:hAnsi="Arial" w:cs="Arial"/>
                <w:sz w:val="22"/>
                <w:szCs w:val="22"/>
              </w:rPr>
              <w:t xml:space="preserve"> and strain </w:t>
            </w:r>
            <w:r w:rsidRPr="005F5605">
              <w:rPr>
                <w:rFonts w:ascii="Arial" w:hAnsi="Arial" w:cs="Arial"/>
                <w:i/>
                <w:iCs/>
                <w:sz w:val="22"/>
                <w:szCs w:val="22"/>
              </w:rPr>
              <w:t>s</w:t>
            </w:r>
          </w:p>
        </w:tc>
      </w:tr>
      <w:tr w:rsidR="000623D8" w:rsidRPr="005F5605" w:rsidTr="000731FD">
        <w:trPr>
          <w:trHeight w:val="324"/>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5F5605" w:rsidP="000731FD">
            <w:pPr>
              <w:spacing w:line="312" w:lineRule="auto"/>
              <w:jc w:val="center"/>
              <w:rPr>
                <w:rFonts w:ascii="Arial" w:eastAsia="DengXian" w:hAnsi="Arial" w:cs="Arial"/>
                <w:b w:val="0"/>
                <w:bCs w:val="0"/>
                <w:sz w:val="22"/>
                <w:szCs w:val="22"/>
              </w:rPr>
            </w:pPr>
            <m:oMathPara>
              <m:oMath>
                <m:sSub>
                  <m:sSubPr>
                    <m:ctrlPr>
                      <w:rPr>
                        <w:rFonts w:ascii="Cambria Math" w:eastAsia="DengXian" w:hAnsi="Cambria Math" w:cs="Arial"/>
                        <w:b w:val="0"/>
                        <w:bCs w:val="0"/>
                        <w:i/>
                        <w:sz w:val="22"/>
                        <w:szCs w:val="22"/>
                      </w:rPr>
                    </m:ctrlPr>
                  </m:sSubPr>
                  <m:e>
                    <m:r>
                      <m:rPr>
                        <m:sty m:val="bi"/>
                      </m:rPr>
                      <w:rPr>
                        <w:rFonts w:ascii="Cambria Math" w:eastAsia="DengXian" w:hAnsi="Cambria Math" w:cs="Arial"/>
                        <w:sz w:val="22"/>
                        <w:szCs w:val="22"/>
                      </w:rPr>
                      <m:t>D</m:t>
                    </m:r>
                  </m:e>
                  <m:sub>
                    <m:r>
                      <m:rPr>
                        <m:sty m:val="bi"/>
                      </m:rPr>
                      <w:rPr>
                        <w:rFonts w:ascii="Cambria Math" w:eastAsia="DengXian" w:hAnsi="Cambria Math" w:cs="Arial"/>
                        <w:sz w:val="22"/>
                        <w:szCs w:val="22"/>
                      </w:rPr>
                      <m:t>qhs</m:t>
                    </m:r>
                  </m:sub>
                </m:sSub>
              </m:oMath>
            </m:oMathPara>
          </w:p>
        </w:tc>
        <w:tc>
          <w:tcPr>
            <w:tcW w:w="8056" w:type="dxa"/>
          </w:tcPr>
          <w:p w:rsidR="000623D8" w:rsidRPr="005F5605" w:rsidRDefault="000623D8" w:rsidP="000731FD">
            <w:pPr>
              <w:spacing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5605">
              <w:rPr>
                <w:rFonts w:ascii="Arial" w:hAnsi="Arial" w:cs="Arial"/>
                <w:sz w:val="22"/>
                <w:szCs w:val="22"/>
              </w:rPr>
              <w:t xml:space="preserve">Proportion </w:t>
            </w:r>
            <w:r w:rsidRPr="005F5605">
              <w:rPr>
                <w:rFonts w:ascii="Arial" w:hAnsi="Arial" w:cs="Arial"/>
                <w:i/>
                <w:iCs/>
                <w:sz w:val="22"/>
                <w:szCs w:val="22"/>
              </w:rPr>
              <w:t>awaiting diagnosis</w:t>
            </w:r>
            <w:r w:rsidRPr="005F5605">
              <w:rPr>
                <w:rFonts w:ascii="Arial" w:hAnsi="Arial" w:cs="Arial"/>
                <w:sz w:val="22"/>
                <w:szCs w:val="22"/>
              </w:rPr>
              <w:t xml:space="preserve"> with provider type </w:t>
            </w:r>
            <w:r w:rsidRPr="005F5605">
              <w:rPr>
                <w:rFonts w:ascii="Arial" w:hAnsi="Arial" w:cs="Arial"/>
                <w:i/>
                <w:iCs/>
                <w:sz w:val="22"/>
                <w:szCs w:val="22"/>
              </w:rPr>
              <w:t>q</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5F5605" w:rsidP="000731FD">
            <w:pPr>
              <w:spacing w:line="312" w:lineRule="auto"/>
              <w:jc w:val="center"/>
              <w:rPr>
                <w:rFonts w:ascii="Arial" w:eastAsia="DengXian" w:hAnsi="Arial" w:cs="Arial"/>
                <w:b w:val="0"/>
                <w:bCs w:val="0"/>
                <w:sz w:val="22"/>
                <w:szCs w:val="22"/>
              </w:rPr>
            </w:pPr>
            <m:oMathPara>
              <m:oMath>
                <m:sSub>
                  <m:sSubPr>
                    <m:ctrlPr>
                      <w:rPr>
                        <w:rFonts w:ascii="Cambria Math" w:eastAsia="DengXian" w:hAnsi="Cambria Math" w:cs="Arial"/>
                        <w:b w:val="0"/>
                        <w:bCs w:val="0"/>
                        <w:i/>
                        <w:sz w:val="22"/>
                        <w:szCs w:val="22"/>
                      </w:rPr>
                    </m:ctrlPr>
                  </m:sSubPr>
                  <m:e>
                    <m:r>
                      <m:rPr>
                        <m:sty m:val="bi"/>
                      </m:rPr>
                      <w:rPr>
                        <w:rFonts w:ascii="Cambria Math" w:eastAsia="DengXian" w:hAnsi="Cambria Math" w:cs="Arial"/>
                        <w:sz w:val="22"/>
                        <w:szCs w:val="22"/>
                      </w:rPr>
                      <m:t>F</m:t>
                    </m:r>
                  </m:e>
                  <m:sub>
                    <m:r>
                      <m:rPr>
                        <m:sty m:val="bi"/>
                      </m:rPr>
                      <w:rPr>
                        <w:rFonts w:ascii="Cambria Math" w:eastAsia="DengXian" w:hAnsi="Cambria Math" w:cs="Arial"/>
                        <w:sz w:val="22"/>
                        <w:szCs w:val="22"/>
                      </w:rPr>
                      <m:t>qhs</m:t>
                    </m:r>
                  </m:sub>
                </m:sSub>
              </m:oMath>
            </m:oMathPara>
          </w:p>
        </w:tc>
        <w:tc>
          <w:tcPr>
            <w:tcW w:w="8056" w:type="dxa"/>
          </w:tcPr>
          <w:p w:rsidR="000623D8" w:rsidRPr="005F5605" w:rsidRDefault="000623D8" w:rsidP="000731FD">
            <w:pPr>
              <w:spacing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5605">
              <w:rPr>
                <w:rFonts w:ascii="Arial" w:hAnsi="Arial" w:cs="Arial"/>
                <w:sz w:val="22"/>
                <w:szCs w:val="22"/>
              </w:rPr>
              <w:t xml:space="preserve">Proportion undergoing </w:t>
            </w:r>
            <w:r w:rsidRPr="005F5605">
              <w:rPr>
                <w:rFonts w:ascii="Arial" w:hAnsi="Arial" w:cs="Arial"/>
                <w:i/>
                <w:iCs/>
                <w:sz w:val="22"/>
                <w:szCs w:val="22"/>
              </w:rPr>
              <w:t xml:space="preserve">first-line TB treatment </w:t>
            </w:r>
            <w:r w:rsidRPr="005F5605">
              <w:rPr>
                <w:rFonts w:ascii="Arial" w:hAnsi="Arial" w:cs="Arial"/>
                <w:sz w:val="22"/>
                <w:szCs w:val="22"/>
              </w:rPr>
              <w:t xml:space="preserve">with provider type </w:t>
            </w:r>
            <w:r w:rsidRPr="005F5605">
              <w:rPr>
                <w:rFonts w:ascii="Arial" w:hAnsi="Arial" w:cs="Arial"/>
                <w:i/>
                <w:iCs/>
                <w:sz w:val="22"/>
                <w:szCs w:val="22"/>
              </w:rPr>
              <w:t>q</w:t>
            </w:r>
          </w:p>
        </w:tc>
      </w:tr>
      <w:tr w:rsidR="000623D8" w:rsidRPr="005F5605" w:rsidTr="000731FD">
        <w:trPr>
          <w:trHeight w:val="324"/>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5F5605" w:rsidP="000731FD">
            <w:pPr>
              <w:spacing w:line="312" w:lineRule="auto"/>
              <w:jc w:val="center"/>
              <w:rPr>
                <w:rFonts w:ascii="Arial" w:eastAsia="DengXian" w:hAnsi="Arial" w:cs="Arial"/>
                <w:b w:val="0"/>
                <w:bCs w:val="0"/>
                <w:sz w:val="22"/>
                <w:szCs w:val="22"/>
              </w:rPr>
            </w:pPr>
            <m:oMathPara>
              <m:oMath>
                <m:sSub>
                  <m:sSubPr>
                    <m:ctrlPr>
                      <w:rPr>
                        <w:rFonts w:ascii="Cambria Math" w:eastAsia="DengXian" w:hAnsi="Cambria Math" w:cs="Arial"/>
                        <w:b w:val="0"/>
                        <w:bCs w:val="0"/>
                        <w:i/>
                        <w:sz w:val="22"/>
                        <w:szCs w:val="22"/>
                      </w:rPr>
                    </m:ctrlPr>
                  </m:sSubPr>
                  <m:e>
                    <m:r>
                      <m:rPr>
                        <m:sty m:val="bi"/>
                      </m:rPr>
                      <w:rPr>
                        <w:rFonts w:ascii="Cambria Math" w:eastAsia="DengXian" w:hAnsi="Cambria Math" w:cs="Arial"/>
                        <w:sz w:val="22"/>
                        <w:szCs w:val="22"/>
                      </w:rPr>
                      <m:t>S</m:t>
                    </m:r>
                  </m:e>
                  <m:sub>
                    <m:r>
                      <m:rPr>
                        <m:sty m:val="bi"/>
                      </m:rPr>
                      <w:rPr>
                        <w:rFonts w:ascii="Cambria Math" w:eastAsia="DengXian" w:hAnsi="Cambria Math" w:cs="Arial"/>
                        <w:sz w:val="22"/>
                        <w:szCs w:val="22"/>
                      </w:rPr>
                      <m:t>qhs</m:t>
                    </m:r>
                  </m:sub>
                </m:sSub>
              </m:oMath>
            </m:oMathPara>
          </w:p>
        </w:tc>
        <w:tc>
          <w:tcPr>
            <w:tcW w:w="8056" w:type="dxa"/>
          </w:tcPr>
          <w:p w:rsidR="000623D8" w:rsidRPr="005F5605" w:rsidRDefault="000623D8" w:rsidP="000731FD">
            <w:pPr>
              <w:spacing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F5605">
              <w:rPr>
                <w:rFonts w:ascii="Arial" w:hAnsi="Arial" w:cs="Arial"/>
                <w:sz w:val="22"/>
                <w:szCs w:val="22"/>
              </w:rPr>
              <w:t xml:space="preserve">Proportion undergoing </w:t>
            </w:r>
            <w:r w:rsidRPr="005F5605">
              <w:rPr>
                <w:rFonts w:ascii="Arial" w:hAnsi="Arial" w:cs="Arial"/>
                <w:i/>
                <w:iCs/>
                <w:sz w:val="22"/>
                <w:szCs w:val="22"/>
              </w:rPr>
              <w:t xml:space="preserve">second-line TB treatment </w:t>
            </w:r>
            <w:r w:rsidRPr="005F5605">
              <w:rPr>
                <w:rFonts w:ascii="Arial" w:hAnsi="Arial" w:cs="Arial"/>
                <w:sz w:val="22"/>
                <w:szCs w:val="22"/>
              </w:rPr>
              <w:t xml:space="preserve">with provider type </w:t>
            </w:r>
            <w:r w:rsidRPr="005F5605">
              <w:rPr>
                <w:rFonts w:ascii="Arial" w:hAnsi="Arial" w:cs="Arial"/>
                <w:i/>
                <w:iCs/>
                <w:sz w:val="22"/>
                <w:szCs w:val="22"/>
              </w:rPr>
              <w:t>q</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011" w:type="dxa"/>
            <w:vAlign w:val="center"/>
          </w:tcPr>
          <w:p w:rsidR="000623D8" w:rsidRPr="005F5605" w:rsidRDefault="005F5605" w:rsidP="000731FD">
            <w:pPr>
              <w:spacing w:line="312" w:lineRule="auto"/>
              <w:jc w:val="center"/>
              <w:rPr>
                <w:rFonts w:ascii="Arial" w:eastAsia="DengXian" w:hAnsi="Arial" w:cs="Arial"/>
                <w:b w:val="0"/>
                <w:bCs w:val="0"/>
                <w:sz w:val="22"/>
                <w:szCs w:val="22"/>
              </w:rPr>
            </w:pPr>
            <m:oMathPara>
              <m:oMath>
                <m:sSub>
                  <m:sSubPr>
                    <m:ctrlPr>
                      <w:rPr>
                        <w:rFonts w:ascii="Cambria Math" w:eastAsia="DengXian" w:hAnsi="Cambria Math" w:cs="Arial"/>
                        <w:b w:val="0"/>
                        <w:bCs w:val="0"/>
                        <w:i/>
                        <w:sz w:val="22"/>
                        <w:szCs w:val="22"/>
                      </w:rPr>
                    </m:ctrlPr>
                  </m:sSubPr>
                  <m:e>
                    <m:r>
                      <m:rPr>
                        <m:sty m:val="bi"/>
                      </m:rPr>
                      <w:rPr>
                        <w:rFonts w:ascii="Cambria Math" w:eastAsia="DengXian" w:hAnsi="Cambria Math" w:cs="Arial"/>
                        <w:sz w:val="22"/>
                        <w:szCs w:val="22"/>
                      </w:rPr>
                      <m:t>B</m:t>
                    </m:r>
                  </m:e>
                  <m:sub>
                    <m:r>
                      <m:rPr>
                        <m:sty m:val="bi"/>
                      </m:rPr>
                      <w:rPr>
                        <w:rFonts w:ascii="Cambria Math" w:eastAsia="DengXian" w:hAnsi="Cambria Math" w:cs="Arial"/>
                        <w:sz w:val="22"/>
                        <w:szCs w:val="22"/>
                      </w:rPr>
                      <m:t>hs</m:t>
                    </m:r>
                  </m:sub>
                </m:sSub>
              </m:oMath>
            </m:oMathPara>
          </w:p>
        </w:tc>
        <w:tc>
          <w:tcPr>
            <w:tcW w:w="8056" w:type="dxa"/>
          </w:tcPr>
          <w:p w:rsidR="000623D8" w:rsidRPr="005F5605" w:rsidRDefault="000623D8" w:rsidP="000731FD">
            <w:pPr>
              <w:spacing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5F5605">
              <w:rPr>
                <w:rFonts w:ascii="Arial" w:hAnsi="Arial" w:cs="Arial"/>
                <w:sz w:val="22"/>
                <w:szCs w:val="22"/>
              </w:rPr>
              <w:t>Proportion who have temporarily dropped out of care cascade, due to missed diagnosis, pre-treatment loss-to-</w:t>
            </w:r>
            <w:proofErr w:type="spellStart"/>
            <w:r w:rsidRPr="005F5605">
              <w:rPr>
                <w:rFonts w:ascii="Arial" w:hAnsi="Arial" w:cs="Arial"/>
                <w:sz w:val="22"/>
                <w:szCs w:val="22"/>
              </w:rPr>
              <w:t>followup</w:t>
            </w:r>
            <w:proofErr w:type="spellEnd"/>
            <w:r w:rsidRPr="005F5605">
              <w:rPr>
                <w:rFonts w:ascii="Arial" w:hAnsi="Arial" w:cs="Arial"/>
                <w:sz w:val="22"/>
                <w:szCs w:val="22"/>
              </w:rPr>
              <w:t>, or treatment failure</w:t>
            </w:r>
          </w:p>
        </w:tc>
      </w:tr>
    </w:tbl>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outlineLvl w:val="0"/>
        <w:rPr>
          <w:rFonts w:ascii="Arial" w:hAnsi="Arial" w:cs="Arial"/>
          <w:b/>
          <w:bCs/>
          <w:sz w:val="22"/>
          <w:szCs w:val="22"/>
        </w:rPr>
      </w:pPr>
    </w:p>
    <w:p w:rsidR="000623D8" w:rsidRPr="005F5605" w:rsidRDefault="000623D8" w:rsidP="000623D8">
      <w:pPr>
        <w:rPr>
          <w:rFonts w:ascii="Arial" w:hAnsi="Arial" w:cs="Arial"/>
          <w:sz w:val="22"/>
          <w:szCs w:val="22"/>
        </w:rPr>
      </w:pPr>
    </w:p>
    <w:p w:rsidR="000623D8" w:rsidRPr="005F5605" w:rsidRDefault="000623D8" w:rsidP="000623D8">
      <w:pPr>
        <w:rPr>
          <w:rFonts w:ascii="Arial" w:hAnsi="Arial" w:cs="Arial"/>
          <w:sz w:val="22"/>
          <w:szCs w:val="22"/>
        </w:rPr>
      </w:pPr>
      <w:r w:rsidRPr="005F5605">
        <w:rPr>
          <w:rFonts w:ascii="Arial" w:hAnsi="Arial" w:cs="Arial"/>
          <w:sz w:val="22"/>
          <w:szCs w:val="22"/>
        </w:rPr>
        <w:br w:type="page"/>
      </w:r>
      <w:r w:rsidRPr="005F5605">
        <w:rPr>
          <w:rFonts w:ascii="Arial" w:hAnsi="Arial" w:cs="Arial"/>
          <w:b/>
          <w:bCs/>
          <w:sz w:val="22"/>
          <w:szCs w:val="22"/>
        </w:rPr>
        <w:lastRenderedPageBreak/>
        <w:t xml:space="preserve">2. Model calibration and uncertainty </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We calibrated the model to the data summarised in table S2, performing two steps: (</w:t>
      </w:r>
      <w:proofErr w:type="spellStart"/>
      <w:r w:rsidRPr="005F5605">
        <w:rPr>
          <w:rFonts w:ascii="Arial" w:hAnsi="Arial" w:cs="Arial"/>
          <w:sz w:val="22"/>
          <w:szCs w:val="22"/>
        </w:rPr>
        <w:t>i</w:t>
      </w:r>
      <w:proofErr w:type="spellEnd"/>
      <w:r w:rsidRPr="005F5605">
        <w:rPr>
          <w:rFonts w:ascii="Arial" w:hAnsi="Arial" w:cs="Arial"/>
          <w:sz w:val="22"/>
          <w:szCs w:val="22"/>
        </w:rPr>
        <w:t xml:space="preserve">) using Bayesian Markov Chain Monte Carlo (MCMC) to sample from the posterior density for the model parameters </w:t>
      </w:r>
      <m:oMath>
        <m:r>
          <w:rPr>
            <w:rFonts w:ascii="Cambria Math" w:hAnsi="Cambria Math" w:cs="Arial"/>
            <w:sz w:val="22"/>
            <w:szCs w:val="22"/>
          </w:rPr>
          <m:t>θ</m:t>
        </m:r>
      </m:oMath>
      <w:r w:rsidRPr="005F5605">
        <w:rPr>
          <w:rFonts w:ascii="Arial" w:hAnsi="Arial" w:cs="Arial"/>
          <w:sz w:val="22"/>
          <w:szCs w:val="22"/>
        </w:rPr>
        <w:t>, and (ii) using these samples to project future impact of preventive therapy, along with the uncertainty in this impact. Further details on the second step are provided below (see ‘Modelling the impact of preventive therapy’). Further details on the first step are as follows.</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i/>
          <w:iCs/>
          <w:sz w:val="22"/>
          <w:szCs w:val="22"/>
        </w:rPr>
      </w:pPr>
      <w:r w:rsidRPr="005F5605">
        <w:rPr>
          <w:rFonts w:ascii="Arial" w:hAnsi="Arial" w:cs="Arial"/>
          <w:i/>
          <w:iCs/>
          <w:sz w:val="22"/>
          <w:szCs w:val="22"/>
        </w:rPr>
        <w:t xml:space="preserve">Evaluating the posterior density for a given set of model parameters </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 xml:space="preserve"> Given a set of model </w:t>
      </w:r>
      <w:proofErr w:type="gramStart"/>
      <w:r w:rsidRPr="005F5605">
        <w:rPr>
          <w:rFonts w:ascii="Arial" w:hAnsi="Arial" w:cs="Arial"/>
          <w:sz w:val="22"/>
          <w:szCs w:val="22"/>
        </w:rPr>
        <w:t xml:space="preserve">parameters </w:t>
      </w:r>
      <w:proofErr w:type="gramEnd"/>
      <m:oMath>
        <m:r>
          <w:rPr>
            <w:rFonts w:ascii="Cambria Math" w:hAnsi="Cambria Math" w:cs="Arial"/>
            <w:sz w:val="22"/>
            <w:szCs w:val="22"/>
          </w:rPr>
          <m:t>θ</m:t>
        </m:r>
      </m:oMath>
      <w:r w:rsidRPr="005F5605">
        <w:rPr>
          <w:rFonts w:ascii="Arial" w:hAnsi="Arial" w:cs="Arial"/>
          <w:sz w:val="22"/>
          <w:szCs w:val="22"/>
        </w:rPr>
        <w:t>, we first simulated the TB epidemic to equilibrium in the absence of HIV and rifampicin-resistant TB, as well as in the absence of a public sector, assuming that in the pre-DOTS era, the standard of TB care was equivalent in both public and private sectors. We then simulated the emergence of both HIV and rifampicin resistance starting in 1990. We also simulated the expansion of high-quality public sector TB services, over a period consistent with the establishment of nationally coordinated TB programmes in each country: for example, the expansion of India’s Revised National Tuberculosis Control Programme from 1997 to 2007</w:t>
      </w:r>
      <w:r w:rsidRPr="005F5605">
        <w:rPr>
          <w:rFonts w:ascii="Arial" w:hAnsi="Arial" w:cs="Arial"/>
          <w:sz w:val="22"/>
          <w:szCs w:val="22"/>
        </w:rPr>
        <w:fldChar w:fldCharType="begin" w:fldLock="1"/>
      </w:r>
      <w:r w:rsidRPr="005F5605">
        <w:rPr>
          <w:rFonts w:ascii="Arial" w:hAnsi="Arial" w:cs="Arial"/>
          <w:sz w:val="22"/>
          <w:szCs w:val="22"/>
        </w:rPr>
        <w:instrText>ADDIN CSL_CITATION {"citationItems":[{"id":"ITEM-1","itemData":{"DOI":"10.1186/s12916-017-0809-5","ISSN":"17417015","abstract":"Background: Against the backdrop of renewed efforts to control tuberculosis (TB) worldwide, there is a need for improved methods to estimate the public health impact of TB programmes. Such methods should not only address the improved outcomes amongst those receiving care but should also account for the impact of TB services on reducing transmission. Methods: Vital registration data in India are not sufficiently reliable for estimates of TB mortality. As an alternative approach, we developed a mathematical model of TB transmission dynamics and mortality, capturing the scale-up of DOTS in India, through the rollout of the Revised National TB Control Programme (RNTCP). We used available data from the literature to calculate TB mortality hazards amongst untreated TB; amongst cases treated under RNTCP; and amongst cases treated under non-RNTCP conditions. Using a Bayesian evidence synthesis framework, we combined these data with current estimates for the TB burden in India to calibrate the transmission model. We simulated the national TB epidemic in the presence and absence of the DOTS programme, measuring lives saved as the difference in TB deaths between these scenarios. Results: From 1997 to 2016, India's RNTCP has saved 7.75 million lives (95% Bayesian credible interval 6.29-8.82 million). We estimate that 42% of this impact was due to the 'indirect' effects of the RNTCP in averting transmission as well as improving treatment outcomes. Conclusions: When expanding high-quality TB services, a substantial proportion of overall impact derives from preventive, as well as curative, benefits. Mathematical models, together with sufficient data, can be a helpful tool in estimating the true population impact of major disease control programmes.","author":[{"dropping-particle":"","family":"Mandal","given":"Sandip","non-dropping-particle":"","parse-names":false,"suffix":""},{"dropping-particle":"","family":"Chadha","given":"Vineet K.","non-dropping-particle":"","parse-names":false,"suffix":""},{"dropping-particle":"","family":"Laxminarayan","given":"Ramanan","non-dropping-particle":"","parse-names":false,"suffix":""},{"dropping-particle":"","family":"Arinaminpathy","given":"Nimalan","non-dropping-particle":"","parse-names":false,"suffix":""}],"container-title":"BMC Medicine","id":"ITEM-1","issued":{"date-parts":[["2017"]]},"title":"Counting the lives saved by DOTS in India: A model-based approach","type":"article-journal"},"uris":["http://www.mendeley.com/documents/?uuid=5036cfd7-c8db-4447-bffa-91801a5b4c39"]}],"mendeley":{"formattedCitation":"&lt;sup&gt;21&lt;/sup&gt;","plainTextFormattedCitation":"21","previouslyFormattedCitation":"&lt;sup&gt;21&lt;/sup&gt;"},"properties":{"noteIndex":0},"schema":"https://github.com/citation-style-language/schema/raw/master/csl-citation.json"}</w:instrText>
      </w:r>
      <w:r w:rsidRPr="005F5605">
        <w:rPr>
          <w:rFonts w:ascii="Arial" w:hAnsi="Arial" w:cs="Arial"/>
          <w:sz w:val="22"/>
          <w:szCs w:val="22"/>
        </w:rPr>
        <w:fldChar w:fldCharType="separate"/>
      </w:r>
      <w:r w:rsidRPr="005F5605">
        <w:rPr>
          <w:rFonts w:ascii="Arial" w:hAnsi="Arial" w:cs="Arial"/>
          <w:noProof/>
          <w:sz w:val="22"/>
          <w:szCs w:val="22"/>
          <w:vertAlign w:val="superscript"/>
        </w:rPr>
        <w:t>21</w:t>
      </w:r>
      <w:r w:rsidRPr="005F5605">
        <w:rPr>
          <w:rFonts w:ascii="Arial" w:hAnsi="Arial" w:cs="Arial"/>
          <w:sz w:val="22"/>
          <w:szCs w:val="22"/>
        </w:rPr>
        <w:fldChar w:fldCharType="end"/>
      </w:r>
      <w:r w:rsidRPr="005F5605">
        <w:rPr>
          <w:rFonts w:ascii="Arial" w:hAnsi="Arial" w:cs="Arial"/>
          <w:sz w:val="22"/>
          <w:szCs w:val="22"/>
        </w:rPr>
        <w:t xml:space="preserve">. We then simulated the model forward in time, to the year 2018. </w:t>
      </w:r>
      <w:proofErr w:type="gramStart"/>
      <w:r w:rsidRPr="005F5605">
        <w:rPr>
          <w:rFonts w:ascii="Arial" w:hAnsi="Arial" w:cs="Arial"/>
          <w:sz w:val="22"/>
          <w:szCs w:val="22"/>
        </w:rPr>
        <w:t>each</w:t>
      </w:r>
      <w:proofErr w:type="gramEnd"/>
      <w:r w:rsidRPr="005F5605">
        <w:rPr>
          <w:rFonts w:ascii="Arial" w:hAnsi="Arial" w:cs="Arial"/>
          <w:sz w:val="22"/>
          <w:szCs w:val="22"/>
        </w:rPr>
        <w:t xml:space="preserve"> of the calibration targets shown in table S2 in 2018. </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 xml:space="preserve">For a given country, we write </w:t>
      </w:r>
      <m:oMath>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Inc</m:t>
            </m:r>
          </m:sub>
          <m:sup>
            <m:d>
              <m:dPr>
                <m:ctrlPr>
                  <w:rPr>
                    <w:rFonts w:ascii="Cambria Math" w:hAnsi="Cambria Math" w:cs="Arial"/>
                    <w:i/>
                    <w:sz w:val="22"/>
                    <w:szCs w:val="22"/>
                  </w:rPr>
                </m:ctrlPr>
              </m:dPr>
              <m:e>
                <m:r>
                  <w:rPr>
                    <w:rFonts w:ascii="Cambria Math" w:hAnsi="Cambria Math" w:cs="Arial"/>
                    <w:sz w:val="22"/>
                    <w:szCs w:val="22"/>
                  </w:rPr>
                  <m:t>t</m:t>
                </m:r>
              </m:e>
            </m:d>
          </m:sup>
        </m:sSubSup>
        <m:r>
          <w:rPr>
            <w:rFonts w:ascii="Cambria Math" w:hAnsi="Cambria Math" w:cs="Arial"/>
            <w:sz w:val="22"/>
            <w:szCs w:val="22"/>
          </w:rPr>
          <m:t>(.)</m:t>
        </m:r>
      </m:oMath>
      <w:r w:rsidRPr="005F5605">
        <w:rPr>
          <w:rFonts w:ascii="Arial" w:hAnsi="Arial" w:cs="Arial"/>
          <w:sz w:val="22"/>
          <w:szCs w:val="22"/>
        </w:rPr>
        <w:t xml:space="preserve"> for the log-likelihood function for incidence in </w:t>
      </w:r>
      <w:proofErr w:type="gramStart"/>
      <w:r w:rsidRPr="005F5605">
        <w:rPr>
          <w:rFonts w:ascii="Arial" w:hAnsi="Arial" w:cs="Arial"/>
          <w:sz w:val="22"/>
          <w:szCs w:val="22"/>
        </w:rPr>
        <w:t xml:space="preserve">year </w:t>
      </w:r>
      <w:proofErr w:type="gramEnd"/>
      <m:oMath>
        <m:r>
          <w:rPr>
            <w:rFonts w:ascii="Cambria Math" w:hAnsi="Cambria Math" w:cs="Arial"/>
            <w:sz w:val="22"/>
            <w:szCs w:val="22"/>
          </w:rPr>
          <m:t>t</m:t>
        </m:r>
      </m:oMath>
      <w:r w:rsidRPr="005F5605">
        <w:rPr>
          <w:rFonts w:ascii="Arial" w:hAnsi="Arial" w:cs="Arial"/>
          <w:sz w:val="22"/>
          <w:szCs w:val="22"/>
        </w:rPr>
        <w:t xml:space="preserve">, and likewise </w:t>
      </w:r>
      <m:oMath>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Mor</m:t>
            </m:r>
          </m:sub>
          <m:sup>
            <m:d>
              <m:dPr>
                <m:ctrlPr>
                  <w:rPr>
                    <w:rFonts w:ascii="Cambria Math" w:hAnsi="Cambria Math" w:cs="Arial"/>
                    <w:i/>
                    <w:sz w:val="22"/>
                    <w:szCs w:val="22"/>
                  </w:rPr>
                </m:ctrlPr>
              </m:dPr>
              <m:e>
                <m:r>
                  <w:rPr>
                    <w:rFonts w:ascii="Cambria Math" w:hAnsi="Cambria Math" w:cs="Arial"/>
                    <w:sz w:val="22"/>
                    <w:szCs w:val="22"/>
                  </w:rPr>
                  <m:t>t</m:t>
                </m:r>
              </m:e>
            </m:d>
          </m:sup>
        </m:sSubSup>
        <m:r>
          <w:rPr>
            <w:rFonts w:ascii="Cambria Math" w:hAnsi="Cambria Math" w:cs="Arial"/>
            <w:sz w:val="22"/>
            <w:szCs w:val="22"/>
          </w:rPr>
          <m:t>(.)</m:t>
        </m:r>
      </m:oMath>
      <w:r w:rsidRPr="005F5605">
        <w:rPr>
          <w:rFonts w:ascii="Arial" w:hAnsi="Arial" w:cs="Arial"/>
          <w:sz w:val="22"/>
          <w:szCs w:val="22"/>
        </w:rPr>
        <w:t xml:space="preserve"> for the corresponding function for mortality in year </w:t>
      </w:r>
      <m:oMath>
        <m:r>
          <w:rPr>
            <w:rFonts w:ascii="Cambria Math" w:hAnsi="Cambria Math" w:cs="Arial"/>
            <w:sz w:val="22"/>
            <w:szCs w:val="22"/>
          </w:rPr>
          <m:t>t</m:t>
        </m:r>
      </m:oMath>
      <w:r w:rsidRPr="005F5605">
        <w:rPr>
          <w:rFonts w:ascii="Arial" w:hAnsi="Arial" w:cs="Arial"/>
          <w:sz w:val="22"/>
          <w:szCs w:val="22"/>
        </w:rPr>
        <w:t xml:space="preserve">, both constructed by fitting log-normal probability densities to WHO estimates for annual incidence and mortality (ref). Likewise, for remaining calibration targets shown in table S2, we write </w:t>
      </w:r>
      <m:oMath>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Prev</m:t>
            </m:r>
          </m:sub>
          <m:sup>
            <m:d>
              <m:dPr>
                <m:ctrlPr>
                  <w:rPr>
                    <w:rFonts w:ascii="Cambria Math" w:hAnsi="Cambria Math" w:cs="Arial"/>
                    <w:i/>
                    <w:sz w:val="22"/>
                    <w:szCs w:val="22"/>
                  </w:rPr>
                </m:ctrlPr>
              </m:dPr>
              <m:e>
                <m:r>
                  <w:rPr>
                    <w:rFonts w:ascii="Cambria Math" w:hAnsi="Cambria Math" w:cs="Arial"/>
                    <w:sz w:val="22"/>
                    <w:szCs w:val="22"/>
                  </w:rPr>
                  <m:t>t</m:t>
                </m:r>
              </m:e>
            </m:d>
          </m:sup>
        </m:sSubSup>
        <m:r>
          <w:rPr>
            <w:rFonts w:ascii="Cambria Math" w:hAnsi="Cambria Math" w:cs="Arial"/>
            <w:sz w:val="22"/>
            <w:szCs w:val="22"/>
          </w:rPr>
          <m:t xml:space="preserve">, </m:t>
        </m:r>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IncHIV</m:t>
            </m:r>
          </m:sub>
          <m:sup>
            <m:d>
              <m:dPr>
                <m:ctrlPr>
                  <w:rPr>
                    <w:rFonts w:ascii="Cambria Math" w:hAnsi="Cambria Math" w:cs="Arial"/>
                    <w:i/>
                    <w:sz w:val="22"/>
                    <w:szCs w:val="22"/>
                  </w:rPr>
                </m:ctrlPr>
              </m:dPr>
              <m:e>
                <m:r>
                  <w:rPr>
                    <w:rFonts w:ascii="Cambria Math" w:hAnsi="Cambria Math" w:cs="Arial"/>
                    <w:sz w:val="22"/>
                    <w:szCs w:val="22"/>
                  </w:rPr>
                  <m:t>t</m:t>
                </m:r>
              </m:e>
            </m:d>
          </m:sup>
        </m:sSubSup>
        <m:r>
          <w:rPr>
            <w:rFonts w:ascii="Cambria Math" w:hAnsi="Cambria Math" w:cs="Arial"/>
            <w:sz w:val="22"/>
            <w:szCs w:val="22"/>
          </w:rPr>
          <m:t xml:space="preserve">, </m:t>
        </m:r>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RR</m:t>
            </m:r>
          </m:sub>
          <m:sup>
            <m:d>
              <m:dPr>
                <m:ctrlPr>
                  <w:rPr>
                    <w:rFonts w:ascii="Cambria Math" w:hAnsi="Cambria Math" w:cs="Arial"/>
                    <w:i/>
                    <w:sz w:val="22"/>
                    <w:szCs w:val="22"/>
                  </w:rPr>
                </m:ctrlPr>
              </m:dPr>
              <m:e>
                <m:r>
                  <w:rPr>
                    <w:rFonts w:ascii="Cambria Math" w:hAnsi="Cambria Math" w:cs="Arial"/>
                    <w:sz w:val="22"/>
                    <w:szCs w:val="22"/>
                  </w:rPr>
                  <m:t>t</m:t>
                </m:r>
              </m:e>
            </m:d>
          </m:sup>
        </m:sSubSup>
        <m:r>
          <w:rPr>
            <w:rFonts w:ascii="Cambria Math" w:hAnsi="Cambria Math" w:cs="Arial"/>
            <w:sz w:val="22"/>
            <w:szCs w:val="22"/>
          </w:rPr>
          <m:t xml:space="preserve">, </m:t>
        </m:r>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Notif</m:t>
            </m:r>
          </m:sub>
          <m:sup>
            <m:d>
              <m:dPr>
                <m:ctrlPr>
                  <w:rPr>
                    <w:rFonts w:ascii="Cambria Math" w:hAnsi="Cambria Math" w:cs="Arial"/>
                    <w:i/>
                    <w:sz w:val="22"/>
                    <w:szCs w:val="22"/>
                  </w:rPr>
                </m:ctrlPr>
              </m:dPr>
              <m:e>
                <m:r>
                  <w:rPr>
                    <w:rFonts w:ascii="Cambria Math" w:hAnsi="Cambria Math" w:cs="Arial"/>
                    <w:sz w:val="22"/>
                    <w:szCs w:val="22"/>
                  </w:rPr>
                  <m:t>t</m:t>
                </m:r>
              </m:e>
            </m:d>
          </m:sup>
        </m:sSubSup>
        <m:r>
          <w:rPr>
            <w:rFonts w:ascii="Cambria Math" w:hAnsi="Cambria Math" w:cs="Arial"/>
            <w:sz w:val="22"/>
            <w:szCs w:val="22"/>
          </w:rPr>
          <m:t xml:space="preserve">, </m:t>
        </m:r>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RRNotif</m:t>
            </m:r>
          </m:sub>
          <m:sup>
            <m:d>
              <m:dPr>
                <m:ctrlPr>
                  <w:rPr>
                    <w:rFonts w:ascii="Cambria Math" w:hAnsi="Cambria Math" w:cs="Arial"/>
                    <w:i/>
                    <w:sz w:val="22"/>
                    <w:szCs w:val="22"/>
                  </w:rPr>
                </m:ctrlPr>
              </m:dPr>
              <m:e>
                <m:r>
                  <w:rPr>
                    <w:rFonts w:ascii="Cambria Math" w:hAnsi="Cambria Math" w:cs="Arial"/>
                    <w:sz w:val="22"/>
                    <w:szCs w:val="22"/>
                  </w:rPr>
                  <m:t>t</m:t>
                </m:r>
              </m:e>
            </m:d>
          </m:sup>
        </m:sSubSup>
      </m:oMath>
      <w:r w:rsidRPr="005F5605">
        <w:rPr>
          <w:rFonts w:ascii="Arial" w:hAnsi="Arial" w:cs="Arial"/>
          <w:sz w:val="22"/>
          <w:szCs w:val="22"/>
        </w:rPr>
        <w:t xml:space="preserve"> for the log-likelihood terms relating, respectively, to: prevalence, incidence of TB that is HIV-</w:t>
      </w:r>
      <w:proofErr w:type="spellStart"/>
      <w:r w:rsidRPr="005F5605">
        <w:rPr>
          <w:rFonts w:ascii="Arial" w:hAnsi="Arial" w:cs="Arial"/>
          <w:sz w:val="22"/>
          <w:szCs w:val="22"/>
        </w:rPr>
        <w:t>coinfected</w:t>
      </w:r>
      <w:proofErr w:type="spellEnd"/>
      <w:r w:rsidRPr="005F5605">
        <w:rPr>
          <w:rFonts w:ascii="Arial" w:hAnsi="Arial" w:cs="Arial"/>
          <w:sz w:val="22"/>
          <w:szCs w:val="22"/>
        </w:rPr>
        <w:t xml:space="preserve">; the proportion of TB that is RR-TB; overall notifications; and RR-TB notifications. We used log-normal distributions for all quantities that are population rates, and beta distributions for all quantities that are proportions. Finally, we write </w:t>
      </w:r>
      <m:oMath>
        <m:sSubSup>
          <m:sSubSupPr>
            <m:ctrlPr>
              <w:rPr>
                <w:rFonts w:ascii="Cambria Math" w:hAnsi="Cambria Math" w:cs="Arial"/>
                <w:i/>
                <w:sz w:val="22"/>
                <w:szCs w:val="22"/>
              </w:rPr>
            </m:ctrlPr>
          </m:sSubSupPr>
          <m:e>
            <m:r>
              <w:rPr>
                <w:rFonts w:ascii="Cambria Math" w:hAnsi="Cambria Math" w:cs="Arial"/>
                <w:sz w:val="22"/>
                <w:szCs w:val="22"/>
              </w:rPr>
              <m:t>M</m:t>
            </m:r>
          </m:e>
          <m:sub>
            <m:r>
              <w:rPr>
                <w:rFonts w:ascii="Cambria Math" w:hAnsi="Cambria Math" w:cs="Arial"/>
                <w:sz w:val="22"/>
                <w:szCs w:val="22"/>
              </w:rPr>
              <m:t>Inc</m:t>
            </m:r>
          </m:sub>
          <m:sup>
            <m:d>
              <m:dPr>
                <m:ctrlPr>
                  <w:rPr>
                    <w:rFonts w:ascii="Cambria Math" w:hAnsi="Cambria Math" w:cs="Arial"/>
                    <w:i/>
                    <w:sz w:val="22"/>
                    <w:szCs w:val="22"/>
                  </w:rPr>
                </m:ctrlPr>
              </m:dPr>
              <m:e>
                <m:r>
                  <w:rPr>
                    <w:rFonts w:ascii="Cambria Math" w:hAnsi="Cambria Math" w:cs="Arial"/>
                    <w:sz w:val="22"/>
                    <w:szCs w:val="22"/>
                  </w:rPr>
                  <m:t>t</m:t>
                </m:r>
              </m:e>
            </m:d>
          </m:sup>
        </m:sSubSup>
        <m:r>
          <w:rPr>
            <w:rFonts w:ascii="Cambria Math" w:hAnsi="Cambria Math" w:cs="Arial"/>
            <w:sz w:val="22"/>
            <w:szCs w:val="22"/>
          </w:rPr>
          <m:t>(θ)</m:t>
        </m:r>
      </m:oMath>
      <w:r w:rsidRPr="005F5605">
        <w:rPr>
          <w:rFonts w:ascii="Arial" w:hAnsi="Arial" w:cs="Arial"/>
          <w:sz w:val="22"/>
          <w:szCs w:val="22"/>
        </w:rPr>
        <w:t xml:space="preserve"> for the model projection for incidence in year </w:t>
      </w:r>
      <m:oMath>
        <m:r>
          <w:rPr>
            <w:rFonts w:ascii="Cambria Math" w:hAnsi="Cambria Math" w:cs="Arial"/>
            <w:sz w:val="22"/>
            <w:szCs w:val="22"/>
          </w:rPr>
          <m:t>t</m:t>
        </m:r>
      </m:oMath>
      <w:r w:rsidRPr="005F5605">
        <w:rPr>
          <w:rFonts w:ascii="Arial" w:hAnsi="Arial" w:cs="Arial"/>
          <w:sz w:val="22"/>
          <w:szCs w:val="22"/>
        </w:rPr>
        <w:t xml:space="preserve"> given input </w:t>
      </w:r>
      <w:proofErr w:type="gramStart"/>
      <w:r w:rsidRPr="005F5605">
        <w:rPr>
          <w:rFonts w:ascii="Arial" w:hAnsi="Arial" w:cs="Arial"/>
          <w:sz w:val="22"/>
          <w:szCs w:val="22"/>
        </w:rPr>
        <w:t xml:space="preserve">parameters </w:t>
      </w:r>
      <w:proofErr w:type="gramEnd"/>
      <m:oMath>
        <m:r>
          <w:rPr>
            <w:rFonts w:ascii="Cambria Math" w:hAnsi="Cambria Math" w:cs="Arial"/>
            <w:sz w:val="22"/>
            <w:szCs w:val="22"/>
          </w:rPr>
          <m:t>θ</m:t>
        </m:r>
      </m:oMath>
      <w:r w:rsidRPr="005F5605">
        <w:rPr>
          <w:rFonts w:ascii="Arial" w:hAnsi="Arial" w:cs="Arial"/>
          <w:sz w:val="22"/>
          <w:szCs w:val="22"/>
        </w:rPr>
        <w:t>, and likewise for each of the subscripts on log-likelihood terms listed above. Overall then, the full posterior density is given by:</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m:oMathPara>
        <m:oMath>
          <m:r>
            <w:rPr>
              <w:rFonts w:ascii="Cambria Math" w:hAnsi="Cambria Math" w:cs="Arial"/>
              <w:sz w:val="22"/>
              <w:szCs w:val="22"/>
            </w:rPr>
            <m:t>π</m:t>
          </m:r>
          <m:d>
            <m:dPr>
              <m:ctrlPr>
                <w:rPr>
                  <w:rFonts w:ascii="Cambria Math" w:hAnsi="Cambria Math" w:cs="Arial"/>
                  <w:i/>
                  <w:sz w:val="22"/>
                  <w:szCs w:val="22"/>
                </w:rPr>
              </m:ctrlPr>
            </m:dPr>
            <m:e>
              <m:r>
                <w:rPr>
                  <w:rFonts w:ascii="Cambria Math" w:hAnsi="Cambria Math" w:cs="Arial"/>
                  <w:sz w:val="22"/>
                  <w:szCs w:val="22"/>
                </w:rPr>
                <m:t>θ</m:t>
              </m:r>
            </m:e>
          </m:d>
          <m:r>
            <w:rPr>
              <w:rFonts w:ascii="Cambria Math" w:hAnsi="Cambria Math" w:cs="Arial"/>
              <w:sz w:val="22"/>
              <w:szCs w:val="22"/>
            </w:rPr>
            <m:t>=</m:t>
          </m:r>
          <m:d>
            <m:dPr>
              <m:begChr m:val="["/>
              <m:endChr m:val="]"/>
              <m:ctrlPr>
                <w:rPr>
                  <w:rFonts w:ascii="Cambria Math" w:hAnsi="Cambria Math" w:cs="Arial"/>
                  <w:i/>
                  <w:sz w:val="22"/>
                  <w:szCs w:val="22"/>
                </w:rPr>
              </m:ctrlPr>
            </m:dPr>
            <m:e>
              <m:nary>
                <m:naryPr>
                  <m:chr m:val="∑"/>
                  <m:ctrlPr>
                    <w:rPr>
                      <w:rFonts w:ascii="Cambria Math" w:hAnsi="Cambria Math" w:cs="Arial"/>
                      <w:i/>
                      <w:sz w:val="22"/>
                      <w:szCs w:val="22"/>
                    </w:rPr>
                  </m:ctrlPr>
                </m:naryPr>
                <m:sub>
                  <m:r>
                    <w:rPr>
                      <w:rFonts w:ascii="Cambria Math" w:hAnsi="Cambria Math" w:cs="Arial"/>
                      <w:sz w:val="22"/>
                      <w:szCs w:val="22"/>
                    </w:rPr>
                    <m:t>2013</m:t>
                  </m:r>
                </m:sub>
                <m:sup>
                  <m:r>
                    <w:rPr>
                      <w:rFonts w:ascii="Cambria Math" w:hAnsi="Cambria Math" w:cs="Arial"/>
                      <w:sz w:val="22"/>
                      <w:szCs w:val="22"/>
                    </w:rPr>
                    <m:t>2018</m:t>
                  </m:r>
                </m:sup>
                <m:e>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Inc</m:t>
                      </m:r>
                    </m:sub>
                    <m:sup>
                      <m:d>
                        <m:dPr>
                          <m:ctrlPr>
                            <w:rPr>
                              <w:rFonts w:ascii="Cambria Math" w:hAnsi="Cambria Math" w:cs="Arial"/>
                              <w:i/>
                              <w:sz w:val="22"/>
                              <w:szCs w:val="22"/>
                            </w:rPr>
                          </m:ctrlPr>
                        </m:dPr>
                        <m:e>
                          <m:r>
                            <w:rPr>
                              <w:rFonts w:ascii="Cambria Math" w:hAnsi="Cambria Math" w:cs="Arial"/>
                              <w:sz w:val="22"/>
                              <w:szCs w:val="22"/>
                            </w:rPr>
                            <m:t>t</m:t>
                          </m:r>
                        </m:e>
                      </m:d>
                    </m:sup>
                  </m:sSubSup>
                  <m:d>
                    <m:dPr>
                      <m:ctrlPr>
                        <w:rPr>
                          <w:rFonts w:ascii="Cambria Math" w:hAnsi="Cambria Math" w:cs="Arial"/>
                          <w:i/>
                          <w:sz w:val="22"/>
                          <w:szCs w:val="22"/>
                        </w:rPr>
                      </m:ctrlPr>
                    </m:dPr>
                    <m:e>
                      <m:sSubSup>
                        <m:sSubSupPr>
                          <m:ctrlPr>
                            <w:rPr>
                              <w:rFonts w:ascii="Cambria Math" w:hAnsi="Cambria Math" w:cs="Arial"/>
                              <w:i/>
                              <w:sz w:val="22"/>
                              <w:szCs w:val="22"/>
                            </w:rPr>
                          </m:ctrlPr>
                        </m:sSubSupPr>
                        <m:e>
                          <m:r>
                            <w:rPr>
                              <w:rFonts w:ascii="Cambria Math" w:hAnsi="Cambria Math" w:cs="Arial"/>
                              <w:sz w:val="22"/>
                              <w:szCs w:val="22"/>
                            </w:rPr>
                            <m:t>M</m:t>
                          </m:r>
                        </m:e>
                        <m:sub>
                          <m:r>
                            <w:rPr>
                              <w:rFonts w:ascii="Cambria Math" w:hAnsi="Cambria Math" w:cs="Arial"/>
                              <w:sz w:val="22"/>
                              <w:szCs w:val="22"/>
                            </w:rPr>
                            <m:t>Inc</m:t>
                          </m:r>
                        </m:sub>
                        <m:sup>
                          <m:d>
                            <m:dPr>
                              <m:ctrlPr>
                                <w:rPr>
                                  <w:rFonts w:ascii="Cambria Math" w:hAnsi="Cambria Math" w:cs="Arial"/>
                                  <w:i/>
                                  <w:sz w:val="22"/>
                                  <w:szCs w:val="22"/>
                                </w:rPr>
                              </m:ctrlPr>
                            </m:dPr>
                            <m:e>
                              <m:r>
                                <w:rPr>
                                  <w:rFonts w:ascii="Cambria Math" w:hAnsi="Cambria Math" w:cs="Arial"/>
                                  <w:sz w:val="22"/>
                                  <w:szCs w:val="22"/>
                                </w:rPr>
                                <m:t>t</m:t>
                              </m:r>
                            </m:e>
                          </m:d>
                        </m:sup>
                      </m:sSubSup>
                      <m:d>
                        <m:dPr>
                          <m:ctrlPr>
                            <w:rPr>
                              <w:rFonts w:ascii="Cambria Math" w:hAnsi="Cambria Math" w:cs="Arial"/>
                              <w:i/>
                              <w:sz w:val="22"/>
                              <w:szCs w:val="22"/>
                            </w:rPr>
                          </m:ctrlPr>
                        </m:dPr>
                        <m:e>
                          <m:r>
                            <w:rPr>
                              <w:rFonts w:ascii="Cambria Math" w:hAnsi="Cambria Math" w:cs="Arial"/>
                              <w:sz w:val="22"/>
                              <w:szCs w:val="22"/>
                            </w:rPr>
                            <m:t>θ</m:t>
                          </m:r>
                        </m:e>
                      </m:d>
                    </m:e>
                  </m:d>
                  <m:r>
                    <w:rPr>
                      <w:rFonts w:ascii="Cambria Math" w:hAnsi="Cambria Math" w:cs="Arial"/>
                      <w:sz w:val="22"/>
                      <w:szCs w:val="22"/>
                    </w:rPr>
                    <m:t>+</m:t>
                  </m:r>
                </m:e>
              </m:nary>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Mor</m:t>
                  </m:r>
                </m:sub>
                <m:sup>
                  <m:d>
                    <m:dPr>
                      <m:ctrlPr>
                        <w:rPr>
                          <w:rFonts w:ascii="Cambria Math" w:hAnsi="Cambria Math" w:cs="Arial"/>
                          <w:i/>
                          <w:sz w:val="22"/>
                          <w:szCs w:val="22"/>
                        </w:rPr>
                      </m:ctrlPr>
                    </m:dPr>
                    <m:e>
                      <m:r>
                        <w:rPr>
                          <w:rFonts w:ascii="Cambria Math" w:hAnsi="Cambria Math" w:cs="Arial"/>
                          <w:sz w:val="22"/>
                          <w:szCs w:val="22"/>
                        </w:rPr>
                        <m:t>t</m:t>
                      </m:r>
                    </m:e>
                  </m:d>
                </m:sup>
              </m:sSubSup>
              <m:d>
                <m:dPr>
                  <m:ctrlPr>
                    <w:rPr>
                      <w:rFonts w:ascii="Cambria Math" w:hAnsi="Cambria Math" w:cs="Arial"/>
                      <w:i/>
                      <w:sz w:val="22"/>
                      <w:szCs w:val="22"/>
                    </w:rPr>
                  </m:ctrlPr>
                </m:dPr>
                <m:e>
                  <m:sSubSup>
                    <m:sSubSupPr>
                      <m:ctrlPr>
                        <w:rPr>
                          <w:rFonts w:ascii="Cambria Math" w:hAnsi="Cambria Math" w:cs="Arial"/>
                          <w:i/>
                          <w:sz w:val="22"/>
                          <w:szCs w:val="22"/>
                        </w:rPr>
                      </m:ctrlPr>
                    </m:sSubSupPr>
                    <m:e>
                      <m:r>
                        <w:rPr>
                          <w:rFonts w:ascii="Cambria Math" w:hAnsi="Cambria Math" w:cs="Arial"/>
                          <w:sz w:val="22"/>
                          <w:szCs w:val="22"/>
                        </w:rPr>
                        <m:t>M</m:t>
                      </m:r>
                    </m:e>
                    <m:sub>
                      <m:r>
                        <w:rPr>
                          <w:rFonts w:ascii="Cambria Math" w:hAnsi="Cambria Math" w:cs="Arial"/>
                          <w:sz w:val="22"/>
                          <w:szCs w:val="22"/>
                        </w:rPr>
                        <m:t>Mor</m:t>
                      </m:r>
                    </m:sub>
                    <m:sup>
                      <m:d>
                        <m:dPr>
                          <m:ctrlPr>
                            <w:rPr>
                              <w:rFonts w:ascii="Cambria Math" w:hAnsi="Cambria Math" w:cs="Arial"/>
                              <w:i/>
                              <w:sz w:val="22"/>
                              <w:szCs w:val="22"/>
                            </w:rPr>
                          </m:ctrlPr>
                        </m:dPr>
                        <m:e>
                          <m:r>
                            <w:rPr>
                              <w:rFonts w:ascii="Cambria Math" w:hAnsi="Cambria Math" w:cs="Arial"/>
                              <w:sz w:val="22"/>
                              <w:szCs w:val="22"/>
                            </w:rPr>
                            <m:t>t</m:t>
                          </m:r>
                        </m:e>
                      </m:d>
                    </m:sup>
                  </m:sSubSup>
                  <m:d>
                    <m:dPr>
                      <m:ctrlPr>
                        <w:rPr>
                          <w:rFonts w:ascii="Cambria Math" w:hAnsi="Cambria Math" w:cs="Arial"/>
                          <w:i/>
                          <w:sz w:val="22"/>
                          <w:szCs w:val="22"/>
                        </w:rPr>
                      </m:ctrlPr>
                    </m:dPr>
                    <m:e>
                      <m:r>
                        <w:rPr>
                          <w:rFonts w:ascii="Cambria Math" w:hAnsi="Cambria Math" w:cs="Arial"/>
                          <w:sz w:val="22"/>
                          <w:szCs w:val="22"/>
                        </w:rPr>
                        <m:t>θ</m:t>
                      </m:r>
                    </m:e>
                  </m:d>
                </m:e>
              </m:d>
            </m:e>
          </m:d>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Prev</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sSubSup>
                <m:sSubSupPr>
                  <m:ctrlPr>
                    <w:rPr>
                      <w:rFonts w:ascii="Cambria Math" w:hAnsi="Cambria Math" w:cs="Arial"/>
                      <w:i/>
                      <w:sz w:val="22"/>
                      <w:szCs w:val="22"/>
                    </w:rPr>
                  </m:ctrlPr>
                </m:sSubSupPr>
                <m:e>
                  <m:r>
                    <w:rPr>
                      <w:rFonts w:ascii="Cambria Math" w:hAnsi="Cambria Math" w:cs="Arial"/>
                      <w:sz w:val="22"/>
                      <w:szCs w:val="22"/>
                    </w:rPr>
                    <m:t>M</m:t>
                  </m:r>
                </m:e>
                <m:sub>
                  <m:r>
                    <w:rPr>
                      <w:rFonts w:ascii="Cambria Math" w:hAnsi="Cambria Math" w:cs="Arial"/>
                      <w:sz w:val="22"/>
                      <w:szCs w:val="22"/>
                    </w:rPr>
                    <m:t>Prev</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r>
                    <w:rPr>
                      <w:rFonts w:ascii="Cambria Math" w:hAnsi="Cambria Math" w:cs="Arial"/>
                      <w:sz w:val="22"/>
                      <w:szCs w:val="22"/>
                    </w:rPr>
                    <m:t>θ</m:t>
                  </m:r>
                </m:e>
              </m:d>
            </m:e>
          </m:d>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IncHIV</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sSubSup>
                <m:sSubSupPr>
                  <m:ctrlPr>
                    <w:rPr>
                      <w:rFonts w:ascii="Cambria Math" w:hAnsi="Cambria Math" w:cs="Arial"/>
                      <w:i/>
                      <w:sz w:val="22"/>
                      <w:szCs w:val="22"/>
                    </w:rPr>
                  </m:ctrlPr>
                </m:sSubSupPr>
                <m:e>
                  <m:r>
                    <w:rPr>
                      <w:rFonts w:ascii="Cambria Math" w:hAnsi="Cambria Math" w:cs="Arial"/>
                      <w:sz w:val="22"/>
                      <w:szCs w:val="22"/>
                    </w:rPr>
                    <m:t>M</m:t>
                  </m:r>
                </m:e>
                <m:sub>
                  <m:r>
                    <w:rPr>
                      <w:rFonts w:ascii="Cambria Math" w:hAnsi="Cambria Math" w:cs="Arial"/>
                      <w:sz w:val="22"/>
                      <w:szCs w:val="22"/>
                    </w:rPr>
                    <m:t>IncHIV</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r>
                    <w:rPr>
                      <w:rFonts w:ascii="Cambria Math" w:hAnsi="Cambria Math" w:cs="Arial"/>
                      <w:sz w:val="22"/>
                      <w:szCs w:val="22"/>
                    </w:rPr>
                    <m:t>θ</m:t>
                  </m:r>
                </m:e>
              </m:d>
            </m:e>
          </m:d>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RR</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sSubSup>
                <m:sSubSupPr>
                  <m:ctrlPr>
                    <w:rPr>
                      <w:rFonts w:ascii="Cambria Math" w:hAnsi="Cambria Math" w:cs="Arial"/>
                      <w:i/>
                      <w:sz w:val="22"/>
                      <w:szCs w:val="22"/>
                    </w:rPr>
                  </m:ctrlPr>
                </m:sSubSupPr>
                <m:e>
                  <m:r>
                    <w:rPr>
                      <w:rFonts w:ascii="Cambria Math" w:hAnsi="Cambria Math" w:cs="Arial"/>
                      <w:sz w:val="22"/>
                      <w:szCs w:val="22"/>
                    </w:rPr>
                    <m:t>M</m:t>
                  </m:r>
                </m:e>
                <m:sub>
                  <m:r>
                    <w:rPr>
                      <w:rFonts w:ascii="Cambria Math" w:hAnsi="Cambria Math" w:cs="Arial"/>
                      <w:sz w:val="22"/>
                      <w:szCs w:val="22"/>
                    </w:rPr>
                    <m:t>RR</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r>
                    <w:rPr>
                      <w:rFonts w:ascii="Cambria Math" w:hAnsi="Cambria Math" w:cs="Arial"/>
                      <w:sz w:val="22"/>
                      <w:szCs w:val="22"/>
                    </w:rPr>
                    <m:t>θ</m:t>
                  </m:r>
                </m:e>
              </m:d>
            </m:e>
          </m:d>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Notif</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sSubSup>
                <m:sSubSupPr>
                  <m:ctrlPr>
                    <w:rPr>
                      <w:rFonts w:ascii="Cambria Math" w:hAnsi="Cambria Math" w:cs="Arial"/>
                      <w:i/>
                      <w:sz w:val="22"/>
                      <w:szCs w:val="22"/>
                    </w:rPr>
                  </m:ctrlPr>
                </m:sSubSupPr>
                <m:e>
                  <m:r>
                    <w:rPr>
                      <w:rFonts w:ascii="Cambria Math" w:hAnsi="Cambria Math" w:cs="Arial"/>
                      <w:sz w:val="22"/>
                      <w:szCs w:val="22"/>
                    </w:rPr>
                    <m:t>M</m:t>
                  </m:r>
                </m:e>
                <m:sub>
                  <m:r>
                    <w:rPr>
                      <w:rFonts w:ascii="Cambria Math" w:hAnsi="Cambria Math" w:cs="Arial"/>
                      <w:sz w:val="22"/>
                      <w:szCs w:val="22"/>
                    </w:rPr>
                    <m:t>Notif</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r>
                    <w:rPr>
                      <w:rFonts w:ascii="Cambria Math" w:hAnsi="Cambria Math" w:cs="Arial"/>
                      <w:sz w:val="22"/>
                      <w:szCs w:val="22"/>
                    </w:rPr>
                    <m:t>θ</m:t>
                  </m:r>
                </m:e>
              </m:d>
            </m:e>
          </m:d>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F</m:t>
              </m:r>
            </m:e>
            <m:sub>
              <m:r>
                <w:rPr>
                  <w:rFonts w:ascii="Cambria Math" w:hAnsi="Cambria Math" w:cs="Arial"/>
                  <w:sz w:val="22"/>
                  <w:szCs w:val="22"/>
                </w:rPr>
                <m:t>RRNotif</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sSubSup>
                <m:sSubSupPr>
                  <m:ctrlPr>
                    <w:rPr>
                      <w:rFonts w:ascii="Cambria Math" w:hAnsi="Cambria Math" w:cs="Arial"/>
                      <w:i/>
                      <w:sz w:val="22"/>
                      <w:szCs w:val="22"/>
                    </w:rPr>
                  </m:ctrlPr>
                </m:sSubSupPr>
                <m:e>
                  <m:r>
                    <w:rPr>
                      <w:rFonts w:ascii="Cambria Math" w:hAnsi="Cambria Math" w:cs="Arial"/>
                      <w:sz w:val="22"/>
                      <w:szCs w:val="22"/>
                    </w:rPr>
                    <m:t>M</m:t>
                  </m:r>
                </m:e>
                <m:sub>
                  <m:r>
                    <w:rPr>
                      <w:rFonts w:ascii="Cambria Math" w:hAnsi="Cambria Math" w:cs="Arial"/>
                      <w:sz w:val="22"/>
                      <w:szCs w:val="22"/>
                    </w:rPr>
                    <m:t>RRNotif</m:t>
                  </m:r>
                </m:sub>
                <m:sup>
                  <m:d>
                    <m:dPr>
                      <m:ctrlPr>
                        <w:rPr>
                          <w:rFonts w:ascii="Cambria Math" w:hAnsi="Cambria Math" w:cs="Arial"/>
                          <w:i/>
                          <w:sz w:val="22"/>
                          <w:szCs w:val="22"/>
                        </w:rPr>
                      </m:ctrlPr>
                    </m:dPr>
                    <m:e>
                      <m:r>
                        <w:rPr>
                          <w:rFonts w:ascii="Cambria Math" w:hAnsi="Cambria Math" w:cs="Arial"/>
                          <w:sz w:val="22"/>
                          <w:szCs w:val="22"/>
                        </w:rPr>
                        <m:t>2018</m:t>
                      </m:r>
                    </m:e>
                  </m:d>
                </m:sup>
              </m:sSubSup>
              <m:d>
                <m:dPr>
                  <m:ctrlPr>
                    <w:rPr>
                      <w:rFonts w:ascii="Cambria Math" w:hAnsi="Cambria Math" w:cs="Arial"/>
                      <w:i/>
                      <w:sz w:val="22"/>
                      <w:szCs w:val="22"/>
                    </w:rPr>
                  </m:ctrlPr>
                </m:dPr>
                <m:e>
                  <m:r>
                    <w:rPr>
                      <w:rFonts w:ascii="Cambria Math" w:hAnsi="Cambria Math" w:cs="Arial"/>
                      <w:sz w:val="22"/>
                      <w:szCs w:val="22"/>
                    </w:rPr>
                    <m:t>θ</m:t>
                  </m:r>
                </m:e>
              </m:d>
            </m:e>
          </m:d>
          <m:r>
            <w:rPr>
              <w:rFonts w:ascii="Cambria Math" w:hAnsi="Cambria Math" w:cs="Arial"/>
              <w:sz w:val="22"/>
              <w:szCs w:val="22"/>
            </w:rPr>
            <m:t>+∑UPr</m:t>
          </m:r>
          <m:d>
            <m:dPr>
              <m:ctrlPr>
                <w:rPr>
                  <w:rFonts w:ascii="Cambria Math" w:hAnsi="Cambria Math" w:cs="Arial"/>
                  <w:i/>
                  <w:sz w:val="22"/>
                  <w:szCs w:val="22"/>
                </w:rPr>
              </m:ctrlPr>
            </m:dPr>
            <m:e>
              <m:r>
                <w:rPr>
                  <w:rFonts w:ascii="Cambria Math" w:hAnsi="Cambria Math" w:cs="Arial"/>
                  <w:sz w:val="22"/>
                  <w:szCs w:val="22"/>
                </w:rPr>
                <m:t>θ</m:t>
              </m:r>
            </m:e>
          </m:d>
        </m:oMath>
      </m:oMathPara>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proofErr w:type="gramStart"/>
      <w:r w:rsidRPr="005F5605">
        <w:rPr>
          <w:rFonts w:ascii="Arial" w:hAnsi="Arial" w:cs="Arial"/>
          <w:sz w:val="22"/>
          <w:szCs w:val="22"/>
        </w:rPr>
        <w:t>where</w:t>
      </w:r>
      <w:proofErr w:type="gramEnd"/>
      <w:r w:rsidRPr="005F5605">
        <w:rPr>
          <w:rFonts w:ascii="Arial" w:hAnsi="Arial" w:cs="Arial"/>
          <w:sz w:val="22"/>
          <w:szCs w:val="22"/>
        </w:rPr>
        <w:t xml:space="preserve"> the final term represents a sum over the log-probability densities for uniform priors on the model inputs, listed in table S3.</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i/>
          <w:iCs/>
          <w:sz w:val="22"/>
          <w:szCs w:val="22"/>
        </w:rPr>
      </w:pPr>
      <w:r w:rsidRPr="005F5605">
        <w:rPr>
          <w:rFonts w:ascii="Arial" w:hAnsi="Arial" w:cs="Arial"/>
          <w:i/>
          <w:iCs/>
          <w:sz w:val="22"/>
          <w:szCs w:val="22"/>
        </w:rPr>
        <w:t>Sampling from the posterior distribution</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 xml:space="preserve">To sample from the distribution </w:t>
      </w:r>
      <m:oMath>
        <m:r>
          <w:rPr>
            <w:rFonts w:ascii="Cambria Math" w:hAnsi="Cambria Math" w:cs="Arial"/>
            <w:sz w:val="22"/>
            <w:szCs w:val="22"/>
          </w:rPr>
          <m:t>π(θ)</m:t>
        </m:r>
      </m:oMath>
      <w:r w:rsidRPr="005F5605">
        <w:rPr>
          <w:rFonts w:ascii="Arial" w:hAnsi="Arial" w:cs="Arial"/>
          <w:sz w:val="22"/>
          <w:szCs w:val="22"/>
        </w:rPr>
        <w:t>, we performed adaptive MCMC</w:t>
      </w:r>
      <w:r w:rsidRPr="005F5605">
        <w:rPr>
          <w:rFonts w:ascii="Arial" w:hAnsi="Arial" w:cs="Arial"/>
          <w:sz w:val="22"/>
          <w:szCs w:val="22"/>
        </w:rPr>
        <w:fldChar w:fldCharType="begin" w:fldLock="1"/>
      </w:r>
      <w:r w:rsidRPr="005F5605">
        <w:rPr>
          <w:rFonts w:ascii="Arial" w:hAnsi="Arial" w:cs="Arial"/>
          <w:sz w:val="22"/>
          <w:szCs w:val="22"/>
        </w:rPr>
        <w:instrText>ADDIN CSL_CITATION {"citationItems":[{"id":"ITEM-1","itemData":{"DOI":"10.2307/3318737","ISSN":"13507265","abstract":"A proper choice of a proposal distribution for Markov chain Monte Carlo methods, for example for the Metropolis-Hastings algorithm, is well known to be a crucial factor for the convergence of the algorithm. In this paper we introduce an adaptive Metropolis (AM) algorithm, where the Gaussian proposal distribution is updated along the process using the full information cumulated so far. Due to the adaptive nature of the process, the AM algorithm is non-Markovian, but we establish here that it has the correct ergodic properties. We also include the results of our numerical tests, which indicate that the AM algorithm competes well with traditional Metropolis-Hastings algorithms, and demonstrate that the AM algorithm is easy to use in practical computation. © 2001 ISI/BS.","author":[{"dropping-particle":"","family":"Haario","given":"Heikki","non-dropping-particle":"","parse-names":false,"suffix":""},{"dropping-particle":"","family":"Saksman","given":"Eero","non-dropping-particle":"","parse-names":false,"suffix":""},{"dropping-particle":"","family":"Tamminen","given":"Johanna","non-dropping-particle":"","parse-names":false,"suffix":""}],"container-title":"Bernoulli","id":"ITEM-1","issued":{"date-parts":[["2001"]]},"title":"An adaptive Metropolis algorithm","type":"article-journal"},"uris":["http://www.mendeley.com/documents/?uuid=fc1da3a6-b86b-4193-8ba2-246422369e5e"]}],"mendeley":{"formattedCitation":"&lt;sup&gt;26&lt;/sup&gt;","plainTextFormattedCitation":"26","previouslyFormattedCitation":"&lt;sup&gt;26&lt;/sup&gt;"},"properties":{"noteIndex":0},"schema":"https://github.com/citation-style-language/schema/raw/master/csl-citation.json"}</w:instrText>
      </w:r>
      <w:r w:rsidRPr="005F5605">
        <w:rPr>
          <w:rFonts w:ascii="Arial" w:hAnsi="Arial" w:cs="Arial"/>
          <w:sz w:val="22"/>
          <w:szCs w:val="22"/>
        </w:rPr>
        <w:fldChar w:fldCharType="separate"/>
      </w:r>
      <w:r w:rsidRPr="005F5605">
        <w:rPr>
          <w:rFonts w:ascii="Arial" w:hAnsi="Arial" w:cs="Arial"/>
          <w:noProof/>
          <w:sz w:val="22"/>
          <w:szCs w:val="22"/>
          <w:vertAlign w:val="superscript"/>
        </w:rPr>
        <w:t>26</w:t>
      </w:r>
      <w:r w:rsidRPr="005F5605">
        <w:rPr>
          <w:rFonts w:ascii="Arial" w:hAnsi="Arial" w:cs="Arial"/>
          <w:sz w:val="22"/>
          <w:szCs w:val="22"/>
        </w:rPr>
        <w:fldChar w:fldCharType="end"/>
      </w:r>
      <w:r w:rsidRPr="005F5605">
        <w:rPr>
          <w:rFonts w:ascii="Arial" w:hAnsi="Arial" w:cs="Arial"/>
          <w:sz w:val="22"/>
          <w:szCs w:val="22"/>
        </w:rPr>
        <w:t xml:space="preserve">, a method that uses the covariance matrix of already-sampled parameters to ‘tune’ proposal distributions during the course of an MCMC chain. For each country we performed </w:t>
      </w:r>
      <m:oMath>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5</m:t>
            </m:r>
          </m:sup>
        </m:sSup>
      </m:oMath>
      <w:r w:rsidRPr="005F5605">
        <w:rPr>
          <w:rFonts w:ascii="Arial" w:hAnsi="Arial" w:cs="Arial"/>
          <w:sz w:val="22"/>
          <w:szCs w:val="22"/>
        </w:rPr>
        <w:t xml:space="preserve"> MCMC iterations, doubling this if required to achieve convergence. After discarding the ‘</w:t>
      </w:r>
      <w:proofErr w:type="spellStart"/>
      <w:r w:rsidRPr="005F5605">
        <w:rPr>
          <w:rFonts w:ascii="Arial" w:hAnsi="Arial" w:cs="Arial"/>
          <w:sz w:val="22"/>
          <w:szCs w:val="22"/>
        </w:rPr>
        <w:t>burnin</w:t>
      </w:r>
      <w:proofErr w:type="spellEnd"/>
      <w:r w:rsidRPr="005F5605">
        <w:rPr>
          <w:rFonts w:ascii="Arial" w:hAnsi="Arial" w:cs="Arial"/>
          <w:sz w:val="22"/>
          <w:szCs w:val="22"/>
        </w:rPr>
        <w:t>’, we thinned the sample using every 100</w:t>
      </w:r>
      <w:r w:rsidRPr="005F5605">
        <w:rPr>
          <w:rFonts w:ascii="Arial" w:hAnsi="Arial" w:cs="Arial"/>
          <w:sz w:val="22"/>
          <w:szCs w:val="22"/>
          <w:vertAlign w:val="superscript"/>
        </w:rPr>
        <w:t>th</w:t>
      </w:r>
      <w:r w:rsidRPr="005F5605">
        <w:rPr>
          <w:rFonts w:ascii="Arial" w:hAnsi="Arial" w:cs="Arial"/>
          <w:sz w:val="22"/>
          <w:szCs w:val="22"/>
        </w:rPr>
        <w:t xml:space="preserve"> sample, to acquire roughly 1,000 samples from the posterior distribution. Using each sample we performed forward projections for the future impact of preventive therapy as described below, to yield 1,000 estimates. We estimated uncertainty by evaluating the 2.5</w:t>
      </w:r>
      <w:r w:rsidRPr="005F5605">
        <w:rPr>
          <w:rFonts w:ascii="Arial" w:hAnsi="Arial" w:cs="Arial"/>
          <w:sz w:val="22"/>
          <w:szCs w:val="22"/>
          <w:vertAlign w:val="superscript"/>
        </w:rPr>
        <w:t>th</w:t>
      </w:r>
      <w:r w:rsidRPr="005F5605">
        <w:rPr>
          <w:rFonts w:ascii="Arial" w:hAnsi="Arial" w:cs="Arial"/>
          <w:sz w:val="22"/>
          <w:szCs w:val="22"/>
        </w:rPr>
        <w:t xml:space="preserve"> and 97.5</w:t>
      </w:r>
      <w:r w:rsidRPr="005F5605">
        <w:rPr>
          <w:rFonts w:ascii="Arial" w:hAnsi="Arial" w:cs="Arial"/>
          <w:sz w:val="22"/>
          <w:szCs w:val="22"/>
          <w:vertAlign w:val="superscript"/>
        </w:rPr>
        <w:t>th</w:t>
      </w:r>
      <w:r w:rsidRPr="005F5605">
        <w:rPr>
          <w:rFonts w:ascii="Arial" w:hAnsi="Arial" w:cs="Arial"/>
          <w:sz w:val="22"/>
          <w:szCs w:val="22"/>
        </w:rPr>
        <w:t xml:space="preserve"> percentiles of these model outputs, to yield Bayesian credible intervals. Other, similar approaches in the modelling literature, for the use of Bayesian MCMC in sampling from the posterior distribution for model parameters, are available in refs.</w:t>
      </w:r>
      <w:r w:rsidRPr="005F5605">
        <w:rPr>
          <w:rFonts w:ascii="Arial" w:hAnsi="Arial" w:cs="Arial"/>
          <w:sz w:val="22"/>
          <w:szCs w:val="22"/>
        </w:rPr>
        <w:fldChar w:fldCharType="begin" w:fldLock="1"/>
      </w:r>
      <w:r w:rsidRPr="005F5605">
        <w:rPr>
          <w:rFonts w:ascii="Arial" w:hAnsi="Arial" w:cs="Arial"/>
          <w:sz w:val="22"/>
          <w:szCs w:val="22"/>
        </w:rPr>
        <w:instrText>ADDIN CSL_CITATION {"citationItems":[{"id":"ITEM-1","itemData":{"DOI":"10.1136/sti.2008.029991","ISSN":"13684973","abstract":"Objective: To construct confidence intervals for HIV prevalence in countries with generalised epidemics. Methods: In the Bayesian melding approach, a sample of country-specific epidemic curves describing HIV prevalence over time is derived based on time series of antenatal clinic prevalence data and general information on the parameters that describe the HIV epidemic. The prevalence trends at antenatal clinics are calibrated to population-based HIV prevalence estimates from national surveys. For countries without population based estimates, a general calibration method is developed. Based on the sample of calibrated epidemic curves, we derive annual 95% confidence intervals for HIV prevalence. The curve that best represents the data at antenatal clinics and population-based surveys, as well as general information about the epidemic, is chosen to represent the best estimates and predictions. Results: We present results for urban areas in Haiti and Namibia to illustrate the estimates and confidence intervals that are derived with the methodology.","author":[{"dropping-particle":"","family":"Alkema","given":"Leontine","non-dropping-particle":"","parse-names":false,"suffix":""},{"dropping-particle":"","family":"Raftery","given":"A. E.","non-dropping-particle":"","parse-names":false,"suffix":""},{"dropping-particle":"","family":"Brown","given":"T.","non-dropping-particle":"","parse-names":false,"suffix":""}],"container-title":"Sexually Transmitted Infections","id":"ITEM-1","issued":{"date-parts":[["2008"]]},"title":"Bayesian melding for estimating uncertainty in national HIV prevalence estimates","type":"article-journal"},"uris":["http://www.mendeley.com/documents/?uuid=d8326122-4481-479f-9940-1fc47220f224"]},{"id":"ITEM-2","itemData":{"DOI":"10.1371/journal.pmed.1001347","ISSN":"15491277","abstract":"Background: The Xpert MTB/RIF test enables rapid detection of tuberculosis (TB) and rifampicin resistance. The World Health Organization recommends Xpert for initial diagnosis in individuals suspected of having multidrug-resistant TB (MDR-TB) or HIV-associated TB, and many countries are moving quickly toward adopting Xpert. As roll-out proceeds, it is essential to understand the potential health impact and cost-effectiveness of diagnostic strategies based on Xpert. Methods and Findings: We evaluated potential health and economic consequences of implementing Xpert in five southern African countries-Botswana, Lesotho, Namibia, South Africa, and Swaziland-where drug resistance and TB-HIV coinfection are prevalent. Using a calibrated, dynamic mathematical model, we compared the status quo diagnostic algorithm, emphasizing sputum smear, against an algorithm incorporating Xpert for initial diagnosis. Results were projected over 10- and 20-y time periods starting from 2012. Compared to status quo, implementation of Xpert would avert 132,000 (95% CI: 55,000-284,000) TB cases and 182,000 (97,000-302,000) TB deaths in southern Africa over the 10 y following introduction, and would reduce prevalence by 28% (14%-40%) by 2022, with more modest reductions in incidence. Health system costs are projected to increase substantially with Xpert, by US$460 million (294-699 million) over 10 y. Antiretroviral therapy for HIV represents a substantial fraction of these additional costs, because of improved survival in TB/HIV-infected populations through better TB case-finding and treatment. Costs for treating MDR-TB are also expected to rise significantly with Xpert scale-up. Relative to status quo, Xpert has an estimated cost-effectiveness of US$959 (633-1,485) per disability-adjusted life-year averted over 10 y. Across countries, cost-effectiveness ratios ranged from US$792 (482-1,785) in Swaziland to US$1,257 (767-2,276) in Botswana. Assessing outcomes over a 10-y period focuses on the near-term consequences of Xpert adoption, but the cost-effectiveness results are conservative, with cost-effectiveness ratios assessed over a 20-y time horizon approximately 20% lower than the 10-y values. Conclusions: Introduction of Xpert could substantially change TB morbidity and mortality through improved case-finding and treatment, with more limited impact on long-term transmission dynamics. Despite extant uncertainty about TB natural history and intervention impact in southern Africa, a…","author":[{"dropping-particle":"","family":"Menzies","given":"Nicolas A.","non-dropping-particle":"","parse-names":false,"suffix":""},{"dropping-particle":"","family":"Cohen","given":"Ted","non-dropping-particle":"","parse-names":false,"suffix":""},{"dropping-particle":"","family":"Lin","given":"Hsien Ho","non-dropping-particle":"","parse-names":false,"suffix":""},{"dropping-particle":"","family":"Murray","given":"Megan","non-dropping-particle":"","parse-names":false,"suffix":""},{"dropping-particle":"","family":"Salomon","given":"Joshua A.","non-dropping-particle":"","parse-names":false,"suffix":""}],"container-title":"PLoS Medicine","id":"ITEM-2","issued":{"date-parts":[["2012"]]},"title":"Population Health Impact and Cost-Effectiveness of Tuberculosis Diagnosis with Xpert MTB/RIF: A Dynamic Simulation and Economic Evaluation","type":"article-journal"},"uris":["http://www.mendeley.com/documents/?uuid=11a178d3-8da5-4aca-b720-582683ddc491"]},{"id":"ITEM-3","itemData":{"DOI":"10.1016/S2214-109X(19)30037-3","ISSN":"2214109X","abstract":"Summary Background In the context of WHO's End TB strategy, there is a need to focus future control efforts on those interventions and innovations that would be most effective in accelerating declines in tuberculosis burden. Using a modelling approach to link the tuberculosis care cascade to transmission, we aimed to identify which improvements in the cascade would yield the greatest effect on incidence and mortality. Methods We engaged with national tuberculosis programmes in three country settings (India, Kenya, and Moldova) as illustrative examples of settings with a large private sector (India), a high HIV burden (Kenya), and a high burden of multidrug resistance (Moldova). We collated WHO country burden estimates, routine surveillance data, and tuberculosis prevalence surveys from 2011 (for India) and 2016 (for Kenya). Linking the tuberculosis care cascade to tuberculosis transmission using a mathematical model with Bayesian melding in each setting, we examined which cascade shortfalls would have the greatest effect on incidence and mortality, and how the cascade could be used to monitor future control efforts. Findings Modelling suggests that combined measures to strengthen the care cascade could reduce cumulative tuberculosis incidence by 38% (95% Bayesian credible intervals 27–43) in India, 31% (25–41) in Kenya, and 27% (17–41) in Moldova between 2018 and 2035. For both incidence and mortality, modelling suggests that the most important cascade losses are the proportion of patients visiting the private health-care sector in India, missed diagnosis in health-care settings in Kenya, and drug sensitivity testing in Moldova. In all settings, the most influential delay is the interval before a patient's first presentation for care. In future interventions, the proportion of individuals with tuberculosis who are on high-quality treatment could offer a more robust monitoring tool than routine notifications of tuberculosis. Interpretation Linked to transmission, the care cascade can be valuable, not only for improving patient outcomes but also in identifying and monitoring programmatic priorities to reduce tuberculosis incidence and mortality. Funding US Agency for International Development, Stop TB Partnership, UK Medical Research Council, and Department for International Development.","author":[{"dropping-particle":"","family":"Vesga","given":"Juan F","non-dropping-particle":"","parse-names":false,"suffix":""},{"dropping-particle":"","family":"Hallett","given":"Timothy B","non-dropping-particle":"","parse-names":false,"suffix":""},{"dropping-particle":"","family":"Reid","given":"Michael J A","non-dropping-particle":"","parse-names":false,"suffix":""},{"dropping-particle":"","family":"Sachdeva","given":"Kuldeep Singh","non-dropping-particle":"","parse-names":false,"suffix":""},{"dropping-particle":"","family":"Rao","given":"Raghuram","non-dropping-particle":"","parse-names":false,"suffix":""},{"dropping-particle":"","family":"Khaparde","given":"Sunil","non-dropping-particle":"","parse-names":false,"suffix":""},{"dropping-particle":"","family":"Dave","given":"Paresh","non-dropping-particle":"","parse-names":false,"suffix":""},{"dropping-particle":"","family":"Rade","given":"Kiran","non-dropping-particle":"","parse-names":false,"suffix":""},{"dropping-particle":"","family":"Kamene","given":"Maureen","non-dropping-particle":"","parse-names":false,"suffix":""},{"dropping-particle":"","family":"Omesa","given":"Eunice","non-dropping-particle":"","parse-names":false,"suffix":""},{"dropping-particle":"","family":"Masini","given":"Enos","non-dropping-particle":"","parse-names":false,"suffix":""},{"dropping-particle":"","family":"Omale","given":"Newton","non-dropping-particle":"","parse-names":false,"suffix":""},{"dropping-particle":"","family":"Onyango","given":"Elizabeth","non-dropping-particle":"","parse-names":false,"suffix":""},{"dropping-particle":"","family":"Owiti","given":"Philip","non-dropping-particle":"","parse-names":false,"suffix":""},{"dropping-particle":"","family":"Karanja","given":"Muthoni","non-dropping-particle":"","parse-names":false,"suffix":""},{"dropping-particle":"","family":"Kiplimo","given":"Richard","non-dropping-particle":"","parse-names":false,"suffix":""},{"dropping-particle":"","family":"Alexandru","given":"Sofia","non-dropping-particle":"","parse-names":false,"suffix":""},{"dropping-particle":"","family":"Vilc","given":"Valentina","non-dropping-particle":"","parse-names":false,"suffix":""},{"dropping-particle":"","family":"Crudu","given":"Valeriu","non-dropping-particle":"","parse-names":false,"suffix":""},{"dropping-particle":"","family":"Bivol","given":"Stela","non-dropping-particle":"","parse-names":false,"suffix":""},{"dropping-particle":"","family":"Celan","given":"Cristina","non-dropping-particle":"","parse-names":false,"suffix":""},{"dropping-particle":"","family":"Arinaminpathy","given":"Nimalan","non-dropping-particle":"","parse-names":false,"suffix":""}],"container-title":"The Lancet Global Health","id":"ITEM-3","issued":{"date-parts":[["2019","3"]]},"publisher":"Elsevier","title":"Assessing tuberculosis control priorities in high-burden settings: a modelling approach","type":"article-journal"},"uris":["http://www.mendeley.com/documents/?uuid=685823e2-badc-47b3-9bd9-c2908c12caf6"]}],"mendeley":{"formattedCitation":"&lt;sup&gt;27–29&lt;/sup&gt;","plainTextFormattedCitation":"27–29","previouslyFormattedCitation":"&lt;sup&gt;27–29&lt;/sup&gt;"},"properties":{"noteIndex":0},"schema":"https://github.com/citation-style-language/schema/raw/master/csl-citation.json"}</w:instrText>
      </w:r>
      <w:r w:rsidRPr="005F5605">
        <w:rPr>
          <w:rFonts w:ascii="Arial" w:hAnsi="Arial" w:cs="Arial"/>
          <w:sz w:val="22"/>
          <w:szCs w:val="22"/>
        </w:rPr>
        <w:fldChar w:fldCharType="separate"/>
      </w:r>
      <w:r w:rsidRPr="005F5605">
        <w:rPr>
          <w:rFonts w:ascii="Arial" w:hAnsi="Arial" w:cs="Arial"/>
          <w:noProof/>
          <w:sz w:val="22"/>
          <w:szCs w:val="22"/>
          <w:vertAlign w:val="superscript"/>
        </w:rPr>
        <w:t>27–29</w:t>
      </w:r>
      <w:r w:rsidRPr="005F5605">
        <w:rPr>
          <w:rFonts w:ascii="Arial" w:hAnsi="Arial" w:cs="Arial"/>
          <w:sz w:val="22"/>
          <w:szCs w:val="22"/>
        </w:rPr>
        <w:fldChar w:fldCharType="end"/>
      </w:r>
      <w:r w:rsidRPr="005F5605">
        <w:rPr>
          <w:rFonts w:ascii="Arial" w:hAnsi="Arial" w:cs="Arial"/>
          <w:sz w:val="22"/>
          <w:szCs w:val="22"/>
        </w:rPr>
        <w:t xml:space="preserve"> </w:t>
      </w: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r w:rsidRPr="005F5605">
        <w:rPr>
          <w:rFonts w:ascii="Arial" w:hAnsi="Arial" w:cs="Arial"/>
          <w:b/>
          <w:bCs/>
          <w:sz w:val="22"/>
          <w:szCs w:val="22"/>
        </w:rPr>
        <w:t>3. Modelling the impact of preventive therapy</w:t>
      </w: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autoSpaceDE w:val="0"/>
        <w:autoSpaceDN w:val="0"/>
        <w:adjustRightInd w:val="0"/>
        <w:spacing w:line="312" w:lineRule="auto"/>
        <w:rPr>
          <w:rFonts w:ascii="Arial" w:hAnsi="Arial" w:cs="Arial"/>
          <w:sz w:val="22"/>
          <w:szCs w:val="22"/>
          <w:lang w:eastAsia="zh-CN"/>
        </w:rPr>
      </w:pPr>
      <w:r w:rsidRPr="005F5605">
        <w:rPr>
          <w:rFonts w:ascii="Arial" w:hAnsi="Arial" w:cs="Arial"/>
          <w:sz w:val="22"/>
          <w:szCs w:val="22"/>
          <w:lang w:eastAsia="zh-CN"/>
        </w:rPr>
        <w:t xml:space="preserve">We assumed that tests for TB infection, such as IGRA, would detect both those with latent TB infection (LTBI), denoted as </w:t>
      </w:r>
      <m:oMath>
        <m:r>
          <w:rPr>
            <w:rFonts w:ascii="Cambria Math" w:hAnsi="Cambria Math" w:cs="Arial"/>
            <w:sz w:val="22"/>
            <w:szCs w:val="22"/>
            <w:lang w:eastAsia="zh-CN"/>
          </w:rPr>
          <m:t>L</m:t>
        </m:r>
      </m:oMath>
      <w:r w:rsidRPr="005F5605">
        <w:rPr>
          <w:rFonts w:ascii="Arial" w:hAnsi="Arial" w:cs="Arial"/>
          <w:sz w:val="22"/>
          <w:szCs w:val="22"/>
          <w:lang w:eastAsia="zh-CN"/>
        </w:rPr>
        <w:t xml:space="preserve"> in the model, and those with latent infection but imminent TB disease, denoted as </w:t>
      </w:r>
      <m:oMath>
        <m:r>
          <w:rPr>
            <w:rFonts w:ascii="Cambria Math" w:hAnsi="Cambria Math" w:cs="Arial"/>
            <w:sz w:val="22"/>
            <w:szCs w:val="22"/>
            <w:lang w:eastAsia="zh-CN"/>
          </w:rPr>
          <m:t>M</m:t>
        </m:r>
      </m:oMath>
      <w:r w:rsidRPr="005F5605">
        <w:rPr>
          <w:rFonts w:ascii="Arial" w:hAnsi="Arial" w:cs="Arial"/>
          <w:sz w:val="22"/>
          <w:szCs w:val="22"/>
          <w:lang w:eastAsia="zh-CN"/>
        </w:rPr>
        <w:t xml:space="preserve"> in the model. In practice, those receiving preventive therapy would be drawn from both compartments, as tests such as IGRA have poor predictive value for those with LTBI who are most at risk of imminent progression to active disease</w:t>
      </w:r>
      <w:r w:rsidRPr="005F5605">
        <w:rPr>
          <w:rFonts w:ascii="Arial" w:hAnsi="Arial" w:cs="Arial"/>
          <w:sz w:val="22"/>
          <w:szCs w:val="22"/>
          <w:lang w:eastAsia="zh-CN"/>
        </w:rPr>
        <w:fldChar w:fldCharType="begin" w:fldLock="1"/>
      </w:r>
      <w:r w:rsidRPr="005F5605">
        <w:rPr>
          <w:rFonts w:ascii="Arial" w:hAnsi="Arial" w:cs="Arial"/>
          <w:sz w:val="22"/>
          <w:szCs w:val="22"/>
          <w:lang w:eastAsia="zh-CN"/>
        </w:rPr>
        <w:instrText>ADDIN CSL_CITATION {"citationItems":[{"id":"ITEM-1","itemData":{"ISBN":"978 92 4 150267 2","abstract":"Research over the past decade has resulted in the development of two commercial interferon- gamma release assays (IGRAs), based on the principle that the T-cells of individuals who have acquired TB infection respond to re-stimulation with Mycobacterium tuberculosis-specific antigens by secreting interferon gamma (IFN-γ). The QuantiFERON-TB Gold (QFT-G, Cellestis, Australia) and the newer generation QuantiFERON-TB Gold In-Tube (QFT-GIT, Cellestis, Australia) are whole-blood based enzyme-linked immunosorbent assays (ELISAs) measuring the amount of IFN-γ produced in response to three M. tuberculosis antigens (QFT-G:ESAT-6 and CFP-10; QFT-GIT: ESAT-6, CFP-10 and TB7.7). In contrast, the enzyme-linked immunospot (ELISPOT)-based T-SPOT.TB (Oxford Immunotec, UK) measures the number of peripheral mononuclear cells that produce INF-γ after stimulation with ESAT-6 and CFP-10. Commercial IGRAs are FDA-approved as indirect and adjunct tests for TB infection, in conjunction with risk assessment, radiography and other medical and diagnostic evaluations. In recent years, IGRAs have become widely endorsed in high-income countries for diagnosis of latent TB infection (LTBI) and several guidelines (albeit equivocal) on their use have been issued. Currently, there are no guidelines for IGRA use in low- and middle-income countries - typically with high TB- and/or HIV- burden - yet IGRAs are being marketed and promoted, especially in the private sector. The majority of IGRA studies have been performed in high-income countries and mere extrapolation to low- and middle-income settings with high background TB infection rates is not appropriate. Systematic reviews have suggested that IGRA performance differs in high- versus low TB and HIV incidence settings, with relatively lower sensitivity in high-burden settings. The WHO Stop TB Department (WHO-STB) therefore commissioned systematic reviews on the use of IGRAs in low- and middle-income countries, in pre-defined target groups, with funding support from the UNICEF/UNDP/World Bank/WHO Special Programme for Research and Training in Tropical Diseases (TDR) and TREAT-TB/The Union. The target groups and major findings of the GRADE evidence synthesis process are summarised below. This Policy Statement applies to the use of commercial IGRAs in low- and middle-income countries only. Several international guidelines on IGRA use in high-income countries are available. This Policy Statement is not intended to apply to high-income countri…","author":[{"dropping-particle":"","family":"WHO","given":"","non-dropping-particle":"","parse-names":false,"suffix":""}],"container-title":"World Health Organization Policy Statement","id":"ITEM-1","issued":{"date-parts":[["2011"]]},"title":"Use of tuberculosis release assays (IGRAs) in low and middle-income countries","type":"article-journal"},"uris":["http://www.mendeley.com/documents/?uuid=2ed0838d-3205-4ee8-9cc3-19671d41e009","http://www.mendeley.com/documents/?uuid=57886da3-2eef-4a7f-b9e0-48773d6e4d92"]}],"mendeley":{"formattedCitation":"&lt;sup&gt;22&lt;/sup&gt;","plainTextFormattedCitation":"22","previouslyFormattedCitation":"&lt;sup&gt;22&lt;/sup&gt;"},"properties":{"noteIndex":0},"schema":"https://github.com/citation-style-language/schema/raw/master/csl-citation.json"}</w:instrText>
      </w:r>
      <w:r w:rsidRPr="005F5605">
        <w:rPr>
          <w:rFonts w:ascii="Arial" w:hAnsi="Arial" w:cs="Arial"/>
          <w:sz w:val="22"/>
          <w:szCs w:val="22"/>
          <w:lang w:eastAsia="zh-CN"/>
        </w:rPr>
        <w:fldChar w:fldCharType="separate"/>
      </w:r>
      <w:r w:rsidRPr="005F5605">
        <w:rPr>
          <w:rFonts w:ascii="Arial" w:hAnsi="Arial" w:cs="Arial"/>
          <w:noProof/>
          <w:sz w:val="22"/>
          <w:szCs w:val="22"/>
          <w:vertAlign w:val="superscript"/>
          <w:lang w:eastAsia="zh-CN"/>
        </w:rPr>
        <w:t>22</w:t>
      </w:r>
      <w:r w:rsidRPr="005F5605">
        <w:rPr>
          <w:rFonts w:ascii="Arial" w:hAnsi="Arial" w:cs="Arial"/>
          <w:sz w:val="22"/>
          <w:szCs w:val="22"/>
          <w:lang w:eastAsia="zh-CN"/>
        </w:rPr>
        <w:fldChar w:fldCharType="end"/>
      </w:r>
      <w:r w:rsidRPr="005F5605">
        <w:rPr>
          <w:rFonts w:ascii="Arial" w:hAnsi="Arial" w:cs="Arial"/>
          <w:sz w:val="22"/>
          <w:szCs w:val="22"/>
          <w:lang w:eastAsia="zh-CN"/>
        </w:rPr>
        <w:t xml:space="preserve">. We assumed that the effect of preventive therapy is to move individuals from </w:t>
      </w:r>
      <m:oMath>
        <m:r>
          <w:rPr>
            <w:rFonts w:ascii="Cambria Math" w:hAnsi="Cambria Math" w:cs="Arial"/>
            <w:sz w:val="22"/>
            <w:szCs w:val="22"/>
            <w:lang w:eastAsia="zh-CN"/>
          </w:rPr>
          <m:t>M</m:t>
        </m:r>
      </m:oMath>
      <w:r w:rsidRPr="005F5605">
        <w:rPr>
          <w:rFonts w:ascii="Arial" w:hAnsi="Arial" w:cs="Arial"/>
          <w:sz w:val="22"/>
          <w:szCs w:val="22"/>
          <w:lang w:eastAsia="zh-CN"/>
        </w:rPr>
        <w:t xml:space="preserve"> to </w:t>
      </w:r>
      <m:oMath>
        <m:r>
          <w:rPr>
            <w:rFonts w:ascii="Cambria Math" w:hAnsi="Cambria Math" w:cs="Arial"/>
            <w:sz w:val="22"/>
            <w:szCs w:val="22"/>
            <w:lang w:eastAsia="zh-CN"/>
          </w:rPr>
          <m:t xml:space="preserve">L </m:t>
        </m:r>
      </m:oMath>
      <w:r w:rsidRPr="005F5605">
        <w:rPr>
          <w:rFonts w:ascii="Arial" w:hAnsi="Arial" w:cs="Arial"/>
          <w:sz w:val="22"/>
          <w:szCs w:val="22"/>
          <w:lang w:eastAsia="zh-CN"/>
        </w:rPr>
        <w:t xml:space="preserve">at a certain per-capita rate, with no effect on those </w:t>
      </w:r>
      <w:proofErr w:type="gramStart"/>
      <w:r w:rsidRPr="005F5605">
        <w:rPr>
          <w:rFonts w:ascii="Arial" w:hAnsi="Arial" w:cs="Arial"/>
          <w:sz w:val="22"/>
          <w:szCs w:val="22"/>
          <w:lang w:eastAsia="zh-CN"/>
        </w:rPr>
        <w:t xml:space="preserve">in </w:t>
      </w:r>
      <w:proofErr w:type="gramEnd"/>
      <m:oMath>
        <m:r>
          <w:rPr>
            <w:rFonts w:ascii="Cambria Math" w:hAnsi="Cambria Math" w:cs="Arial"/>
            <w:sz w:val="22"/>
            <w:szCs w:val="22"/>
            <w:lang w:eastAsia="zh-CN"/>
          </w:rPr>
          <m:t>L</m:t>
        </m:r>
      </m:oMath>
      <w:r w:rsidRPr="005F5605">
        <w:rPr>
          <w:rFonts w:ascii="Arial" w:hAnsi="Arial" w:cs="Arial"/>
          <w:sz w:val="22"/>
          <w:szCs w:val="22"/>
          <w:lang w:eastAsia="zh-CN"/>
        </w:rPr>
        <w:t xml:space="preserve">. That is, we assume conservatively that preventive therapy mitigates the risk of imminent TB, without necessarily curing LTBI. </w:t>
      </w:r>
    </w:p>
    <w:p w:rsidR="000623D8" w:rsidRPr="005F5605" w:rsidRDefault="000623D8" w:rsidP="000623D8">
      <w:pPr>
        <w:autoSpaceDE w:val="0"/>
        <w:autoSpaceDN w:val="0"/>
        <w:adjustRightInd w:val="0"/>
        <w:spacing w:line="312" w:lineRule="auto"/>
        <w:rPr>
          <w:rFonts w:ascii="Arial" w:hAnsi="Arial" w:cs="Arial"/>
          <w:sz w:val="22"/>
          <w:szCs w:val="22"/>
          <w:lang w:eastAsia="zh-CN"/>
        </w:rPr>
      </w:pPr>
    </w:p>
    <w:p w:rsidR="000623D8" w:rsidRPr="005F5605" w:rsidRDefault="000623D8" w:rsidP="000623D8">
      <w:pPr>
        <w:autoSpaceDE w:val="0"/>
        <w:autoSpaceDN w:val="0"/>
        <w:adjustRightInd w:val="0"/>
        <w:spacing w:line="312" w:lineRule="auto"/>
        <w:rPr>
          <w:rFonts w:ascii="Arial" w:hAnsi="Arial" w:cs="Arial"/>
          <w:sz w:val="22"/>
          <w:szCs w:val="22"/>
          <w:lang w:eastAsia="zh-CN"/>
        </w:rPr>
      </w:pPr>
      <w:r w:rsidRPr="005F5605">
        <w:rPr>
          <w:rFonts w:ascii="Arial" w:hAnsi="Arial" w:cs="Arial"/>
          <w:sz w:val="22"/>
          <w:szCs w:val="22"/>
          <w:lang w:eastAsia="zh-CN"/>
        </w:rPr>
        <w:t xml:space="preserve">For PLHIV, we modelled the per-capita rate of transition from </w:t>
      </w:r>
      <m:oMath>
        <m:r>
          <w:rPr>
            <w:rFonts w:ascii="Cambria Math" w:hAnsi="Cambria Math" w:cs="Arial"/>
            <w:sz w:val="22"/>
            <w:szCs w:val="22"/>
            <w:lang w:eastAsia="zh-CN"/>
          </w:rPr>
          <m:t>M</m:t>
        </m:r>
      </m:oMath>
      <w:r w:rsidRPr="005F5605">
        <w:rPr>
          <w:rFonts w:ascii="Arial" w:hAnsi="Arial" w:cs="Arial"/>
          <w:sz w:val="22"/>
          <w:szCs w:val="22"/>
          <w:lang w:eastAsia="zh-CN"/>
        </w:rPr>
        <w:t xml:space="preserve"> to </w:t>
      </w:r>
      <m:oMath>
        <m:r>
          <w:rPr>
            <w:rFonts w:ascii="Cambria Math" w:hAnsi="Cambria Math" w:cs="Arial"/>
            <w:sz w:val="22"/>
            <w:szCs w:val="22"/>
            <w:lang w:eastAsia="zh-CN"/>
          </w:rPr>
          <m:t>L</m:t>
        </m:r>
      </m:oMath>
      <w:r w:rsidRPr="005F5605">
        <w:rPr>
          <w:rFonts w:ascii="Arial" w:hAnsi="Arial" w:cs="Arial"/>
          <w:sz w:val="22"/>
          <w:szCs w:val="22"/>
          <w:lang w:eastAsia="zh-CN"/>
        </w:rPr>
        <w:t xml:space="preserve"> to reflect the number being initiated on preventive therapy. In the present analysis we instead developed a simple, alternative approach, suitable for compartmental model frameworks in general.</w:t>
      </w:r>
    </w:p>
    <w:p w:rsidR="000623D8" w:rsidRPr="005F5605" w:rsidRDefault="000623D8" w:rsidP="000623D8">
      <w:pPr>
        <w:autoSpaceDE w:val="0"/>
        <w:autoSpaceDN w:val="0"/>
        <w:adjustRightInd w:val="0"/>
        <w:spacing w:line="312" w:lineRule="auto"/>
        <w:rPr>
          <w:rFonts w:ascii="Arial" w:hAnsi="Arial" w:cs="Arial"/>
          <w:sz w:val="22"/>
          <w:szCs w:val="22"/>
          <w:lang w:eastAsia="zh-CN"/>
        </w:rPr>
      </w:pPr>
    </w:p>
    <w:p w:rsidR="000623D8" w:rsidRPr="005F5605" w:rsidRDefault="000623D8" w:rsidP="000623D8">
      <w:pPr>
        <w:autoSpaceDE w:val="0"/>
        <w:autoSpaceDN w:val="0"/>
        <w:adjustRightInd w:val="0"/>
        <w:spacing w:line="312" w:lineRule="auto"/>
        <w:rPr>
          <w:rFonts w:ascii="Arial" w:hAnsi="Arial" w:cs="Arial"/>
          <w:sz w:val="22"/>
          <w:szCs w:val="22"/>
          <w:lang w:eastAsia="zh-CN"/>
        </w:rPr>
      </w:pPr>
      <w:r w:rsidRPr="005F5605">
        <w:rPr>
          <w:rFonts w:ascii="Arial" w:hAnsi="Arial" w:cs="Arial"/>
          <w:sz w:val="22"/>
          <w:szCs w:val="22"/>
          <w:lang w:eastAsia="zh-CN"/>
        </w:rPr>
        <w:t xml:space="preserve">For household contacts, as described in the main text, modelling household structure - and its implications for </w:t>
      </w:r>
      <w:proofErr w:type="spellStart"/>
      <w:r w:rsidRPr="005F5605">
        <w:rPr>
          <w:rFonts w:ascii="Arial" w:hAnsi="Arial" w:cs="Arial"/>
          <w:sz w:val="22"/>
          <w:szCs w:val="22"/>
          <w:lang w:eastAsia="zh-CN"/>
        </w:rPr>
        <w:t>recency</w:t>
      </w:r>
      <w:proofErr w:type="spellEnd"/>
      <w:r w:rsidRPr="005F5605">
        <w:rPr>
          <w:rFonts w:ascii="Arial" w:hAnsi="Arial" w:cs="Arial"/>
          <w:sz w:val="22"/>
          <w:szCs w:val="22"/>
          <w:lang w:eastAsia="zh-CN"/>
        </w:rPr>
        <w:t xml:space="preserve"> of infection - can involve considerable increases in model dimensionality</w:t>
      </w:r>
      <w:r w:rsidRPr="005F5605">
        <w:rPr>
          <w:rFonts w:ascii="Arial" w:hAnsi="Arial" w:cs="Arial"/>
          <w:sz w:val="22"/>
          <w:szCs w:val="22"/>
          <w:lang w:eastAsia="zh-CN"/>
        </w:rPr>
        <w:fldChar w:fldCharType="begin" w:fldLock="1"/>
      </w:r>
      <w:r w:rsidRPr="005F5605">
        <w:rPr>
          <w:rFonts w:ascii="Arial" w:hAnsi="Arial" w:cs="Arial"/>
          <w:sz w:val="22"/>
          <w:szCs w:val="22"/>
          <w:lang w:eastAsia="zh-CN"/>
        </w:rPr>
        <w:instrText>ADDIN CSL_CITATION {"citationItems":[{"id":"ITEM-1","itemData":{"DOI":"10.1098/rsif.2019.0317","ISSN":"17425662","abstract":"The spread of infectious diseases is intimately linked with the strength and type of contact between individuals. Multiple observational and modelling studies have highlighted the importance of two forms of social mixing: age structure, where the likelihood of interaction between two individuals is determined by their ages; and household structure, which recognizes the much stronger contacts and hence transmission potential within the family setting. Age structure has been ubiquitous in predictive models of both endemic and epidemic infections, in part due to the ease of assessing someone's age. By contrast, although household structure is potentially the dominant heterogeneity, it has received less attention, in part due to an absence of the necessary methodology. Here, we develop the modelling framework necessary to predict the behaviour of endemic infections (which necessitates capturing demographic processes) in populations that possess both household and age structure. We compare two childhood infections, with measles-like and mumps-like parameters, and two populations with UK-like and Kenya-like characteristics, which allows us to disentangle the impact of epidemiology and demography. For this high-dimensional model, we predict complex nonlinear dynamics, where the dynamics of within-household outbreaks are tempered by historical waves of infection and the immunity of older individuals.","author":[{"dropping-particle":"","family":"Hilton","given":"Joe","non-dropping-particle":"","parse-names":false,"suffix":""},{"dropping-particle":"","family":"Keeling","given":"Matt J.","non-dropping-particle":"","parse-names":false,"suffix":""}],"container-title":"Journal of the Royal Society Interface","id":"ITEM-1","issued":{"date-parts":[["2019"]]},"title":"Incorporating household structure and demography into models of endemic disease","type":"article-journal"},"uris":["http://www.mendeley.com/documents/?uuid=4a529fab-d042-4c4e-8cc1-f86e843504ee","http://www.mendeley.com/documents/?uuid=beca32a4-5bf2-4311-ade1-5f875febe9c2"]}],"mendeley":{"formattedCitation":"&lt;sup&gt;23&lt;/sup&gt;","plainTextFormattedCitation":"23","previouslyFormattedCitation":"&lt;sup&gt;23&lt;/sup&gt;"},"properties":{"noteIndex":0},"schema":"https://github.com/citation-style-language/schema/raw/master/csl-citation.json"}</w:instrText>
      </w:r>
      <w:r w:rsidRPr="005F5605">
        <w:rPr>
          <w:rFonts w:ascii="Arial" w:hAnsi="Arial" w:cs="Arial"/>
          <w:sz w:val="22"/>
          <w:szCs w:val="22"/>
          <w:lang w:eastAsia="zh-CN"/>
        </w:rPr>
        <w:fldChar w:fldCharType="separate"/>
      </w:r>
      <w:r w:rsidRPr="005F5605">
        <w:rPr>
          <w:rFonts w:ascii="Arial" w:hAnsi="Arial" w:cs="Arial"/>
          <w:noProof/>
          <w:sz w:val="22"/>
          <w:szCs w:val="22"/>
          <w:vertAlign w:val="superscript"/>
          <w:lang w:eastAsia="zh-CN"/>
        </w:rPr>
        <w:t>23</w:t>
      </w:r>
      <w:r w:rsidRPr="005F5605">
        <w:rPr>
          <w:rFonts w:ascii="Arial" w:hAnsi="Arial" w:cs="Arial"/>
          <w:sz w:val="22"/>
          <w:szCs w:val="22"/>
          <w:lang w:eastAsia="zh-CN"/>
        </w:rPr>
        <w:fldChar w:fldCharType="end"/>
      </w:r>
      <w:r w:rsidRPr="005F5605">
        <w:rPr>
          <w:rFonts w:ascii="Arial" w:hAnsi="Arial" w:cs="Arial"/>
          <w:sz w:val="22"/>
          <w:szCs w:val="22"/>
          <w:lang w:eastAsia="zh-CN"/>
        </w:rPr>
        <w:t>. In the present analysis we instead developed a simple, alternative approach, suitable for compartmental model frameworks in general. We focused on the population implications of controlling incidence in a defined cohort. In particular, we adopted the following, three-step process:</w:t>
      </w:r>
    </w:p>
    <w:p w:rsidR="000623D8" w:rsidRPr="005F5605" w:rsidRDefault="000623D8" w:rsidP="000623D8">
      <w:pPr>
        <w:autoSpaceDE w:val="0"/>
        <w:autoSpaceDN w:val="0"/>
        <w:adjustRightInd w:val="0"/>
        <w:spacing w:line="312" w:lineRule="auto"/>
        <w:rPr>
          <w:rFonts w:ascii="Arial" w:hAnsi="Arial" w:cs="Arial"/>
          <w:sz w:val="22"/>
          <w:szCs w:val="22"/>
          <w:lang w:eastAsia="zh-CN"/>
        </w:rPr>
      </w:pPr>
    </w:p>
    <w:p w:rsidR="000623D8" w:rsidRPr="005F5605" w:rsidRDefault="000623D8" w:rsidP="000623D8">
      <w:pPr>
        <w:pStyle w:val="ListParagraph"/>
        <w:numPr>
          <w:ilvl w:val="0"/>
          <w:numId w:val="13"/>
        </w:numPr>
        <w:autoSpaceDE w:val="0"/>
        <w:autoSpaceDN w:val="0"/>
        <w:adjustRightInd w:val="0"/>
        <w:spacing w:line="312" w:lineRule="auto"/>
        <w:rPr>
          <w:rFonts w:ascii="Arial" w:hAnsi="Arial" w:cs="Arial"/>
          <w:sz w:val="22"/>
          <w:szCs w:val="22"/>
        </w:rPr>
      </w:pPr>
      <w:r w:rsidRPr="005F5605">
        <w:rPr>
          <w:rFonts w:ascii="Arial" w:hAnsi="Arial" w:cs="Arial"/>
          <w:i/>
          <w:iCs/>
          <w:sz w:val="22"/>
          <w:szCs w:val="22"/>
          <w:u w:val="single"/>
        </w:rPr>
        <w:t>Estimating direct effects:</w:t>
      </w:r>
      <w:r w:rsidRPr="005F5605">
        <w:rPr>
          <w:rFonts w:ascii="Arial" w:hAnsi="Arial" w:cs="Arial"/>
          <w:sz w:val="22"/>
          <w:szCs w:val="22"/>
        </w:rPr>
        <w:t xml:space="preserve"> In a given country, we considered the cohort of household contacts of all reported TB cases. In this population, we denoted the ‘direct benefit’ </w:t>
      </w:r>
      <m:oMath>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HH</m:t>
            </m:r>
          </m:sub>
        </m:sSub>
      </m:oMath>
      <w:r w:rsidRPr="005F5605">
        <w:rPr>
          <w:rFonts w:ascii="Arial" w:hAnsi="Arial" w:cs="Arial"/>
          <w:sz w:val="22"/>
          <w:szCs w:val="22"/>
        </w:rPr>
        <w:t xml:space="preserve"> of preventive therapy as the cumulative reduction in TB incidence in the absence of any transmission effects:</w:t>
      </w:r>
    </w:p>
    <w:p w:rsidR="000623D8" w:rsidRPr="005F5605" w:rsidRDefault="000623D8" w:rsidP="000623D8">
      <w:pPr>
        <w:autoSpaceDE w:val="0"/>
        <w:autoSpaceDN w:val="0"/>
        <w:adjustRightInd w:val="0"/>
        <w:spacing w:line="312" w:lineRule="auto"/>
        <w:rPr>
          <w:rFonts w:ascii="Arial" w:hAnsi="Arial" w:cs="Arial"/>
          <w:sz w:val="22"/>
          <w:szCs w:val="22"/>
        </w:rPr>
      </w:pPr>
    </w:p>
    <w:p w:rsidR="000623D8" w:rsidRPr="005F5605" w:rsidRDefault="005F5605" w:rsidP="000623D8">
      <w:pPr>
        <w:autoSpaceDE w:val="0"/>
        <w:autoSpaceDN w:val="0"/>
        <w:adjustRightInd w:val="0"/>
        <w:spacing w:line="312" w:lineRule="auto"/>
        <w:ind w:left="360" w:firstLine="720"/>
        <w:rPr>
          <w:rFonts w:ascii="Arial" w:hAnsi="Arial" w:cs="Arial"/>
          <w:sz w:val="22"/>
          <w:szCs w:val="22"/>
        </w:rPr>
      </w:pPr>
      <m:oMath>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HH</m:t>
            </m:r>
          </m:sub>
        </m:sSub>
        <m:r>
          <w:rPr>
            <w:rFonts w:ascii="Cambria Math" w:hAnsi="Cambria Math" w:cs="Arial"/>
            <w:sz w:val="22"/>
            <w:szCs w:val="22"/>
          </w:rPr>
          <m:t>=NfI(1+</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HH</m:t>
            </m:r>
          </m:sub>
        </m:sSub>
        <m:r>
          <w:rPr>
            <w:rFonts w:ascii="Cambria Math" w:hAnsi="Cambria Math" w:cs="Arial"/>
            <w:sz w:val="22"/>
            <w:szCs w:val="22"/>
          </w:rPr>
          <m:t>)c,</m:t>
        </m:r>
      </m:oMath>
      <w:r w:rsidR="000623D8" w:rsidRPr="005F5605">
        <w:rPr>
          <w:rFonts w:ascii="Arial" w:hAnsi="Arial" w:cs="Arial"/>
          <w:sz w:val="22"/>
          <w:szCs w:val="22"/>
        </w:rPr>
        <w:t xml:space="preserve"> </w:t>
      </w:r>
    </w:p>
    <w:p w:rsidR="000623D8" w:rsidRPr="005F5605" w:rsidRDefault="000623D8" w:rsidP="000623D8">
      <w:pPr>
        <w:autoSpaceDE w:val="0"/>
        <w:autoSpaceDN w:val="0"/>
        <w:adjustRightInd w:val="0"/>
        <w:spacing w:line="312" w:lineRule="auto"/>
        <w:rPr>
          <w:rFonts w:ascii="Arial" w:hAnsi="Arial" w:cs="Arial"/>
          <w:sz w:val="22"/>
          <w:szCs w:val="22"/>
          <w:lang w:eastAsia="zh-CN"/>
        </w:rPr>
      </w:pPr>
    </w:p>
    <w:p w:rsidR="000623D8" w:rsidRPr="005F5605" w:rsidRDefault="000623D8" w:rsidP="000623D8">
      <w:pPr>
        <w:autoSpaceDE w:val="0"/>
        <w:autoSpaceDN w:val="0"/>
        <w:adjustRightInd w:val="0"/>
        <w:spacing w:line="312" w:lineRule="auto"/>
        <w:ind w:left="720"/>
        <w:rPr>
          <w:rFonts w:ascii="Arial" w:hAnsi="Arial" w:cs="Arial"/>
          <w:sz w:val="22"/>
          <w:szCs w:val="22"/>
          <w:lang w:eastAsia="zh-CN"/>
        </w:rPr>
      </w:pPr>
      <w:r w:rsidRPr="005F5605">
        <w:rPr>
          <w:rFonts w:ascii="Arial" w:hAnsi="Arial" w:cs="Arial"/>
          <w:sz w:val="22"/>
          <w:szCs w:val="22"/>
          <w:lang w:eastAsia="zh-CN"/>
        </w:rPr>
        <w:t xml:space="preserve">where </w:t>
      </w:r>
      <w:r w:rsidRPr="005F5605">
        <w:rPr>
          <w:rFonts w:ascii="Arial" w:hAnsi="Arial" w:cs="Arial"/>
          <w:i/>
          <w:iCs/>
          <w:sz w:val="22"/>
          <w:szCs w:val="22"/>
          <w:lang w:eastAsia="zh-CN"/>
        </w:rPr>
        <w:t>N</w:t>
      </w:r>
      <w:r w:rsidRPr="005F5605">
        <w:rPr>
          <w:rFonts w:ascii="Arial" w:hAnsi="Arial" w:cs="Arial"/>
          <w:sz w:val="22"/>
          <w:szCs w:val="22"/>
          <w:lang w:eastAsia="zh-CN"/>
        </w:rPr>
        <w:t xml:space="preserve"> is the cumulative number of TB cases notified; </w:t>
      </w:r>
      <m:oMath>
        <m:r>
          <w:rPr>
            <w:rFonts w:ascii="Cambria Math" w:hAnsi="Cambria Math" w:cs="Arial"/>
            <w:sz w:val="22"/>
            <w:szCs w:val="22"/>
            <w:lang w:eastAsia="zh-CN"/>
          </w:rPr>
          <m:t>f</m:t>
        </m:r>
      </m:oMath>
      <w:r w:rsidRPr="005F5605">
        <w:rPr>
          <w:rFonts w:ascii="Arial" w:hAnsi="Arial" w:cs="Arial"/>
          <w:sz w:val="22"/>
          <w:szCs w:val="22"/>
          <w:lang w:eastAsia="zh-CN"/>
        </w:rPr>
        <w:t xml:space="preserve"> is the average number of household contacts per index case; </w:t>
      </w:r>
      <m:oMath>
        <m:r>
          <w:rPr>
            <w:rFonts w:ascii="Cambria Math" w:hAnsi="Cambria Math" w:cs="Arial"/>
            <w:sz w:val="22"/>
            <w:szCs w:val="22"/>
            <w:lang w:eastAsia="zh-CN"/>
          </w:rPr>
          <m:t>I</m:t>
        </m:r>
      </m:oMath>
      <w:r w:rsidRPr="005F5605">
        <w:rPr>
          <w:rFonts w:ascii="Arial" w:hAnsi="Arial" w:cs="Arial"/>
          <w:sz w:val="22"/>
          <w:szCs w:val="22"/>
          <w:lang w:eastAsia="zh-CN"/>
        </w:rPr>
        <w:t xml:space="preserve"> is the incidence rate in the general population; </w:t>
      </w:r>
      <m:oMath>
        <m:sSub>
          <m:sSubPr>
            <m:ctrlPr>
              <w:rPr>
                <w:rFonts w:ascii="Cambria Math" w:hAnsi="Cambria Math" w:cs="Arial"/>
                <w:i/>
                <w:sz w:val="22"/>
                <w:szCs w:val="22"/>
                <w:lang w:eastAsia="zh-CN"/>
              </w:rPr>
            </m:ctrlPr>
          </m:sSubPr>
          <m:e>
            <m:r>
              <w:rPr>
                <w:rFonts w:ascii="Cambria Math" w:hAnsi="Cambria Math" w:cs="Arial"/>
                <w:sz w:val="22"/>
                <w:szCs w:val="22"/>
                <w:lang w:eastAsia="zh-CN"/>
              </w:rPr>
              <m:t>k</m:t>
            </m:r>
          </m:e>
          <m:sub>
            <m:r>
              <w:rPr>
                <w:rFonts w:ascii="Cambria Math" w:hAnsi="Cambria Math" w:cs="Arial"/>
                <w:sz w:val="22"/>
                <w:szCs w:val="22"/>
                <w:lang w:eastAsia="zh-CN"/>
              </w:rPr>
              <m:t>HH</m:t>
            </m:r>
          </m:sub>
        </m:sSub>
      </m:oMath>
      <w:r w:rsidRPr="005F5605">
        <w:rPr>
          <w:rFonts w:ascii="Arial" w:hAnsi="Arial" w:cs="Arial"/>
          <w:sz w:val="22"/>
          <w:szCs w:val="22"/>
          <w:lang w:eastAsia="zh-CN"/>
        </w:rPr>
        <w:t xml:space="preserve"> is the excess, cumulative risk of incidence associated with being a household contact; and </w:t>
      </w:r>
      <m:oMath>
        <m:r>
          <w:rPr>
            <w:rFonts w:ascii="Cambria Math" w:hAnsi="Cambria Math" w:cs="Arial"/>
            <w:sz w:val="22"/>
            <w:szCs w:val="22"/>
            <w:lang w:eastAsia="zh-CN"/>
          </w:rPr>
          <m:t>c</m:t>
        </m:r>
      </m:oMath>
      <w:r w:rsidRPr="005F5605">
        <w:rPr>
          <w:rFonts w:ascii="Arial" w:hAnsi="Arial" w:cs="Arial"/>
          <w:sz w:val="22"/>
          <w:szCs w:val="22"/>
          <w:lang w:eastAsia="zh-CN"/>
        </w:rPr>
        <w:t xml:space="preserve"> is the effectiveness of preventive therapy in reducing incidence (where </w:t>
      </w:r>
      <m:oMath>
        <m:r>
          <w:rPr>
            <w:rFonts w:ascii="Cambria Math" w:hAnsi="Cambria Math" w:cs="Arial"/>
            <w:sz w:val="22"/>
            <w:szCs w:val="22"/>
            <w:lang w:eastAsia="zh-CN"/>
          </w:rPr>
          <m:t>c=1</m:t>
        </m:r>
      </m:oMath>
      <w:r w:rsidRPr="005F5605">
        <w:rPr>
          <w:rFonts w:ascii="Arial" w:hAnsi="Arial" w:cs="Arial"/>
          <w:sz w:val="22"/>
          <w:szCs w:val="22"/>
          <w:lang w:eastAsia="zh-CN"/>
        </w:rPr>
        <w:t xml:space="preserve"> denotes a fully effective regimen). </w:t>
      </w:r>
    </w:p>
    <w:p w:rsidR="000623D8" w:rsidRPr="005F5605" w:rsidRDefault="000623D8" w:rsidP="000623D8">
      <w:pPr>
        <w:autoSpaceDE w:val="0"/>
        <w:autoSpaceDN w:val="0"/>
        <w:adjustRightInd w:val="0"/>
        <w:spacing w:line="312" w:lineRule="auto"/>
        <w:ind w:left="720"/>
        <w:rPr>
          <w:rFonts w:ascii="Arial" w:hAnsi="Arial" w:cs="Arial"/>
          <w:sz w:val="22"/>
          <w:szCs w:val="22"/>
          <w:lang w:eastAsia="zh-CN"/>
        </w:rPr>
      </w:pPr>
    </w:p>
    <w:p w:rsidR="000623D8" w:rsidRPr="005F5605" w:rsidRDefault="000623D8" w:rsidP="000623D8">
      <w:pPr>
        <w:autoSpaceDE w:val="0"/>
        <w:autoSpaceDN w:val="0"/>
        <w:adjustRightInd w:val="0"/>
        <w:spacing w:line="312" w:lineRule="auto"/>
        <w:ind w:left="720"/>
        <w:rPr>
          <w:rFonts w:ascii="Arial" w:hAnsi="Arial" w:cs="Arial"/>
          <w:sz w:val="22"/>
          <w:szCs w:val="22"/>
          <w:lang w:eastAsia="zh-CN"/>
        </w:rPr>
      </w:pPr>
      <w:r w:rsidRPr="005F5605">
        <w:rPr>
          <w:rFonts w:ascii="Arial" w:hAnsi="Arial" w:cs="Arial"/>
          <w:sz w:val="22"/>
          <w:szCs w:val="22"/>
          <w:lang w:eastAsia="zh-CN"/>
        </w:rPr>
        <w:t xml:space="preserve">Similarly, we estimated the direct benefit </w:t>
      </w:r>
      <m:oMath>
        <m:sSub>
          <m:sSubPr>
            <m:ctrlPr>
              <w:rPr>
                <w:rFonts w:ascii="Cambria Math" w:hAnsi="Cambria Math" w:cs="Arial"/>
                <w:i/>
                <w:sz w:val="22"/>
                <w:szCs w:val="22"/>
                <w:lang w:eastAsia="zh-CN"/>
              </w:rPr>
            </m:ctrlPr>
          </m:sSubPr>
          <m:e>
            <m:r>
              <w:rPr>
                <w:rFonts w:ascii="Cambria Math" w:hAnsi="Cambria Math" w:cs="Arial"/>
                <w:sz w:val="22"/>
                <w:szCs w:val="22"/>
                <w:lang w:eastAsia="zh-CN"/>
              </w:rPr>
              <m:t>D</m:t>
            </m:r>
          </m:e>
          <m:sub>
            <m:r>
              <w:rPr>
                <w:rFonts w:ascii="Cambria Math" w:hAnsi="Cambria Math" w:cs="Arial"/>
                <w:sz w:val="22"/>
                <w:szCs w:val="22"/>
                <w:lang w:eastAsia="zh-CN"/>
              </w:rPr>
              <m:t>RG</m:t>
            </m:r>
          </m:sub>
        </m:sSub>
        <m:r>
          <w:rPr>
            <w:rFonts w:ascii="Cambria Math" w:hAnsi="Cambria Math" w:cs="Arial"/>
            <w:sz w:val="22"/>
            <w:szCs w:val="22"/>
            <w:lang w:eastAsia="zh-CN"/>
          </w:rPr>
          <m:t xml:space="preserve"> </m:t>
        </m:r>
      </m:oMath>
      <w:r w:rsidRPr="005F5605">
        <w:rPr>
          <w:rFonts w:ascii="Arial" w:hAnsi="Arial" w:cs="Arial"/>
          <w:sz w:val="22"/>
          <w:szCs w:val="22"/>
          <w:lang w:eastAsia="zh-CN"/>
        </w:rPr>
        <w:t xml:space="preserve">of preventive therapy amongst other clinical risk groups including patients receiving dialysis, organ transplantations, etc (described below), ultimately estimating the overall direct benefit </w:t>
      </w:r>
      <m:oMath>
        <m:r>
          <w:rPr>
            <w:rFonts w:ascii="Cambria Math" w:hAnsi="Cambria Math" w:cs="Arial"/>
            <w:sz w:val="22"/>
            <w:szCs w:val="22"/>
            <w:lang w:eastAsia="zh-CN"/>
          </w:rPr>
          <m:t>D</m:t>
        </m:r>
      </m:oMath>
      <w:r w:rsidRPr="005F5605">
        <w:rPr>
          <w:rFonts w:ascii="Arial" w:hAnsi="Arial" w:cs="Arial"/>
          <w:sz w:val="22"/>
          <w:szCs w:val="22"/>
          <w:lang w:eastAsia="zh-CN"/>
        </w:rPr>
        <w:t xml:space="preserve"> as:</w:t>
      </w:r>
    </w:p>
    <w:p w:rsidR="000623D8" w:rsidRPr="005F5605" w:rsidRDefault="000623D8" w:rsidP="000623D8">
      <w:pPr>
        <w:autoSpaceDE w:val="0"/>
        <w:autoSpaceDN w:val="0"/>
        <w:adjustRightInd w:val="0"/>
        <w:spacing w:line="312" w:lineRule="auto"/>
        <w:ind w:left="720"/>
        <w:rPr>
          <w:rFonts w:ascii="Arial" w:hAnsi="Arial" w:cs="Arial"/>
          <w:sz w:val="22"/>
          <w:szCs w:val="22"/>
          <w:lang w:eastAsia="zh-CN"/>
        </w:rPr>
      </w:pPr>
    </w:p>
    <w:p w:rsidR="000623D8" w:rsidRPr="005F5605" w:rsidRDefault="000623D8" w:rsidP="000623D8">
      <w:pPr>
        <w:autoSpaceDE w:val="0"/>
        <w:autoSpaceDN w:val="0"/>
        <w:adjustRightInd w:val="0"/>
        <w:spacing w:line="312" w:lineRule="auto"/>
        <w:ind w:left="720"/>
        <w:rPr>
          <w:rFonts w:ascii="Arial" w:hAnsi="Arial" w:cs="Arial"/>
          <w:sz w:val="22"/>
          <w:szCs w:val="22"/>
          <w:lang w:eastAsia="zh-CN"/>
        </w:rPr>
      </w:pPr>
      <w:r w:rsidRPr="005F5605">
        <w:rPr>
          <w:rFonts w:ascii="Arial" w:hAnsi="Arial" w:cs="Arial"/>
          <w:sz w:val="22"/>
          <w:szCs w:val="22"/>
          <w:lang w:eastAsia="zh-CN"/>
        </w:rPr>
        <w:tab/>
      </w:r>
      <m:oMath>
        <m:r>
          <w:rPr>
            <w:rFonts w:ascii="Cambria Math" w:hAnsi="Cambria Math" w:cs="Arial"/>
            <w:sz w:val="22"/>
            <w:szCs w:val="22"/>
            <w:lang w:eastAsia="zh-CN"/>
          </w:rPr>
          <m:t>D=</m:t>
        </m:r>
        <m:sSub>
          <m:sSubPr>
            <m:ctrlPr>
              <w:rPr>
                <w:rFonts w:ascii="Cambria Math" w:hAnsi="Cambria Math" w:cs="Arial"/>
                <w:i/>
                <w:sz w:val="22"/>
                <w:szCs w:val="22"/>
                <w:lang w:eastAsia="zh-CN"/>
              </w:rPr>
            </m:ctrlPr>
          </m:sSubPr>
          <m:e>
            <m:r>
              <w:rPr>
                <w:rFonts w:ascii="Cambria Math" w:hAnsi="Cambria Math" w:cs="Arial"/>
                <w:sz w:val="22"/>
                <w:szCs w:val="22"/>
                <w:lang w:eastAsia="zh-CN"/>
              </w:rPr>
              <m:t>D</m:t>
            </m:r>
          </m:e>
          <m:sub>
            <m:r>
              <w:rPr>
                <w:rFonts w:ascii="Cambria Math" w:hAnsi="Cambria Math" w:cs="Arial"/>
                <w:sz w:val="22"/>
                <w:szCs w:val="22"/>
                <w:lang w:eastAsia="zh-CN"/>
              </w:rPr>
              <m:t>HH</m:t>
            </m:r>
          </m:sub>
        </m:sSub>
        <m:r>
          <w:rPr>
            <w:rFonts w:ascii="Cambria Math" w:hAnsi="Cambria Math" w:cs="Arial"/>
            <w:sz w:val="22"/>
            <w:szCs w:val="22"/>
            <w:lang w:eastAsia="zh-CN"/>
          </w:rPr>
          <m:t>+</m:t>
        </m:r>
        <m:sSub>
          <m:sSubPr>
            <m:ctrlPr>
              <w:rPr>
                <w:rFonts w:ascii="Cambria Math" w:hAnsi="Cambria Math" w:cs="Arial"/>
                <w:i/>
                <w:sz w:val="22"/>
                <w:szCs w:val="22"/>
                <w:lang w:eastAsia="zh-CN"/>
              </w:rPr>
            </m:ctrlPr>
          </m:sSubPr>
          <m:e>
            <m:r>
              <w:rPr>
                <w:rFonts w:ascii="Cambria Math" w:hAnsi="Cambria Math" w:cs="Arial"/>
                <w:sz w:val="22"/>
                <w:szCs w:val="22"/>
                <w:lang w:eastAsia="zh-CN"/>
              </w:rPr>
              <m:t>D</m:t>
            </m:r>
          </m:e>
          <m:sub>
            <m:r>
              <w:rPr>
                <w:rFonts w:ascii="Cambria Math" w:hAnsi="Cambria Math" w:cs="Arial"/>
                <w:sz w:val="22"/>
                <w:szCs w:val="22"/>
                <w:lang w:eastAsia="zh-CN"/>
              </w:rPr>
              <m:t>RG</m:t>
            </m:r>
          </m:sub>
        </m:sSub>
      </m:oMath>
    </w:p>
    <w:p w:rsidR="000623D8" w:rsidRPr="005F5605" w:rsidRDefault="000623D8" w:rsidP="000623D8">
      <w:pPr>
        <w:autoSpaceDE w:val="0"/>
        <w:autoSpaceDN w:val="0"/>
        <w:adjustRightInd w:val="0"/>
        <w:spacing w:line="312" w:lineRule="auto"/>
        <w:ind w:left="720"/>
        <w:rPr>
          <w:rFonts w:ascii="Arial" w:hAnsi="Arial" w:cs="Arial"/>
          <w:sz w:val="22"/>
          <w:szCs w:val="22"/>
          <w:lang w:eastAsia="zh-CN"/>
        </w:rPr>
      </w:pPr>
    </w:p>
    <w:p w:rsidR="000623D8" w:rsidRPr="005F5605" w:rsidRDefault="000623D8" w:rsidP="000623D8">
      <w:pPr>
        <w:autoSpaceDE w:val="0"/>
        <w:autoSpaceDN w:val="0"/>
        <w:adjustRightInd w:val="0"/>
        <w:spacing w:line="312" w:lineRule="auto"/>
        <w:ind w:left="720"/>
        <w:rPr>
          <w:rFonts w:ascii="Arial" w:hAnsi="Arial" w:cs="Arial"/>
          <w:sz w:val="22"/>
          <w:szCs w:val="22"/>
          <w:lang w:eastAsia="zh-CN"/>
        </w:rPr>
      </w:pPr>
      <w:r w:rsidRPr="005F5605">
        <w:rPr>
          <w:rFonts w:ascii="Arial" w:hAnsi="Arial" w:cs="Arial"/>
          <w:sz w:val="22"/>
          <w:szCs w:val="22"/>
          <w:lang w:eastAsia="zh-CN"/>
        </w:rPr>
        <w:t xml:space="preserve">We emphasise that </w:t>
      </w:r>
      <m:oMath>
        <m:sSub>
          <m:sSubPr>
            <m:ctrlPr>
              <w:rPr>
                <w:rFonts w:ascii="Cambria Math" w:hAnsi="Cambria Math" w:cs="Arial"/>
                <w:i/>
                <w:sz w:val="22"/>
                <w:szCs w:val="22"/>
                <w:lang w:eastAsia="zh-CN"/>
              </w:rPr>
            </m:ctrlPr>
          </m:sSubPr>
          <m:e>
            <m:r>
              <w:rPr>
                <w:rFonts w:ascii="Cambria Math" w:hAnsi="Cambria Math" w:cs="Arial"/>
                <w:sz w:val="22"/>
                <w:szCs w:val="22"/>
                <w:lang w:eastAsia="zh-CN"/>
              </w:rPr>
              <m:t>D</m:t>
            </m:r>
          </m:e>
          <m:sub>
            <m:r>
              <w:rPr>
                <w:rFonts w:ascii="Cambria Math" w:hAnsi="Cambria Math" w:cs="Arial"/>
                <w:sz w:val="22"/>
                <w:szCs w:val="22"/>
                <w:lang w:eastAsia="zh-CN"/>
              </w:rPr>
              <m:t>HH</m:t>
            </m:r>
          </m:sub>
        </m:sSub>
      </m:oMath>
      <w:r w:rsidRPr="005F5605">
        <w:rPr>
          <w:rFonts w:ascii="Arial" w:hAnsi="Arial" w:cs="Arial"/>
          <w:sz w:val="22"/>
          <w:szCs w:val="22"/>
          <w:lang w:eastAsia="zh-CN"/>
        </w:rPr>
        <w:t xml:space="preserve"> and </w:t>
      </w:r>
      <m:oMath>
        <m:sSub>
          <m:sSubPr>
            <m:ctrlPr>
              <w:rPr>
                <w:rFonts w:ascii="Cambria Math" w:hAnsi="Cambria Math" w:cs="Arial"/>
                <w:i/>
                <w:sz w:val="22"/>
                <w:szCs w:val="22"/>
                <w:lang w:eastAsia="zh-CN"/>
              </w:rPr>
            </m:ctrlPr>
          </m:sSubPr>
          <m:e>
            <m:r>
              <w:rPr>
                <w:rFonts w:ascii="Cambria Math" w:hAnsi="Cambria Math" w:cs="Arial"/>
                <w:sz w:val="22"/>
                <w:szCs w:val="22"/>
                <w:lang w:eastAsia="zh-CN"/>
              </w:rPr>
              <m:t>D</m:t>
            </m:r>
          </m:e>
          <m:sub>
            <m:r>
              <w:rPr>
                <w:rFonts w:ascii="Cambria Math" w:hAnsi="Cambria Math" w:cs="Arial"/>
                <w:sz w:val="22"/>
                <w:szCs w:val="22"/>
                <w:lang w:eastAsia="zh-CN"/>
              </w:rPr>
              <m:t>RG</m:t>
            </m:r>
          </m:sub>
        </m:sSub>
      </m:oMath>
      <w:r w:rsidRPr="005F5605">
        <w:rPr>
          <w:rFonts w:ascii="Arial" w:hAnsi="Arial" w:cs="Arial"/>
          <w:sz w:val="22"/>
          <w:szCs w:val="22"/>
          <w:lang w:eastAsia="zh-CN"/>
        </w:rPr>
        <w:t xml:space="preserve"> relate only to direct effects, i.e. the benefits of preventive therapy independent of any transmission effect. Their combined direct effect therefore arises from a simple addition of the two, assuming that there is a negligible overlap between the two groups (i.e. that the number of household contacts who also belong to clinical risk groups is much smaller than the number of household contacts, as well as the number in clinical risk groups).</w:t>
      </w:r>
    </w:p>
    <w:p w:rsidR="000623D8" w:rsidRPr="005F5605" w:rsidRDefault="000623D8" w:rsidP="000623D8">
      <w:pPr>
        <w:autoSpaceDE w:val="0"/>
        <w:autoSpaceDN w:val="0"/>
        <w:adjustRightInd w:val="0"/>
        <w:spacing w:line="312" w:lineRule="auto"/>
        <w:rPr>
          <w:rFonts w:ascii="Arial" w:hAnsi="Arial" w:cs="Arial"/>
          <w:sz w:val="22"/>
          <w:szCs w:val="22"/>
          <w:lang w:eastAsia="zh-CN"/>
        </w:rPr>
      </w:pPr>
    </w:p>
    <w:p w:rsidR="000623D8" w:rsidRPr="005F5605" w:rsidRDefault="000623D8" w:rsidP="000623D8">
      <w:pPr>
        <w:pStyle w:val="ListParagraph"/>
        <w:numPr>
          <w:ilvl w:val="0"/>
          <w:numId w:val="13"/>
        </w:numPr>
        <w:autoSpaceDE w:val="0"/>
        <w:autoSpaceDN w:val="0"/>
        <w:adjustRightInd w:val="0"/>
        <w:spacing w:line="312" w:lineRule="auto"/>
        <w:rPr>
          <w:rFonts w:ascii="Arial" w:hAnsi="Arial" w:cs="Arial"/>
          <w:sz w:val="22"/>
          <w:szCs w:val="22"/>
        </w:rPr>
      </w:pPr>
      <w:r w:rsidRPr="005F5605">
        <w:rPr>
          <w:rFonts w:ascii="Arial" w:hAnsi="Arial" w:cs="Arial"/>
          <w:i/>
          <w:iCs/>
          <w:sz w:val="22"/>
          <w:szCs w:val="22"/>
          <w:u w:val="single"/>
        </w:rPr>
        <w:t>Reproducing direct effects in the model:</w:t>
      </w:r>
      <w:r w:rsidRPr="005F5605">
        <w:rPr>
          <w:rFonts w:ascii="Arial" w:hAnsi="Arial" w:cs="Arial"/>
          <w:sz w:val="22"/>
          <w:szCs w:val="22"/>
        </w:rPr>
        <w:t xml:space="preserve"> We then sought to estimate the rate-of-transition from </w:t>
      </w:r>
      <m:oMath>
        <m:r>
          <w:rPr>
            <w:rFonts w:ascii="Cambria Math" w:hAnsi="Cambria Math" w:cs="Arial"/>
            <w:sz w:val="22"/>
            <w:szCs w:val="22"/>
          </w:rPr>
          <m:t>M</m:t>
        </m:r>
      </m:oMath>
      <w:r w:rsidRPr="005F5605">
        <w:rPr>
          <w:rFonts w:ascii="Arial" w:hAnsi="Arial" w:cs="Arial"/>
          <w:sz w:val="22"/>
          <w:szCs w:val="22"/>
        </w:rPr>
        <w:t xml:space="preserve"> </w:t>
      </w:r>
      <w:proofErr w:type="gramStart"/>
      <w:r w:rsidRPr="005F5605">
        <w:rPr>
          <w:rFonts w:ascii="Arial" w:hAnsi="Arial" w:cs="Arial"/>
          <w:sz w:val="22"/>
          <w:szCs w:val="22"/>
        </w:rPr>
        <w:t xml:space="preserve">to </w:t>
      </w:r>
      <w:proofErr w:type="gramEnd"/>
      <m:oMath>
        <m:r>
          <w:rPr>
            <w:rFonts w:ascii="Cambria Math" w:hAnsi="Cambria Math" w:cs="Arial"/>
            <w:sz w:val="22"/>
            <w:szCs w:val="22"/>
          </w:rPr>
          <m:t>L</m:t>
        </m:r>
      </m:oMath>
      <w:r w:rsidRPr="005F5605">
        <w:rPr>
          <w:rFonts w:ascii="Arial" w:hAnsi="Arial" w:cs="Arial"/>
          <w:sz w:val="22"/>
          <w:szCs w:val="22"/>
        </w:rPr>
        <w:t xml:space="preserve">, amongst the HIV-negative population, that would yield a cumulative incidence reduction of </w:t>
      </w:r>
      <w:r w:rsidRPr="005F5605">
        <w:rPr>
          <w:rFonts w:ascii="Arial" w:hAnsi="Arial" w:cs="Arial"/>
          <w:i/>
          <w:iCs/>
          <w:sz w:val="22"/>
          <w:szCs w:val="22"/>
        </w:rPr>
        <w:t xml:space="preserve">D </w:t>
      </w:r>
      <w:r w:rsidRPr="005F5605">
        <w:rPr>
          <w:rFonts w:ascii="Arial" w:hAnsi="Arial" w:cs="Arial"/>
          <w:sz w:val="22"/>
          <w:szCs w:val="22"/>
        </w:rPr>
        <w:t>between 2020 and 2030, again in the absence of transmission effects</w:t>
      </w:r>
      <w:r w:rsidRPr="005F5605">
        <w:rPr>
          <w:rFonts w:ascii="Arial" w:hAnsi="Arial" w:cs="Arial"/>
          <w:i/>
          <w:iCs/>
          <w:sz w:val="22"/>
          <w:szCs w:val="22"/>
        </w:rPr>
        <w:t xml:space="preserve">. </w:t>
      </w:r>
      <w:r w:rsidRPr="005F5605">
        <w:rPr>
          <w:rFonts w:ascii="Arial" w:hAnsi="Arial" w:cs="Arial"/>
          <w:sz w:val="22"/>
          <w:szCs w:val="22"/>
        </w:rPr>
        <w:t>To do this</w:t>
      </w:r>
      <w:r w:rsidRPr="005F5605">
        <w:rPr>
          <w:rFonts w:ascii="Arial" w:hAnsi="Arial" w:cs="Arial"/>
          <w:i/>
          <w:iCs/>
          <w:sz w:val="22"/>
          <w:szCs w:val="22"/>
        </w:rPr>
        <w:t xml:space="preserve"> </w:t>
      </w:r>
      <w:r w:rsidRPr="005F5605">
        <w:rPr>
          <w:rFonts w:ascii="Arial" w:hAnsi="Arial" w:cs="Arial"/>
          <w:sz w:val="22"/>
          <w:szCs w:val="22"/>
        </w:rPr>
        <w:t>we</w:t>
      </w:r>
      <w:r w:rsidRPr="005F5605">
        <w:rPr>
          <w:rFonts w:ascii="Arial" w:hAnsi="Arial" w:cs="Arial"/>
          <w:i/>
          <w:iCs/>
          <w:sz w:val="22"/>
          <w:szCs w:val="22"/>
        </w:rPr>
        <w:t xml:space="preserve"> </w:t>
      </w:r>
      <w:r w:rsidRPr="005F5605">
        <w:rPr>
          <w:rFonts w:ascii="Arial" w:hAnsi="Arial" w:cs="Arial"/>
          <w:sz w:val="22"/>
          <w:szCs w:val="22"/>
        </w:rPr>
        <w:t xml:space="preserve">solved the governing equations with the force-of-infection </w:t>
      </w:r>
      <m:oMath>
        <m:r>
          <w:rPr>
            <w:rFonts w:ascii="Cambria Math" w:hAnsi="Cambria Math" w:cs="Arial"/>
            <w:sz w:val="22"/>
            <w:szCs w:val="22"/>
          </w:rPr>
          <m:t>λ(t)</m:t>
        </m:r>
      </m:oMath>
      <w:r w:rsidRPr="005F5605">
        <w:rPr>
          <w:rFonts w:ascii="Arial" w:hAnsi="Arial" w:cs="Arial"/>
          <w:sz w:val="22"/>
          <w:szCs w:val="22"/>
        </w:rPr>
        <w:t xml:space="preserve"> determined, not endogenously as in the equations marked (*) above, but by fixing </w:t>
      </w:r>
      <m:oMath>
        <m:r>
          <w:rPr>
            <w:rFonts w:ascii="Cambria Math" w:hAnsi="Cambria Math" w:cs="Arial"/>
            <w:sz w:val="22"/>
            <w:szCs w:val="22"/>
          </w:rPr>
          <m:t>λ</m:t>
        </m:r>
        <m:d>
          <m:dPr>
            <m:ctrlPr>
              <w:rPr>
                <w:rFonts w:ascii="Cambria Math" w:hAnsi="Cambria Math" w:cs="Arial"/>
                <w:i/>
                <w:sz w:val="22"/>
                <w:szCs w:val="22"/>
              </w:rPr>
            </m:ctrlPr>
          </m:dPr>
          <m:e>
            <m:r>
              <w:rPr>
                <w:rFonts w:ascii="Cambria Math" w:hAnsi="Cambria Math" w:cs="Arial"/>
                <w:sz w:val="22"/>
                <w:szCs w:val="22"/>
              </w:rPr>
              <m:t>t</m:t>
            </m:r>
          </m:e>
        </m:d>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λ</m:t>
            </m:r>
          </m:e>
          <m:sup>
            <m:d>
              <m:dPr>
                <m:ctrlPr>
                  <w:rPr>
                    <w:rFonts w:ascii="Cambria Math" w:hAnsi="Cambria Math" w:cs="Arial"/>
                    <w:i/>
                    <w:sz w:val="22"/>
                    <w:szCs w:val="22"/>
                  </w:rPr>
                </m:ctrlPr>
              </m:dPr>
              <m:e>
                <m:r>
                  <w:rPr>
                    <w:rFonts w:ascii="Cambria Math" w:hAnsi="Cambria Math" w:cs="Arial"/>
                    <w:sz w:val="22"/>
                    <w:szCs w:val="22"/>
                  </w:rPr>
                  <m:t>C</m:t>
                </m:r>
              </m:e>
            </m:d>
          </m:sup>
        </m:sSup>
        <m:r>
          <w:rPr>
            <w:rFonts w:ascii="Cambria Math" w:hAnsi="Cambria Math" w:cs="Arial"/>
            <w:sz w:val="22"/>
            <w:szCs w:val="22"/>
          </w:rPr>
          <m:t>(t),</m:t>
        </m:r>
      </m:oMath>
      <w:r w:rsidRPr="005F5605">
        <w:rPr>
          <w:rFonts w:ascii="Arial" w:hAnsi="Arial" w:cs="Arial"/>
          <w:sz w:val="22"/>
          <w:szCs w:val="22"/>
        </w:rPr>
        <w:t xml:space="preserve"> where </w:t>
      </w:r>
      <m:oMath>
        <m:sSup>
          <m:sSupPr>
            <m:ctrlPr>
              <w:rPr>
                <w:rFonts w:ascii="Cambria Math" w:hAnsi="Cambria Math" w:cs="Arial"/>
                <w:i/>
                <w:sz w:val="22"/>
                <w:szCs w:val="22"/>
              </w:rPr>
            </m:ctrlPr>
          </m:sSupPr>
          <m:e>
            <m:r>
              <w:rPr>
                <w:rFonts w:ascii="Cambria Math" w:hAnsi="Cambria Math" w:cs="Arial"/>
                <w:sz w:val="22"/>
                <w:szCs w:val="22"/>
              </w:rPr>
              <m:t>λ</m:t>
            </m:r>
          </m:e>
          <m:sup>
            <m:d>
              <m:dPr>
                <m:ctrlPr>
                  <w:rPr>
                    <w:rFonts w:ascii="Cambria Math" w:hAnsi="Cambria Math" w:cs="Arial"/>
                    <w:i/>
                    <w:sz w:val="22"/>
                    <w:szCs w:val="22"/>
                  </w:rPr>
                </m:ctrlPr>
              </m:dPr>
              <m:e>
                <m:r>
                  <w:rPr>
                    <w:rFonts w:ascii="Cambria Math" w:hAnsi="Cambria Math" w:cs="Arial"/>
                    <w:sz w:val="22"/>
                    <w:szCs w:val="22"/>
                  </w:rPr>
                  <m:t>C</m:t>
                </m:r>
              </m:e>
            </m:d>
          </m:sup>
        </m:sSup>
        <m:r>
          <w:rPr>
            <w:rFonts w:ascii="Cambria Math" w:hAnsi="Cambria Math" w:cs="Arial"/>
            <w:sz w:val="22"/>
            <w:szCs w:val="22"/>
          </w:rPr>
          <m:t>(t)</m:t>
        </m:r>
      </m:oMath>
      <w:r w:rsidRPr="005F5605">
        <w:rPr>
          <w:rFonts w:ascii="Arial" w:hAnsi="Arial" w:cs="Arial"/>
          <w:sz w:val="22"/>
          <w:szCs w:val="22"/>
        </w:rPr>
        <w:t xml:space="preserve"> is the simulated force-of-infection in the comparator scenario (i.e. with no preventive therapy). Under these conditions we varied the value of </w:t>
      </w:r>
      <m:oMath>
        <m:r>
          <w:rPr>
            <w:rFonts w:ascii="Cambria Math" w:hAnsi="Cambria Math" w:cs="Arial"/>
            <w:sz w:val="22"/>
            <w:szCs w:val="22"/>
          </w:rPr>
          <m:t>r</m:t>
        </m:r>
      </m:oMath>
      <w:r w:rsidRPr="005F5605">
        <w:rPr>
          <w:rFonts w:ascii="Arial" w:hAnsi="Arial" w:cs="Arial"/>
          <w:sz w:val="22"/>
          <w:szCs w:val="22"/>
        </w:rPr>
        <w:t xml:space="preserve"> (the average rate of reversion from </w:t>
      </w:r>
      <m:oMath>
        <m:r>
          <w:rPr>
            <w:rFonts w:ascii="Cambria Math" w:hAnsi="Cambria Math" w:cs="Arial"/>
            <w:sz w:val="22"/>
            <w:szCs w:val="22"/>
          </w:rPr>
          <m:t>M</m:t>
        </m:r>
      </m:oMath>
      <w:r w:rsidRPr="005F5605">
        <w:rPr>
          <w:rFonts w:ascii="Arial" w:hAnsi="Arial" w:cs="Arial"/>
          <w:sz w:val="22"/>
          <w:szCs w:val="22"/>
        </w:rPr>
        <w:t xml:space="preserve"> to </w:t>
      </w:r>
      <m:oMath>
        <m:r>
          <w:rPr>
            <w:rFonts w:ascii="Cambria Math" w:hAnsi="Cambria Math" w:cs="Arial"/>
            <w:sz w:val="22"/>
            <w:szCs w:val="22"/>
          </w:rPr>
          <m:t>L</m:t>
        </m:r>
      </m:oMath>
      <w:r w:rsidRPr="005F5605">
        <w:rPr>
          <w:rFonts w:ascii="Arial" w:hAnsi="Arial" w:cs="Arial"/>
          <w:sz w:val="22"/>
          <w:szCs w:val="22"/>
        </w:rPr>
        <w:t xml:space="preserve"> due to preventive therapy), to yield a cumulative incidence reduction of </w:t>
      </w:r>
      <w:r w:rsidRPr="005F5605">
        <w:rPr>
          <w:rFonts w:ascii="Arial" w:hAnsi="Arial" w:cs="Arial"/>
          <w:i/>
          <w:iCs/>
          <w:sz w:val="22"/>
          <w:szCs w:val="22"/>
        </w:rPr>
        <w:t>D</w:t>
      </w:r>
      <w:r w:rsidRPr="005F5605">
        <w:rPr>
          <w:rFonts w:ascii="Arial" w:hAnsi="Arial" w:cs="Arial"/>
          <w:sz w:val="22"/>
          <w:szCs w:val="22"/>
        </w:rPr>
        <w:t xml:space="preserve"> between 2020 and 2030, relative to the </w:t>
      </w:r>
      <w:proofErr w:type="gramStart"/>
      <w:r w:rsidRPr="005F5605">
        <w:rPr>
          <w:rFonts w:ascii="Arial" w:hAnsi="Arial" w:cs="Arial"/>
          <w:sz w:val="22"/>
          <w:szCs w:val="22"/>
        </w:rPr>
        <w:t xml:space="preserve">scenario </w:t>
      </w:r>
      <w:proofErr w:type="gramEnd"/>
      <m:oMath>
        <m:r>
          <w:rPr>
            <w:rFonts w:ascii="Cambria Math" w:hAnsi="Cambria Math" w:cs="Arial"/>
            <w:sz w:val="22"/>
            <w:szCs w:val="22"/>
          </w:rPr>
          <m:t>r=0</m:t>
        </m:r>
      </m:oMath>
      <w:r w:rsidRPr="005F5605">
        <w:rPr>
          <w:rFonts w:ascii="Arial" w:hAnsi="Arial" w:cs="Arial"/>
          <w:sz w:val="22"/>
          <w:szCs w:val="22"/>
        </w:rPr>
        <w:t>.</w:t>
      </w:r>
    </w:p>
    <w:p w:rsidR="000623D8" w:rsidRPr="005F5605" w:rsidRDefault="000623D8" w:rsidP="000623D8">
      <w:pPr>
        <w:autoSpaceDE w:val="0"/>
        <w:autoSpaceDN w:val="0"/>
        <w:adjustRightInd w:val="0"/>
        <w:spacing w:line="312" w:lineRule="auto"/>
        <w:rPr>
          <w:rFonts w:ascii="Arial" w:hAnsi="Arial" w:cs="Arial"/>
          <w:sz w:val="22"/>
          <w:szCs w:val="22"/>
        </w:rPr>
      </w:pPr>
    </w:p>
    <w:p w:rsidR="000623D8" w:rsidRPr="005F5605" w:rsidRDefault="000623D8" w:rsidP="000623D8">
      <w:pPr>
        <w:pStyle w:val="ListParagraph"/>
        <w:numPr>
          <w:ilvl w:val="0"/>
          <w:numId w:val="13"/>
        </w:numPr>
        <w:autoSpaceDE w:val="0"/>
        <w:autoSpaceDN w:val="0"/>
        <w:adjustRightInd w:val="0"/>
        <w:spacing w:line="312" w:lineRule="auto"/>
        <w:rPr>
          <w:rFonts w:ascii="Arial" w:hAnsi="Arial" w:cs="Arial"/>
          <w:i/>
          <w:iCs/>
          <w:sz w:val="22"/>
          <w:szCs w:val="22"/>
          <w:u w:val="single"/>
        </w:rPr>
      </w:pPr>
      <w:r w:rsidRPr="005F5605">
        <w:rPr>
          <w:rFonts w:ascii="Arial" w:hAnsi="Arial" w:cs="Arial"/>
          <w:i/>
          <w:iCs/>
          <w:sz w:val="22"/>
          <w:szCs w:val="22"/>
          <w:u w:val="single"/>
        </w:rPr>
        <w:t xml:space="preserve">Incorporating indirect effects: </w:t>
      </w:r>
      <w:r w:rsidRPr="005F5605">
        <w:rPr>
          <w:rFonts w:ascii="Arial" w:hAnsi="Arial" w:cs="Arial"/>
          <w:sz w:val="22"/>
          <w:szCs w:val="22"/>
        </w:rPr>
        <w:t xml:space="preserve">With the value of </w:t>
      </w:r>
      <m:oMath>
        <m:r>
          <w:rPr>
            <w:rFonts w:ascii="Cambria Math" w:hAnsi="Cambria Math" w:cs="Arial"/>
            <w:sz w:val="22"/>
            <w:szCs w:val="22"/>
          </w:rPr>
          <m:t>r</m:t>
        </m:r>
      </m:oMath>
      <w:r w:rsidRPr="005F5605">
        <w:rPr>
          <w:rFonts w:ascii="Arial" w:hAnsi="Arial" w:cs="Arial"/>
          <w:sz w:val="22"/>
          <w:szCs w:val="22"/>
        </w:rPr>
        <w:t xml:space="preserve"> thus determined, we simulated the ‘full’ transmission model (that is, with </w:t>
      </w:r>
      <m:oMath>
        <m:r>
          <w:rPr>
            <w:rFonts w:ascii="Cambria Math" w:hAnsi="Cambria Math" w:cs="Arial"/>
            <w:sz w:val="22"/>
            <w:szCs w:val="22"/>
          </w:rPr>
          <m:t>λ(t)</m:t>
        </m:r>
      </m:oMath>
      <w:r w:rsidRPr="005F5605">
        <w:rPr>
          <w:rFonts w:ascii="Arial" w:hAnsi="Arial" w:cs="Arial"/>
          <w:sz w:val="22"/>
          <w:szCs w:val="22"/>
        </w:rPr>
        <w:t xml:space="preserve"> determined endogenously as in the equations marked (*) above) from 2019 to 2035, with the rate-of-transition </w:t>
      </w:r>
      <m:oMath>
        <m:r>
          <w:rPr>
            <w:rFonts w:ascii="Cambria Math" w:hAnsi="Cambria Math" w:cs="Arial"/>
            <w:sz w:val="22"/>
            <w:szCs w:val="22"/>
          </w:rPr>
          <m:t>r</m:t>
        </m:r>
      </m:oMath>
      <w:r w:rsidRPr="005F5605">
        <w:rPr>
          <w:rFonts w:ascii="Arial" w:hAnsi="Arial" w:cs="Arial"/>
          <w:sz w:val="22"/>
          <w:szCs w:val="22"/>
        </w:rPr>
        <w:t xml:space="preserve"> from </w:t>
      </w:r>
      <m:oMath>
        <m:r>
          <w:rPr>
            <w:rFonts w:ascii="Cambria Math" w:hAnsi="Cambria Math" w:cs="Arial"/>
            <w:sz w:val="22"/>
            <w:szCs w:val="22"/>
          </w:rPr>
          <m:t>M</m:t>
        </m:r>
      </m:oMath>
      <w:r w:rsidRPr="005F5605">
        <w:rPr>
          <w:rFonts w:ascii="Arial" w:hAnsi="Arial" w:cs="Arial"/>
          <w:sz w:val="22"/>
          <w:szCs w:val="22"/>
        </w:rPr>
        <w:t xml:space="preserve"> to </w:t>
      </w:r>
      <m:oMath>
        <m:r>
          <w:rPr>
            <w:rFonts w:ascii="Cambria Math" w:hAnsi="Cambria Math" w:cs="Arial"/>
            <w:sz w:val="22"/>
            <w:szCs w:val="22"/>
          </w:rPr>
          <m:t>L</m:t>
        </m:r>
      </m:oMath>
      <w:r w:rsidRPr="005F5605">
        <w:rPr>
          <w:rFonts w:ascii="Arial" w:hAnsi="Arial" w:cs="Arial"/>
          <w:sz w:val="22"/>
          <w:szCs w:val="22"/>
        </w:rPr>
        <w:t xml:space="preserve"> in effect.</w:t>
      </w:r>
    </w:p>
    <w:p w:rsidR="000623D8" w:rsidRPr="005F5605" w:rsidRDefault="000623D8" w:rsidP="000623D8">
      <w:pPr>
        <w:autoSpaceDE w:val="0"/>
        <w:autoSpaceDN w:val="0"/>
        <w:adjustRightInd w:val="0"/>
        <w:spacing w:line="312" w:lineRule="auto"/>
        <w:rPr>
          <w:rFonts w:ascii="Arial" w:hAnsi="Arial" w:cs="Arial"/>
          <w:sz w:val="22"/>
          <w:szCs w:val="22"/>
          <w:lang w:eastAsia="zh-CN"/>
        </w:rPr>
      </w:pPr>
      <w:r w:rsidRPr="005F5605">
        <w:rPr>
          <w:rFonts w:ascii="Arial" w:hAnsi="Arial" w:cs="Arial"/>
          <w:sz w:val="22"/>
          <w:szCs w:val="22"/>
          <w:lang w:eastAsia="zh-CN"/>
        </w:rPr>
        <w:t xml:space="preserve">A driving parameter is the excess risk of incidence </w:t>
      </w:r>
      <m:oMath>
        <m:sSub>
          <m:sSubPr>
            <m:ctrlPr>
              <w:rPr>
                <w:rFonts w:ascii="Cambria Math" w:hAnsi="Cambria Math" w:cs="Arial"/>
                <w:i/>
                <w:sz w:val="22"/>
                <w:szCs w:val="22"/>
                <w:lang w:eastAsia="zh-CN"/>
              </w:rPr>
            </m:ctrlPr>
          </m:sSubPr>
          <m:e>
            <m:r>
              <w:rPr>
                <w:rFonts w:ascii="Cambria Math" w:hAnsi="Cambria Math" w:cs="Arial"/>
                <w:sz w:val="22"/>
                <w:szCs w:val="22"/>
                <w:lang w:eastAsia="zh-CN"/>
              </w:rPr>
              <m:t>k</m:t>
            </m:r>
          </m:e>
          <m:sub>
            <m:r>
              <w:rPr>
                <w:rFonts w:ascii="Cambria Math" w:hAnsi="Cambria Math" w:cs="Arial"/>
                <w:sz w:val="22"/>
                <w:szCs w:val="22"/>
                <w:lang w:eastAsia="zh-CN"/>
              </w:rPr>
              <m:t>HH</m:t>
            </m:r>
          </m:sub>
        </m:sSub>
      </m:oMath>
      <w:r w:rsidRPr="005F5605">
        <w:rPr>
          <w:rFonts w:ascii="Arial" w:hAnsi="Arial" w:cs="Arial"/>
          <w:i/>
          <w:iCs/>
          <w:sz w:val="22"/>
          <w:szCs w:val="22"/>
          <w:lang w:eastAsia="zh-CN"/>
        </w:rPr>
        <w:t xml:space="preserve"> </w:t>
      </w:r>
      <w:r w:rsidRPr="005F5605">
        <w:rPr>
          <w:rFonts w:ascii="Arial" w:hAnsi="Arial" w:cs="Arial"/>
          <w:sz w:val="22"/>
          <w:szCs w:val="22"/>
          <w:lang w:eastAsia="zh-CN"/>
        </w:rPr>
        <w:t>in step (</w:t>
      </w:r>
      <w:proofErr w:type="spellStart"/>
      <w:r w:rsidRPr="005F5605">
        <w:rPr>
          <w:rFonts w:ascii="Arial" w:hAnsi="Arial" w:cs="Arial"/>
          <w:sz w:val="22"/>
          <w:szCs w:val="22"/>
          <w:lang w:eastAsia="zh-CN"/>
        </w:rPr>
        <w:t>i</w:t>
      </w:r>
      <w:proofErr w:type="spellEnd"/>
      <w:r w:rsidRPr="005F5605">
        <w:rPr>
          <w:rFonts w:ascii="Arial" w:hAnsi="Arial" w:cs="Arial"/>
          <w:sz w:val="22"/>
          <w:szCs w:val="22"/>
          <w:lang w:eastAsia="zh-CN"/>
        </w:rPr>
        <w:t>)</w:t>
      </w:r>
      <w:r w:rsidRPr="005F5605">
        <w:rPr>
          <w:rFonts w:ascii="Arial" w:hAnsi="Arial" w:cs="Arial"/>
          <w:i/>
          <w:iCs/>
          <w:sz w:val="22"/>
          <w:szCs w:val="22"/>
          <w:lang w:eastAsia="zh-CN"/>
        </w:rPr>
        <w:t xml:space="preserve">, </w:t>
      </w:r>
      <w:r w:rsidRPr="005F5605">
        <w:rPr>
          <w:rFonts w:ascii="Arial" w:hAnsi="Arial" w:cs="Arial"/>
          <w:sz w:val="22"/>
          <w:szCs w:val="22"/>
          <w:lang w:eastAsia="zh-CN"/>
        </w:rPr>
        <w:t>associated with being a household contact of a TB case. To estimate this parameter we drew from a recent, longitudinal study in Vietnam</w:t>
      </w:r>
      <w:r w:rsidRPr="005F5605">
        <w:rPr>
          <w:rFonts w:ascii="Arial" w:hAnsi="Arial" w:cs="Arial"/>
          <w:sz w:val="22"/>
          <w:szCs w:val="22"/>
          <w:lang w:eastAsia="zh-CN"/>
        </w:rPr>
        <w:fldChar w:fldCharType="begin" w:fldLock="1"/>
      </w:r>
      <w:r w:rsidRPr="005F5605">
        <w:rPr>
          <w:rFonts w:ascii="Arial" w:hAnsi="Arial" w:cs="Arial"/>
          <w:sz w:val="22"/>
          <w:szCs w:val="22"/>
          <w:lang w:eastAsia="zh-CN"/>
        </w:rPr>
        <w:instrText>ADDIN CSL_CITATION {"citationItems":[{"id":"ITEM-1","itemData":{"DOI":"10.1056/NEJMoa1700209","ISSN":"15334406","abstract":"BACKGROUND: Active case finding is a top priority for the global control of tuberculosis, but robust evidence for its effectiveness in high-prevalence settings is lacking. We sought to evaluate the effectiveness of household-contact investigation, as compared with standard, passive measures alone, in Vietnam. METHODS: We performed a cluster-randomized, controlled trial at clinics in 70 districts (local government areas with an average population of approximately 500,000 in urban areas and 100,000 in rural areas) in eight provinces of Vietnam. Health workers at each district clinic or hospital were assigned to perform either household-contact intervention plus standard passive case finding (intervention group) or passive case finding alone (control group). In the intervention districts, household contacts of patients with positive results for tuberculosis on sputum smear microscopy (smear-positive tuberculosis) were invited for clinical assessment and chest radiography at baseline and at 6, 12, and 24 months. The primary outcome was the cumulative incidence of registered cases of tuberculosis among household contacts of patients with tuberculosis during a 2-year period. RESULTS: In 70 selected districts, we enrolled 25,707 household contacts of 10,964 patients who had smear-positive pulmonary tuberculosis. In the 36 districts that were included in the intervention group, 180 of 10,069 contacts were registered as having tuberculosis (1788 cases per 100,000 population), as compared with 110 of 15,638 contacts (703 per 100,000) in the control group (relative risk of the primary outcome in the intervention group, 2.5; 95% confidence interval [CI], 2.0 to 3.2; P&lt;0.001); the relative risk of smear-positive disease among household contacts in the intervention group was 6.4 (95% CI, 4.5 to 9.0; P&lt;0.001). CONCLUSIONS: Household-contact investigation plus standard passive case finding was more effective than standard passive case finding alone for the detection of tuberculosis in a high-prevalence setting at 2 years.","author":[{"dropping-particle":"","family":"Fox","given":"Greg J.","non-dropping-particle":"","parse-names":false,"suffix":""},{"dropping-particle":"","family":"Sy","given":"Dinh N.","non-dropping-particle":"","parse-names":false,"suffix":""},{"dropping-particle":"","family":"Hoa","given":"Nghiem L.P.","non-dropping-particle":"","parse-names":false,"suffix":""},{"dropping-particle":"","family":"Anh","given":"Le T.N.","non-dropping-particle":"","parse-names":false,"suffix":""},{"dropping-particle":"","family":"Anh","given":"Nguyen T.","non-dropping-particle":"","parse-names":false,"suffix":""},{"dropping-particle":"","family":"Hoa","given":"Nguyen B.","non-dropping-particle":"","parse-names":false,"suffix":""},{"dropping-particle":"","family":"Dung","given":"Nguyen H.","non-dropping-particle":"","parse-names":false,"suffix":""},{"dropping-particle":"","family":"Buu","given":"Tran N.","non-dropping-particle":"","parse-names":false,"suffix":""},{"dropping-particle":"","family":"Loi","given":"Nguyen T.","non-dropping-particle":"","parse-names":false,"suffix":""},{"dropping-particle":"","family":"Nhung","given":"Le T.","non-dropping-particle":"","parse-names":false,"suffix":""},{"dropping-particle":"V.","family":"Hung","given":"Nguyen","non-dropping-particle":"","parse-names":false,"suffix":""},{"dropping-particle":"","family":"Lieu","given":"Phan T.","non-dropping-particle":"","parse-names":false,"suffix":""},{"dropping-particle":"","family":"Cuong","given":"Nguyen K.","non-dropping-particle":"","parse-names":false,"suffix":""},{"dropping-particle":"","family":"Cuong","given":"Pham D.","non-dropping-particle":"","parse-names":false,"suffix":""},{"dropping-particle":"","family":"Bestrashniy","given":"Jessica","non-dropping-particle":"","parse-names":false,"suffix":""},{"dropping-particle":"","family":"Britton","given":"Warwick J.","non-dropping-particle":"","parse-names":false,"suffix":""},{"dropping-particle":"","family":"Marks","given":"Guy B.","non-dropping-particle":"","parse-names":false,"suffix":""},{"dropping-particle":"V.","family":"Nhung","given":"Nguyen","non-dropping-particle":"","parse-names":false,"suffix":""}],"container-title":"New England Journal of Medicine","id":"ITEM-1","issued":{"date-parts":[["2018"]]},"title":"Household-contact investigation for detection of tuberculosis in Vietnam","type":"article-journal"},"uris":["http://www.mendeley.com/documents/?uuid=b5b86ef6-b062-42dd-a28d-707e7af1f334"]}],"mendeley":{"formattedCitation":"&lt;sup&gt;31&lt;/sup&gt;","plainTextFormattedCitation":"31","previouslyFormattedCitation":"&lt;sup&gt;31&lt;/sup&gt;"},"properties":{"noteIndex":0},"schema":"https://github.com/citation-style-language/schema/raw/master/csl-citation.json"}</w:instrText>
      </w:r>
      <w:r w:rsidRPr="005F5605">
        <w:rPr>
          <w:rFonts w:ascii="Arial" w:hAnsi="Arial" w:cs="Arial"/>
          <w:sz w:val="22"/>
          <w:szCs w:val="22"/>
          <w:lang w:eastAsia="zh-CN"/>
        </w:rPr>
        <w:fldChar w:fldCharType="separate"/>
      </w:r>
      <w:r w:rsidRPr="005F5605">
        <w:rPr>
          <w:rFonts w:ascii="Arial" w:hAnsi="Arial" w:cs="Arial"/>
          <w:noProof/>
          <w:sz w:val="22"/>
          <w:szCs w:val="22"/>
          <w:vertAlign w:val="superscript"/>
          <w:lang w:eastAsia="zh-CN"/>
        </w:rPr>
        <w:t>31</w:t>
      </w:r>
      <w:r w:rsidRPr="005F5605">
        <w:rPr>
          <w:rFonts w:ascii="Arial" w:hAnsi="Arial" w:cs="Arial"/>
          <w:sz w:val="22"/>
          <w:szCs w:val="22"/>
          <w:lang w:eastAsia="zh-CN"/>
        </w:rPr>
        <w:fldChar w:fldCharType="end"/>
      </w:r>
      <w:r w:rsidRPr="005F5605">
        <w:rPr>
          <w:rFonts w:ascii="Arial" w:hAnsi="Arial" w:cs="Arial"/>
          <w:sz w:val="22"/>
          <w:szCs w:val="22"/>
          <w:lang w:eastAsia="zh-CN"/>
        </w:rPr>
        <w:t>, as well as an ongoing, longitudinal household study in India</w:t>
      </w:r>
      <w:r w:rsidRPr="005F5605">
        <w:rPr>
          <w:rFonts w:ascii="Arial" w:hAnsi="Arial" w:cs="Arial"/>
          <w:sz w:val="22"/>
          <w:szCs w:val="22"/>
          <w:lang w:eastAsia="zh-CN"/>
        </w:rPr>
        <w:fldChar w:fldCharType="begin" w:fldLock="1"/>
      </w:r>
      <w:r w:rsidRPr="005F5605">
        <w:rPr>
          <w:rFonts w:ascii="Arial" w:hAnsi="Arial" w:cs="Arial"/>
          <w:sz w:val="22"/>
          <w:szCs w:val="22"/>
          <w:lang w:eastAsia="zh-CN"/>
        </w:rPr>
        <w:instrText>ADDIN CSL_CITATION {"citationItems":[{"id":"ITEM-1","itemData":{"DOI":"10.1093/cid/civ611","ISSN":"15376591","abstract":"Progress in tuberculosis clinical research is hampered by a lack of reliable biomarkers that predict progression from latent to active tuberculosis, and subsequent cure, relapse, or failure. Regional Prospective Observational Research in Tuberculosis (RePORT) International represents a consortium of regional cohorts (RePORT India, RePORT Brazil, and RePORT Indonesia) that are linked through the implementation of a Common Protocol for data and specimen collection, and are poised to address this critical research need. Each RePORT network is designed to support local, in-country tuberculosis-specific data and specimen biorepositories, and associated research. Taken together, the expected results include greater global clinical research capacity in high-burden settings, and increased local access to quality data and specimens for members of each network and their domestic and international collaborators. Additional networks are expected to be added, helping to spur tuberculosis treatment and prevention research around the world.","author":[{"dropping-particle":"","family":"Hamilton","given":"Carol D.","non-dropping-particle":"","parse-names":false,"suffix":""},{"dropping-particle":"","family":"Swaminathan","given":"Soumya","non-dropping-particle":"","parse-names":false,"suffix":""},{"dropping-particle":"","family":"Christopher","given":"Devasahayam J.","non-dropping-particle":"","parse-names":false,"suffix":""},{"dropping-particle":"","family":"Ellner","given":"Jerrold","non-dropping-particle":"","parse-names":false,"suffix":""},{"dropping-particle":"","family":"Gupta","given":"Amita","non-dropping-particle":"","parse-names":false,"suffix":""},{"dropping-particle":"","family":"Sterling","given":"Timothy R.","non-dropping-particle":"","parse-names":false,"suffix":""},{"dropping-particle":"","family":"Rolla","given":"Valeria","non-dropping-particle":"","parse-names":false,"suffix":""},{"dropping-particle":"","family":"Srinivasan","given":"Sudha","non-dropping-particle":"","parse-names":false,"suffix":""},{"dropping-particle":"","family":"Karyana","given":"Muhammad","non-dropping-particle":"","parse-names":false,"suffix":""},{"dropping-particle":"","family":"Siddiqui","given":"Sophia","non-dropping-particle":"","parse-names":false,"suffix":""},{"dropping-particle":"","family":"Stoszek","given":"Sonia K.","non-dropping-particle":"","parse-names":false,"suffix":""},{"dropping-particle":"","family":"Kim","given":"Peter","non-dropping-particle":"","parse-names":false,"suffix":""}],"container-title":"Clinical Infectious Diseases","id":"ITEM-1","issued":{"date-parts":[["2015"]]},"title":"RePORT International: Advancing Tuberculosis Biomarker Research Through Global Collaboration","type":"article-journal"},"uris":["http://www.mendeley.com/documents/?uuid=45232973-ed80-4c34-9f43-f650fbe865cf"]}],"mendeley":{"formattedCitation":"&lt;sup&gt;32&lt;/sup&gt;","plainTextFormattedCitation":"32","previouslyFormattedCitation":"&lt;sup&gt;32&lt;/sup&gt;"},"properties":{"noteIndex":0},"schema":"https://github.com/citation-style-language/schema/raw/master/csl-citation.json"}</w:instrText>
      </w:r>
      <w:r w:rsidRPr="005F5605">
        <w:rPr>
          <w:rFonts w:ascii="Arial" w:hAnsi="Arial" w:cs="Arial"/>
          <w:sz w:val="22"/>
          <w:szCs w:val="22"/>
          <w:lang w:eastAsia="zh-CN"/>
        </w:rPr>
        <w:fldChar w:fldCharType="separate"/>
      </w:r>
      <w:r w:rsidRPr="005F5605">
        <w:rPr>
          <w:rFonts w:ascii="Arial" w:hAnsi="Arial" w:cs="Arial"/>
          <w:noProof/>
          <w:sz w:val="22"/>
          <w:szCs w:val="22"/>
          <w:vertAlign w:val="superscript"/>
          <w:lang w:eastAsia="zh-CN"/>
        </w:rPr>
        <w:t>32</w:t>
      </w:r>
      <w:r w:rsidRPr="005F5605">
        <w:rPr>
          <w:rFonts w:ascii="Arial" w:hAnsi="Arial" w:cs="Arial"/>
          <w:sz w:val="22"/>
          <w:szCs w:val="22"/>
          <w:lang w:eastAsia="zh-CN"/>
        </w:rPr>
        <w:fldChar w:fldCharType="end"/>
      </w:r>
      <w:r w:rsidRPr="005F5605">
        <w:rPr>
          <w:rFonts w:ascii="Arial" w:hAnsi="Arial" w:cs="Arial"/>
          <w:sz w:val="22"/>
          <w:szCs w:val="22"/>
          <w:lang w:eastAsia="zh-CN"/>
        </w:rPr>
        <w:t xml:space="preserve"> (see table</w:t>
      </w:r>
      <w:r w:rsidRPr="005F5605">
        <w:rPr>
          <w:rFonts w:ascii="Arial" w:hAnsi="Arial" w:cs="Arial"/>
          <w:color w:val="000000" w:themeColor="text1"/>
          <w:sz w:val="22"/>
          <w:szCs w:val="22"/>
          <w:lang w:eastAsia="zh-CN"/>
        </w:rPr>
        <w:t xml:space="preserve"> S3),</w:t>
      </w:r>
      <w:r w:rsidRPr="005F5605">
        <w:rPr>
          <w:rFonts w:ascii="Arial" w:hAnsi="Arial" w:cs="Arial"/>
          <w:color w:val="FF0000"/>
          <w:sz w:val="22"/>
          <w:szCs w:val="22"/>
          <w:lang w:eastAsia="zh-CN"/>
        </w:rPr>
        <w:t xml:space="preserve"> </w:t>
      </w:r>
      <w:r w:rsidRPr="005F5605">
        <w:rPr>
          <w:rFonts w:ascii="Arial" w:hAnsi="Arial" w:cs="Arial"/>
          <w:sz w:val="22"/>
          <w:szCs w:val="22"/>
          <w:lang w:eastAsia="zh-CN"/>
        </w:rPr>
        <w:t xml:space="preserve">both suggesting that </w:t>
      </w:r>
      <m:oMath>
        <m:sSub>
          <m:sSubPr>
            <m:ctrlPr>
              <w:rPr>
                <w:rFonts w:ascii="Cambria Math" w:hAnsi="Cambria Math" w:cs="Arial"/>
                <w:i/>
                <w:sz w:val="22"/>
                <w:szCs w:val="22"/>
                <w:lang w:eastAsia="zh-CN"/>
              </w:rPr>
            </m:ctrlPr>
          </m:sSubPr>
          <m:e>
            <m:r>
              <w:rPr>
                <w:rFonts w:ascii="Cambria Math" w:hAnsi="Cambria Math" w:cs="Arial"/>
                <w:sz w:val="22"/>
                <w:szCs w:val="22"/>
                <w:lang w:eastAsia="zh-CN"/>
              </w:rPr>
              <m:t>k</m:t>
            </m:r>
          </m:e>
          <m:sub>
            <m:r>
              <w:rPr>
                <w:rFonts w:ascii="Cambria Math" w:hAnsi="Cambria Math" w:cs="Arial"/>
                <w:sz w:val="22"/>
                <w:szCs w:val="22"/>
                <w:lang w:eastAsia="zh-CN"/>
              </w:rPr>
              <m:t>HH</m:t>
            </m:r>
          </m:sub>
        </m:sSub>
      </m:oMath>
      <w:r w:rsidRPr="005F5605">
        <w:rPr>
          <w:rFonts w:ascii="Arial" w:hAnsi="Arial" w:cs="Arial"/>
          <w:sz w:val="22"/>
          <w:szCs w:val="22"/>
          <w:lang w:eastAsia="zh-CN"/>
        </w:rPr>
        <w:t xml:space="preserve"> is approximately 7 in the region. We adopted broad uncertainty intervals around this quantity, assuming a range of 3 – 11 (table S3).</w:t>
      </w:r>
    </w:p>
    <w:p w:rsidR="000623D8" w:rsidRPr="005F5605" w:rsidRDefault="000623D8" w:rsidP="000623D8">
      <w:pPr>
        <w:autoSpaceDE w:val="0"/>
        <w:autoSpaceDN w:val="0"/>
        <w:adjustRightInd w:val="0"/>
        <w:spacing w:line="312" w:lineRule="auto"/>
        <w:rPr>
          <w:rFonts w:ascii="Arial" w:hAnsi="Arial" w:cs="Arial"/>
          <w:sz w:val="22"/>
          <w:szCs w:val="22"/>
          <w:lang w:eastAsia="zh-CN"/>
        </w:rPr>
      </w:pPr>
    </w:p>
    <w:p w:rsidR="000623D8" w:rsidRPr="005F5605" w:rsidRDefault="000623D8" w:rsidP="000623D8">
      <w:pPr>
        <w:autoSpaceDE w:val="0"/>
        <w:autoSpaceDN w:val="0"/>
        <w:adjustRightInd w:val="0"/>
        <w:spacing w:line="312" w:lineRule="auto"/>
        <w:rPr>
          <w:rFonts w:ascii="Arial" w:hAnsi="Arial" w:cs="Arial"/>
          <w:sz w:val="22"/>
          <w:szCs w:val="22"/>
          <w:lang w:eastAsia="zh-CN"/>
        </w:rPr>
      </w:pPr>
      <w:r w:rsidRPr="005F5605">
        <w:rPr>
          <w:rFonts w:ascii="Arial" w:hAnsi="Arial" w:cs="Arial"/>
          <w:sz w:val="22"/>
          <w:szCs w:val="22"/>
          <w:lang w:eastAsia="zh-CN"/>
        </w:rPr>
        <w:lastRenderedPageBreak/>
        <w:t>In addition to household contacts, WHO guidelines also identify those with silicosis, patients receiving dialysis or preparing for organ transplantation, as other clinical risk groups eligible for preventive therapy</w:t>
      </w:r>
      <w:r w:rsidRPr="005F5605">
        <w:rPr>
          <w:rFonts w:ascii="Arial" w:hAnsi="Arial" w:cs="Arial"/>
          <w:sz w:val="22"/>
          <w:szCs w:val="22"/>
          <w:lang w:eastAsia="zh-CN"/>
        </w:rPr>
        <w:fldChar w:fldCharType="begin" w:fldLock="1"/>
      </w:r>
      <w:r w:rsidRPr="005F5605">
        <w:rPr>
          <w:rFonts w:ascii="Arial" w:hAnsi="Arial" w:cs="Arial"/>
          <w:sz w:val="22"/>
          <w:szCs w:val="22"/>
          <w:lang w:eastAsia="zh-CN"/>
        </w:rPr>
        <w:instrText>ADDIN CSL_CITATION {"citationItems":[{"id":"ITEM-1","itemData":{"DOI":"10.1056/NEJMcp021045","ISBN":"9789241550239","ISSN":"0028-4793","PMID":"12466511","abstract":"This Journal feature begins with a case vignette highlighting a common clinical problem. Evidence supporting various strategies is then presented, followed by a review of formal guidelines, when they exist. The article ends with the authors' clinical recommendations.","author":[{"dropping-particle":"","family":"World Health Organization","given":"","non-dropping-particle":"","parse-names":false,"suffix":""},{"dropping-particle":"","family":"WHO","given":"","non-dropping-particle":"","parse-names":false,"suffix":""}],"container-title":"World Health Organization","id":"ITEM-1","issued":{"date-parts":[["2018"]]},"title":"Latent TB infection: updated and consolidated guidelines for programmatic management [WHO/CDS/TB/2018.4]","type":"book"},"uris":["http://www.mendeley.com/documents/?uuid=2acd2559-0950-40c6-8b70-508519815aa8","http://www.mendeley.com/documents/?uuid=bed655d9-3b62-4dfb-b2be-738a8c9400eb"]}],"mendeley":{"formattedCitation":"&lt;sup&gt;11&lt;/sup&gt;","plainTextFormattedCitation":"11","previouslyFormattedCitation":"&lt;sup&gt;11&lt;/sup&gt;"},"properties":{"noteIndex":0},"schema":"https://github.com/citation-style-language/schema/raw/master/csl-citation.json"}</w:instrText>
      </w:r>
      <w:r w:rsidRPr="005F5605">
        <w:rPr>
          <w:rFonts w:ascii="Arial" w:hAnsi="Arial" w:cs="Arial"/>
          <w:sz w:val="22"/>
          <w:szCs w:val="22"/>
          <w:lang w:eastAsia="zh-CN"/>
        </w:rPr>
        <w:fldChar w:fldCharType="separate"/>
      </w:r>
      <w:r w:rsidRPr="005F5605">
        <w:rPr>
          <w:rFonts w:ascii="Arial" w:hAnsi="Arial" w:cs="Arial"/>
          <w:noProof/>
          <w:sz w:val="22"/>
          <w:szCs w:val="22"/>
          <w:vertAlign w:val="superscript"/>
          <w:lang w:eastAsia="zh-CN"/>
        </w:rPr>
        <w:t>11</w:t>
      </w:r>
      <w:r w:rsidRPr="005F5605">
        <w:rPr>
          <w:rFonts w:ascii="Arial" w:hAnsi="Arial" w:cs="Arial"/>
          <w:sz w:val="22"/>
          <w:szCs w:val="22"/>
          <w:lang w:eastAsia="zh-CN"/>
        </w:rPr>
        <w:fldChar w:fldCharType="end"/>
      </w:r>
      <w:r w:rsidRPr="005F5605">
        <w:rPr>
          <w:rFonts w:ascii="Arial" w:hAnsi="Arial" w:cs="Arial"/>
          <w:sz w:val="22"/>
          <w:szCs w:val="22"/>
          <w:lang w:eastAsia="zh-CN"/>
        </w:rPr>
        <w:t xml:space="preserve">. To model these groups we followed an approach similar to that described above for household </w:t>
      </w:r>
      <w:proofErr w:type="gramStart"/>
      <w:r w:rsidRPr="005F5605">
        <w:rPr>
          <w:rFonts w:ascii="Arial" w:hAnsi="Arial" w:cs="Arial"/>
          <w:sz w:val="22"/>
          <w:szCs w:val="22"/>
          <w:lang w:eastAsia="zh-CN"/>
        </w:rPr>
        <w:t>contacts, that</w:t>
      </w:r>
      <w:proofErr w:type="gramEnd"/>
      <w:r w:rsidRPr="005F5605">
        <w:rPr>
          <w:rFonts w:ascii="Arial" w:hAnsi="Arial" w:cs="Arial"/>
          <w:sz w:val="22"/>
          <w:szCs w:val="22"/>
          <w:lang w:eastAsia="zh-CN"/>
        </w:rPr>
        <w:t xml:space="preserve"> is aiming to estimate the population implications of the direct benefits of preventive therapy in these risk groups. For simplicity, and given a lack of data such as the population prevalence of each risk factor in each of the 11 countries in the region, we modelled the risk factors in aggregate as a single ‘risk group’, assumed to be 0.1% of the population (allowing for uncertainty ranging from 0.05% - 0.15%). By analogy to the term </w:t>
      </w:r>
      <m:oMath>
        <m:sSub>
          <m:sSubPr>
            <m:ctrlPr>
              <w:rPr>
                <w:rFonts w:ascii="Cambria Math" w:hAnsi="Cambria Math" w:cs="Arial"/>
                <w:i/>
                <w:sz w:val="22"/>
                <w:szCs w:val="22"/>
                <w:lang w:eastAsia="zh-CN"/>
              </w:rPr>
            </m:ctrlPr>
          </m:sSubPr>
          <m:e>
            <m:r>
              <w:rPr>
                <w:rFonts w:ascii="Cambria Math" w:hAnsi="Cambria Math" w:cs="Arial"/>
                <w:sz w:val="22"/>
                <w:szCs w:val="22"/>
                <w:lang w:eastAsia="zh-CN"/>
              </w:rPr>
              <m:t>D</m:t>
            </m:r>
          </m:e>
          <m:sub>
            <m:r>
              <w:rPr>
                <w:rFonts w:ascii="Cambria Math" w:hAnsi="Cambria Math" w:cs="Arial"/>
                <w:sz w:val="22"/>
                <w:szCs w:val="22"/>
                <w:lang w:eastAsia="zh-CN"/>
              </w:rPr>
              <m:t>HH</m:t>
            </m:r>
          </m:sub>
        </m:sSub>
      </m:oMath>
      <w:r w:rsidRPr="005F5605">
        <w:rPr>
          <w:rFonts w:ascii="Arial" w:hAnsi="Arial" w:cs="Arial"/>
          <w:sz w:val="22"/>
          <w:szCs w:val="22"/>
          <w:lang w:eastAsia="zh-CN"/>
        </w:rPr>
        <w:t xml:space="preserve"> described above, we estimated the direct reduction in incidence amongst clinical risk groups</w:t>
      </w:r>
      <w:proofErr w:type="gramStart"/>
      <w:r w:rsidRPr="005F5605">
        <w:rPr>
          <w:rFonts w:ascii="Arial" w:hAnsi="Arial" w:cs="Arial"/>
          <w:sz w:val="22"/>
          <w:szCs w:val="22"/>
          <w:lang w:eastAsia="zh-CN"/>
        </w:rPr>
        <w:t xml:space="preserve">, </w:t>
      </w:r>
      <w:proofErr w:type="gramEnd"/>
      <m:oMath>
        <m:sSub>
          <m:sSubPr>
            <m:ctrlPr>
              <w:rPr>
                <w:rFonts w:ascii="Cambria Math" w:hAnsi="Cambria Math" w:cs="Arial"/>
                <w:i/>
                <w:sz w:val="22"/>
                <w:szCs w:val="22"/>
                <w:lang w:eastAsia="zh-CN"/>
              </w:rPr>
            </m:ctrlPr>
          </m:sSubPr>
          <m:e>
            <m:r>
              <w:rPr>
                <w:rFonts w:ascii="Cambria Math" w:hAnsi="Cambria Math" w:cs="Arial"/>
                <w:sz w:val="22"/>
                <w:szCs w:val="22"/>
                <w:lang w:eastAsia="zh-CN"/>
              </w:rPr>
              <m:t>D</m:t>
            </m:r>
          </m:e>
          <m:sub>
            <m:r>
              <w:rPr>
                <w:rFonts w:ascii="Cambria Math" w:hAnsi="Cambria Math" w:cs="Arial"/>
                <w:sz w:val="22"/>
                <w:szCs w:val="22"/>
                <w:lang w:eastAsia="zh-CN"/>
              </w:rPr>
              <m:t>RG</m:t>
            </m:r>
          </m:sub>
        </m:sSub>
      </m:oMath>
      <w:r w:rsidRPr="005F5605">
        <w:rPr>
          <w:rFonts w:ascii="Arial" w:hAnsi="Arial" w:cs="Arial"/>
          <w:sz w:val="22"/>
          <w:szCs w:val="22"/>
          <w:lang w:eastAsia="zh-CN"/>
        </w:rPr>
        <w:t>, as:</w:t>
      </w:r>
    </w:p>
    <w:p w:rsidR="000623D8" w:rsidRPr="005F5605" w:rsidRDefault="000623D8" w:rsidP="000623D8">
      <w:pPr>
        <w:autoSpaceDE w:val="0"/>
        <w:autoSpaceDN w:val="0"/>
        <w:adjustRightInd w:val="0"/>
        <w:spacing w:line="312" w:lineRule="auto"/>
        <w:rPr>
          <w:rFonts w:ascii="Arial" w:hAnsi="Arial" w:cs="Arial"/>
          <w:sz w:val="22"/>
          <w:szCs w:val="22"/>
          <w:lang w:eastAsia="zh-CN"/>
        </w:rPr>
      </w:pPr>
    </w:p>
    <w:p w:rsidR="000623D8" w:rsidRPr="005F5605" w:rsidRDefault="000623D8" w:rsidP="000623D8">
      <w:pPr>
        <w:autoSpaceDE w:val="0"/>
        <w:autoSpaceDN w:val="0"/>
        <w:adjustRightInd w:val="0"/>
        <w:spacing w:line="312" w:lineRule="auto"/>
        <w:rPr>
          <w:rFonts w:ascii="Arial" w:hAnsi="Arial" w:cs="Arial"/>
          <w:sz w:val="22"/>
          <w:szCs w:val="22"/>
          <w:lang w:eastAsia="zh-CN"/>
        </w:rPr>
      </w:pPr>
      <w:r w:rsidRPr="005F5605">
        <w:rPr>
          <w:rFonts w:ascii="Arial" w:hAnsi="Arial" w:cs="Arial"/>
          <w:sz w:val="22"/>
          <w:szCs w:val="22"/>
          <w:lang w:eastAsia="zh-CN"/>
        </w:rPr>
        <w:tab/>
      </w:r>
      <m:oMath>
        <m:sSub>
          <m:sSubPr>
            <m:ctrlPr>
              <w:rPr>
                <w:rFonts w:ascii="Cambria Math" w:hAnsi="Cambria Math" w:cs="Arial"/>
                <w:i/>
                <w:sz w:val="22"/>
                <w:szCs w:val="22"/>
                <w:lang w:eastAsia="zh-CN"/>
              </w:rPr>
            </m:ctrlPr>
          </m:sSubPr>
          <m:e>
            <m:r>
              <w:rPr>
                <w:rFonts w:ascii="Cambria Math" w:hAnsi="Cambria Math" w:cs="Arial"/>
                <w:sz w:val="22"/>
                <w:szCs w:val="22"/>
                <w:lang w:eastAsia="zh-CN"/>
              </w:rPr>
              <m:t>D</m:t>
            </m:r>
          </m:e>
          <m:sub>
            <m:r>
              <w:rPr>
                <w:rFonts w:ascii="Cambria Math" w:hAnsi="Cambria Math" w:cs="Arial"/>
                <w:sz w:val="22"/>
                <w:szCs w:val="22"/>
                <w:lang w:eastAsia="zh-CN"/>
              </w:rPr>
              <m:t>RG</m:t>
            </m:r>
          </m:sub>
        </m:sSub>
        <m:r>
          <w:rPr>
            <w:rFonts w:ascii="Cambria Math" w:hAnsi="Cambria Math" w:cs="Arial"/>
            <w:sz w:val="22"/>
            <w:szCs w:val="22"/>
            <w:lang w:eastAsia="zh-CN"/>
          </w:rPr>
          <m:t>=MI</m:t>
        </m:r>
        <m:d>
          <m:dPr>
            <m:ctrlPr>
              <w:rPr>
                <w:rFonts w:ascii="Cambria Math" w:hAnsi="Cambria Math" w:cs="Arial"/>
                <w:i/>
                <w:sz w:val="22"/>
                <w:szCs w:val="22"/>
                <w:lang w:eastAsia="zh-CN"/>
              </w:rPr>
            </m:ctrlPr>
          </m:dPr>
          <m:e>
            <m:r>
              <w:rPr>
                <w:rFonts w:ascii="Cambria Math" w:hAnsi="Cambria Math" w:cs="Arial"/>
                <w:sz w:val="22"/>
                <w:szCs w:val="22"/>
                <w:lang w:eastAsia="zh-CN"/>
              </w:rPr>
              <m:t>1+</m:t>
            </m:r>
            <m:sSub>
              <m:sSubPr>
                <m:ctrlPr>
                  <w:rPr>
                    <w:rFonts w:ascii="Cambria Math" w:hAnsi="Cambria Math" w:cs="Arial"/>
                    <w:i/>
                    <w:sz w:val="22"/>
                    <w:szCs w:val="22"/>
                    <w:lang w:eastAsia="zh-CN"/>
                  </w:rPr>
                </m:ctrlPr>
              </m:sSubPr>
              <m:e>
                <m:r>
                  <w:rPr>
                    <w:rFonts w:ascii="Cambria Math" w:hAnsi="Cambria Math" w:cs="Arial"/>
                    <w:sz w:val="22"/>
                    <w:szCs w:val="22"/>
                    <w:lang w:eastAsia="zh-CN"/>
                  </w:rPr>
                  <m:t>k</m:t>
                </m:r>
              </m:e>
              <m:sub>
                <m:r>
                  <w:rPr>
                    <w:rFonts w:ascii="Cambria Math" w:hAnsi="Cambria Math" w:cs="Arial"/>
                    <w:sz w:val="22"/>
                    <w:szCs w:val="22"/>
                    <w:lang w:eastAsia="zh-CN"/>
                  </w:rPr>
                  <m:t>RG</m:t>
                </m:r>
              </m:sub>
            </m:sSub>
          </m:e>
        </m:d>
        <m:r>
          <w:rPr>
            <w:rFonts w:ascii="Cambria Math" w:hAnsi="Cambria Math" w:cs="Arial"/>
            <w:sz w:val="22"/>
            <w:szCs w:val="22"/>
            <w:lang w:eastAsia="zh-CN"/>
          </w:rPr>
          <m:t>c,</m:t>
        </m:r>
      </m:oMath>
      <w:r w:rsidRPr="005F5605">
        <w:rPr>
          <w:rFonts w:ascii="Arial" w:hAnsi="Arial" w:cs="Arial"/>
          <w:sz w:val="22"/>
          <w:szCs w:val="22"/>
          <w:lang w:eastAsia="zh-CN"/>
        </w:rPr>
        <w:t xml:space="preserve">  </w:t>
      </w:r>
    </w:p>
    <w:p w:rsidR="000623D8" w:rsidRPr="005F5605" w:rsidRDefault="000623D8" w:rsidP="000623D8">
      <w:pPr>
        <w:spacing w:line="312" w:lineRule="auto"/>
        <w:rPr>
          <w:rFonts w:ascii="Arial" w:hAnsi="Arial" w:cs="Arial"/>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sz w:val="22"/>
          <w:szCs w:val="22"/>
        </w:rPr>
        <w:t xml:space="preserve">where </w:t>
      </w:r>
      <m:oMath>
        <m:r>
          <w:rPr>
            <w:rFonts w:ascii="Cambria Math" w:hAnsi="Cambria Math" w:cs="Arial"/>
            <w:sz w:val="22"/>
            <w:szCs w:val="22"/>
          </w:rPr>
          <m:t>M</m:t>
        </m:r>
      </m:oMath>
      <w:r w:rsidRPr="005F5605">
        <w:rPr>
          <w:rFonts w:ascii="Arial" w:hAnsi="Arial" w:cs="Arial"/>
          <w:sz w:val="22"/>
          <w:szCs w:val="22"/>
        </w:rPr>
        <w:t xml:space="preserve"> is the overall annual number of individuals having one or more risk factors over the simulation period, </w:t>
      </w:r>
      <m:oMath>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RG</m:t>
            </m:r>
          </m:sub>
        </m:sSub>
      </m:oMath>
      <w:r w:rsidRPr="005F5605">
        <w:rPr>
          <w:rFonts w:ascii="Arial" w:hAnsi="Arial" w:cs="Arial"/>
          <w:sz w:val="22"/>
          <w:szCs w:val="22"/>
        </w:rPr>
        <w:t xml:space="preserve"> is the excess risk of TB incidence, associated with belonging to the overall risk group, and other parameters are as described above.</w:t>
      </w:r>
    </w:p>
    <w:p w:rsidR="000623D8" w:rsidRPr="005F5605" w:rsidRDefault="000623D8" w:rsidP="000623D8">
      <w:pPr>
        <w:spacing w:line="312" w:lineRule="auto"/>
        <w:rPr>
          <w:rFonts w:ascii="Arial" w:hAnsi="Arial" w:cs="Arial"/>
          <w:sz w:val="22"/>
          <w:szCs w:val="22"/>
        </w:rPr>
      </w:pPr>
    </w:p>
    <w:p w:rsidR="000623D8" w:rsidRPr="005F5605" w:rsidRDefault="000623D8" w:rsidP="000623D8">
      <w:pPr>
        <w:autoSpaceDE w:val="0"/>
        <w:autoSpaceDN w:val="0"/>
        <w:adjustRightInd w:val="0"/>
        <w:spacing w:line="312" w:lineRule="auto"/>
        <w:rPr>
          <w:rFonts w:ascii="Arial" w:hAnsi="Arial" w:cs="Arial"/>
          <w:sz w:val="22"/>
          <w:szCs w:val="22"/>
          <w:lang w:eastAsia="zh-CN"/>
        </w:rPr>
      </w:pPr>
      <w:r w:rsidRPr="005F5605">
        <w:rPr>
          <w:rFonts w:ascii="Arial" w:hAnsi="Arial" w:cs="Arial"/>
          <w:sz w:val="22"/>
          <w:szCs w:val="22"/>
          <w:lang w:eastAsia="zh-CN"/>
        </w:rPr>
        <w:t xml:space="preserve">For the factor </w:t>
      </w:r>
      <m:oMath>
        <m:sSub>
          <m:sSubPr>
            <m:ctrlPr>
              <w:rPr>
                <w:rFonts w:ascii="Cambria Math" w:hAnsi="Cambria Math" w:cs="Arial"/>
                <w:i/>
                <w:sz w:val="22"/>
                <w:szCs w:val="22"/>
                <w:lang w:eastAsia="zh-CN"/>
              </w:rPr>
            </m:ctrlPr>
          </m:sSubPr>
          <m:e>
            <m:r>
              <w:rPr>
                <w:rFonts w:ascii="Cambria Math" w:hAnsi="Cambria Math" w:cs="Arial"/>
                <w:sz w:val="22"/>
                <w:szCs w:val="22"/>
                <w:lang w:eastAsia="zh-CN"/>
              </w:rPr>
              <m:t>k</m:t>
            </m:r>
          </m:e>
          <m:sub>
            <m:r>
              <w:rPr>
                <w:rFonts w:ascii="Cambria Math" w:hAnsi="Cambria Math" w:cs="Arial"/>
                <w:sz w:val="22"/>
                <w:szCs w:val="22"/>
                <w:lang w:eastAsia="zh-CN"/>
              </w:rPr>
              <m:t>RG</m:t>
            </m:r>
          </m:sub>
        </m:sSub>
      </m:oMath>
      <w:r w:rsidRPr="005F5605">
        <w:rPr>
          <w:rFonts w:ascii="Arial" w:hAnsi="Arial" w:cs="Arial"/>
          <w:sz w:val="22"/>
          <w:szCs w:val="22"/>
          <w:lang w:eastAsia="zh-CN"/>
        </w:rPr>
        <w:t xml:space="preserve">, we assumed a broad uncertainty interval </w:t>
      </w:r>
      <m:oMath>
        <m:sSub>
          <m:sSubPr>
            <m:ctrlPr>
              <w:rPr>
                <w:rFonts w:ascii="Cambria Math" w:hAnsi="Cambria Math" w:cs="Arial"/>
                <w:i/>
                <w:sz w:val="22"/>
                <w:szCs w:val="22"/>
                <w:lang w:eastAsia="zh-CN"/>
              </w:rPr>
            </m:ctrlPr>
          </m:sSubPr>
          <m:e>
            <m:r>
              <w:rPr>
                <w:rFonts w:ascii="Cambria Math" w:hAnsi="Cambria Math" w:cs="Arial"/>
                <w:sz w:val="22"/>
                <w:szCs w:val="22"/>
                <w:lang w:eastAsia="zh-CN"/>
              </w:rPr>
              <m:t>k</m:t>
            </m:r>
          </m:e>
          <m:sub>
            <m:r>
              <w:rPr>
                <w:rFonts w:ascii="Cambria Math" w:hAnsi="Cambria Math" w:cs="Arial"/>
                <w:sz w:val="22"/>
                <w:szCs w:val="22"/>
                <w:lang w:eastAsia="zh-CN"/>
              </w:rPr>
              <m:t>RG</m:t>
            </m:r>
          </m:sub>
        </m:sSub>
        <m:r>
          <w:rPr>
            <w:rFonts w:ascii="Cambria Math" w:hAnsi="Cambria Math" w:cs="Arial"/>
            <w:sz w:val="22"/>
            <w:szCs w:val="22"/>
            <w:lang w:eastAsia="zh-CN"/>
          </w:rPr>
          <m:t>∈[2, 20]</m:t>
        </m:r>
      </m:oMath>
      <w:r w:rsidRPr="005F5605">
        <w:rPr>
          <w:rFonts w:ascii="Arial" w:hAnsi="Arial" w:cs="Arial"/>
          <w:sz w:val="22"/>
          <w:szCs w:val="22"/>
          <w:lang w:eastAsia="zh-CN"/>
        </w:rPr>
        <w:t>, consistent with a 2 to 3-fold risk for silicosis</w:t>
      </w:r>
      <w:r w:rsidRPr="005F5605">
        <w:rPr>
          <w:rFonts w:ascii="Arial" w:hAnsi="Arial" w:cs="Arial"/>
          <w:sz w:val="22"/>
          <w:szCs w:val="22"/>
          <w:lang w:eastAsia="zh-CN"/>
        </w:rPr>
        <w:fldChar w:fldCharType="begin" w:fldLock="1"/>
      </w:r>
      <w:r w:rsidRPr="005F5605">
        <w:rPr>
          <w:rFonts w:ascii="Arial" w:hAnsi="Arial" w:cs="Arial"/>
          <w:sz w:val="22"/>
          <w:szCs w:val="22"/>
          <w:lang w:eastAsia="zh-CN"/>
        </w:rPr>
        <w:instrText>ADDIN CSL_CITATION {"citationItems":[{"id":"ITEM-1","itemData":{"DOI":"10.1164/ajrccm.150.5.7952577","ISSN":"1073449X","abstract":"The elevated risk of tuberculosis in subjects with silicosis is widely accepted but has not been quantified in a population with a high prevalence of tuberculosis. In this study, a cohort of 1,153 older gold miners with and without silicosis who had not had tuberculosis have been followed for 7 yr by a routine mine surveillance program for detection of tuberculosis. One hundred seventy-eight of the men developed tuberculosis. The annual incidence of tuberculosis was 981/100,000 in the 335 men without silicosis and 2,707/100,000 in the 818 men with silicosis. The relative risk for tuberculosis was 2.8 (95% CI, 1.9 to 4.1) for men with silicosis compared with that in the men without silicosis. The incidence of tuberculosis increased from 1% per annum (pa) for the men without silicosis to 2.2% pa for the men with silicosis with Category 1 nodule profusion, 2.9% pa for those with Category 2, and 6.3% pa for those with Category 3 silicosis. This study has confirmed and quantified the high risk of pulmonary and of extrapulmonary tuberculosis in men with silicosis. The incidence of tuberculosis during this 7-yr study suggests that one quarter of these men with silicosis will have developed tuberculosis by 60 yr of age.","author":[{"dropping-particle":"","family":"Cowie","given":"Robert L.","non-dropping-particle":"","parse-names":false,"suffix":""}],"container-title":"American Journal of Respiratory and Critical Care Medicine","id":"ITEM-1","issued":{"date-parts":[["1994"]]},"title":"The epidemiology of tuberculosis in gold miners with silicosis","type":"article-journal"},"uris":["http://www.mendeley.com/documents/?uuid=7c88776f-6454-486e-a559-a5180282da7a","http://www.mendeley.com/documents/?uuid=ee099fb7-0d36-4add-a642-00320b516ba7"]}],"mendeley":{"formattedCitation":"&lt;sup&gt;24&lt;/sup&gt;","plainTextFormattedCitation":"24","previouslyFormattedCitation":"&lt;sup&gt;24&lt;/sup&gt;"},"properties":{"noteIndex":0},"schema":"https://github.com/citation-style-language/schema/raw/master/csl-citation.json"}</w:instrText>
      </w:r>
      <w:r w:rsidRPr="005F5605">
        <w:rPr>
          <w:rFonts w:ascii="Arial" w:hAnsi="Arial" w:cs="Arial"/>
          <w:sz w:val="22"/>
          <w:szCs w:val="22"/>
          <w:lang w:eastAsia="zh-CN"/>
        </w:rPr>
        <w:fldChar w:fldCharType="separate"/>
      </w:r>
      <w:r w:rsidRPr="005F5605">
        <w:rPr>
          <w:rFonts w:ascii="Arial" w:hAnsi="Arial" w:cs="Arial"/>
          <w:noProof/>
          <w:sz w:val="22"/>
          <w:szCs w:val="22"/>
          <w:vertAlign w:val="superscript"/>
          <w:lang w:eastAsia="zh-CN"/>
        </w:rPr>
        <w:t>24</w:t>
      </w:r>
      <w:r w:rsidRPr="005F5605">
        <w:rPr>
          <w:rFonts w:ascii="Arial" w:hAnsi="Arial" w:cs="Arial"/>
          <w:sz w:val="22"/>
          <w:szCs w:val="22"/>
          <w:lang w:eastAsia="zh-CN"/>
        </w:rPr>
        <w:fldChar w:fldCharType="end"/>
      </w:r>
      <w:r w:rsidRPr="005F5605">
        <w:rPr>
          <w:rFonts w:ascii="Arial" w:hAnsi="Arial" w:cs="Arial"/>
          <w:sz w:val="22"/>
          <w:szCs w:val="22"/>
          <w:lang w:eastAsia="zh-CN"/>
        </w:rPr>
        <w:t xml:space="preserve"> and a 20-fold risk for transplantation patients</w:t>
      </w:r>
      <w:r w:rsidRPr="005F5605">
        <w:rPr>
          <w:rFonts w:ascii="Arial" w:hAnsi="Arial" w:cs="Arial"/>
          <w:sz w:val="22"/>
          <w:szCs w:val="22"/>
          <w:lang w:eastAsia="zh-CN"/>
        </w:rPr>
        <w:fldChar w:fldCharType="begin" w:fldLock="1"/>
      </w:r>
      <w:r w:rsidRPr="005F5605">
        <w:rPr>
          <w:rFonts w:ascii="Arial" w:hAnsi="Arial" w:cs="Arial"/>
          <w:sz w:val="22"/>
          <w:szCs w:val="22"/>
          <w:lang w:eastAsia="zh-CN"/>
        </w:rPr>
        <w:instrText>ADDIN CSL_CITATION {"citationItems":[{"id":"ITEM-1","itemData":{"DOI":"10.1136/thx.2009.133173","ISSN":"00406376","abstract":"Guidelines have been compiled by the Joint Tuberculosis Committee of the British Thoracic Society for the prevention and management of Mycobacterium tuberculosis infection and disease in patients with all grades of renal impairment.","author":[{"dropping-particle":"","family":"Milburn","given":"Heather","non-dropping-particle":"","parse-names":false,"suffix":""},{"dropping-particle":"","family":"Ashman","given":"Neil","non-dropping-particle":"","parse-names":false,"suffix":""},{"dropping-particle":"","family":"Davies","given":"Peter","non-dropping-particle":"","parse-names":false,"suffix":""},{"dropping-particle":"","family":"Doffman","given":"Sarah","non-dropping-particle":"","parse-names":false,"suffix":""},{"dropping-particle":"","family":"Drobniewski","given":"Francis","non-dropping-particle":"","parse-names":false,"suffix":""},{"dropping-particle":"","family":"Khoo","given":"Saye","non-dropping-particle":"","parse-names":false,"suffix":""},{"dropping-particle":"","family":"Ormerod","given":"Peter","non-dropping-particle":"","parse-names":false,"suffix":""},{"dropping-particle":"","family":"Ostermann","given":"Marlies","non-dropping-particle":"","parse-names":false,"suffix":""},{"dropping-particle":"","family":"Snelson","given":"Catherine","non-dropping-particle":"","parse-names":false,"suffix":""}],"container-title":"Thorax","id":"ITEM-1","issued":{"date-parts":[["2010"]]},"title":"Guidelines for the prevention and management of Mycobacterium tuberculosis infection and disease in adult patients with chronic kidney disease","type":"article"},"uris":["http://www.mendeley.com/documents/?uuid=23b2a7b3-a9d7-4c0b-b79f-95c872c76827","http://www.mendeley.com/documents/?uuid=33c6aa0d-4956-417d-9182-46fc6aee1a2f"]}],"mendeley":{"formattedCitation":"&lt;sup&gt;25&lt;/sup&gt;","plainTextFormattedCitation":"25","previouslyFormattedCitation":"&lt;sup&gt;25&lt;/sup&gt;"},"properties":{"noteIndex":0},"schema":"https://github.com/citation-style-language/schema/raw/master/csl-citation.json"}</w:instrText>
      </w:r>
      <w:r w:rsidRPr="005F5605">
        <w:rPr>
          <w:rFonts w:ascii="Arial" w:hAnsi="Arial" w:cs="Arial"/>
          <w:sz w:val="22"/>
          <w:szCs w:val="22"/>
          <w:lang w:eastAsia="zh-CN"/>
        </w:rPr>
        <w:fldChar w:fldCharType="separate"/>
      </w:r>
      <w:r w:rsidRPr="005F5605">
        <w:rPr>
          <w:rFonts w:ascii="Arial" w:hAnsi="Arial" w:cs="Arial"/>
          <w:noProof/>
          <w:sz w:val="22"/>
          <w:szCs w:val="22"/>
          <w:vertAlign w:val="superscript"/>
          <w:lang w:eastAsia="zh-CN"/>
        </w:rPr>
        <w:t>25</w:t>
      </w:r>
      <w:r w:rsidRPr="005F5605">
        <w:rPr>
          <w:rFonts w:ascii="Arial" w:hAnsi="Arial" w:cs="Arial"/>
          <w:sz w:val="22"/>
          <w:szCs w:val="22"/>
          <w:lang w:eastAsia="zh-CN"/>
        </w:rPr>
        <w:fldChar w:fldCharType="end"/>
      </w:r>
      <w:r w:rsidRPr="005F5605">
        <w:rPr>
          <w:rFonts w:ascii="Arial" w:hAnsi="Arial" w:cs="Arial"/>
          <w:sz w:val="22"/>
          <w:szCs w:val="22"/>
          <w:lang w:eastAsia="zh-CN"/>
        </w:rPr>
        <w:t>. See table S3 for a list of these and other parameters.</w:t>
      </w:r>
    </w:p>
    <w:p w:rsidR="000623D8" w:rsidRPr="005F5605" w:rsidRDefault="000623D8" w:rsidP="000623D8">
      <w:pPr>
        <w:spacing w:line="312" w:lineRule="auto"/>
        <w:rPr>
          <w:rFonts w:ascii="Arial" w:hAnsi="Arial" w:cs="Arial"/>
          <w:sz w:val="22"/>
          <w:szCs w:val="22"/>
        </w:rPr>
      </w:pPr>
    </w:p>
    <w:p w:rsidR="000623D8" w:rsidRPr="005F5605" w:rsidRDefault="000623D8" w:rsidP="000623D8">
      <w:pPr>
        <w:rPr>
          <w:rFonts w:ascii="Arial" w:hAnsi="Arial" w:cs="Arial"/>
          <w:sz w:val="22"/>
          <w:szCs w:val="22"/>
        </w:rPr>
      </w:pPr>
      <w:r w:rsidRPr="005F5605">
        <w:rPr>
          <w:rFonts w:ascii="Arial" w:hAnsi="Arial" w:cs="Arial"/>
          <w:sz w:val="22"/>
          <w:szCs w:val="22"/>
        </w:rPr>
        <w:br w:type="page"/>
      </w:r>
    </w:p>
    <w:p w:rsidR="000623D8" w:rsidRPr="005F5605" w:rsidRDefault="000623D8" w:rsidP="000623D8">
      <w:pPr>
        <w:spacing w:line="312" w:lineRule="auto"/>
        <w:rPr>
          <w:rFonts w:ascii="Arial" w:hAnsi="Arial" w:cs="Arial"/>
          <w:color w:val="000000" w:themeColor="text1"/>
          <w:sz w:val="22"/>
          <w:szCs w:val="22"/>
        </w:rPr>
      </w:pPr>
      <w:r w:rsidRPr="005F5605">
        <w:rPr>
          <w:rFonts w:ascii="Arial" w:hAnsi="Arial" w:cs="Arial"/>
          <w:b/>
          <w:color w:val="000000" w:themeColor="text1"/>
          <w:sz w:val="22"/>
          <w:szCs w:val="22"/>
        </w:rPr>
        <w:lastRenderedPageBreak/>
        <w:t>Table S2. Epidemiological indicators for model calibration.</w:t>
      </w:r>
      <w:r w:rsidRPr="005F5605">
        <w:rPr>
          <w:rFonts w:ascii="Arial" w:hAnsi="Arial" w:cs="Arial"/>
          <w:color w:val="000000" w:themeColor="text1"/>
          <w:sz w:val="22"/>
          <w:szCs w:val="22"/>
        </w:rPr>
        <w:t xml:space="preserve"> All rates are per 100,000 population. For simplicity the table shows only the most recent year of available data (2018), although the model was calibrated to WHO estimates for incidence and mortality from 2014 onwards </w:t>
      </w:r>
      <w:r w:rsidRPr="005F5605">
        <w:rPr>
          <w:rFonts w:ascii="Arial" w:hAnsi="Arial" w:cs="Arial"/>
          <w:color w:val="000000" w:themeColor="text1"/>
          <w:sz w:val="22"/>
          <w:szCs w:val="22"/>
        </w:rPr>
        <w:fldChar w:fldCharType="begin" w:fldLock="1"/>
      </w:r>
      <w:r w:rsidRPr="005F5605">
        <w:rPr>
          <w:rFonts w:ascii="Arial" w:hAnsi="Arial" w:cs="Arial"/>
          <w:color w:val="000000" w:themeColor="text1"/>
          <w:sz w:val="22"/>
          <w:szCs w:val="22"/>
        </w:rPr>
        <w:instrText>ADDIN CSL_CITATION {"citationItems":[{"id":"ITEM-1","itemData":{"author":[{"dropping-particle":"","family":"World Health Organization","given":"","non-dropping-particle":"","parse-names":false,"suffix":""}],"id":"ITEM-1","issued":{"date-parts":[["0"]]},"publisher":"World Health Organization","title":"Global tuberculosis report 2018","type":"webpage"},"uris":["http://www.mendeley.com/documents/?uuid=0020b178-6f9a-330d-9185-41b988d58597","http://www.mendeley.com/documents/?uuid=83c1ff6a-0d9f-436c-a847-372de7569898"]}],"mendeley":{"formattedCitation":"&lt;sup&gt;14&lt;/sup&gt;","plainTextFormattedCitation":"14","previouslyFormattedCitation":"&lt;sup&gt;14&lt;/sup&gt;"},"properties":{"noteIndex":0},"schema":"https://github.com/citation-style-language/schema/raw/master/csl-citation.json"}</w:instrText>
      </w:r>
      <w:r w:rsidRPr="005F5605">
        <w:rPr>
          <w:rFonts w:ascii="Arial" w:hAnsi="Arial" w:cs="Arial"/>
          <w:color w:val="000000" w:themeColor="text1"/>
          <w:sz w:val="22"/>
          <w:szCs w:val="22"/>
        </w:rPr>
        <w:fldChar w:fldCharType="separate"/>
      </w:r>
      <w:r w:rsidRPr="005F5605">
        <w:rPr>
          <w:rFonts w:ascii="Arial" w:hAnsi="Arial" w:cs="Arial"/>
          <w:noProof/>
          <w:color w:val="000000" w:themeColor="text1"/>
          <w:sz w:val="22"/>
          <w:szCs w:val="22"/>
          <w:vertAlign w:val="superscript"/>
        </w:rPr>
        <w:t>14</w:t>
      </w:r>
      <w:r w:rsidRPr="005F5605">
        <w:rPr>
          <w:rFonts w:ascii="Arial" w:hAnsi="Arial" w:cs="Arial"/>
          <w:color w:val="000000" w:themeColor="text1"/>
          <w:sz w:val="22"/>
          <w:szCs w:val="22"/>
        </w:rPr>
        <w:fldChar w:fldCharType="end"/>
      </w:r>
      <w:r w:rsidRPr="005F5605">
        <w:rPr>
          <w:rFonts w:ascii="Arial" w:hAnsi="Arial" w:cs="Arial"/>
          <w:color w:val="000000" w:themeColor="text1"/>
          <w:sz w:val="22"/>
          <w:szCs w:val="22"/>
        </w:rPr>
        <w:t>. WHO no longer publishes prevalence estimates; we imputed these model inputs by calculating the most prevalence/incidence ratios available from 2014 (GTB Report 2015</w:t>
      </w:r>
      <w:r w:rsidRPr="005F5605">
        <w:rPr>
          <w:rFonts w:ascii="Arial" w:hAnsi="Arial" w:cs="Arial"/>
          <w:color w:val="000000" w:themeColor="text1"/>
          <w:sz w:val="22"/>
          <w:szCs w:val="22"/>
        </w:rPr>
        <w:fldChar w:fldCharType="begin" w:fldLock="1"/>
      </w:r>
      <w:r w:rsidRPr="005F5605">
        <w:rPr>
          <w:rFonts w:ascii="Arial" w:hAnsi="Arial" w:cs="Arial"/>
          <w:color w:val="000000" w:themeColor="text1"/>
          <w:sz w:val="22"/>
          <w:szCs w:val="22"/>
        </w:rPr>
        <w:instrText>ADDIN CSL_CITATION {"citationItems":[{"id":"ITEM-1","itemData":{"author":[{"dropping-particle":"","family":"World Health Organization","given":"","non-dropping-particle":"","parse-names":false,"suffix":""}],"id":"ITEM-1","issued":{"date-parts":[["0"]]},"publisher":"World Health Organization","title":"Global tuberculosis report 2018","type":"webpage"},"uris":["http://www.mendeley.com/documents/?uuid=83c1ff6a-0d9f-436c-a847-372de7569898"]}],"mendeley":{"formattedCitation":"&lt;sup&gt;14&lt;/sup&gt;","plainTextFormattedCitation":"14","previouslyFormattedCitation":"&lt;sup&gt;14&lt;/sup&gt;"},"properties":{"noteIndex":0},"schema":"https://github.com/citation-style-language/schema/raw/master/csl-citation.json"}</w:instrText>
      </w:r>
      <w:r w:rsidRPr="005F5605">
        <w:rPr>
          <w:rFonts w:ascii="Arial" w:hAnsi="Arial" w:cs="Arial"/>
          <w:color w:val="000000" w:themeColor="text1"/>
          <w:sz w:val="22"/>
          <w:szCs w:val="22"/>
        </w:rPr>
        <w:fldChar w:fldCharType="separate"/>
      </w:r>
      <w:r w:rsidRPr="005F5605">
        <w:rPr>
          <w:rFonts w:ascii="Arial" w:hAnsi="Arial" w:cs="Arial"/>
          <w:noProof/>
          <w:color w:val="000000" w:themeColor="text1"/>
          <w:sz w:val="22"/>
          <w:szCs w:val="22"/>
          <w:vertAlign w:val="superscript"/>
        </w:rPr>
        <w:t>14</w:t>
      </w:r>
      <w:r w:rsidRPr="005F5605">
        <w:rPr>
          <w:rFonts w:ascii="Arial" w:hAnsi="Arial" w:cs="Arial"/>
          <w:color w:val="000000" w:themeColor="text1"/>
          <w:sz w:val="22"/>
          <w:szCs w:val="22"/>
        </w:rPr>
        <w:fldChar w:fldCharType="end"/>
      </w:r>
      <w:r w:rsidRPr="005F5605">
        <w:rPr>
          <w:rFonts w:ascii="Arial" w:hAnsi="Arial" w:cs="Arial"/>
          <w:color w:val="000000" w:themeColor="text1"/>
          <w:sz w:val="22"/>
          <w:szCs w:val="22"/>
        </w:rPr>
        <w:t>) and applying this ratio to incidence estimates in 2018.</w:t>
      </w:r>
    </w:p>
    <w:p w:rsidR="000623D8" w:rsidRPr="005F5605" w:rsidRDefault="000623D8" w:rsidP="000623D8">
      <w:pPr>
        <w:rPr>
          <w:rFonts w:ascii="Arial" w:hAnsi="Arial" w:cs="Arial"/>
          <w:color w:val="000000" w:themeColor="text1"/>
          <w:sz w:val="22"/>
          <w:szCs w:val="22"/>
        </w:rPr>
      </w:pPr>
    </w:p>
    <w:tbl>
      <w:tblPr>
        <w:tblStyle w:val="PlainTable1"/>
        <w:tblW w:w="0" w:type="auto"/>
        <w:tblCellMar>
          <w:top w:w="57" w:type="dxa"/>
          <w:bottom w:w="57" w:type="dxa"/>
        </w:tblCellMar>
        <w:tblLook w:val="04A0" w:firstRow="1" w:lastRow="0" w:firstColumn="1" w:lastColumn="0" w:noHBand="0" w:noVBand="1"/>
      </w:tblPr>
      <w:tblGrid>
        <w:gridCol w:w="1501"/>
        <w:gridCol w:w="1501"/>
        <w:gridCol w:w="1502"/>
        <w:gridCol w:w="1502"/>
        <w:gridCol w:w="1502"/>
        <w:gridCol w:w="1502"/>
      </w:tblGrid>
      <w:tr w:rsidR="000623D8" w:rsidRPr="005F5605" w:rsidTr="000731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rPr>
              <w:t>Country</w:t>
            </w:r>
          </w:p>
        </w:tc>
        <w:tc>
          <w:tcPr>
            <w:tcW w:w="1501" w:type="dxa"/>
          </w:tcPr>
          <w:p w:rsidR="000623D8" w:rsidRPr="005F5605" w:rsidRDefault="000623D8" w:rsidP="000731FD">
            <w:pP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Prevalence rate</w:t>
            </w:r>
          </w:p>
        </w:tc>
        <w:tc>
          <w:tcPr>
            <w:tcW w:w="1502" w:type="dxa"/>
          </w:tcPr>
          <w:p w:rsidR="000623D8" w:rsidRPr="005F5605" w:rsidRDefault="000623D8" w:rsidP="000731FD">
            <w:pP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Incidence rate (MDR/RR-TB)</w:t>
            </w:r>
          </w:p>
        </w:tc>
        <w:tc>
          <w:tcPr>
            <w:tcW w:w="1502" w:type="dxa"/>
          </w:tcPr>
          <w:p w:rsidR="000623D8" w:rsidRPr="005F5605" w:rsidRDefault="000623D8" w:rsidP="000731FD">
            <w:pP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Incidence rate (HIV+TB only)</w:t>
            </w:r>
          </w:p>
        </w:tc>
        <w:tc>
          <w:tcPr>
            <w:tcW w:w="1502" w:type="dxa"/>
          </w:tcPr>
          <w:p w:rsidR="000623D8" w:rsidRPr="005F5605" w:rsidRDefault="000623D8" w:rsidP="000731FD">
            <w:pP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Total notification rate (+/- 10%)</w:t>
            </w:r>
          </w:p>
        </w:tc>
        <w:tc>
          <w:tcPr>
            <w:tcW w:w="1502" w:type="dxa"/>
          </w:tcPr>
          <w:p w:rsidR="000623D8" w:rsidRPr="005F5605" w:rsidRDefault="000623D8" w:rsidP="000731FD">
            <w:pP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MDR notification rate (+/- 10%)</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Bangladesh</w:t>
            </w:r>
          </w:p>
        </w:tc>
        <w:tc>
          <w:tcPr>
            <w:tcW w:w="1501"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393</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[205-642]</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3.7</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[2.0-5.9]</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0.45</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[0.23-0.76]</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166</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[149 -182]</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 xml:space="preserve">0.71 </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[0.64-0.78]</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Bhutan</w:t>
            </w:r>
          </w:p>
        </w:tc>
        <w:tc>
          <w:tcPr>
            <w:tcW w:w="1501"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173</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[68-326]</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20</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[13-28]</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0.34</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[0.02-1.1]</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122</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[110-134]</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8.35</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[7.52-9.19]</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DPR Korea</w:t>
            </w:r>
          </w:p>
        </w:tc>
        <w:tc>
          <w:tcPr>
            <w:tcW w:w="1501"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174</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[641-1404]</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20</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[10-34]</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0.87</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[0.47-1.4]</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373</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[336-410]</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5.82</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[5.2-6.4]</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India</w:t>
            </w:r>
          </w:p>
        </w:tc>
        <w:tc>
          <w:tcPr>
            <w:tcW w:w="1501"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232</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[156-323]</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9.6</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[5.7-15]</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6.8</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[4.6-9.3]</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159</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[143-175]</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3.44</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[3.1-3.8]</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Indonesia</w:t>
            </w:r>
          </w:p>
        </w:tc>
        <w:tc>
          <w:tcPr>
            <w:tcW w:w="1501"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512</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[406-631]</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8.8</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[6.2-12]</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7.9</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[3.3-14]</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 xml:space="preserve">213 </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[192-234]</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1.56</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[1.41-1.72]</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Maldives</w:t>
            </w:r>
          </w:p>
        </w:tc>
        <w:tc>
          <w:tcPr>
            <w:tcW w:w="1501"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45</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[20-79]</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0.73</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[0.05-2.3]</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0.24</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[0-1.2]</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27</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[24-30]</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0.39</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[0.35-0.43]</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Myanmar</w:t>
            </w:r>
          </w:p>
        </w:tc>
        <w:tc>
          <w:tcPr>
            <w:tcW w:w="1501"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436</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[361-511]</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21</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[14-30]</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29</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[19-41]</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260</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[234-286]</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4.93</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[4.4-5.4]</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Nepal</w:t>
            </w:r>
          </w:p>
        </w:tc>
        <w:tc>
          <w:tcPr>
            <w:tcW w:w="1501"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205</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[97-353]</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5.0</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[2.8-8.0]</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1.4</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[1.1-1.6]</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116</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[104-127]</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1.42</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[1.28-1.56]</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Sri Lanka</w:t>
            </w:r>
          </w:p>
        </w:tc>
        <w:tc>
          <w:tcPr>
            <w:tcW w:w="1501"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97</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[50-161]</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0.12</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[0.01-0.37]</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0.27</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[0.16-0.4]</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42</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[38-46]</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0.06</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[0.05-0.07]</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Thailand</w:t>
            </w:r>
          </w:p>
        </w:tc>
        <w:tc>
          <w:tcPr>
            <w:tcW w:w="1501"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211</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[144-292]</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5.7</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[3.3-8.8]</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15</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[12-20]</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125</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[113-138]</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1.31</w:t>
            </w:r>
          </w:p>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[1.18-1.44]</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rPr>
            </w:pPr>
            <w:r w:rsidRPr="005F5605">
              <w:rPr>
                <w:rFonts w:cstheme="minorHAnsi"/>
                <w:color w:val="000000" w:themeColor="text1"/>
                <w:sz w:val="18"/>
                <w:szCs w:val="18"/>
                <w:lang w:val="en-IN"/>
              </w:rPr>
              <w:t xml:space="preserve">Timor </w:t>
            </w:r>
            <w:proofErr w:type="spellStart"/>
            <w:r w:rsidRPr="005F5605">
              <w:rPr>
                <w:rFonts w:cstheme="minorHAnsi"/>
                <w:color w:val="000000" w:themeColor="text1"/>
                <w:sz w:val="18"/>
                <w:szCs w:val="18"/>
                <w:lang w:val="en-IN"/>
              </w:rPr>
              <w:t>Leste</w:t>
            </w:r>
            <w:proofErr w:type="spellEnd"/>
          </w:p>
        </w:tc>
        <w:tc>
          <w:tcPr>
            <w:tcW w:w="1501"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820</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[426-1340]</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19</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[6.4-38]</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6.1</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[3.5-9.5]</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308</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[277-339]</w:t>
            </w:r>
          </w:p>
        </w:tc>
        <w:tc>
          <w:tcPr>
            <w:tcW w:w="1502" w:type="dxa"/>
          </w:tcPr>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0.95</w:t>
            </w:r>
          </w:p>
          <w:p w:rsidR="000623D8" w:rsidRPr="005F5605" w:rsidRDefault="000623D8" w:rsidP="000731FD">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[0.85-1.04]</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501" w:type="dxa"/>
          </w:tcPr>
          <w:p w:rsidR="000623D8" w:rsidRPr="005F5605" w:rsidRDefault="000623D8" w:rsidP="000731FD">
            <w:pPr>
              <w:rPr>
                <w:rFonts w:cstheme="minorHAnsi"/>
                <w:color w:val="000000" w:themeColor="text1"/>
                <w:sz w:val="18"/>
                <w:szCs w:val="18"/>
                <w:lang w:val="en-IN"/>
              </w:rPr>
            </w:pPr>
            <w:r w:rsidRPr="005F5605">
              <w:rPr>
                <w:rFonts w:cstheme="minorHAnsi"/>
                <w:color w:val="000000" w:themeColor="text1"/>
                <w:sz w:val="18"/>
                <w:szCs w:val="18"/>
                <w:lang w:val="en-IN"/>
              </w:rPr>
              <w:t>SEAR</w:t>
            </w:r>
          </w:p>
        </w:tc>
        <w:tc>
          <w:tcPr>
            <w:tcW w:w="1501"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257[137-440]</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9.2[6.3-13]</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7.1[5.4-9.0]</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170[153-187]</w:t>
            </w:r>
          </w:p>
        </w:tc>
        <w:tc>
          <w:tcPr>
            <w:tcW w:w="1502" w:type="dxa"/>
          </w:tcPr>
          <w:p w:rsidR="000623D8" w:rsidRPr="005F5605" w:rsidRDefault="000623D8" w:rsidP="000731F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2.90[2.61-3.19]</w:t>
            </w:r>
          </w:p>
        </w:tc>
      </w:tr>
    </w:tbl>
    <w:p w:rsidR="000623D8" w:rsidRPr="005F5605" w:rsidRDefault="000623D8" w:rsidP="000623D8">
      <w:pPr>
        <w:rPr>
          <w:rFonts w:cstheme="minorHAnsi"/>
          <w:color w:val="000000" w:themeColor="text1"/>
          <w:sz w:val="18"/>
          <w:szCs w:val="18"/>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spacing w:line="312" w:lineRule="auto"/>
        <w:rPr>
          <w:rFonts w:ascii="Arial" w:hAnsi="Arial" w:cs="Arial"/>
          <w:bCs/>
          <w:sz w:val="22"/>
          <w:szCs w:val="22"/>
        </w:rPr>
      </w:pPr>
      <w:r w:rsidRPr="005F5605">
        <w:rPr>
          <w:rFonts w:ascii="Arial" w:hAnsi="Arial" w:cs="Arial"/>
          <w:b/>
          <w:bCs/>
          <w:sz w:val="22"/>
          <w:szCs w:val="22"/>
        </w:rPr>
        <w:lastRenderedPageBreak/>
        <w:t xml:space="preserve">Table S3. List of regional-level parameters used in the model. </w:t>
      </w:r>
      <w:r w:rsidRPr="005F5605">
        <w:rPr>
          <w:rFonts w:ascii="Arial" w:hAnsi="Arial" w:cs="Arial"/>
          <w:sz w:val="22"/>
          <w:szCs w:val="22"/>
        </w:rPr>
        <w:t>See table</w:t>
      </w:r>
      <w:r w:rsidRPr="005F5605">
        <w:rPr>
          <w:rFonts w:ascii="Arial" w:hAnsi="Arial" w:cs="Arial"/>
          <w:b/>
          <w:bCs/>
          <w:sz w:val="22"/>
          <w:szCs w:val="22"/>
        </w:rPr>
        <w:t xml:space="preserve"> </w:t>
      </w:r>
      <w:r w:rsidRPr="005F5605">
        <w:rPr>
          <w:rFonts w:ascii="Arial" w:hAnsi="Arial" w:cs="Arial"/>
          <w:sz w:val="22"/>
          <w:szCs w:val="22"/>
        </w:rPr>
        <w:t>S4 for additional, country-level parameters.</w:t>
      </w:r>
      <w:r w:rsidRPr="005F5605">
        <w:rPr>
          <w:rFonts w:ascii="Arial" w:hAnsi="Arial" w:cs="Arial"/>
          <w:b/>
          <w:bCs/>
          <w:sz w:val="22"/>
          <w:szCs w:val="22"/>
        </w:rPr>
        <w:t xml:space="preserve"> </w:t>
      </w:r>
      <w:r w:rsidRPr="005F5605">
        <w:rPr>
          <w:rFonts w:ascii="Arial" w:hAnsi="Arial" w:cs="Arial"/>
          <w:sz w:val="22"/>
          <w:szCs w:val="22"/>
        </w:rPr>
        <w:t>Parameters whose estimates can be found in table S4 are indicated as such.</w:t>
      </w:r>
      <w:r w:rsidRPr="005F5605">
        <w:rPr>
          <w:rFonts w:ascii="Arial" w:hAnsi="Arial" w:cs="Arial"/>
          <w:b/>
          <w:bCs/>
          <w:sz w:val="22"/>
          <w:szCs w:val="22"/>
        </w:rPr>
        <w:t xml:space="preserve"> </w:t>
      </w:r>
      <w:r w:rsidRPr="005F5605">
        <w:rPr>
          <w:rFonts w:ascii="Arial" w:hAnsi="Arial" w:cs="Arial"/>
          <w:sz w:val="22"/>
          <w:szCs w:val="22"/>
        </w:rPr>
        <w:t xml:space="preserve">Where parameters are subject to uncertainty, the assumed intervals are given in parentheses. All remaining parameters are held fixed, and are not expected to play an important role in model estimates. </w:t>
      </w:r>
      <w:r w:rsidRPr="005F5605">
        <w:rPr>
          <w:rFonts w:ascii="Arial" w:hAnsi="Arial" w:cs="Arial"/>
          <w:bCs/>
          <w:sz w:val="22"/>
          <w:szCs w:val="22"/>
        </w:rPr>
        <w:t>Footnotes: (a) Unless other country-specific information was available, we drew from a recent systematic review in India, of the public care cascade</w:t>
      </w:r>
      <w:r w:rsidRPr="005F5605">
        <w:rPr>
          <w:rFonts w:ascii="Arial" w:hAnsi="Arial" w:cs="Arial"/>
          <w:bCs/>
          <w:sz w:val="22"/>
          <w:szCs w:val="22"/>
        </w:rPr>
        <w:fldChar w:fldCharType="begin" w:fldLock="1"/>
      </w:r>
      <w:r w:rsidRPr="005F5605">
        <w:rPr>
          <w:rFonts w:ascii="Arial" w:hAnsi="Arial" w:cs="Arial"/>
          <w:bCs/>
          <w:sz w:val="22"/>
          <w:szCs w:val="22"/>
        </w:rPr>
        <w:instrText>ADDIN CSL_CITATION {"citationItems":[{"id":"ITEM-1","itemData":{"DOI":"10.1371/journal.pmed.1002149","ISSN":"1549-1676","PMID":"27780217","abstract":"BACKGROUND India has 23% of the global burden of active tuberculosis (TB) patients and 27% of the world's \"missing\" patients, which includes those who may not have received effective TB care and could potentially spread TB to others. The \"cascade of care\" is a useful model for visualizing deficiencies in case detection and retention in care, in order to prioritize interventions. METHODS AND FINDINGS The care cascade constructed in this paper focuses on the Revised National TB Control Programme (RNTCP), which treats about half of India's TB patients. We define the TB cascade as including the following patient populations: total prevalent active TB patients in India, TB patients who reach and undergo evaluation at RNTCP diagnostic facilities, patients successfully diagnosed with TB, patients who start treatment, patients retained to treatment completion, and patients who achieve 1-y recurrence-free survival. We estimate each step of the cascade for 2013 using data from two World Health Organization (WHO) reports (2014-2015), one WHO dataset (2015), and three RNTCP reports (2014-2016). In addition, we conduct three targeted systematic reviews of the scientific literature to identify 39 unique articles published from 2000-2015 that provide additional data on five indicators that help estimate different steps of the TB cascade. We construct separate care cascades for the overall population of patients with active TB and for patients with specific forms of TB-including new smear-positive, new smear-negative, retreatment smear-positive, and multidrug-resistant (MDR) TB. The WHO estimated that there were 2,700,000 (95%CI: 1,800,000-3,800,000) prevalent TB patients in India in 2013. Of these patients, we estimate that 1,938,027 (72%) TB patients were evaluated at RNTCP facilities; 1,629,906 (60%) were successfully diagnosed; 1,417,838 (53%) got registered for treatment; 1,221,764 (45%) completed treatment; and 1,049,237 (95%CI: 1,008,775-1,083,243), or 39%, of 2,700,000 TB patients achieved the optimal outcome of 1-y recurrence-free survival. The separate cascades for different forms of TB highlight different patterns of patient attrition. Pretreatment loss to follow-up of diagnosed patients and post-treatment TB recurrence were major points of attrition in the new smear-positive TB cascade. In the new smear-negative and MDR TB cascades, a substantial proportion of patients who were evaluated at RNTCP diagnostic facilities were not successfully diagnosed. Retrea…","author":[{"dropping-particle":"","family":"Subbaraman","given":"Ramnath","non-dropping-particle":"","parse-names":false,"suffix":""},{"dropping-particle":"","family":"Nathavitharana","given":"Ruvandhi R.","non-dropping-particle":"","parse-names":false,"suffix":""},{"dropping-particle":"","family":"Satyanarayana","given":"Srinath","non-dropping-particle":"","parse-names":false,"suffix":""},{"dropping-particle":"","family":"Pai","given":"Madhukar","non-dropping-particle":"","parse-names":false,"suffix":""},{"dropping-particle":"","family":"Thomas","given":"Beena E.","non-dropping-particle":"","parse-names":false,"suffix":""},{"dropping-particle":"","family":"Chadha","given":"Vineet K.","non-dropping-particle":"","parse-names":false,"suffix":""},{"dropping-particle":"","family":"Rade","given":"Kiran","non-dropping-particle":"","parse-names":false,"suffix":""},{"dropping-particle":"","family":"Swaminathan","given":"Soumya","non-dropping-particle":"","parse-names":false,"suffix":""},{"dropping-particle":"","family":"Mayer","given":"Kenneth H.","non-dropping-particle":"","parse-names":false,"suffix":""}],"container-title":"PLOS Medicine","editor":[{"dropping-particle":"","family":"Murray","given":"Megan","non-dropping-particle":"","parse-names":false,"suffix":""}],"id":"ITEM-1","issue":"10","issued":{"date-parts":[["2016","10"]]},"page":"e1002149","title":"The Tuberculosis Cascade of Care in India’s Public Sector: A Systematic Review and Meta-analysis","type":"article-journal","volume":"13"},"uris":["http://www.mendeley.com/documents/?uuid=6cbf8b58-e4cc-482f-8eaf-4cde31655cda"]}],"mendeley":{"formattedCitation":"&lt;sup&gt;1&lt;/sup&gt;","plainTextFormattedCitation":"1","previouslyFormattedCitation":"&lt;sup&gt;1&lt;/sup&gt;"},"properties":{"noteIndex":0},"schema":"https://github.com/citation-style-language/schema/raw/master/csl-citation.json"}</w:instrText>
      </w:r>
      <w:r w:rsidRPr="005F5605">
        <w:rPr>
          <w:rFonts w:ascii="Arial" w:hAnsi="Arial" w:cs="Arial"/>
          <w:bCs/>
          <w:sz w:val="22"/>
          <w:szCs w:val="22"/>
        </w:rPr>
        <w:fldChar w:fldCharType="separate"/>
      </w:r>
      <w:r w:rsidRPr="005F5605">
        <w:rPr>
          <w:rFonts w:ascii="Arial" w:hAnsi="Arial" w:cs="Arial"/>
          <w:bCs/>
          <w:noProof/>
          <w:sz w:val="22"/>
          <w:szCs w:val="22"/>
          <w:vertAlign w:val="superscript"/>
        </w:rPr>
        <w:t>1</w:t>
      </w:r>
      <w:r w:rsidRPr="005F5605">
        <w:rPr>
          <w:rFonts w:ascii="Arial" w:hAnsi="Arial" w:cs="Arial"/>
          <w:bCs/>
          <w:sz w:val="22"/>
          <w:szCs w:val="22"/>
        </w:rPr>
        <w:fldChar w:fldCharType="end"/>
      </w:r>
      <w:r w:rsidRPr="005F5605">
        <w:rPr>
          <w:rFonts w:ascii="Arial" w:hAnsi="Arial" w:cs="Arial"/>
          <w:bCs/>
          <w:sz w:val="22"/>
          <w:szCs w:val="22"/>
        </w:rPr>
        <w:t>. An exception is Bangladesh, where treatment initiation rates are estimated as 99%. (b) Given a lack of systematic evidence quantifying the care cascade in the private sector in SEAR, we assumed the parameters specified here for each country, with the exception of Thailand, where the private healthcare sector has a good quality of TB care, but tends not to notify TB. Here we assumed the same parameters for the care cascade as in the public sector. (c) IPT and 3HP have similar effectiveness in reducing TB, amongst those completing the regimens. However, the available evidence shows that 3HP, being a shorter, simpler and safer regimen than IPT, has substantially higher completion rates. We thus adjusted downwards the assumed value for effectiveness of IPT, to reflect the lower rates of completion that would be expected in practice.</w:t>
      </w:r>
    </w:p>
    <w:p w:rsidR="000623D8" w:rsidRPr="005F5605" w:rsidRDefault="000623D8" w:rsidP="000623D8">
      <w:pPr>
        <w:rPr>
          <w:rFonts w:ascii="Arial" w:hAnsi="Arial" w:cs="Arial"/>
          <w:b/>
          <w:color w:val="000000" w:themeColor="text1"/>
          <w:sz w:val="22"/>
          <w:szCs w:val="22"/>
        </w:rPr>
      </w:pPr>
    </w:p>
    <w:tbl>
      <w:tblPr>
        <w:tblStyle w:val="PlainTable11"/>
        <w:tblpPr w:leftFromText="180" w:rightFromText="180" w:vertAnchor="text" w:tblpY="1"/>
        <w:tblOverlap w:val="never"/>
        <w:tblW w:w="9545" w:type="dxa"/>
        <w:tblLayout w:type="fixed"/>
        <w:tblLook w:val="04A0" w:firstRow="1" w:lastRow="0" w:firstColumn="1" w:lastColumn="0" w:noHBand="0" w:noVBand="1"/>
      </w:tblPr>
      <w:tblGrid>
        <w:gridCol w:w="1706"/>
        <w:gridCol w:w="813"/>
        <w:gridCol w:w="1263"/>
        <w:gridCol w:w="1074"/>
        <w:gridCol w:w="1890"/>
        <w:gridCol w:w="6"/>
        <w:gridCol w:w="2793"/>
      </w:tblGrid>
      <w:tr w:rsidR="000623D8" w:rsidRPr="005F5605" w:rsidTr="000731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line="312" w:lineRule="auto"/>
              <w:rPr>
                <w:rFonts w:ascii="Arial" w:hAnsi="Arial" w:cs="Arial"/>
                <w:b w:val="0"/>
                <w:sz w:val="22"/>
                <w:szCs w:val="22"/>
              </w:rPr>
            </w:pPr>
            <w:r w:rsidRPr="005F5605">
              <w:rPr>
                <w:rFonts w:ascii="Arial" w:hAnsi="Arial" w:cs="Arial"/>
                <w:sz w:val="22"/>
                <w:szCs w:val="22"/>
              </w:rPr>
              <w:t>Parameter name</w:t>
            </w:r>
          </w:p>
        </w:tc>
        <w:tc>
          <w:tcPr>
            <w:tcW w:w="1074" w:type="dxa"/>
          </w:tcPr>
          <w:p w:rsidR="000623D8" w:rsidRPr="005F5605" w:rsidRDefault="000623D8" w:rsidP="000731FD">
            <w:pPr>
              <w:spacing w:line="312"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r w:rsidRPr="005F5605">
              <w:rPr>
                <w:rFonts w:ascii="Arial" w:hAnsi="Arial" w:cs="Arial"/>
                <w:sz w:val="22"/>
                <w:szCs w:val="22"/>
              </w:rPr>
              <w:t>Symbol</w:t>
            </w:r>
          </w:p>
        </w:tc>
        <w:tc>
          <w:tcPr>
            <w:tcW w:w="1890" w:type="dxa"/>
          </w:tcPr>
          <w:p w:rsidR="000623D8" w:rsidRPr="005F5605" w:rsidRDefault="000623D8" w:rsidP="000731FD">
            <w:pPr>
              <w:spacing w:line="312" w:lineRule="auto"/>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r w:rsidRPr="005F5605">
              <w:rPr>
                <w:rFonts w:ascii="Arial" w:hAnsi="Arial" w:cs="Arial"/>
                <w:sz w:val="22"/>
                <w:szCs w:val="22"/>
              </w:rPr>
              <w:t>Value</w:t>
            </w:r>
          </w:p>
        </w:tc>
        <w:tc>
          <w:tcPr>
            <w:tcW w:w="2799" w:type="dxa"/>
            <w:gridSpan w:val="2"/>
          </w:tcPr>
          <w:p w:rsidR="000623D8" w:rsidRPr="005F5605" w:rsidRDefault="000623D8" w:rsidP="000731FD">
            <w:pPr>
              <w:spacing w:line="312" w:lineRule="auto"/>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r w:rsidRPr="005F5605">
              <w:rPr>
                <w:rFonts w:ascii="Arial" w:hAnsi="Arial" w:cs="Arial"/>
                <w:sz w:val="22"/>
                <w:szCs w:val="22"/>
              </w:rPr>
              <w:t>Note/Source</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45" w:type="dxa"/>
            <w:gridSpan w:val="7"/>
          </w:tcPr>
          <w:p w:rsidR="000623D8" w:rsidRPr="005F5605" w:rsidRDefault="000623D8" w:rsidP="000731FD">
            <w:pPr>
              <w:spacing w:before="60" w:after="60"/>
              <w:rPr>
                <w:rFonts w:ascii="Arial" w:hAnsi="Arial" w:cs="Arial"/>
                <w:i/>
                <w:iCs/>
                <w:sz w:val="10"/>
                <w:szCs w:val="10"/>
                <w:u w:val="single"/>
              </w:rPr>
            </w:pPr>
          </w:p>
          <w:p w:rsidR="000623D8" w:rsidRPr="005F5605" w:rsidRDefault="000623D8" w:rsidP="000731FD">
            <w:pPr>
              <w:spacing w:before="60" w:after="60" w:line="312" w:lineRule="auto"/>
              <w:rPr>
                <w:rFonts w:ascii="Arial" w:hAnsi="Arial" w:cs="Arial"/>
                <w:color w:val="FF0000"/>
                <w:sz w:val="20"/>
                <w:szCs w:val="20"/>
              </w:rPr>
            </w:pPr>
            <w:r w:rsidRPr="005F5605">
              <w:rPr>
                <w:rFonts w:ascii="Arial" w:hAnsi="Arial" w:cs="Arial"/>
                <w:i/>
                <w:iCs/>
                <w:sz w:val="20"/>
                <w:szCs w:val="20"/>
                <w:u w:val="single"/>
              </w:rPr>
              <w:t>Natural history parameters</w:t>
            </w:r>
          </w:p>
        </w:tc>
      </w:tr>
      <w:tr w:rsidR="000623D8" w:rsidRPr="005F5605" w:rsidTr="000731FD">
        <w:trPr>
          <w:trHeight w:val="713"/>
        </w:trPr>
        <w:tc>
          <w:tcPr>
            <w:cnfStyle w:val="001000000000" w:firstRow="0" w:lastRow="0" w:firstColumn="1" w:lastColumn="0" w:oddVBand="0" w:evenVBand="0" w:oddHBand="0" w:evenHBand="0" w:firstRowFirstColumn="0" w:firstRowLastColumn="0" w:lastRowFirstColumn="0" w:lastRowLastColumn="0"/>
            <w:tcW w:w="1706" w:type="dxa"/>
            <w:vMerge w:val="restart"/>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Average infections per infectious TB case per year</w:t>
            </w:r>
          </w:p>
        </w:tc>
        <w:tc>
          <w:tcPr>
            <w:tcW w:w="2076"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Drug-susceptible TB</w:t>
            </w:r>
          </w:p>
        </w:tc>
        <w:tc>
          <w:tcPr>
            <w:tcW w:w="1074" w:type="dxa"/>
          </w:tcPr>
          <w:p w:rsidR="000623D8" w:rsidRPr="005F5605" w:rsidRDefault="000623D8"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eastAsia="DengXian" w:hAnsi="Arial" w:cs="Arial"/>
                <w:sz w:val="22"/>
                <w:szCs w:val="22"/>
              </w:rPr>
            </w:pPr>
            <m:oMathPara>
              <m:oMath>
                <m:r>
                  <w:rPr>
                    <w:rFonts w:ascii="Cambria Math" w:eastAsia="DengXian" w:hAnsi="Cambria Math" w:cs="Arial"/>
                    <w:sz w:val="22"/>
                    <w:szCs w:val="22"/>
                  </w:rPr>
                  <m:t>β</m:t>
                </m:r>
              </m:oMath>
            </m:oMathPara>
          </w:p>
        </w:tc>
        <w:tc>
          <w:tcPr>
            <w:tcW w:w="4689" w:type="dxa"/>
            <w:gridSpan w:val="3"/>
            <w:vMerge w:val="restart"/>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sz w:val="20"/>
                <w:szCs w:val="20"/>
              </w:rPr>
            </w:pPr>
            <w:r w:rsidRPr="005F5605">
              <w:rPr>
                <w:rFonts w:ascii="Arial" w:hAnsi="Arial" w:cs="Arial"/>
                <w:sz w:val="20"/>
                <w:szCs w:val="20"/>
              </w:rPr>
              <w:t>Calibrated to yield incidence and prevalence for given country setting (see table S4)</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1706" w:type="dxa"/>
            <w:vMerge/>
          </w:tcPr>
          <w:p w:rsidR="000623D8" w:rsidRPr="005F5605" w:rsidRDefault="000623D8" w:rsidP="000731FD">
            <w:pPr>
              <w:spacing w:before="60" w:after="60" w:line="312" w:lineRule="auto"/>
              <w:rPr>
                <w:rFonts w:ascii="Arial" w:hAnsi="Arial" w:cs="Arial"/>
                <w:sz w:val="20"/>
                <w:szCs w:val="20"/>
              </w:rPr>
            </w:pPr>
          </w:p>
        </w:tc>
        <w:tc>
          <w:tcPr>
            <w:tcW w:w="2076"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Drug-resistant TB</w:t>
            </w:r>
          </w:p>
        </w:tc>
        <w:tc>
          <w:tcPr>
            <w:tcW w:w="1074" w:type="dxa"/>
          </w:tcPr>
          <w:p w:rsidR="000623D8" w:rsidRPr="005F5605" w:rsidRDefault="005F5605"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eastAsia="DengXian" w:hAnsi="Arial" w:cs="Arial"/>
                <w:sz w:val="22"/>
                <w:szCs w:val="22"/>
              </w:rPr>
            </w:pPr>
            <m:oMathPara>
              <m:oMath>
                <m:sSub>
                  <m:sSubPr>
                    <m:ctrlPr>
                      <w:rPr>
                        <w:rFonts w:ascii="Cambria Math" w:eastAsia="DengXian" w:hAnsi="Cambria Math" w:cs="Arial"/>
                        <w:i/>
                        <w:sz w:val="22"/>
                        <w:szCs w:val="22"/>
                      </w:rPr>
                    </m:ctrlPr>
                  </m:sSubPr>
                  <m:e>
                    <m:r>
                      <w:rPr>
                        <w:rFonts w:ascii="Cambria Math" w:eastAsia="DengXian" w:hAnsi="Cambria Math" w:cs="Arial"/>
                        <w:sz w:val="22"/>
                        <w:szCs w:val="22"/>
                      </w:rPr>
                      <m:t>β</m:t>
                    </m:r>
                  </m:e>
                  <m:sub>
                    <m:r>
                      <w:rPr>
                        <w:rFonts w:ascii="Cambria Math" w:eastAsia="DengXian" w:hAnsi="Cambria Math" w:cs="Arial"/>
                        <w:sz w:val="22"/>
                        <w:szCs w:val="22"/>
                      </w:rPr>
                      <m:t>MDR</m:t>
                    </m:r>
                  </m:sub>
                </m:sSub>
                <m:r>
                  <w:rPr>
                    <w:rFonts w:ascii="Cambria Math" w:eastAsia="DengXian" w:hAnsi="Cambria Math" w:cs="Arial"/>
                    <w:sz w:val="22"/>
                    <w:szCs w:val="22"/>
                  </w:rPr>
                  <m:t xml:space="preserve"> </m:t>
                </m:r>
              </m:oMath>
            </m:oMathPara>
          </w:p>
        </w:tc>
        <w:tc>
          <w:tcPr>
            <w:tcW w:w="4689" w:type="dxa"/>
            <w:gridSpan w:val="3"/>
            <w:vMerge/>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706" w:type="dxa"/>
            <w:vMerge w:val="restart"/>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Proportion of infections undergoing rapid progression </w:t>
            </w:r>
            <m:oMath>
              <m:r>
                <m:rPr>
                  <m:sty m:val="bi"/>
                </m:rPr>
                <w:rPr>
                  <w:rFonts w:ascii="Cambria Math" w:hAnsi="Cambria Math" w:cs="Arial"/>
                  <w:sz w:val="22"/>
                  <w:szCs w:val="22"/>
                </w:rPr>
                <m:t>(</m:t>
              </m:r>
              <m:sSub>
                <m:sSubPr>
                  <m:ctrlPr>
                    <w:rPr>
                      <w:rFonts w:ascii="Cambria Math" w:hAnsi="Cambria Math" w:cs="Arial"/>
                      <w:i/>
                      <w:sz w:val="22"/>
                      <w:szCs w:val="22"/>
                    </w:rPr>
                  </m:ctrlPr>
                </m:sSubPr>
                <m:e>
                  <m:r>
                    <m:rPr>
                      <m:sty m:val="bi"/>
                    </m:rPr>
                    <w:rPr>
                      <w:rFonts w:ascii="Cambria Math" w:hAnsi="Cambria Math" w:cs="Arial"/>
                      <w:sz w:val="22"/>
                      <w:szCs w:val="22"/>
                    </w:rPr>
                    <m:t>f</m:t>
                  </m:r>
                </m:e>
                <m:sub>
                  <m:r>
                    <m:rPr>
                      <m:sty m:val="bi"/>
                    </m:rPr>
                    <w:rPr>
                      <w:rFonts w:ascii="Cambria Math" w:hAnsi="Cambria Math" w:cs="Arial"/>
                      <w:sz w:val="22"/>
                      <w:szCs w:val="22"/>
                    </w:rPr>
                    <m:t>h</m:t>
                  </m:r>
                </m:sub>
              </m:sSub>
              <m:r>
                <m:rPr>
                  <m:sty m:val="bi"/>
                </m:rPr>
                <w:rPr>
                  <w:rFonts w:ascii="Cambria Math" w:eastAsiaTheme="minorEastAsia" w:hAnsi="Cambria Math" w:cs="Arial"/>
                  <w:sz w:val="22"/>
                  <w:szCs w:val="22"/>
                </w:rPr>
                <m:t>)</m:t>
              </m:r>
            </m:oMath>
          </w:p>
        </w:tc>
        <w:tc>
          <w:tcPr>
            <w:tcW w:w="2076"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HIV -</w:t>
            </w:r>
            <w:proofErr w:type="spellStart"/>
            <w:r w:rsidRPr="005F5605">
              <w:rPr>
                <w:rFonts w:ascii="Arial" w:hAnsi="Arial" w:cs="Arial"/>
                <w:sz w:val="20"/>
                <w:szCs w:val="20"/>
              </w:rPr>
              <w:t>ve</w:t>
            </w:r>
            <w:proofErr w:type="spellEnd"/>
          </w:p>
        </w:tc>
        <w:tc>
          <w:tcPr>
            <w:tcW w:w="1074" w:type="dxa"/>
          </w:tcPr>
          <w:p w:rsidR="000623D8" w:rsidRPr="005F5605" w:rsidRDefault="005F5605"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0</m:t>
                    </m:r>
                  </m:sub>
                </m:sSub>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sz w:val="20"/>
                <w:szCs w:val="20"/>
              </w:rPr>
            </w:pPr>
            <w:r w:rsidRPr="005F5605">
              <w:rPr>
                <w:rFonts w:ascii="Arial" w:hAnsi="Arial" w:cs="Arial"/>
                <w:sz w:val="20"/>
                <w:szCs w:val="20"/>
              </w:rPr>
              <w:t>0.1 (0.05 -0.15)</w:t>
            </w:r>
          </w:p>
        </w:tc>
        <w:tc>
          <w:tcPr>
            <w:tcW w:w="2799"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sz w:val="20"/>
                <w:szCs w:val="20"/>
              </w:rPr>
            </w:pPr>
            <w:r w:rsidRPr="005F5605">
              <w:rPr>
                <w:rFonts w:ascii="Arial" w:hAnsi="Arial" w:cs="Arial"/>
                <w:sz w:val="20"/>
                <w:szCs w:val="20"/>
              </w:rPr>
              <w:t>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{"citationItems":[{"id":"ITEM-1","itemData":{"DOI":"10.1017/S0950268897007917","ISSN":"09502688","PMID":"9363017","abstract":"Many aspects of the natural history of tuberculosis are poorly understood. Though it is recognized that clinical tuberculosis may follow shortly after initial infection ('primary' disease), or many years thereafter through either endogenous reactivation or after reinfection, the relative importance of these mechanisms is often disputed. The issue is complicated by the fact that the risks of developing disease are age-dependent, and reflect infection risks which may change over time. This paper estimates the age-dependent risks of developing tuberculosis using an age-structured deterministic model of the dynamics of tuberculous infection and disease in England and Wales since 1900. The work extends the classical studies of Sutherland and colleagues. The best estimates of the risks of developing 'primary' disease (within 5 years of initial infection) were approximately 4%, 9% and 14% for individuals infected at ages 0-10, 15 years and over 20 years respectively, and a previous infection appeared to impart little protection against (further) reinfection, but 16-41% protection against disease subsequent to reinfection for adolescents and adults. We also provide evidence that reinfection made an important contribution to tuberculous morbidity in the past, as (i) exclusion of exogenous disease from the model considerably worsened the fit to observed notification rates, and (ii) the dramatic decline in the risk of tuberculous infection from 1950 in England and Wales accelerated the decline in morbidity among all individuals, even among the older age groups with a high prevalence of tuberculous infection. We conclude that the risk of infection is the single most important factor affecting the magnitude of the tuberculous morbidity in a population, as it determines both the age pattern of initial infection (and hence the risk of developing disease) and the risk of reinfection.","author":[{"dropping-particle":"","family":"Vynnycky","given":"E.","non-dropping-particle":"","parse-names":false,"suffix":""},{"dropping-particle":"","family":"Fine","given":"P. E.M.","non-dropping-particle":"","parse-names":false,"suffix":""}],"container-title":"Epidemiology and Infection","id":"ITEM-1","issued":{"date-parts":[["1997"]]},"title":"The natural history of tuberculosis: The implications of age-dependent risks of disease and the role of reinfection","type":"article-journal"},"uris":["http://www.mendeley.com/documents/?uuid=bf1a2bd4-9fb3-4d19-84d7-000aae7a7e9b"]}],"mendeley":{"formattedCitation":"&lt;sup&gt;48&lt;/sup&gt;","plainTextFormattedCitation":"48","previouslyFormattedCitation":"&lt;sup&gt;48&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48</w:t>
            </w:r>
            <w:r w:rsidRPr="005F5605">
              <w:rPr>
                <w:rFonts w:ascii="Arial" w:hAnsi="Arial" w:cs="Arial"/>
                <w:sz w:val="20"/>
                <w:szCs w:val="20"/>
              </w:rPr>
              <w:fldChar w:fldCharType="end"/>
            </w:r>
            <w:r w:rsidRPr="005F5605">
              <w:rPr>
                <w:rFonts w:ascii="Arial" w:hAnsi="Arial" w:cs="Arial"/>
                <w:color w:val="FF0000"/>
                <w:sz w:val="20"/>
                <w:szCs w:val="20"/>
              </w:rPr>
              <w:t xml:space="preserve"> </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1706" w:type="dxa"/>
            <w:vMerge/>
          </w:tcPr>
          <w:p w:rsidR="000623D8" w:rsidRPr="005F5605" w:rsidRDefault="000623D8" w:rsidP="000731FD">
            <w:pPr>
              <w:spacing w:before="60" w:after="60" w:line="312" w:lineRule="auto"/>
              <w:rPr>
                <w:rFonts w:ascii="Arial" w:hAnsi="Arial" w:cs="Arial"/>
                <w:b w:val="0"/>
                <w:bCs w:val="0"/>
                <w:sz w:val="20"/>
                <w:szCs w:val="20"/>
              </w:rPr>
            </w:pPr>
          </w:p>
        </w:tc>
        <w:tc>
          <w:tcPr>
            <w:tcW w:w="2076"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HIV +</w:t>
            </w:r>
            <w:proofErr w:type="spellStart"/>
            <w:r w:rsidRPr="005F5605">
              <w:rPr>
                <w:rFonts w:ascii="Arial" w:hAnsi="Arial" w:cs="Arial"/>
                <w:sz w:val="20"/>
                <w:szCs w:val="20"/>
              </w:rPr>
              <w:t>ve</w:t>
            </w:r>
            <w:proofErr w:type="spellEnd"/>
          </w:p>
        </w:tc>
        <w:tc>
          <w:tcPr>
            <w:tcW w:w="1074" w:type="dxa"/>
          </w:tcPr>
          <w:p w:rsidR="000623D8" w:rsidRPr="005F5605" w:rsidRDefault="005F5605"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i/>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1</m:t>
                    </m:r>
                  </m:sub>
                </m:sSub>
              </m:oMath>
            </m:oMathPara>
          </w:p>
        </w:tc>
        <w:tc>
          <w:tcPr>
            <w:tcW w:w="1890" w:type="dxa"/>
          </w:tcPr>
          <w:p w:rsidR="000623D8" w:rsidRPr="005F5605" w:rsidRDefault="005F5605"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m:oMathPara>
              <m:oMath>
                <m:sSub>
                  <m:sSubPr>
                    <m:ctrlPr>
                      <w:rPr>
                        <w:rFonts w:ascii="Cambria Math" w:hAnsi="Cambria Math" w:cs="Arial"/>
                        <w:i/>
                        <w:sz w:val="22"/>
                        <w:szCs w:val="22"/>
                      </w:rPr>
                    </m:ctrlPr>
                  </m:sSubPr>
                  <m:e>
                    <m:r>
                      <w:rPr>
                        <w:rFonts w:ascii="Cambria Math" w:hAnsi="Cambria Math" w:cs="Arial"/>
                        <w:sz w:val="22"/>
                        <w:szCs w:val="22"/>
                      </w:rPr>
                      <m:t>2.5* f</m:t>
                    </m:r>
                  </m:e>
                  <m:sub>
                    <m:r>
                      <w:rPr>
                        <w:rFonts w:ascii="Cambria Math" w:hAnsi="Cambria Math" w:cs="Arial"/>
                        <w:sz w:val="22"/>
                        <w:szCs w:val="22"/>
                      </w:rPr>
                      <m:t>0</m:t>
                    </m:r>
                  </m:sub>
                </m:sSub>
              </m:oMath>
            </m:oMathPara>
          </w:p>
        </w:tc>
        <w:tc>
          <w:tcPr>
            <w:tcW w:w="2799"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r w:rsidRPr="005F5605">
              <w:rPr>
                <w:rFonts w:ascii="Arial" w:hAnsi="Arial" w:cs="Arial"/>
                <w:sz w:val="20"/>
                <w:szCs w:val="20"/>
              </w:rPr>
              <w:t>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{"citationItems":[{"id":"ITEM-1","itemData":{"DOI":"10.1126/scitranslmed.3003815","ISSN":"19466234","abstract":"The emergence of highly drug-resistant tuberculosis (TB) and interactions between TB and HIV epidemics pose serious challenges for TB control. Previous researchers have presented several hypotheses for why HIV-coinfected TB patients may suffer an increased risk of drug-resistant TB (DRTB) compared to other TB patients. Although some studies have found a positive association between an individual's HIV status and his or her subsequent risk of multidrug-resistant TB (MDRTB), the observed individual-level relationship between HIV and DRTB varies substantially among settings. Here, we develop a modeling framework to explore the effect of HIV on the dynamics of DRTB. The model captures the acquisition of resistance to important classes of TB drugs, imposes fitness costs associated with resistance-conferring mutations, and allows for subsequent restoration of fitness because of compensatory mutations. Despite uncertainty in several key parameters, we demonstrate epidemic behavior that is robust over a range of assumptions. Whereas HIV facilitates the emergence of MDRTB within a community over several decades, HIV-seropositive individuals presenting with TB may, counterintuitively, be at lower risk of drug-resistant TB at early stages of the co-epidemic. This situation arises because many individuals with incident HIV infection will already harbor latent Mycobacterium tuberculosis infection acquired at an earlier time when drug resistance was less prevalent. We find that the rise of HIV can increase the prevalence of MDRTB within populations even as it lowers the average fitness of circulating MDRTB strains compared to similar populations unaffected by HIV. Preferential social mixing among individuals with similar HIV status and lower average CD4 counts among HIV-seropositive individuals further increase the expected burden of MDRTB. This model suggests that the individual-level association between HIV and drug-resistant forms of TB is dynamic, and therefore, cross-sectional studies that do not report a positive individual-level association will not provide assurance that HIV does not exacerbate the burden of resistant TB in the community.","author":[{"dropping-particle":"","family":"Sergeev","given":"Rinat","non-dropping-particle":"","parse-names":false,"suffix":""},{"dropping-particle":"","family":"Colijn","given":"Caroline","non-dropping-particle":"","parse-names":false,"suffix":""},{"dropping-particle":"","family":"Murray","given":"Megan","non-dropping-particle":"","parse-names":false,"suffix":""},{"dropping-particle":"","family":"Cohen","given":"Ted","non-dropping-particle":"","parse-names":false,"suffix":""}],"container-title":"Science Translational Medicine","id":"ITEM-1","issued":{"date-parts":[["2012"]]},"title":"Modeling the dynamic relationship between HIV and the risk of drug-resistant tuberculosis","type":"article-journal"},"uris":["http://www.mendeley.com/documents/?uuid=914da535-bfad-4f7c-a686-d6fd81d96784","http://www.mendeley.com/documents/?uuid=e71d0c98-a69a-437a-8f73-0c96624df0b5"]}],"mendeley":{"formattedCitation":"&lt;sup&gt;49&lt;/sup&gt;","plainTextFormattedCitation":"49","previouslyFormattedCitation":"&lt;sup&gt;49&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49</w:t>
            </w:r>
            <w:r w:rsidRPr="005F5605">
              <w:rPr>
                <w:rFonts w:ascii="Arial" w:hAnsi="Arial" w:cs="Arial"/>
                <w:sz w:val="20"/>
                <w:szCs w:val="20"/>
              </w:rPr>
              <w:fldChar w:fldCharType="end"/>
            </w:r>
            <w:r w:rsidRPr="005F5605">
              <w:rPr>
                <w:rFonts w:ascii="Arial" w:hAnsi="Arial" w:cs="Arial"/>
                <w:color w:val="FF0000"/>
                <w:sz w:val="20"/>
                <w:szCs w:val="20"/>
              </w:rPr>
              <w:t xml:space="preserve"> </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706" w:type="dxa"/>
            <w:vMerge w:val="restart"/>
          </w:tcPr>
          <w:p w:rsidR="000623D8" w:rsidRPr="005F5605" w:rsidRDefault="000623D8" w:rsidP="000731FD">
            <w:pPr>
              <w:spacing w:before="60" w:after="60" w:line="312" w:lineRule="auto"/>
              <w:rPr>
                <w:rFonts w:ascii="Arial" w:hAnsi="Arial" w:cs="Arial"/>
                <w:b w:val="0"/>
                <w:bCs w:val="0"/>
                <w:sz w:val="20"/>
                <w:szCs w:val="20"/>
              </w:rPr>
            </w:pPr>
            <w:r w:rsidRPr="005F5605">
              <w:rPr>
                <w:rFonts w:ascii="Arial" w:hAnsi="Arial" w:cs="Arial"/>
                <w:sz w:val="20"/>
                <w:szCs w:val="20"/>
              </w:rPr>
              <w:t xml:space="preserve">Rate of breakdown to imminent disease </w:t>
            </w:r>
            <m:oMath>
              <m:r>
                <m:rPr>
                  <m:sty m:val="bi"/>
                </m:rPr>
                <w:rPr>
                  <w:rFonts w:ascii="Cambria Math" w:hAnsi="Cambria Math" w:cs="Arial"/>
                  <w:sz w:val="22"/>
                  <w:szCs w:val="22"/>
                </w:rPr>
                <m:t>(</m:t>
              </m:r>
              <m:sSub>
                <m:sSubPr>
                  <m:ctrlPr>
                    <w:rPr>
                      <w:rFonts w:ascii="Cambria Math" w:hAnsi="Cambria Math" w:cs="Arial"/>
                      <w:i/>
                      <w:sz w:val="22"/>
                      <w:szCs w:val="22"/>
                    </w:rPr>
                  </m:ctrlPr>
                </m:sSubPr>
                <m:e>
                  <m:r>
                    <m:rPr>
                      <m:sty m:val="bi"/>
                    </m:rPr>
                    <w:rPr>
                      <w:rFonts w:ascii="Cambria Math" w:hAnsi="Cambria Math" w:cs="Arial"/>
                      <w:sz w:val="22"/>
                      <w:szCs w:val="22"/>
                    </w:rPr>
                    <m:t>g</m:t>
                  </m:r>
                </m:e>
                <m:sub>
                  <m:r>
                    <m:rPr>
                      <m:sty m:val="bi"/>
                    </m:rPr>
                    <w:rPr>
                      <w:rFonts w:ascii="Cambria Math" w:hAnsi="Cambria Math" w:cs="Arial"/>
                      <w:sz w:val="22"/>
                      <w:szCs w:val="22"/>
                    </w:rPr>
                    <m:t>h</m:t>
                  </m:r>
                </m:sub>
              </m:sSub>
              <m:r>
                <m:rPr>
                  <m:sty m:val="bi"/>
                </m:rPr>
                <w:rPr>
                  <w:rFonts w:ascii="Cambria Math" w:eastAsiaTheme="minorEastAsia" w:hAnsi="Cambria Math" w:cs="Arial"/>
                  <w:sz w:val="22"/>
                  <w:szCs w:val="22"/>
                </w:rPr>
                <m:t>)</m:t>
              </m:r>
            </m:oMath>
          </w:p>
        </w:tc>
        <w:tc>
          <w:tcPr>
            <w:tcW w:w="2076"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HIV -</w:t>
            </w:r>
            <w:proofErr w:type="spellStart"/>
            <w:r w:rsidRPr="005F5605">
              <w:rPr>
                <w:rFonts w:ascii="Arial" w:hAnsi="Arial" w:cs="Arial"/>
                <w:sz w:val="20"/>
                <w:szCs w:val="20"/>
              </w:rPr>
              <w:t>ve</w:t>
            </w:r>
            <w:proofErr w:type="spellEnd"/>
          </w:p>
        </w:tc>
        <w:tc>
          <w:tcPr>
            <w:tcW w:w="1074" w:type="dxa"/>
          </w:tcPr>
          <w:p w:rsidR="000623D8" w:rsidRPr="005F5605" w:rsidRDefault="005F5605"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g</m:t>
                    </m:r>
                  </m:e>
                  <m:sub>
                    <m:r>
                      <w:rPr>
                        <w:rFonts w:ascii="Cambria Math" w:hAnsi="Cambria Math" w:cs="Arial"/>
                        <w:sz w:val="22"/>
                        <w:szCs w:val="22"/>
                      </w:rPr>
                      <m:t>0</m:t>
                    </m:r>
                  </m:sub>
                </m:sSub>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sz w:val="20"/>
                <w:szCs w:val="20"/>
              </w:rPr>
            </w:pPr>
            <w:r w:rsidRPr="005F5605">
              <w:rPr>
                <w:rFonts w:ascii="Arial" w:hAnsi="Arial" w:cs="Arial"/>
                <w:sz w:val="20"/>
                <w:szCs w:val="20"/>
              </w:rPr>
              <w:t>0.0027 y</w:t>
            </w:r>
            <w:r w:rsidRPr="005F5605">
              <w:rPr>
                <w:rFonts w:ascii="Arial" w:hAnsi="Arial" w:cs="Arial"/>
                <w:sz w:val="20"/>
                <w:szCs w:val="20"/>
                <w:vertAlign w:val="superscript"/>
              </w:rPr>
              <w:t>-1</w:t>
            </w:r>
            <w:r w:rsidRPr="005F5605">
              <w:rPr>
                <w:rFonts w:ascii="Arial" w:hAnsi="Arial" w:cs="Arial"/>
                <w:sz w:val="20"/>
                <w:szCs w:val="20"/>
              </w:rPr>
              <w:t>(0.0005-0.005)</w:t>
            </w:r>
          </w:p>
        </w:tc>
        <w:tc>
          <w:tcPr>
            <w:tcW w:w="2799"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sz w:val="20"/>
                <w:szCs w:val="20"/>
              </w:rPr>
            </w:pPr>
            <w:r w:rsidRPr="005F5605">
              <w:rPr>
                <w:rFonts w:ascii="Arial" w:hAnsi="Arial" w:cs="Arial"/>
                <w:sz w:val="20"/>
                <w:szCs w:val="20"/>
              </w:rPr>
              <w:t>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{"citationItems":[{"id":"ITEM-1","itemData":{"DOI":"10.1164/rccm.200909-1355OC","ISSN":"1073449X","abstract":"Rationale: Reactivation tuberculosis (TB) occurs as a result of reactivation of latentTBinfection (LTBI),andwasreported to occur in the United States at a rate of 0.10 to 0.16 cases per 100 person-years in the 1950s; it has not been measured since. Objectives: To calculate the rate of reactivation TB in a U.S. community. Methods: A population-based tuberculin skin test survey for LTBI was performed in western Palm Beach County, Florida, from 1998 to 2000 along with a cluster analysis of TB case isolates in the same area from 1997 to 2001. Reactivation (unclustered) TB was presumed to have arisen from the population with LTBI. Measurements and Main Results: The rate of reactivation TB among persons with LTBI without HIV infection was 0.040 cases per 100 person-years (95% confidence interval [CI], 0.024-0.067) using then method and 0.058 cases per 100 person-years (95% CI, 0.038-0.089) using the n-1 method. HIV infection was the strongest risk factor for reactivation (rate ratio [RR], 57; 95% CI, 27-120; P &lt; 0.001). Among persons without HIV infection, reactivation was increased among those older than 50 years (RR, 3.8; 95% CI, 1.3-11) and among those born in the United States (RR, 3.2; 95% CI, 1.1-9.3). Conclusions: Rates of reactivation TB in this area have declined substantially since the 1950s. The greatest part of this decline may be attributed to the disappearance of old, healed TB in the population. If similar declines are seen in other areas of the United States, the cost-effectiveness of screening and treatment of LTBI may be substantially less than previously estimated.","author":[{"dropping-particle":"","family":"Horsburgh","given":"C. Robert","non-dropping-particle":"","parse-names":false,"suffix":""},{"dropping-particle":"","family":"O'Donnell","given":"Max","non-dropping-particle":"","parse-names":false,"suffix":""},{"dropping-particle":"","family":"Chamblee","given":"Sandra","non-dropping-particle":"","parse-names":false,"suffix":""},{"dropping-particle":"","family":"Moreland","given":"Janet L.","non-dropping-particle":"","parse-names":false,"suffix":""},{"dropping-particle":"","family":"Johnson","given":"Johnny","non-dropping-particle":"","parse-names":false,"suffix":""},{"dropping-particle":"","family":"Marsh","given":"Bryan J.","non-dropping-particle":"","parse-names":false,"suffix":""},{"dropping-particle":"","family":"Narita","given":"Masahiro","non-dropping-particle":"","parse-names":false,"suffix":""},{"dropping-particle":"","family":"Johnson","given":"Linda Scoles","non-dropping-particle":"","parse-names":false,"suffix":""},{"dropping-particle":"","family":"Reyn","given":"C. Fordham","non-dropping-particle":"Von","parse-names":false,"suffix":""}],"container-title":"American Journal of Respiratory and Critical Care Medicine","id":"ITEM-1","issued":{"date-parts":[["2010"]]},"title":"Revisiting rates of reactivation tuberculosis: A population-based approach","type":"article-journal"},"uris":["http://www.mendeley.com/documents/?uuid=0400fee6-f8d3-4f64-984d-f2ab64706c3b"]}],"mendeley":{"formattedCitation":"&lt;sup&gt;39&lt;/sup&gt;","plainTextFormattedCitation":"39","previouslyFormattedCitation":"&lt;sup&gt;39&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39</w:t>
            </w:r>
            <w:r w:rsidRPr="005F5605">
              <w:rPr>
                <w:rFonts w:ascii="Arial" w:hAnsi="Arial" w:cs="Arial"/>
                <w:sz w:val="20"/>
                <w:szCs w:val="20"/>
              </w:rPr>
              <w:fldChar w:fldCharType="end"/>
            </w:r>
            <w:r w:rsidRPr="005F5605">
              <w:rPr>
                <w:rFonts w:ascii="Arial" w:hAnsi="Arial" w:cs="Arial"/>
                <w:color w:val="FF0000"/>
                <w:sz w:val="20"/>
                <w:szCs w:val="20"/>
              </w:rPr>
              <w:t xml:space="preserve"> </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6" w:type="dxa"/>
            <w:vMerge/>
          </w:tcPr>
          <w:p w:rsidR="000623D8" w:rsidRPr="005F5605" w:rsidRDefault="000623D8" w:rsidP="000731FD">
            <w:pPr>
              <w:spacing w:before="60" w:after="60" w:line="312" w:lineRule="auto"/>
              <w:rPr>
                <w:rFonts w:ascii="Arial" w:hAnsi="Arial" w:cs="Arial"/>
                <w:b w:val="0"/>
                <w:bCs w:val="0"/>
                <w:sz w:val="20"/>
                <w:szCs w:val="20"/>
              </w:rPr>
            </w:pPr>
          </w:p>
        </w:tc>
        <w:tc>
          <w:tcPr>
            <w:tcW w:w="2076"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HIV +</w:t>
            </w:r>
            <w:proofErr w:type="spellStart"/>
            <w:r w:rsidRPr="005F5605">
              <w:rPr>
                <w:rFonts w:ascii="Arial" w:hAnsi="Arial" w:cs="Arial"/>
                <w:sz w:val="20"/>
                <w:szCs w:val="20"/>
              </w:rPr>
              <w:t>ve</w:t>
            </w:r>
            <w:proofErr w:type="spellEnd"/>
          </w:p>
        </w:tc>
        <w:tc>
          <w:tcPr>
            <w:tcW w:w="1074" w:type="dxa"/>
          </w:tcPr>
          <w:p w:rsidR="000623D8" w:rsidRPr="005F5605" w:rsidRDefault="005F5605"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i/>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g</m:t>
                    </m:r>
                  </m:e>
                  <m:sub>
                    <m:r>
                      <w:rPr>
                        <w:rFonts w:ascii="Cambria Math" w:hAnsi="Cambria Math" w:cs="Arial"/>
                        <w:sz w:val="22"/>
                        <w:szCs w:val="22"/>
                      </w:rPr>
                      <m:t>1</m:t>
                    </m:r>
                  </m:sub>
                </m:sSub>
              </m:oMath>
            </m:oMathPara>
          </w:p>
        </w:tc>
        <w:tc>
          <w:tcPr>
            <w:tcW w:w="1890" w:type="dxa"/>
          </w:tcPr>
          <w:p w:rsidR="000623D8" w:rsidRPr="005F5605" w:rsidRDefault="005F5605"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m:oMathPara>
              <m:oMath>
                <m:sSub>
                  <m:sSubPr>
                    <m:ctrlPr>
                      <w:rPr>
                        <w:rFonts w:ascii="Cambria Math" w:hAnsi="Cambria Math" w:cs="Arial"/>
                        <w:i/>
                        <w:sz w:val="22"/>
                        <w:szCs w:val="22"/>
                      </w:rPr>
                    </m:ctrlPr>
                  </m:sSubPr>
                  <m:e>
                    <m:r>
                      <w:rPr>
                        <w:rFonts w:ascii="Cambria Math" w:hAnsi="Cambria Math" w:cs="Arial"/>
                        <w:sz w:val="22"/>
                        <w:szCs w:val="22"/>
                      </w:rPr>
                      <m:t>23*g</m:t>
                    </m:r>
                  </m:e>
                  <m:sub>
                    <m:r>
                      <w:rPr>
                        <w:rFonts w:ascii="Cambria Math" w:hAnsi="Cambria Math" w:cs="Arial"/>
                        <w:sz w:val="22"/>
                        <w:szCs w:val="22"/>
                      </w:rPr>
                      <m:t>0</m:t>
                    </m:r>
                  </m:sub>
                </m:sSub>
              </m:oMath>
            </m:oMathPara>
          </w:p>
        </w:tc>
        <w:tc>
          <w:tcPr>
            <w:tcW w:w="2799"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r w:rsidRPr="005F5605">
              <w:rPr>
                <w:rFonts w:ascii="Arial" w:hAnsi="Arial" w:cs="Arial"/>
                <w:sz w:val="20"/>
                <w:szCs w:val="20"/>
              </w:rPr>
              <w:t>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{"citationItems":[{"id":"ITEM-1","itemData":{"DOI":"10.1164/rccm.200909-1355OC","ISSN":"1073449X","abstract":"Rationale: Reactivation tuberculosis (TB) occurs as a result of reactivation of latentTBinfection (LTBI),andwasreported to occur in the United States at a rate of 0.10 to 0.16 cases per 100 person-years in the 1950s; it has not been measured since. Objectives: To calculate the rate of reactivation TB in a U.S. community. Methods: A population-based tuberculin skin test survey for LTBI was performed in western Palm Beach County, Florida, from 1998 to 2000 along with a cluster analysis of TB case isolates in the same area from 1997 to 2001. Reactivation (unclustered) TB was presumed to have arisen from the population with LTBI. Measurements and Main Results: The rate of reactivation TB among persons with LTBI without HIV infection was 0.040 cases per 100 person-years (95% confidence interval [CI], 0.024-0.067) using then method and 0.058 cases per 100 person-years (95% CI, 0.038-0.089) using the n-1 method. HIV infection was the strongest risk factor for reactivation (rate ratio [RR], 57; 95% CI, 27-120; P &lt; 0.001). Among persons without HIV infection, reactivation was increased among those older than 50 years (RR, 3.8; 95% CI, 1.3-11) and among those born in the United States (RR, 3.2; 95% CI, 1.1-9.3). Conclusions: Rates of reactivation TB in this area have declined substantially since the 1950s. The greatest part of this decline may be attributed to the disappearance of old, healed TB in the population. If similar declines are seen in other areas of the United States, the cost-effectiveness of screening and treatment of LTBI may be substantially less than previously estimated.","author":[{"dropping-particle":"","family":"Horsburgh","given":"C. Robert","non-dropping-particle":"","parse-names":false,"suffix":""},{"dropping-particle":"","family":"O'Donnell","given":"Max","non-dropping-particle":"","parse-names":false,"suffix":""},{"dropping-particle":"","family":"Chamblee","given":"Sandra","non-dropping-particle":"","parse-names":false,"suffix":""},{"dropping-particle":"","family":"Moreland","given":"Janet L.","non-dropping-particle":"","parse-names":false,"suffix":""},{"dropping-particle":"","family":"Johnson","given":"Johnny","non-dropping-particle":"","parse-names":false,"suffix":""},{"dropping-particle":"","family":"Marsh","given":"Bryan J.","non-dropping-particle":"","parse-names":false,"suffix":""},{"dropping-particle":"","family":"Narita","given":"Masahiro","non-dropping-particle":"","parse-names":false,"suffix":""},{"dropping-particle":"","family":"Johnson","given":"Linda Scoles","non-dropping-particle":"","parse-names":false,"suffix":""},{"dropping-particle":"","family":"Reyn","given":"C. Fordham","non-dropping-particle":"Von","parse-names":false,"suffix":""}],"container-title":"American Journal of Respiratory and Critical Care Medicine","id":"ITEM-1","issued":{"date-parts":[["2010"]]},"title":"Revisiting rates of reactivation tuberculosis: A population-based approach","type":"article-journal"},"uris":["http://www.mendeley.com/documents/?uuid=0400fee6-f8d3-4f64-984d-f2ab64706c3b"]}],"mendeley":{"formattedCitation":"&lt;sup&gt;39&lt;/sup&gt;","plainTextFormattedCitation":"39","previouslyFormattedCitation":"&lt;sup&gt;39&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39</w:t>
            </w:r>
            <w:r w:rsidRPr="005F5605">
              <w:rPr>
                <w:rFonts w:ascii="Arial" w:hAnsi="Arial" w:cs="Arial"/>
                <w:sz w:val="20"/>
                <w:szCs w:val="20"/>
              </w:rPr>
              <w:fldChar w:fldCharType="end"/>
            </w:r>
            <w:r w:rsidRPr="005F5605">
              <w:rPr>
                <w:rFonts w:ascii="Arial" w:hAnsi="Arial" w:cs="Arial"/>
                <w:color w:val="FF0000"/>
                <w:sz w:val="20"/>
                <w:szCs w:val="20"/>
              </w:rPr>
              <w:t xml:space="preserve"> </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3782" w:type="dxa"/>
            <w:gridSpan w:val="3"/>
            <w:vAlign w:val="center"/>
          </w:tcPr>
          <w:p w:rsidR="000623D8" w:rsidRPr="005F5605" w:rsidRDefault="000623D8" w:rsidP="000731FD">
            <w:pPr>
              <w:spacing w:before="60" w:after="60" w:line="312" w:lineRule="auto"/>
              <w:rPr>
                <w:rFonts w:ascii="Arial" w:hAnsi="Arial" w:cs="Arial"/>
                <w:color w:val="000000" w:themeColor="text1"/>
                <w:sz w:val="20"/>
                <w:szCs w:val="20"/>
              </w:rPr>
            </w:pPr>
            <w:r w:rsidRPr="005F5605">
              <w:rPr>
                <w:rFonts w:ascii="Arial" w:hAnsi="Arial" w:cs="Arial"/>
                <w:color w:val="000000" w:themeColor="text1"/>
                <w:sz w:val="20"/>
                <w:szCs w:val="20"/>
              </w:rPr>
              <w:t>Per-capita hazard of progression from ‘imminent TB’ compartment to active disease</w:t>
            </w:r>
          </w:p>
        </w:tc>
        <w:tc>
          <w:tcPr>
            <w:tcW w:w="1074" w:type="dxa"/>
            <w:vAlign w:val="center"/>
          </w:tcPr>
          <w:p w:rsidR="000623D8" w:rsidRPr="005F5605" w:rsidRDefault="000623D8"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0000" w:themeColor="text1"/>
                <w:sz w:val="22"/>
                <w:szCs w:val="22"/>
              </w:rPr>
            </w:pPr>
            <w:r w:rsidRPr="005F5605">
              <w:rPr>
                <w:rFonts w:ascii="Arial" w:hAnsi="Arial" w:cs="Arial"/>
                <w:i/>
                <w:color w:val="000000" w:themeColor="text1"/>
                <w:sz w:val="22"/>
                <w:szCs w:val="22"/>
              </w:rPr>
              <w:t>h</w:t>
            </w:r>
          </w:p>
        </w:tc>
        <w:tc>
          <w:tcPr>
            <w:tcW w:w="1890" w:type="dxa"/>
            <w:vAlign w:val="center"/>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F5605">
              <w:rPr>
                <w:rFonts w:ascii="Arial" w:hAnsi="Arial" w:cs="Arial"/>
                <w:color w:val="000000" w:themeColor="text1"/>
                <w:sz w:val="20"/>
                <w:szCs w:val="20"/>
              </w:rPr>
              <w:t>0.5</w:t>
            </w:r>
          </w:p>
        </w:tc>
        <w:tc>
          <w:tcPr>
            <w:tcW w:w="2799" w:type="dxa"/>
            <w:gridSpan w:val="2"/>
            <w:vAlign w:val="center"/>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F5605">
              <w:rPr>
                <w:rFonts w:ascii="Arial" w:hAnsi="Arial" w:cs="Arial"/>
                <w:color w:val="000000" w:themeColor="text1"/>
                <w:sz w:val="18"/>
                <w:szCs w:val="18"/>
              </w:rPr>
              <w:t>Follows from definition of ‘imminent’ disease as those at risk of developing disease within 2 years</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Per-capita relapse rate</w:t>
            </w:r>
          </w:p>
        </w:tc>
        <w:tc>
          <w:tcPr>
            <w:tcW w:w="1074" w:type="dxa"/>
          </w:tcPr>
          <w:p w:rsidR="000623D8" w:rsidRPr="005F5605" w:rsidRDefault="000623D8"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i/>
                <w:sz w:val="22"/>
                <w:szCs w:val="22"/>
              </w:rPr>
            </w:pPr>
            <m:oMathPara>
              <m:oMath>
                <m:r>
                  <w:rPr>
                    <w:rFonts w:ascii="Cambria Math" w:hAnsi="Cambria Math" w:cs="Arial"/>
                    <w:sz w:val="22"/>
                    <w:szCs w:val="22"/>
                  </w:rPr>
                  <m:t>ρ</m:t>
                </m:r>
              </m:oMath>
            </m:oMathPara>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0.0017 y-1</w:t>
            </w:r>
          </w:p>
        </w:tc>
        <w:tc>
          <w:tcPr>
            <w:tcW w:w="2799"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Corresponding to 10% lifetime risk</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{"citationItems":[{"id":"ITEM-1","itemData":{"DOI":"10.1590/S0042-96862005000500020","abstract":"The purpose of this study was to assess the effect of a clinical pharmacist-directed patient education program on the therapy adherence of first-time tuberculosis (TB) patients and to identify the major pharmaceutical care needs and issues of first-time TB and multidrug-resistant (MDR)-TB patients.","container-title":"Bulletin of the World Health Organization","id":"ITEM-1","issued":{"date-parts":[["2005"]]},"title":"Toman's tuberculosis: case detection, treatment, and monitoring.","type":"article-journal"},"uris":["http://www.mendeley.com/documents/?uuid=9c935595-e002-479c-82f8-7232afd693a0","http://www.mendeley.com/documents/?uuid=0105bdab-1818-4236-a44b-533f1469843a"]},{"id":"ITEM-2","itemData":{"DOI":"10.1086/323784","ISSN":"1058-4838","abstract":"The optimal duration of tuberculosis treatment for persons infected with human immunodeficiency virus (HIV) has been debated. A cohort of 4571 culture-positive drug-susceptible patients who received &gt; or =24 weeks of standard 4-drug tuberculosis treatment were assessed to determine the incidence of tuberculosis relapse. Tuberculosis \"recurrence\" was defined as having a positive culture &lt; 30 days after the last treatment date and \"relapse\" as having a positive culture &gt; or =30 days after the last treatment. Patients infected with HIV were more likely than those who were uninfected to have recurrence or relapse (2.0 vs. 0.4 per 100 person-years, P&lt; .001). Patients infected with HIV who received &lt; or =36 weeks of treatment were more likely than those who received &gt; 36 weeks to have a recurrence (7.9% vs. 1.4%, P&lt; .001). Clinicians should be aware of the possibility of recurrence of tuberculosis 6-9 months after the start of treatment. Sputum evaluation to ensure cure or assessment 3 months after completion of treatment should be performed among persons infected with HIV who receive the shorter regimen.","author":[{"dropping-particle":"","family":"Driver","given":"Cynthia R.","non-dropping-particle":"","parse-names":false,"suffix":""},{"dropping-particle":"","family":"Munsiff","given":"Sonal S.","non-dropping-particle":"","parse-names":false,"suffix":""},{"dropping-particle":"","family":"Li","given":"Jiehui","non-dropping-particle":"","parse-names":false,"suffix":""},{"dropping-particle":"","family":"Kundamal","given":"Nicole","non-dropping-particle":"","parse-names":false,"suffix":""},{"dropping-particle":"","family":"Osahan","given":"Sukhminder S.","non-dropping-particle":"","parse-names":false,"suffix":""}],"container-title":"Clinical Infectious Diseases","id":"ITEM-2","issued":{"date-parts":[["2001"]]},"title":"Relapse in Persons Treated for Drug</w:instrText>
            </w:r>
            <w:r w:rsidRPr="005F5605">
              <w:rPr>
                <w:rFonts w:ascii="Cambria Math" w:hAnsi="Cambria Math" w:cs="Cambria Math"/>
                <w:sz w:val="20"/>
                <w:szCs w:val="20"/>
              </w:rPr>
              <w:instrText>‐</w:instrText>
            </w:r>
            <w:r w:rsidRPr="005F5605">
              <w:rPr>
                <w:rFonts w:ascii="Arial" w:hAnsi="Arial" w:cs="Arial"/>
                <w:sz w:val="20"/>
                <w:szCs w:val="20"/>
              </w:rPr>
              <w:instrText>Susceptible Tuberculosis in a Population with High Coinfection with Human Immunodeficiency Virus in New York City","type":"article-journal"},"uris":["http://www.mendeley.com/documents/?uuid=23609667-d212-44f5-a82d-7e7dbfd99358"]}],"mendeley":{"formattedCitation":"&lt;sup&gt;40,41&lt;/sup&gt;","plainTextFormattedCitation":"40,41","previouslyFormattedCitation":"&lt;sup&gt;40,41&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40,41</w:t>
            </w:r>
            <w:r w:rsidRPr="005F5605">
              <w:rPr>
                <w:rFonts w:ascii="Arial" w:hAnsi="Arial" w:cs="Arial"/>
                <w:sz w:val="20"/>
                <w:szCs w:val="20"/>
              </w:rPr>
              <w:fldChar w:fldCharType="end"/>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Per-capita rate of self-cure, active TB</w:t>
            </w:r>
          </w:p>
        </w:tc>
        <w:tc>
          <w:tcPr>
            <w:tcW w:w="1074" w:type="dxa"/>
          </w:tcPr>
          <w:p w:rsidR="000623D8" w:rsidRPr="005F5605" w:rsidRDefault="000623D8"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sz w:val="22"/>
                <w:szCs w:val="22"/>
              </w:rPr>
            </w:pPr>
            <m:oMathPara>
              <m:oMathParaPr>
                <m:jc m:val="center"/>
              </m:oMathParaPr>
              <m:oMath>
                <m:r>
                  <w:rPr>
                    <w:rFonts w:ascii="Cambria Math" w:hAnsi="Cambria Math" w:cs="Arial"/>
                    <w:sz w:val="22"/>
                    <w:szCs w:val="22"/>
                  </w:rPr>
                  <m:t>σ</m:t>
                </m:r>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0.166 y-1</w:t>
            </w:r>
          </w:p>
        </w:tc>
        <w:tc>
          <w:tcPr>
            <w:tcW w:w="2799" w:type="dxa"/>
            <w:gridSpan w:val="2"/>
            <w:vMerge w:val="restart"/>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F5605">
              <w:rPr>
                <w:rFonts w:ascii="Arial" w:hAnsi="Arial" w:cs="Arial"/>
                <w:sz w:val="18"/>
                <w:szCs w:val="18"/>
              </w:rPr>
              <w:t xml:space="preserve">Together corresponds to 50% spontaneous cure, 50% mortality in average of 3 years 15 </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lastRenderedPageBreak/>
              <w:t>Per-capita mortality hazard rate, active TB</w:t>
            </w:r>
          </w:p>
        </w:tc>
        <w:tc>
          <w:tcPr>
            <w:tcW w:w="1074" w:type="dxa"/>
          </w:tcPr>
          <w:p w:rsidR="000623D8" w:rsidRPr="005F5605" w:rsidRDefault="005F5605"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i/>
                <w:sz w:val="22"/>
                <w:szCs w:val="22"/>
              </w:rPr>
            </w:pPr>
            <m:oMathPara>
              <m:oMathParaPr>
                <m:jc m:val="center"/>
              </m:oMathParaPr>
              <m:oMath>
                <m:sSub>
                  <m:sSubPr>
                    <m:ctrlPr>
                      <w:rPr>
                        <w:rFonts w:ascii="Cambria Math" w:hAnsi="Cambria Math" w:cs="Arial"/>
                        <w:i/>
                        <w:sz w:val="22"/>
                        <w:szCs w:val="22"/>
                      </w:rPr>
                    </m:ctrlPr>
                  </m:sSubPr>
                  <m:e>
                    <m:r>
                      <w:rPr>
                        <w:rFonts w:ascii="Cambria Math" w:hAnsi="Cambria Math" w:cs="Arial"/>
                        <w:sz w:val="22"/>
                        <w:szCs w:val="22"/>
                      </w:rPr>
                      <m:t>μ</m:t>
                    </m:r>
                  </m:e>
                  <m:sub>
                    <m:r>
                      <w:rPr>
                        <w:rFonts w:ascii="Cambria Math" w:hAnsi="Cambria Math" w:cs="Arial"/>
                        <w:sz w:val="22"/>
                        <w:szCs w:val="22"/>
                      </w:rPr>
                      <m:t>TB</m:t>
                    </m:r>
                  </m:sub>
                </m:sSub>
              </m:oMath>
            </m:oMathPara>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0.166 y-1</w:t>
            </w:r>
          </w:p>
        </w:tc>
        <w:tc>
          <w:tcPr>
            <w:tcW w:w="2799" w:type="dxa"/>
            <w:gridSpan w:val="2"/>
            <w:vMerge/>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9545" w:type="dxa"/>
            <w:gridSpan w:val="7"/>
          </w:tcPr>
          <w:p w:rsidR="000623D8" w:rsidRPr="005F5605" w:rsidRDefault="000623D8" w:rsidP="000731FD">
            <w:pPr>
              <w:spacing w:before="60" w:after="60" w:line="312" w:lineRule="auto"/>
              <w:rPr>
                <w:rFonts w:ascii="Arial" w:hAnsi="Arial" w:cs="Arial"/>
                <w:sz w:val="10"/>
                <w:szCs w:val="10"/>
                <w:u w:val="single"/>
              </w:rPr>
            </w:pPr>
          </w:p>
          <w:p w:rsidR="000623D8" w:rsidRPr="005F5605" w:rsidRDefault="000623D8" w:rsidP="000731FD">
            <w:pPr>
              <w:spacing w:before="60" w:after="60" w:line="312" w:lineRule="auto"/>
              <w:rPr>
                <w:rFonts w:ascii="Arial" w:hAnsi="Arial" w:cs="Arial"/>
                <w:i/>
                <w:iCs/>
                <w:sz w:val="20"/>
                <w:szCs w:val="20"/>
              </w:rPr>
            </w:pPr>
            <w:r w:rsidRPr="005F5605">
              <w:rPr>
                <w:rFonts w:ascii="Arial" w:hAnsi="Arial" w:cs="Arial"/>
                <w:i/>
                <w:iCs/>
                <w:sz w:val="20"/>
                <w:szCs w:val="20"/>
                <w:u w:val="single"/>
              </w:rPr>
              <w:t>Care cascade parameters, first-line</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Per-capita rate of first presentation to a provider following onset of symptoms</w:t>
            </w:r>
          </w:p>
        </w:tc>
        <w:tc>
          <w:tcPr>
            <w:tcW w:w="1074" w:type="dxa"/>
          </w:tcPr>
          <w:p w:rsidR="000623D8" w:rsidRPr="005F5605" w:rsidRDefault="000623D8"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i/>
                <w:sz w:val="22"/>
                <w:szCs w:val="22"/>
              </w:rPr>
            </w:pPr>
            <w:r w:rsidRPr="005F5605">
              <w:rPr>
                <w:rFonts w:ascii="Arial" w:hAnsi="Arial" w:cs="Arial"/>
                <w:i/>
                <w:sz w:val="22"/>
                <w:szCs w:val="22"/>
              </w:rPr>
              <w:t>c</w:t>
            </w:r>
          </w:p>
        </w:tc>
        <w:tc>
          <w:tcPr>
            <w:tcW w:w="4689" w:type="dxa"/>
            <w:gridSpan w:val="3"/>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Governs the initial patient delay: calibrated together with </w:t>
            </w:r>
            <m:oMath>
              <m:r>
                <w:rPr>
                  <w:rFonts w:ascii="Cambria Math" w:hAnsi="Cambria Math" w:cs="Arial"/>
                  <w:sz w:val="20"/>
                  <w:szCs w:val="20"/>
                </w:rPr>
                <m:t xml:space="preserve">β, </m:t>
              </m:r>
              <m:sSub>
                <m:sSubPr>
                  <m:ctrlPr>
                    <w:rPr>
                      <w:rFonts w:ascii="Cambria Math" w:hAnsi="Cambria Math" w:cs="Arial"/>
                      <w:i/>
                      <w:sz w:val="20"/>
                      <w:szCs w:val="20"/>
                    </w:rPr>
                  </m:ctrlPr>
                </m:sSubPr>
                <m:e>
                  <m:r>
                    <w:rPr>
                      <w:rFonts w:ascii="Cambria Math" w:hAnsi="Cambria Math" w:cs="Arial"/>
                      <w:sz w:val="20"/>
                      <w:szCs w:val="20"/>
                    </w:rPr>
                    <m:t>β</m:t>
                  </m:r>
                </m:e>
                <m:sub>
                  <m:r>
                    <w:rPr>
                      <w:rFonts w:ascii="Cambria Math" w:hAnsi="Cambria Math" w:cs="Arial"/>
                      <w:sz w:val="20"/>
                      <w:szCs w:val="20"/>
                    </w:rPr>
                    <m:t>MDR</m:t>
                  </m:r>
                </m:sub>
              </m:sSub>
              <m:r>
                <w:rPr>
                  <w:rFonts w:ascii="Cambria Math" w:hAnsi="Cambria Math" w:cs="Arial"/>
                  <w:sz w:val="20"/>
                  <w:szCs w:val="20"/>
                </w:rPr>
                <m:t xml:space="preserve"> </m:t>
              </m:r>
            </m:oMath>
            <w:r w:rsidRPr="005F5605">
              <w:rPr>
                <w:rFonts w:ascii="Arial" w:hAnsi="Arial" w:cs="Arial"/>
                <w:sz w:val="20"/>
                <w:szCs w:val="20"/>
              </w:rPr>
              <w:t>to yield incidence and prevalence (see table S4)</w:t>
            </w:r>
          </w:p>
        </w:tc>
      </w:tr>
      <w:tr w:rsidR="000623D8" w:rsidRPr="005F5605" w:rsidTr="000731FD">
        <w:trPr>
          <w:trHeight w:val="882"/>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Probability that a TB patient visits a provider of type </w:t>
            </w:r>
            <w:r w:rsidRPr="005F5605">
              <w:rPr>
                <w:rFonts w:ascii="Arial" w:hAnsi="Arial" w:cs="Arial"/>
                <w:i/>
                <w:iCs/>
                <w:sz w:val="20"/>
                <w:szCs w:val="20"/>
              </w:rPr>
              <w:t xml:space="preserve">q, </w:t>
            </w:r>
            <w:r w:rsidRPr="005F5605">
              <w:rPr>
                <w:rFonts w:ascii="Arial" w:hAnsi="Arial" w:cs="Arial"/>
                <w:sz w:val="20"/>
                <w:szCs w:val="20"/>
              </w:rPr>
              <w:t xml:space="preserve">per </w:t>
            </w:r>
            <w:proofErr w:type="spellStart"/>
            <w:r w:rsidRPr="005F5605">
              <w:rPr>
                <w:rFonts w:ascii="Arial" w:hAnsi="Arial" w:cs="Arial"/>
                <w:sz w:val="20"/>
                <w:szCs w:val="20"/>
              </w:rPr>
              <w:t>careseeking</w:t>
            </w:r>
            <w:proofErr w:type="spellEnd"/>
            <w:r w:rsidRPr="005F5605">
              <w:rPr>
                <w:rFonts w:ascii="Arial" w:hAnsi="Arial" w:cs="Arial"/>
                <w:sz w:val="20"/>
                <w:szCs w:val="20"/>
              </w:rPr>
              <w:t xml:space="preserve"> attempt</w:t>
            </w:r>
          </w:p>
        </w:tc>
        <w:tc>
          <w:tcPr>
            <w:tcW w:w="1074" w:type="dxa"/>
          </w:tcPr>
          <w:p w:rsidR="000623D8" w:rsidRPr="005F5605" w:rsidRDefault="005F5605" w:rsidP="000731FD">
            <w:pPr>
              <w:widowControl w:val="0"/>
              <w:tabs>
                <w:tab w:val="left" w:pos="480"/>
              </w:tabs>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rFonts w:ascii="Arial" w:eastAsia="DengXian" w:hAnsi="Arial" w:cs="Arial"/>
                <w:sz w:val="22"/>
                <w:szCs w:val="22"/>
              </w:rPr>
            </w:pPr>
            <m:oMathPara>
              <m:oMath>
                <m:sSub>
                  <m:sSubPr>
                    <m:ctrlPr>
                      <w:rPr>
                        <w:rFonts w:ascii="Cambria Math" w:eastAsia="DengXian" w:hAnsi="Cambria Math" w:cs="Arial"/>
                        <w:i/>
                        <w:sz w:val="22"/>
                        <w:szCs w:val="22"/>
                      </w:rPr>
                    </m:ctrlPr>
                  </m:sSubPr>
                  <m:e>
                    <m:r>
                      <w:rPr>
                        <w:rFonts w:ascii="Cambria Math" w:eastAsia="DengXian" w:hAnsi="Cambria Math" w:cs="Arial"/>
                        <w:sz w:val="22"/>
                        <w:szCs w:val="22"/>
                      </w:rPr>
                      <m:t>p</m:t>
                    </m:r>
                  </m:e>
                  <m:sub>
                    <m:r>
                      <w:rPr>
                        <w:rFonts w:ascii="Cambria Math" w:eastAsia="DengXian" w:hAnsi="Cambria Math" w:cs="Arial"/>
                        <w:sz w:val="22"/>
                        <w:szCs w:val="22"/>
                      </w:rPr>
                      <m:t>q</m:t>
                    </m:r>
                  </m:sub>
                </m:sSub>
                <m:r>
                  <w:rPr>
                    <w:rFonts w:ascii="Cambria Math" w:eastAsia="DengXian" w:hAnsi="Cambria Math" w:cs="Arial"/>
                    <w:sz w:val="22"/>
                    <w:szCs w:val="22"/>
                  </w:rPr>
                  <m:t xml:space="preserve"> </m:t>
                </m:r>
              </m:oMath>
            </m:oMathPara>
          </w:p>
        </w:tc>
        <w:tc>
          <w:tcPr>
            <w:tcW w:w="4689" w:type="dxa"/>
            <w:gridSpan w:val="3"/>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Calibrated for simulated treatment initiations to match reported notifications (see table S4)</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Per-capita rate of offering a diagnosis</w:t>
            </w:r>
          </w:p>
        </w:tc>
        <w:tc>
          <w:tcPr>
            <w:tcW w:w="1074" w:type="dxa"/>
          </w:tcPr>
          <w:p w:rsidR="000623D8" w:rsidRPr="005F5605" w:rsidRDefault="000623D8" w:rsidP="000731FD">
            <w:pPr>
              <w:widowControl w:val="0"/>
              <w:tabs>
                <w:tab w:val="left" w:pos="480"/>
              </w:tabs>
              <w:autoSpaceDE w:val="0"/>
              <w:autoSpaceDN w:val="0"/>
              <w:adjustRightInd w:val="0"/>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DengXian" w:hAnsi="Arial" w:cs="Arial"/>
                <w:i/>
                <w:iCs/>
                <w:sz w:val="22"/>
                <w:szCs w:val="22"/>
              </w:rPr>
            </w:pPr>
            <w:r w:rsidRPr="005F5605">
              <w:rPr>
                <w:rFonts w:ascii="Arial" w:eastAsia="DengXian" w:hAnsi="Arial" w:cs="Arial"/>
                <w:i/>
                <w:iCs/>
                <w:sz w:val="22"/>
                <w:szCs w:val="22"/>
              </w:rPr>
              <w:t>d</w:t>
            </w:r>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52 y</w:t>
            </w:r>
            <w:r w:rsidRPr="005F5605">
              <w:rPr>
                <w:rFonts w:ascii="Arial" w:hAnsi="Arial" w:cs="Arial"/>
                <w:sz w:val="20"/>
                <w:szCs w:val="20"/>
                <w:vertAlign w:val="superscript"/>
              </w:rPr>
              <w:t>-1</w:t>
            </w:r>
          </w:p>
        </w:tc>
        <w:tc>
          <w:tcPr>
            <w:tcW w:w="2799"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18"/>
                <w:szCs w:val="18"/>
              </w:rPr>
              <w:t>Assumption: corresponds to an average of 1 week to arrive at a diagnosis</w:t>
            </w:r>
          </w:p>
        </w:tc>
      </w:tr>
      <w:tr w:rsidR="000623D8" w:rsidRPr="005F5605" w:rsidTr="000731FD">
        <w:trPr>
          <w:trHeight w:val="882"/>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Probability of successful diagnosis and treatment initiation with provider type </w:t>
            </w:r>
            <w:r w:rsidRPr="005F5605">
              <w:rPr>
                <w:rFonts w:ascii="Arial" w:hAnsi="Arial" w:cs="Arial"/>
                <w:i/>
                <w:iCs/>
                <w:sz w:val="20"/>
                <w:szCs w:val="20"/>
              </w:rPr>
              <w:t>q</w:t>
            </w:r>
          </w:p>
        </w:tc>
        <w:tc>
          <w:tcPr>
            <w:tcW w:w="1074" w:type="dxa"/>
          </w:tcPr>
          <w:p w:rsidR="000623D8" w:rsidRPr="005F5605" w:rsidRDefault="005F5605" w:rsidP="000731FD">
            <w:pPr>
              <w:widowControl w:val="0"/>
              <w:tabs>
                <w:tab w:val="left" w:pos="480"/>
              </w:tabs>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rFonts w:ascii="Arial" w:eastAsia="DengXian" w:hAnsi="Arial" w:cs="Arial"/>
                <w:sz w:val="20"/>
                <w:szCs w:val="20"/>
              </w:rPr>
            </w:pPr>
            <m:oMathPara>
              <m:oMath>
                <m:sSub>
                  <m:sSubPr>
                    <m:ctrlPr>
                      <w:rPr>
                        <w:rFonts w:ascii="Cambria Math" w:eastAsia="DengXian" w:hAnsi="Cambria Math" w:cs="Arial"/>
                        <w:i/>
                        <w:sz w:val="20"/>
                        <w:szCs w:val="20"/>
                      </w:rPr>
                    </m:ctrlPr>
                  </m:sSubPr>
                  <m:e>
                    <m:r>
                      <w:rPr>
                        <w:rFonts w:ascii="Cambria Math" w:eastAsia="DengXian" w:hAnsi="Cambria Math" w:cs="Arial"/>
                        <w:sz w:val="20"/>
                        <w:szCs w:val="20"/>
                      </w:rPr>
                      <m:t>u</m:t>
                    </m:r>
                  </m:e>
                  <m:sub>
                    <m:r>
                      <w:rPr>
                        <w:rFonts w:ascii="Cambria Math" w:eastAsia="DengXian" w:hAnsi="Cambria Math" w:cs="Arial"/>
                        <w:sz w:val="20"/>
                        <w:szCs w:val="20"/>
                      </w:rPr>
                      <m:t>q</m:t>
                    </m:r>
                  </m:sub>
                </m:sSub>
                <m:r>
                  <w:rPr>
                    <w:rFonts w:ascii="Cambria Math" w:eastAsia="DengXian" w:hAnsi="Cambria Math" w:cs="Arial"/>
                    <w:sz w:val="20"/>
                    <w:szCs w:val="20"/>
                  </w:rPr>
                  <m:t xml:space="preserve"> </m:t>
                </m:r>
              </m:oMath>
            </m:oMathPara>
          </w:p>
        </w:tc>
        <w:tc>
          <w:tcPr>
            <w:tcW w:w="4689" w:type="dxa"/>
            <w:gridSpan w:val="3"/>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Calculated using </w:t>
            </w:r>
            <m:oMath>
              <m:sSub>
                <m:sSubPr>
                  <m:ctrlPr>
                    <w:rPr>
                      <w:rFonts w:ascii="Cambria Math" w:hAnsi="Cambria Math" w:cs="Arial"/>
                      <w:i/>
                      <w:sz w:val="20"/>
                      <w:szCs w:val="20"/>
                    </w:rPr>
                  </m:ctrlPr>
                </m:sSubPr>
                <m:e>
                  <m:r>
                    <w:rPr>
                      <w:rFonts w:ascii="Cambria Math" w:hAnsi="Cambria Math" w:cs="Arial"/>
                      <w:sz w:val="20"/>
                      <w:szCs w:val="20"/>
                    </w:rPr>
                    <m:t>u</m:t>
                  </m:r>
                </m:e>
                <m:sub>
                  <m:r>
                    <w:rPr>
                      <w:rFonts w:ascii="Cambria Math" w:hAnsi="Cambria Math" w:cs="Arial"/>
                      <w:sz w:val="20"/>
                      <w:szCs w:val="20"/>
                    </w:rPr>
                    <m:t>q</m:t>
                  </m:r>
                </m:sub>
              </m:sSub>
              <m:r>
                <w:rPr>
                  <w:rFonts w:ascii="Cambria Math" w:hAnsi="Cambria Math" w:cs="Arial"/>
                  <w:sz w:val="20"/>
                  <w:szCs w:val="20"/>
                </w:rPr>
                <m:t>=</m:t>
              </m:r>
              <m:sSubSup>
                <m:sSubSupPr>
                  <m:ctrlPr>
                    <w:rPr>
                      <w:rFonts w:ascii="Cambria Math" w:hAnsi="Cambria Math" w:cs="Arial"/>
                      <w:i/>
                      <w:sz w:val="20"/>
                      <w:szCs w:val="20"/>
                    </w:rPr>
                  </m:ctrlPr>
                </m:sSubSupPr>
                <m:e>
                  <m:r>
                    <w:rPr>
                      <w:rFonts w:ascii="Cambria Math" w:hAnsi="Cambria Math" w:cs="Arial"/>
                      <w:sz w:val="20"/>
                      <w:szCs w:val="20"/>
                    </w:rPr>
                    <m:t>p</m:t>
                  </m:r>
                </m:e>
                <m:sub>
                  <m:r>
                    <w:rPr>
                      <w:rFonts w:ascii="Cambria Math" w:hAnsi="Cambria Math" w:cs="Arial"/>
                      <w:sz w:val="20"/>
                      <w:szCs w:val="20"/>
                    </w:rPr>
                    <m:t>q</m:t>
                  </m:r>
                </m:sub>
                <m:sup>
                  <m:d>
                    <m:dPr>
                      <m:ctrlPr>
                        <w:rPr>
                          <w:rFonts w:ascii="Cambria Math" w:hAnsi="Cambria Math" w:cs="Arial"/>
                          <w:i/>
                          <w:sz w:val="20"/>
                          <w:szCs w:val="20"/>
                        </w:rPr>
                      </m:ctrlPr>
                    </m:dPr>
                    <m:e>
                      <m:r>
                        <w:rPr>
                          <w:rFonts w:ascii="Cambria Math" w:hAnsi="Cambria Math" w:cs="Arial"/>
                          <w:sz w:val="20"/>
                          <w:szCs w:val="20"/>
                        </w:rPr>
                        <m:t>Dx</m:t>
                      </m:r>
                    </m:e>
                  </m:d>
                </m:sup>
              </m:sSubSup>
              <m:sSubSup>
                <m:sSubSupPr>
                  <m:ctrlPr>
                    <w:rPr>
                      <w:rFonts w:ascii="Cambria Math" w:hAnsi="Cambria Math" w:cs="Arial"/>
                      <w:i/>
                      <w:sz w:val="20"/>
                      <w:szCs w:val="20"/>
                    </w:rPr>
                  </m:ctrlPr>
                </m:sSubSupPr>
                <m:e>
                  <m:r>
                    <w:rPr>
                      <w:rFonts w:ascii="Cambria Math" w:hAnsi="Cambria Math" w:cs="Arial"/>
                      <w:sz w:val="20"/>
                      <w:szCs w:val="20"/>
                    </w:rPr>
                    <m:t>p</m:t>
                  </m:r>
                </m:e>
                <m:sub>
                  <m:r>
                    <w:rPr>
                      <w:rFonts w:ascii="Cambria Math" w:hAnsi="Cambria Math" w:cs="Arial"/>
                      <w:sz w:val="20"/>
                      <w:szCs w:val="20"/>
                    </w:rPr>
                    <m:t>q</m:t>
                  </m:r>
                </m:sub>
                <m:sup>
                  <m:d>
                    <m:dPr>
                      <m:ctrlPr>
                        <w:rPr>
                          <w:rFonts w:ascii="Cambria Math" w:hAnsi="Cambria Math" w:cs="Arial"/>
                          <w:i/>
                          <w:sz w:val="20"/>
                          <w:szCs w:val="20"/>
                        </w:rPr>
                      </m:ctrlPr>
                    </m:dPr>
                    <m:e>
                      <m:r>
                        <w:rPr>
                          <w:rFonts w:ascii="Cambria Math" w:hAnsi="Cambria Math" w:cs="Arial"/>
                          <w:sz w:val="20"/>
                          <w:szCs w:val="20"/>
                        </w:rPr>
                        <m:t>Tx</m:t>
                      </m:r>
                    </m:e>
                  </m:d>
                </m:sup>
              </m:sSubSup>
              <m:r>
                <w:rPr>
                  <w:rFonts w:ascii="Cambria Math" w:hAnsi="Cambria Math" w:cs="Arial"/>
                  <w:sz w:val="20"/>
                  <w:szCs w:val="20"/>
                </w:rPr>
                <m:t>,</m:t>
              </m:r>
            </m:oMath>
            <w:r w:rsidRPr="005F5605">
              <w:rPr>
                <w:rFonts w:ascii="Arial" w:hAnsi="Arial" w:cs="Arial"/>
                <w:sz w:val="20"/>
                <w:szCs w:val="20"/>
              </w:rPr>
              <w:t xml:space="preserve"> for values of </w:t>
            </w:r>
            <m:oMath>
              <m:sSubSup>
                <m:sSubSupPr>
                  <m:ctrlPr>
                    <w:rPr>
                      <w:rFonts w:ascii="Cambria Math" w:hAnsi="Cambria Math" w:cs="Arial"/>
                      <w:i/>
                      <w:sz w:val="20"/>
                      <w:szCs w:val="20"/>
                    </w:rPr>
                  </m:ctrlPr>
                </m:sSubSupPr>
                <m:e>
                  <m:r>
                    <w:rPr>
                      <w:rFonts w:ascii="Cambria Math" w:hAnsi="Cambria Math" w:cs="Arial"/>
                      <w:sz w:val="20"/>
                      <w:szCs w:val="20"/>
                    </w:rPr>
                    <m:t>p</m:t>
                  </m:r>
                </m:e>
                <m:sub>
                  <m:r>
                    <w:rPr>
                      <w:rFonts w:ascii="Cambria Math" w:hAnsi="Cambria Math" w:cs="Arial"/>
                      <w:sz w:val="20"/>
                      <w:szCs w:val="20"/>
                    </w:rPr>
                    <m:t>q</m:t>
                  </m:r>
                </m:sub>
                <m:sup>
                  <m:d>
                    <m:dPr>
                      <m:ctrlPr>
                        <w:rPr>
                          <w:rFonts w:ascii="Cambria Math" w:hAnsi="Cambria Math" w:cs="Arial"/>
                          <w:i/>
                          <w:sz w:val="20"/>
                          <w:szCs w:val="20"/>
                        </w:rPr>
                      </m:ctrlPr>
                    </m:dPr>
                    <m:e>
                      <m:r>
                        <w:rPr>
                          <w:rFonts w:ascii="Cambria Math" w:hAnsi="Cambria Math" w:cs="Arial"/>
                          <w:sz w:val="20"/>
                          <w:szCs w:val="20"/>
                        </w:rPr>
                        <m:t>Dx</m:t>
                      </m:r>
                    </m:e>
                  </m:d>
                </m:sup>
              </m:sSubSup>
              <m:r>
                <w:rPr>
                  <w:rFonts w:ascii="Cambria Math" w:hAnsi="Cambria Math" w:cs="Arial"/>
                  <w:sz w:val="20"/>
                  <w:szCs w:val="20"/>
                </w:rPr>
                <m:t xml:space="preserve"> , </m:t>
              </m:r>
              <m:sSubSup>
                <m:sSubSupPr>
                  <m:ctrlPr>
                    <w:rPr>
                      <w:rFonts w:ascii="Cambria Math" w:hAnsi="Cambria Math" w:cs="Arial"/>
                      <w:i/>
                      <w:sz w:val="20"/>
                      <w:szCs w:val="20"/>
                    </w:rPr>
                  </m:ctrlPr>
                </m:sSubSupPr>
                <m:e>
                  <m:r>
                    <w:rPr>
                      <w:rFonts w:ascii="Cambria Math" w:hAnsi="Cambria Math" w:cs="Arial"/>
                      <w:sz w:val="20"/>
                      <w:szCs w:val="20"/>
                    </w:rPr>
                    <m:t>p</m:t>
                  </m:r>
                </m:e>
                <m:sub>
                  <m:r>
                    <w:rPr>
                      <w:rFonts w:ascii="Cambria Math" w:hAnsi="Cambria Math" w:cs="Arial"/>
                      <w:sz w:val="20"/>
                      <w:szCs w:val="20"/>
                    </w:rPr>
                    <m:t>q</m:t>
                  </m:r>
                </m:sub>
                <m:sup>
                  <m:d>
                    <m:dPr>
                      <m:ctrlPr>
                        <w:rPr>
                          <w:rFonts w:ascii="Cambria Math" w:hAnsi="Cambria Math" w:cs="Arial"/>
                          <w:i/>
                          <w:sz w:val="20"/>
                          <w:szCs w:val="20"/>
                        </w:rPr>
                      </m:ctrlPr>
                    </m:dPr>
                    <m:e>
                      <m:r>
                        <w:rPr>
                          <w:rFonts w:ascii="Cambria Math" w:hAnsi="Cambria Math" w:cs="Arial"/>
                          <w:sz w:val="20"/>
                          <w:szCs w:val="20"/>
                        </w:rPr>
                        <m:t>Rx</m:t>
                      </m:r>
                    </m:e>
                  </m:d>
                </m:sup>
              </m:sSubSup>
              <m:r>
                <w:rPr>
                  <w:rFonts w:ascii="Cambria Math" w:hAnsi="Cambria Math" w:cs="Arial"/>
                  <w:sz w:val="20"/>
                  <w:szCs w:val="20"/>
                </w:rPr>
                <m:t xml:space="preserve">  </m:t>
              </m:r>
            </m:oMath>
            <w:r w:rsidRPr="005F5605">
              <w:rPr>
                <w:rFonts w:ascii="Arial" w:hAnsi="Arial" w:cs="Arial"/>
                <w:sz w:val="20"/>
                <w:szCs w:val="20"/>
              </w:rPr>
              <w:t xml:space="preserve"> given below</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Per-capita rate of default from treatment from provider type </w:t>
            </w:r>
            <w:r w:rsidRPr="005F5605">
              <w:rPr>
                <w:rFonts w:ascii="Arial" w:hAnsi="Arial" w:cs="Arial"/>
                <w:i/>
                <w:iCs/>
                <w:sz w:val="20"/>
                <w:szCs w:val="20"/>
              </w:rPr>
              <w:t>q</w:t>
            </w:r>
          </w:p>
        </w:tc>
        <w:tc>
          <w:tcPr>
            <w:tcW w:w="1074" w:type="dxa"/>
          </w:tcPr>
          <w:p w:rsidR="000623D8" w:rsidRPr="005F5605" w:rsidRDefault="005F5605"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i/>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δ</m:t>
                    </m:r>
                  </m:e>
                  <m:sub>
                    <m:r>
                      <w:rPr>
                        <w:rFonts w:ascii="Cambria Math" w:hAnsi="Cambria Math" w:cs="Arial"/>
                        <w:sz w:val="22"/>
                        <w:szCs w:val="22"/>
                      </w:rPr>
                      <m:t>q</m:t>
                    </m:r>
                  </m:sub>
                </m:sSub>
              </m:oMath>
            </m:oMathPara>
          </w:p>
        </w:tc>
        <w:tc>
          <w:tcPr>
            <w:tcW w:w="4689" w:type="dxa"/>
            <w:gridSpan w:val="3"/>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Calculated using </w:t>
            </w:r>
            <m:oMath>
              <m:sSub>
                <m:sSubPr>
                  <m:ctrlPr>
                    <w:rPr>
                      <w:rFonts w:ascii="Cambria Math" w:hAnsi="Cambria Math" w:cs="Arial"/>
                      <w:i/>
                      <w:sz w:val="20"/>
                      <w:szCs w:val="20"/>
                    </w:rPr>
                  </m:ctrlPr>
                </m:sSubPr>
                <m:e>
                  <m:r>
                    <w:rPr>
                      <w:rFonts w:ascii="Cambria Math" w:hAnsi="Cambria Math" w:cs="Arial"/>
                      <w:sz w:val="20"/>
                      <w:szCs w:val="20"/>
                    </w:rPr>
                    <m:t>δ</m:t>
                  </m:r>
                </m:e>
                <m:sub>
                  <m:r>
                    <w:rPr>
                      <w:rFonts w:ascii="Cambria Math" w:hAnsi="Cambria Math" w:cs="Arial"/>
                      <w:sz w:val="20"/>
                      <w:szCs w:val="20"/>
                    </w:rPr>
                    <m:t>q</m:t>
                  </m:r>
                </m:sub>
              </m:sSub>
              <m:r>
                <w:rPr>
                  <w:rFonts w:ascii="Cambria Math" w:hAnsi="Cambria Math" w:cs="Arial"/>
                  <w:sz w:val="20"/>
                  <w:szCs w:val="20"/>
                </w:rPr>
                <m:t>=</m:t>
              </m:r>
              <m:sSup>
                <m:sSupPr>
                  <m:ctrlPr>
                    <w:rPr>
                      <w:rFonts w:ascii="Cambria Math" w:hAnsi="Cambria Math" w:cs="Arial"/>
                      <w:i/>
                      <w:sz w:val="20"/>
                      <w:szCs w:val="20"/>
                    </w:rPr>
                  </m:ctrlPr>
                </m:sSupPr>
                <m:e>
                  <m:r>
                    <w:rPr>
                      <w:rFonts w:ascii="Cambria Math" w:hAnsi="Cambria Math" w:cs="Arial"/>
                      <w:sz w:val="20"/>
                      <w:szCs w:val="20"/>
                    </w:rPr>
                    <m:t>τ</m:t>
                  </m:r>
                </m:e>
                <m:sup>
                  <m:d>
                    <m:dPr>
                      <m:ctrlPr>
                        <w:rPr>
                          <w:rFonts w:ascii="Cambria Math" w:hAnsi="Cambria Math" w:cs="Arial"/>
                          <w:i/>
                          <w:sz w:val="20"/>
                          <w:szCs w:val="20"/>
                        </w:rPr>
                      </m:ctrlPr>
                    </m:dPr>
                    <m:e>
                      <m:r>
                        <w:rPr>
                          <w:rFonts w:ascii="Cambria Math" w:hAnsi="Cambria Math" w:cs="Arial"/>
                          <w:sz w:val="20"/>
                          <w:szCs w:val="20"/>
                        </w:rPr>
                        <m:t>FL</m:t>
                      </m:r>
                    </m:e>
                  </m:d>
                </m:sup>
              </m:sSup>
              <m:sSubSup>
                <m:sSubSupPr>
                  <m:ctrlPr>
                    <w:rPr>
                      <w:rFonts w:ascii="Cambria Math" w:hAnsi="Cambria Math" w:cs="Arial"/>
                      <w:i/>
                      <w:sz w:val="20"/>
                      <w:szCs w:val="20"/>
                    </w:rPr>
                  </m:ctrlPr>
                </m:sSubSupPr>
                <m:e>
                  <m:r>
                    <w:rPr>
                      <w:rFonts w:ascii="Cambria Math" w:hAnsi="Cambria Math" w:cs="Arial"/>
                      <w:sz w:val="20"/>
                      <w:szCs w:val="20"/>
                    </w:rPr>
                    <m:t>p</m:t>
                  </m:r>
                </m:e>
                <m:sub>
                  <m:r>
                    <w:rPr>
                      <w:rFonts w:ascii="Cambria Math" w:hAnsi="Cambria Math" w:cs="Arial"/>
                      <w:sz w:val="20"/>
                      <w:szCs w:val="20"/>
                    </w:rPr>
                    <m:t>q</m:t>
                  </m:r>
                </m:sub>
                <m:sup>
                  <m:d>
                    <m:dPr>
                      <m:ctrlPr>
                        <w:rPr>
                          <w:rFonts w:ascii="Cambria Math" w:hAnsi="Cambria Math" w:cs="Arial"/>
                          <w:i/>
                          <w:sz w:val="20"/>
                          <w:szCs w:val="20"/>
                        </w:rPr>
                      </m:ctrlPr>
                    </m:dPr>
                    <m:e>
                      <m:r>
                        <w:rPr>
                          <w:rFonts w:ascii="Cambria Math" w:hAnsi="Cambria Math" w:cs="Arial"/>
                          <w:sz w:val="20"/>
                          <w:szCs w:val="20"/>
                        </w:rPr>
                        <m:t>FL</m:t>
                      </m:r>
                    </m:e>
                  </m:d>
                </m:sup>
              </m:sSubSup>
              <m:r>
                <w:rPr>
                  <w:rFonts w:ascii="Cambria Math" w:hAnsi="Cambria Math" w:cs="Arial"/>
                  <w:sz w:val="20"/>
                  <w:szCs w:val="20"/>
                </w:rPr>
                <m:t>/(1-</m:t>
              </m:r>
              <m:sSubSup>
                <m:sSubSupPr>
                  <m:ctrlPr>
                    <w:rPr>
                      <w:rFonts w:ascii="Cambria Math" w:hAnsi="Cambria Math" w:cs="Arial"/>
                      <w:i/>
                      <w:sz w:val="20"/>
                      <w:szCs w:val="20"/>
                    </w:rPr>
                  </m:ctrlPr>
                </m:sSubSupPr>
                <m:e>
                  <m:r>
                    <w:rPr>
                      <w:rFonts w:ascii="Cambria Math" w:hAnsi="Cambria Math" w:cs="Arial"/>
                      <w:sz w:val="20"/>
                      <w:szCs w:val="20"/>
                    </w:rPr>
                    <m:t>p</m:t>
                  </m:r>
                </m:e>
                <m:sub>
                  <m:r>
                    <w:rPr>
                      <w:rFonts w:ascii="Cambria Math" w:hAnsi="Cambria Math" w:cs="Arial"/>
                      <w:sz w:val="20"/>
                      <w:szCs w:val="20"/>
                    </w:rPr>
                    <m:t>q</m:t>
                  </m:r>
                </m:sub>
                <m:sup>
                  <m:d>
                    <m:dPr>
                      <m:ctrlPr>
                        <w:rPr>
                          <w:rFonts w:ascii="Cambria Math" w:hAnsi="Cambria Math" w:cs="Arial"/>
                          <w:i/>
                          <w:sz w:val="20"/>
                          <w:szCs w:val="20"/>
                        </w:rPr>
                      </m:ctrlPr>
                    </m:dPr>
                    <m:e>
                      <m:r>
                        <w:rPr>
                          <w:rFonts w:ascii="Cambria Math" w:hAnsi="Cambria Math" w:cs="Arial"/>
                          <w:sz w:val="20"/>
                          <w:szCs w:val="20"/>
                        </w:rPr>
                        <m:t>FL</m:t>
                      </m:r>
                    </m:e>
                  </m:d>
                </m:sup>
              </m:sSubSup>
              <m:r>
                <w:rPr>
                  <w:rFonts w:ascii="Cambria Math" w:hAnsi="Cambria Math" w:cs="Arial"/>
                  <w:sz w:val="20"/>
                  <w:szCs w:val="20"/>
                </w:rPr>
                <m:t xml:space="preserve">), </m:t>
              </m:r>
            </m:oMath>
            <w:r w:rsidRPr="005F5605">
              <w:rPr>
                <w:rFonts w:ascii="Arial" w:hAnsi="Arial" w:cs="Arial"/>
                <w:sz w:val="20"/>
                <w:szCs w:val="20"/>
              </w:rPr>
              <w:t xml:space="preserve">for values of  </w:t>
            </w:r>
            <m:oMath>
              <m:sSup>
                <m:sSupPr>
                  <m:ctrlPr>
                    <w:rPr>
                      <w:rFonts w:ascii="Cambria Math" w:hAnsi="Cambria Math" w:cs="Arial"/>
                      <w:i/>
                      <w:sz w:val="20"/>
                      <w:szCs w:val="20"/>
                    </w:rPr>
                  </m:ctrlPr>
                </m:sSupPr>
                <m:e>
                  <m:r>
                    <w:rPr>
                      <w:rFonts w:ascii="Cambria Math" w:hAnsi="Cambria Math" w:cs="Arial"/>
                      <w:sz w:val="20"/>
                      <w:szCs w:val="20"/>
                    </w:rPr>
                    <m:t>τ</m:t>
                  </m:r>
                </m:e>
                <m:sup>
                  <m:d>
                    <m:dPr>
                      <m:ctrlPr>
                        <w:rPr>
                          <w:rFonts w:ascii="Cambria Math" w:hAnsi="Cambria Math" w:cs="Arial"/>
                          <w:i/>
                          <w:sz w:val="20"/>
                          <w:szCs w:val="20"/>
                        </w:rPr>
                      </m:ctrlPr>
                    </m:dPr>
                    <m:e>
                      <m:r>
                        <w:rPr>
                          <w:rFonts w:ascii="Cambria Math" w:hAnsi="Cambria Math" w:cs="Arial"/>
                          <w:sz w:val="20"/>
                          <w:szCs w:val="20"/>
                        </w:rPr>
                        <m:t>FL</m:t>
                      </m:r>
                    </m:e>
                  </m:d>
                </m:sup>
              </m:sSup>
              <m:r>
                <w:rPr>
                  <w:rFonts w:ascii="Cambria Math" w:hAnsi="Cambria Math" w:cs="Arial"/>
                  <w:sz w:val="20"/>
                  <w:szCs w:val="20"/>
                </w:rPr>
                <m:t xml:space="preserve">,  </m:t>
              </m:r>
              <m:sSubSup>
                <m:sSubSupPr>
                  <m:ctrlPr>
                    <w:rPr>
                      <w:rFonts w:ascii="Cambria Math" w:hAnsi="Cambria Math" w:cs="Arial"/>
                      <w:i/>
                      <w:sz w:val="20"/>
                      <w:szCs w:val="20"/>
                    </w:rPr>
                  </m:ctrlPr>
                </m:sSubSupPr>
                <m:e>
                  <m:r>
                    <w:rPr>
                      <w:rFonts w:ascii="Cambria Math" w:hAnsi="Cambria Math" w:cs="Arial"/>
                      <w:sz w:val="20"/>
                      <w:szCs w:val="20"/>
                    </w:rPr>
                    <m:t>p</m:t>
                  </m:r>
                </m:e>
                <m:sub>
                  <m:r>
                    <w:rPr>
                      <w:rFonts w:ascii="Cambria Math" w:hAnsi="Cambria Math" w:cs="Arial"/>
                      <w:sz w:val="20"/>
                      <w:szCs w:val="20"/>
                    </w:rPr>
                    <m:t>q</m:t>
                  </m:r>
                </m:sub>
                <m:sup>
                  <m:d>
                    <m:dPr>
                      <m:ctrlPr>
                        <w:rPr>
                          <w:rFonts w:ascii="Cambria Math" w:hAnsi="Cambria Math" w:cs="Arial"/>
                          <w:i/>
                          <w:sz w:val="20"/>
                          <w:szCs w:val="20"/>
                        </w:rPr>
                      </m:ctrlPr>
                    </m:dPr>
                    <m:e>
                      <m:r>
                        <w:rPr>
                          <w:rFonts w:ascii="Cambria Math" w:hAnsi="Cambria Math" w:cs="Arial"/>
                          <w:sz w:val="20"/>
                          <w:szCs w:val="20"/>
                        </w:rPr>
                        <m:t>Dx</m:t>
                      </m:r>
                    </m:e>
                  </m:d>
                </m:sup>
              </m:sSubSup>
            </m:oMath>
            <w:r w:rsidRPr="005F5605">
              <w:rPr>
                <w:rFonts w:ascii="Arial" w:hAnsi="Arial" w:cs="Arial"/>
                <w:sz w:val="20"/>
                <w:szCs w:val="20"/>
              </w:rPr>
              <w:t>given below</w:t>
            </w:r>
          </w:p>
        </w:tc>
      </w:tr>
      <w:tr w:rsidR="000623D8" w:rsidRPr="005F5605" w:rsidTr="000731FD">
        <w:trPr>
          <w:trHeight w:val="882"/>
        </w:trPr>
        <w:tc>
          <w:tcPr>
            <w:cnfStyle w:val="001000000000" w:firstRow="0" w:lastRow="0" w:firstColumn="1" w:lastColumn="0" w:oddVBand="0" w:evenVBand="0" w:oddHBand="0" w:evenHBand="0" w:firstRowFirstColumn="0" w:firstRowLastColumn="0" w:lastRowFirstColumn="0" w:lastRowLastColumn="0"/>
            <w:tcW w:w="2519" w:type="dxa"/>
            <w:gridSpan w:val="2"/>
            <w:vMerge w:val="restart"/>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Probability of correct TB diagnosis per visit to a provider</w:t>
            </w:r>
          </w:p>
        </w:tc>
        <w:tc>
          <w:tcPr>
            <w:tcW w:w="1263"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NTP provider</w:t>
            </w:r>
          </w:p>
        </w:tc>
        <w:tc>
          <w:tcPr>
            <w:tcW w:w="1074" w:type="dxa"/>
          </w:tcPr>
          <w:p w:rsidR="000623D8" w:rsidRPr="005F5605" w:rsidRDefault="005F5605" w:rsidP="000731FD">
            <w:pPr>
              <w:widowControl w:val="0"/>
              <w:tabs>
                <w:tab w:val="left" w:pos="480"/>
              </w:tabs>
              <w:autoSpaceDE w:val="0"/>
              <w:autoSpaceDN w:val="0"/>
              <w:adjustRightInd w:val="0"/>
              <w:spacing w:before="60" w:after="60"/>
              <w:jc w:val="center"/>
              <w:cnfStyle w:val="000000000000" w:firstRow="0" w:lastRow="0" w:firstColumn="0" w:lastColumn="0" w:oddVBand="0" w:evenVBand="0" w:oddHBand="0" w:evenHBand="0" w:firstRowFirstColumn="0" w:firstRowLastColumn="0" w:lastRowFirstColumn="0" w:lastRowLastColumn="0"/>
              <w:rPr>
                <w:sz w:val="22"/>
                <w:szCs w:val="22"/>
              </w:rPr>
            </w:pPr>
            <m:oMathPara>
              <m:oMathParaPr>
                <m:jc m:val="center"/>
              </m:oMathParaPr>
              <m:oMath>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0</m:t>
                    </m:r>
                  </m:sub>
                  <m:sup>
                    <m:r>
                      <w:rPr>
                        <w:rFonts w:ascii="Cambria Math" w:hAnsi="Cambria Math"/>
                        <w:sz w:val="22"/>
                        <w:szCs w:val="22"/>
                      </w:rPr>
                      <m:t>(Dx)</m:t>
                    </m:r>
                  </m:sup>
                </m:sSubSup>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0.83 (0.8 – 0.85) </w:t>
            </w:r>
          </w:p>
        </w:tc>
        <w:tc>
          <w:tcPr>
            <w:tcW w:w="2799"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{"citationItems":[{"id":"ITEM-1","itemData":{"DOI":"10.1371/journal.pmed.1002149","ISSN":"1549-1676","PMID":"27780217","abstract":"BACKGROUND India has 23% of the global burden of active tuberculosis (TB) patients and 27% of the world's \"missing\" patients, which includes those who may not have received effective TB care and could potentially spread TB to others. The \"cascade of care\" is a useful model for visualizing deficiencies in case detection and retention in care, in order to prioritize interventions. METHODS AND FINDINGS The care cascade constructed in this paper focuses on the Revised National TB Control Programme (RNTCP), which treats about half of India's TB patients. We define the TB cascade as including the following patient populations: total prevalent active TB patients in India, TB patients who reach and undergo evaluation at RNTCP diagnostic facilities, patients successfully diagnosed with TB, patients who start treatment, patients retained to treatment completion, and patients who achieve 1-y recurrence-free survival. We estimate each step of the cascade for 2013 using data from two World Health Organization (WHO) reports (2014-2015), one WHO dataset (2015), and three RNTCP reports (2014-2016). In addition, we conduct three targeted systematic reviews of the scientific literature to identify 39 unique articles published from 2000-2015 that provide additional data on five indicators that help estimate different steps of the TB cascade. We construct separate care cascades for the overall population of patients with active TB and for patients with specific forms of TB-including new smear-positive, new smear-negative, retreatment smear-positive, and multidrug-resistant (MDR) TB. The WHO estimated that there were 2,700,000 (95%CI: 1,800,000-3,800,000) prevalent TB patients in India in 2013. Of these patients, we estimate that 1,938,027 (72%) TB patients were evaluated at RNTCP facilities; 1,629,906 (60%) were successfully diagnosed; 1,417,838 (53%) got registered for treatment; 1,221,764 (45%) completed treatment; and 1,049,237 (95%CI: 1,008,775-1,083,243), or 39%, of 2,700,000 TB patients achieved the optimal outcome of 1-y recurrence-free survival. The separate cascades for different forms of TB highlight different patterns of patient attrition. Pretreatment loss to follow-up of diagnosed patients and post-treatment TB recurrence were major points of attrition in the new smear-positive TB cascade. In the new smear-negative and MDR TB cascades, a substantial proportion of patients who were evaluated at RNTCP diagnostic facilities were not successfully diagnosed. Retrea…","author":[{"dropping-particle":"","family":"Subbaraman","given":"Ramnath","non-dropping-particle":"","parse-names":false,"suffix":""},{"dropping-particle":"","family":"Nathavitharana","given":"Ruvandhi R.","non-dropping-particle":"","parse-names":false,"suffix":""},{"dropping-particle":"","family":"Satyanarayana","given":"Srinath","non-dropping-particle":"","parse-names":false,"suffix":""},{"dropping-particle":"","family":"Pai","given":"Madhukar","non-dropping-particle":"","parse-names":false,"suffix":""},{"dropping-particle":"","family":"Thomas","given":"Beena E.","non-dropping-particle":"","parse-names":false,"suffix":""},{"dropping-particle":"","family":"Chadha","given":"Vineet K.","non-dropping-particle":"","parse-names":false,"suffix":""},{"dropping-particle":"","family":"Rade","given":"Kiran","non-dropping-particle":"","parse-names":false,"suffix":""},{"dropping-particle":"","family":"Swaminathan","given":"Soumya","non-dropping-particle":"","parse-names":false,"suffix":""},{"dropping-particle":"","family":"Mayer","given":"Kenneth H.","non-dropping-particle":"","parse-names":false,"suffix":""}],"container-title":"PLOS Medicine","editor":[{"dropping-particle":"","family":"Murray","given":"Megan","non-dropping-particle":"","parse-names":false,"suffix":""}],"id":"ITEM-1","issue":"10","issued":{"date-parts":[["2016","10"]]},"page":"e1002149","title":"The Tuberculosis Cascade of Care in India’s Public Sector: A Systematic Review and Meta-analysis","type":"article-journal","volume":"13"},"uris":["http://www.mendeley.com/documents/?uuid=6cbf8b58-e4cc-482f-8eaf-4cde31655cda"]}],"mendeley":{"formattedCitation":"&lt;sup&gt;1&lt;/sup&gt;","plainTextFormattedCitation":"1","previouslyFormattedCitation":"&lt;sup&gt;1&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1</w:t>
            </w:r>
            <w:r w:rsidRPr="005F5605">
              <w:rPr>
                <w:rFonts w:ascii="Arial" w:hAnsi="Arial" w:cs="Arial"/>
                <w:sz w:val="20"/>
                <w:szCs w:val="20"/>
              </w:rPr>
              <w:fldChar w:fldCharType="end"/>
            </w:r>
            <w:r w:rsidR="00414E2A" w:rsidRPr="005F5605">
              <w:rPr>
                <w:rFonts w:ascii="Arial" w:hAnsi="Arial" w:cs="Arial"/>
                <w:sz w:val="20"/>
                <w:szCs w:val="20"/>
              </w:rPr>
              <w:t xml:space="preserve"> </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2519" w:type="dxa"/>
            <w:gridSpan w:val="2"/>
            <w:vMerge/>
          </w:tcPr>
          <w:p w:rsidR="000623D8" w:rsidRPr="005F5605" w:rsidRDefault="000623D8" w:rsidP="000731FD">
            <w:pPr>
              <w:spacing w:before="60" w:after="60" w:line="312" w:lineRule="auto"/>
              <w:rPr>
                <w:rFonts w:ascii="Arial" w:hAnsi="Arial" w:cs="Arial"/>
                <w:sz w:val="20"/>
                <w:szCs w:val="20"/>
              </w:rPr>
            </w:pPr>
          </w:p>
        </w:tc>
        <w:tc>
          <w:tcPr>
            <w:tcW w:w="1263"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Non-NTP provider</w:t>
            </w:r>
          </w:p>
        </w:tc>
        <w:tc>
          <w:tcPr>
            <w:tcW w:w="1074" w:type="dxa"/>
          </w:tcPr>
          <w:p w:rsidR="000623D8" w:rsidRPr="005F5605" w:rsidRDefault="005F5605" w:rsidP="000731FD">
            <w:pPr>
              <w:widowControl w:val="0"/>
              <w:tabs>
                <w:tab w:val="left" w:pos="480"/>
              </w:tabs>
              <w:autoSpaceDE w:val="0"/>
              <w:autoSpaceDN w:val="0"/>
              <w:adjustRightInd w:val="0"/>
              <w:spacing w:before="60" w:after="60"/>
              <w:jc w:val="center"/>
              <w:cnfStyle w:val="000000100000" w:firstRow="0" w:lastRow="0" w:firstColumn="0" w:lastColumn="0" w:oddVBand="0" w:evenVBand="0" w:oddHBand="1" w:evenHBand="0" w:firstRowFirstColumn="0" w:firstRowLastColumn="0" w:lastRowFirstColumn="0" w:lastRowLastColumn="0"/>
              <w:rPr>
                <w:sz w:val="22"/>
                <w:szCs w:val="22"/>
              </w:rPr>
            </w:pPr>
            <m:oMathPara>
              <m:oMathParaPr>
                <m:jc m:val="center"/>
              </m:oMathParaPr>
              <m:oMath>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1</m:t>
                    </m:r>
                  </m:sub>
                  <m:sup>
                    <m:r>
                      <w:rPr>
                        <w:rFonts w:ascii="Cambria Math" w:hAnsi="Cambria Math"/>
                        <w:sz w:val="22"/>
                        <w:szCs w:val="22"/>
                      </w:rPr>
                      <m:t>(Dx)</m:t>
                    </m:r>
                  </m:sup>
                </m:sSubSup>
              </m:oMath>
            </m:oMathPara>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0.7 (0.6 – 0.8)</w:t>
            </w:r>
          </w:p>
        </w:tc>
        <w:tc>
          <w:tcPr>
            <w:tcW w:w="2799" w:type="dxa"/>
            <w:gridSpan w:val="2"/>
          </w:tcPr>
          <w:p w:rsidR="000623D8" w:rsidRPr="005F5605" w:rsidRDefault="00414E2A"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Assumed</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2519" w:type="dxa"/>
            <w:gridSpan w:val="2"/>
            <w:vMerge w:val="restart"/>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Proportion of diagnosed cases initiating treatment </w:t>
            </w:r>
          </w:p>
        </w:tc>
        <w:tc>
          <w:tcPr>
            <w:tcW w:w="1263"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NTP provider</w:t>
            </w:r>
          </w:p>
        </w:tc>
        <w:tc>
          <w:tcPr>
            <w:tcW w:w="1074" w:type="dxa"/>
          </w:tcPr>
          <w:p w:rsidR="000623D8" w:rsidRPr="005F5605" w:rsidRDefault="005F5605" w:rsidP="000731FD">
            <w:pPr>
              <w:widowControl w:val="0"/>
              <w:tabs>
                <w:tab w:val="left" w:pos="480"/>
              </w:tabs>
              <w:autoSpaceDE w:val="0"/>
              <w:autoSpaceDN w:val="0"/>
              <w:adjustRightInd w:val="0"/>
              <w:spacing w:before="60" w:after="60"/>
              <w:jc w:val="center"/>
              <w:cnfStyle w:val="000000000000" w:firstRow="0" w:lastRow="0" w:firstColumn="0" w:lastColumn="0" w:oddVBand="0" w:evenVBand="0" w:oddHBand="0" w:evenHBand="0" w:firstRowFirstColumn="0" w:firstRowLastColumn="0" w:lastRowFirstColumn="0" w:lastRowLastColumn="0"/>
              <w:rPr>
                <w:sz w:val="22"/>
                <w:szCs w:val="22"/>
              </w:rPr>
            </w:pPr>
            <m:oMathPara>
              <m:oMathParaPr>
                <m:jc m:val="center"/>
              </m:oMathParaPr>
              <m:oMath>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0</m:t>
                    </m:r>
                  </m:sub>
                  <m:sup>
                    <m:r>
                      <w:rPr>
                        <w:rFonts w:ascii="Cambria Math" w:hAnsi="Cambria Math"/>
                        <w:sz w:val="22"/>
                        <w:szCs w:val="22"/>
                      </w:rPr>
                      <m:t>(Rx)</m:t>
                    </m:r>
                  </m:sup>
                </m:sSubSup>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0.88 (0.85 – 0.9)</w:t>
            </w:r>
          </w:p>
        </w:tc>
        <w:tc>
          <w:tcPr>
            <w:tcW w:w="2799"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{"citationItems":[{"id":"ITEM-1","itemData":{"DOI":"10.1371/journal.pmed.1002149","ISSN":"1549-1676","PMID":"27780217","abstract":"BACKGROUND India has 23% of the global burden of active tuberculosis (TB) patients and 27% of the world's \"missing\" patients, which includes those who may not have received effective TB care and could potentially spread TB to others. The \"cascade of care\" is a useful model for visualizing deficiencies in case detection and retention in care, in order to prioritize interventions. METHODS AND FINDINGS The care cascade constructed in this paper focuses on the Revised National TB Control Programme (RNTCP), which treats about half of India's TB patients. We define the TB cascade as including the following patient populations: total prevalent active TB patients in India, TB patients who reach and undergo evaluation at RNTCP diagnostic facilities, patients successfully diagnosed with TB, patients who start treatment, patients retained to treatment completion, and patients who achieve 1-y recurrence-free survival. We estimate each step of the cascade for 2013 using data from two World Health Organization (WHO) reports (2014-2015), one WHO dataset (2015), and three RNTCP reports (2014-2016). In addition, we conduct three targeted systematic reviews of the scientific literature to identify 39 unique articles published from 2000-2015 that provide additional data on five indicators that help estimate different steps of the TB cascade. We construct separate care cascades for the overall population of patients with active TB and for patients with specific forms of TB-including new smear-positive, new smear-negative, retreatment smear-positive, and multidrug-resistant (MDR) TB. The WHO estimated that there were 2,700,000 (95%CI: 1,800,000-3,800,000) prevalent TB patients in India in 2013. Of these patients, we estimate that 1,938,027 (72%) TB patients were evaluated at RNTCP facilities; 1,629,906 (60%) were successfully diagnosed; 1,417,838 (53%) got registered for treatment; 1,221,764 (45%) completed treatment; and 1,049,237 (95%CI: 1,008,775-1,083,243), or 39%, of 2,700,000 TB patients achieved the optimal outcome of 1-y recurrence-free survival. The separate cascades for different forms of TB highlight different patterns of patient attrition. Pretreatment loss to follow-up of diagnosed patients and post-treatment TB recurrence were major points of attrition in the new smear-positive TB cascade. In the new smear-negative and MDR TB cascades, a substantial proportion of patients who were evaluated at RNTCP diagnostic facilities were not successfully diagnosed. Retrea…","author":[{"dropping-particle":"","family":"Subbaraman","given":"Ramnath","non-dropping-particle":"","parse-names":false,"suffix":""},{"dropping-particle":"","family":"Nathavitharana","given":"Ruvandhi R.","non-dropping-particle":"","parse-names":false,"suffix":""},{"dropping-particle":"","family":"Satyanarayana","given":"Srinath","non-dropping-particle":"","parse-names":false,"suffix":""},{"dropping-particle":"","family":"Pai","given":"Madhukar","non-dropping-particle":"","parse-names":false,"suffix":""},{"dropping-particle":"","family":"Thomas","given":"Beena E.","non-dropping-particle":"","parse-names":false,"suffix":""},{"dropping-particle":"","family":"Chadha","given":"Vineet K.","non-dropping-particle":"","parse-names":false,"suffix":""},{"dropping-particle":"","family":"Rade","given":"Kiran","non-dropping-particle":"","parse-names":false,"suffix":""},{"dropping-particle":"","family":"Swaminathan","given":"Soumya","non-dropping-particle":"","parse-names":false,"suffix":""},{"dropping-particle":"","family":"Mayer","given":"Kenneth H.","non-dropping-particle":"","parse-names":false,"suffix":""}],"container-title":"PLOS Medicine","editor":[{"dropping-particle":"","family":"Murray","given":"Megan","non-dropping-particle":"","parse-names":false,"suffix":""}],"id":"ITEM-1","issue":"10","issued":{"date-parts":[["2016","10"]]},"page":"e1002149","title":"The Tuberculosis Cascade of Care in India’s Public Sector: A Systematic Review and Meta-analysis","type":"article-journal","volume":"13"},"uris":["http://www.mendeley.com/documents/?uuid=6cbf8b58-e4cc-482f-8eaf-4cde31655cda"]}],"mendeley":{"formattedCitation":"&lt;sup&gt;1&lt;/sup&gt;","plainTextFormattedCitation":"1","previouslyFormattedCitation":"&lt;sup&gt;1&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1</w:t>
            </w:r>
            <w:r w:rsidRPr="005F5605">
              <w:rPr>
                <w:rFonts w:ascii="Arial" w:hAnsi="Arial" w:cs="Arial"/>
                <w:sz w:val="20"/>
                <w:szCs w:val="20"/>
              </w:rPr>
              <w:fldChar w:fldCharType="end"/>
            </w:r>
            <w:r w:rsidR="00414E2A" w:rsidRPr="005F5605">
              <w:rPr>
                <w:rFonts w:ascii="Arial" w:hAnsi="Arial" w:cs="Arial"/>
                <w:sz w:val="20"/>
                <w:szCs w:val="20"/>
              </w:rPr>
              <w:t xml:space="preserve"> </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9" w:type="dxa"/>
            <w:gridSpan w:val="2"/>
            <w:vMerge/>
          </w:tcPr>
          <w:p w:rsidR="000623D8" w:rsidRPr="005F5605" w:rsidRDefault="000623D8" w:rsidP="000731FD">
            <w:pPr>
              <w:spacing w:before="60" w:after="60" w:line="312" w:lineRule="auto"/>
              <w:rPr>
                <w:rFonts w:ascii="Arial" w:hAnsi="Arial" w:cs="Arial"/>
                <w:sz w:val="20"/>
                <w:szCs w:val="20"/>
              </w:rPr>
            </w:pPr>
          </w:p>
        </w:tc>
        <w:tc>
          <w:tcPr>
            <w:tcW w:w="1263"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Non-NTP provider</w:t>
            </w:r>
          </w:p>
        </w:tc>
        <w:tc>
          <w:tcPr>
            <w:tcW w:w="1074" w:type="dxa"/>
          </w:tcPr>
          <w:p w:rsidR="000623D8" w:rsidRPr="005F5605" w:rsidRDefault="005F5605" w:rsidP="000731FD">
            <w:pPr>
              <w:widowControl w:val="0"/>
              <w:tabs>
                <w:tab w:val="left" w:pos="480"/>
              </w:tabs>
              <w:autoSpaceDE w:val="0"/>
              <w:autoSpaceDN w:val="0"/>
              <w:adjustRightInd w:val="0"/>
              <w:spacing w:before="60" w:after="60"/>
              <w:jc w:val="center"/>
              <w:cnfStyle w:val="000000100000" w:firstRow="0" w:lastRow="0" w:firstColumn="0" w:lastColumn="0" w:oddVBand="0" w:evenVBand="0" w:oddHBand="1" w:evenHBand="0" w:firstRowFirstColumn="0" w:firstRowLastColumn="0" w:lastRowFirstColumn="0" w:lastRowLastColumn="0"/>
              <w:rPr>
                <w:sz w:val="22"/>
                <w:szCs w:val="22"/>
              </w:rPr>
            </w:pPr>
            <m:oMathPara>
              <m:oMathParaPr>
                <m:jc m:val="center"/>
              </m:oMathParaPr>
              <m:oMath>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1</m:t>
                    </m:r>
                  </m:sub>
                  <m:sup>
                    <m:r>
                      <w:rPr>
                        <w:rFonts w:ascii="Cambria Math" w:hAnsi="Cambria Math"/>
                        <w:sz w:val="22"/>
                        <w:szCs w:val="22"/>
                      </w:rPr>
                      <m:t>(Rx)</m:t>
                    </m:r>
                  </m:sup>
                </m:sSubSup>
              </m:oMath>
            </m:oMathPara>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0.7 (0.6 – 0.8) </w:t>
            </w:r>
          </w:p>
        </w:tc>
        <w:tc>
          <w:tcPr>
            <w:tcW w:w="2799" w:type="dxa"/>
            <w:gridSpan w:val="2"/>
          </w:tcPr>
          <w:p w:rsidR="000623D8" w:rsidRPr="005F5605" w:rsidRDefault="00414E2A"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Assumed</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2519" w:type="dxa"/>
            <w:gridSpan w:val="2"/>
            <w:vMerge w:val="restart"/>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Proportion completing first-line treatment</w:t>
            </w:r>
          </w:p>
        </w:tc>
        <w:tc>
          <w:tcPr>
            <w:tcW w:w="1263"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NTP provider</w:t>
            </w:r>
          </w:p>
        </w:tc>
        <w:tc>
          <w:tcPr>
            <w:tcW w:w="1074" w:type="dxa"/>
          </w:tcPr>
          <w:p w:rsidR="000623D8" w:rsidRPr="005F5605" w:rsidRDefault="005F5605"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sz w:val="22"/>
                <w:szCs w:val="22"/>
              </w:rPr>
            </w:pPr>
            <m:oMathPara>
              <m:oMathParaPr>
                <m:jc m:val="center"/>
              </m:oMathParaPr>
              <m:oMath>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0</m:t>
                    </m:r>
                  </m:sub>
                  <m:sup>
                    <m:r>
                      <w:rPr>
                        <w:rFonts w:ascii="Cambria Math" w:hAnsi="Cambria Math"/>
                        <w:sz w:val="22"/>
                        <w:szCs w:val="22"/>
                      </w:rPr>
                      <m:t>(FL)</m:t>
                    </m:r>
                  </m:sup>
                </m:sSubSup>
              </m:oMath>
            </m:oMathPara>
          </w:p>
        </w:tc>
        <w:tc>
          <w:tcPr>
            <w:tcW w:w="4689" w:type="dxa"/>
            <w:gridSpan w:val="3"/>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Drawn from WHO country reports</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{"citationItems":[{"id":"ITEM-1","itemData":{"author":[{"dropping-particle":"","family":"World Health Organization","given":"","non-dropping-particle":"","parse-names":false,"suffix":""}],"id":"ITEM-1","issued":{"date-parts":[["0"]]},"publisher":"World Health Organization","title":"Global tuberculosis report 2018","type":"webpage"},"uris":["http://www.mendeley.com/documents/?uuid=83c1ff6a-0d9f-436c-a847-372de7569898"]}],"mendeley":{"formattedCitation":"&lt;sup&gt;14&lt;/sup&gt;","plainTextFormattedCitation":"14","previouslyFormattedCitation":"&lt;sup&gt;14&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14</w:t>
            </w:r>
            <w:r w:rsidRPr="005F5605">
              <w:rPr>
                <w:rFonts w:ascii="Arial" w:hAnsi="Arial" w:cs="Arial"/>
                <w:sz w:val="20"/>
                <w:szCs w:val="20"/>
              </w:rPr>
              <w:fldChar w:fldCharType="end"/>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9" w:type="dxa"/>
            <w:gridSpan w:val="2"/>
            <w:vMerge/>
          </w:tcPr>
          <w:p w:rsidR="000623D8" w:rsidRPr="005F5605" w:rsidRDefault="000623D8" w:rsidP="000731FD">
            <w:pPr>
              <w:spacing w:before="60" w:after="60" w:line="312" w:lineRule="auto"/>
              <w:rPr>
                <w:rFonts w:ascii="Arial" w:hAnsi="Arial" w:cs="Arial"/>
                <w:sz w:val="20"/>
                <w:szCs w:val="20"/>
              </w:rPr>
            </w:pPr>
          </w:p>
        </w:tc>
        <w:tc>
          <w:tcPr>
            <w:tcW w:w="1263"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Non-NTP provider</w:t>
            </w:r>
          </w:p>
        </w:tc>
        <w:tc>
          <w:tcPr>
            <w:tcW w:w="1074" w:type="dxa"/>
          </w:tcPr>
          <w:p w:rsidR="000623D8" w:rsidRPr="005F5605" w:rsidRDefault="005F5605"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i/>
                <w:sz w:val="22"/>
                <w:szCs w:val="22"/>
              </w:rPr>
            </w:pPr>
            <m:oMathPara>
              <m:oMathParaPr>
                <m:jc m:val="center"/>
              </m:oMathParaPr>
              <m:oMath>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1</m:t>
                    </m:r>
                  </m:sub>
                  <m:sup>
                    <m:r>
                      <w:rPr>
                        <w:rFonts w:ascii="Cambria Math" w:hAnsi="Cambria Math"/>
                        <w:sz w:val="22"/>
                        <w:szCs w:val="22"/>
                      </w:rPr>
                      <m:t>(FL)</m:t>
                    </m:r>
                  </m:sup>
                </m:sSubSup>
              </m:oMath>
            </m:oMathPara>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0.6 (0.5 – 0.7)</w:t>
            </w:r>
          </w:p>
        </w:tc>
        <w:tc>
          <w:tcPr>
            <w:tcW w:w="2799" w:type="dxa"/>
            <w:gridSpan w:val="2"/>
          </w:tcPr>
          <w:p w:rsidR="000623D8" w:rsidRPr="005F5605" w:rsidRDefault="00414E2A"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Assumed</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9545" w:type="dxa"/>
            <w:gridSpan w:val="7"/>
          </w:tcPr>
          <w:p w:rsidR="000623D8" w:rsidRPr="005F5605" w:rsidRDefault="000623D8" w:rsidP="000731FD">
            <w:pPr>
              <w:spacing w:before="60" w:after="60" w:line="312" w:lineRule="auto"/>
              <w:rPr>
                <w:rFonts w:ascii="Arial" w:hAnsi="Arial" w:cs="Arial"/>
                <w:i/>
                <w:iCs/>
                <w:sz w:val="10"/>
                <w:szCs w:val="10"/>
                <w:u w:val="single"/>
              </w:rPr>
            </w:pPr>
          </w:p>
          <w:p w:rsidR="000623D8" w:rsidRPr="005F5605" w:rsidRDefault="000623D8" w:rsidP="000731FD">
            <w:pPr>
              <w:spacing w:before="60" w:after="60" w:line="312" w:lineRule="auto"/>
              <w:rPr>
                <w:rFonts w:ascii="Arial" w:hAnsi="Arial" w:cs="Arial"/>
                <w:i/>
                <w:iCs/>
                <w:sz w:val="20"/>
                <w:szCs w:val="20"/>
                <w:u w:val="single"/>
              </w:rPr>
            </w:pPr>
            <w:r w:rsidRPr="005F5605">
              <w:rPr>
                <w:rFonts w:ascii="Arial" w:hAnsi="Arial" w:cs="Arial"/>
                <w:i/>
                <w:iCs/>
                <w:sz w:val="20"/>
                <w:szCs w:val="20"/>
                <w:u w:val="single"/>
              </w:rPr>
              <w:t>Care cascade, second-line</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9" w:type="dxa"/>
            <w:gridSpan w:val="2"/>
            <w:vMerge w:val="restart"/>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Probability of provider offering second-line testing at point of TB diagnosis (in absence of </w:t>
            </w:r>
            <w:proofErr w:type="spellStart"/>
            <w:r w:rsidRPr="005F5605">
              <w:rPr>
                <w:rFonts w:ascii="Arial" w:hAnsi="Arial" w:cs="Arial"/>
                <w:sz w:val="20"/>
                <w:szCs w:val="20"/>
              </w:rPr>
              <w:t>Xpert</w:t>
            </w:r>
            <w:proofErr w:type="spellEnd"/>
            <w:r w:rsidRPr="005F5605">
              <w:rPr>
                <w:rFonts w:ascii="Arial" w:hAnsi="Arial" w:cs="Arial"/>
                <w:sz w:val="20"/>
                <w:szCs w:val="20"/>
              </w:rPr>
              <w:t>)</w:t>
            </w:r>
          </w:p>
        </w:tc>
        <w:tc>
          <w:tcPr>
            <w:tcW w:w="1263"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NTP provider</w:t>
            </w:r>
          </w:p>
        </w:tc>
        <w:tc>
          <w:tcPr>
            <w:tcW w:w="1074" w:type="dxa"/>
          </w:tcPr>
          <w:p w:rsidR="000623D8" w:rsidRPr="005F5605" w:rsidRDefault="005F5605"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eastAsia="DengXian" w:hAnsi="Arial" w:cs="Arial"/>
                <w:sz w:val="22"/>
                <w:szCs w:val="22"/>
              </w:rPr>
            </w:pPr>
            <m:oMathPara>
              <m:oMath>
                <m:sSub>
                  <m:sSubPr>
                    <m:ctrlPr>
                      <w:rPr>
                        <w:rFonts w:ascii="Cambria Math" w:eastAsia="DengXian" w:hAnsi="Cambria Math" w:cs="Arial"/>
                        <w:i/>
                        <w:sz w:val="22"/>
                        <w:szCs w:val="22"/>
                      </w:rPr>
                    </m:ctrlPr>
                  </m:sSubPr>
                  <m:e>
                    <m:r>
                      <w:rPr>
                        <w:rFonts w:ascii="Cambria Math" w:eastAsia="DengXian" w:hAnsi="Cambria Math" w:cs="Arial"/>
                        <w:sz w:val="22"/>
                        <w:szCs w:val="22"/>
                      </w:rPr>
                      <m:t>v</m:t>
                    </m:r>
                  </m:e>
                  <m:sub>
                    <m:r>
                      <w:rPr>
                        <w:rFonts w:ascii="Cambria Math" w:eastAsia="DengXian" w:hAnsi="Cambria Math" w:cs="Arial"/>
                        <w:sz w:val="22"/>
                        <w:szCs w:val="22"/>
                      </w:rPr>
                      <m:t>0</m:t>
                    </m:r>
                  </m:sub>
                </m:sSub>
              </m:oMath>
            </m:oMathPara>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0.2</w:t>
            </w:r>
          </w:p>
        </w:tc>
        <w:tc>
          <w:tcPr>
            <w:tcW w:w="2799"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From baseline data of </w:t>
            </w:r>
            <w:proofErr w:type="spellStart"/>
            <w:r w:rsidRPr="005F5605">
              <w:rPr>
                <w:rFonts w:ascii="Arial" w:hAnsi="Arial" w:cs="Arial"/>
                <w:sz w:val="20"/>
                <w:szCs w:val="20"/>
              </w:rPr>
              <w:t>GeneXpert</w:t>
            </w:r>
            <w:proofErr w:type="spellEnd"/>
            <w:r w:rsidRPr="005F5605">
              <w:rPr>
                <w:rFonts w:ascii="Arial" w:hAnsi="Arial" w:cs="Arial"/>
                <w:sz w:val="20"/>
                <w:szCs w:val="20"/>
              </w:rPr>
              <w:t xml:space="preserve"> demonstration study in India</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{"citationItems":[{"id":"ITEM-1","itemData":{"DOI":"10.1371/journal.pone.0126065","ISSN":"19326203","abstract":"Background: Xpert MTB/RIF, the first automated molecular test for tuberculosis, is transforming the diagnostic landscape in high-burden settings. This study assessed the impact of up-front Xpert MTB/RIF testing on detection of pulmonary tuberculosis (PTB) and rifampicin-resistant PTB (DR-TB) cases in India. Methods: This demonstration study was implemented in 18 sub-district level TB programme units (TUs) in India in diverse geographic and demographic settings covering a population of 8.8 million. A baseline phase in 14 TUs captured programmatic baseline data, and an intervention phase in 18 TUs had Xpert MTB/RIF offered to all presumptive TB patients. We estimated changes in detection of TB and DR-TB, the former using binomial regression models to adjust for clustering and covariates. Results: In the 14 study TUs, which participated in both phases, 10,675 and 70,556 presumptive TB patients were enrolled in the baseline and intervention phase, respectively, and 1,532 (14.4%) and 14,299 (20.3%) bacteriologically confirmed PTB cases were detected. The implementation of Xpert MTB/RIF was associated with increases in both notification rates of bacteriologically confirmed TB cases (adjusted incidence rate ratio [aIRR] 1.39; CI 1.18-1.64), and proportion of bacteriological confirmed TB cases among presumptive TB cases (adjusted risk ratio (aRR) 1.33; CI 1.6-1.52). Compared with the baseline strategy of selective drug-susceptibility testing only for PTB cases at high risk of drug-resistant TB, Xpert MTB/RIF implementation increased rifampicin resistant TB case detection by over fivefold. Among, 2765 rifampicin resistance cases detected, 1055 were retested with conventional drug susceptibility testing (DST). Positive predictive value (PPV) of rifampicin resistance detected by Xpert MTB/RIF was 94.7% (CI 91.3-98.1), in comparison to conventional DST. Conclusion: Introduction of Xpert MTB/RIF as initial diagnostic test for TB in public health facilities significantly increased case-notification rates of all bacteriologically confirmed TB by 39% and rifampicin-resistant TB case notification by fivefold.","author":[{"dropping-particle":"","family":"Sachdeva","given":"Kuldeep Singh","non-dropping-particle":"","parse-names":false,"suffix":""},{"dropping-particle":"","family":"Raizada","given":"Neeraj","non-dropping-particle":"","parse-names":false,"suffix":""},{"dropping-particle":"","family":"Sreenivas","given":"Achuthan","non-dropping-particle":"","parse-names":false,"suffix":""},{"dropping-particle":"","family":"Van't Hoog","given":"Anna H.","non-dropping-particle":"","parse-names":false,"suffix":""},{"dropping-particle":"","family":"Hof","given":"Susan","non-dropping-particle":"Van Den","parse-names":false,"suffix":""},{"dropping-particle":"","family":"Dewan","given":"Puneet K.","non-dropping-particle":"","parse-names":false,"suffix":""},{"dropping-particle":"","family":"Thakur","given":"Rahul","non-dropping-particle":"","parse-names":false,"suffix":""},{"dropping-particle":"","family":"Gupta","given":"R. S.","non-dropping-particle":"","parse-names":false,"suffix":""},{"dropping-particle":"","family":"Kulsange","given":"Shubhangi","non-dropping-particle":"","parse-names":false,"suffix":""},{"dropping-particle":"","family":"Vadera","given":"Bhavin","non-dropping-particle":"","parse-names":false,"suffix":""},{"dropping-particle":"","family":"Babre","given":"Ameet","non-dropping-particle":"","parse-names":false,"suffix":""},{"dropping-particle":"","family":"Gray","given":"Christen","non-dropping-particle":"","parse-names":false,"suffix":""},{"dropping-particle":"","family":"Parmar","given":"Malik","non-dropping-particle":"","parse-names":false,"suffix":""},{"dropping-particle":"","family":"Ghedia","given":"Mayank","non-dropping-particle":"","parse-names":false,"suffix":""},{"dropping-particle":"","family":"Ramachandran","given":"Ranjani","non-dropping-particle":"","parse-names":false,"suffix":""},{"dropping-particle":"","family":"Alavadi","given":"Umesh","non-dropping-particle":"","parse-names":false,"suffix":""},{"dropping-particle":"","family":"Arinaminpathy","given":"Nimalan","non-dropping-particle":"","parse-names":false,"suffix":""},{"dropping-particle":"","family":"Denkinger","given":"Claudia","non-dropping-particle":"","parse-names":false,"suffix":""},{"dropping-particle":"","family":"Boehme","given":"Catharina","non-dropping-particle":"","parse-names":false,"suffix":""},{"dropping-particle":"","family":"Paramasivan","given":"C. N.","non-dropping-particle":"","parse-names":false,"suffix":""}],"container-title":"PLoS ONE","id":"ITEM-1","issued":{"date-parts":[["2015"]]},"title":"Use of Xpert MTB/RIF in decentralized public health settings and its effect on pulmonary TB and DR-TB case finding in India","type":"article-journal"},"uris":["http://www.mendeley.com/documents/?uuid=8974f0ac-a080-469b-b4d8-f595a3be7d5e","http://www.mendeley.com/documents/?uuid=8f8f1edd-4ae4-4fe0-9097-e65f57840d7f"]}],"mendeley":{"formattedCitation":"&lt;sup&gt;42&lt;/sup&gt;","plainTextFormattedCitation":"42","previouslyFormattedCitation":"&lt;sup&gt;42&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42</w:t>
            </w:r>
            <w:r w:rsidRPr="005F5605">
              <w:rPr>
                <w:rFonts w:ascii="Arial" w:hAnsi="Arial" w:cs="Arial"/>
                <w:sz w:val="20"/>
                <w:szCs w:val="20"/>
              </w:rPr>
              <w:fldChar w:fldCharType="end"/>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2519" w:type="dxa"/>
            <w:gridSpan w:val="2"/>
            <w:vMerge/>
          </w:tcPr>
          <w:p w:rsidR="000623D8" w:rsidRPr="005F5605" w:rsidRDefault="000623D8" w:rsidP="000731FD">
            <w:pPr>
              <w:spacing w:before="60" w:after="60" w:line="312" w:lineRule="auto"/>
              <w:rPr>
                <w:rFonts w:ascii="Arial" w:hAnsi="Arial" w:cs="Arial"/>
                <w:sz w:val="20"/>
                <w:szCs w:val="20"/>
              </w:rPr>
            </w:pPr>
          </w:p>
        </w:tc>
        <w:tc>
          <w:tcPr>
            <w:tcW w:w="1263"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Non-NTP provider</w:t>
            </w:r>
          </w:p>
        </w:tc>
        <w:tc>
          <w:tcPr>
            <w:tcW w:w="1074" w:type="dxa"/>
          </w:tcPr>
          <w:p w:rsidR="000623D8" w:rsidRPr="005F5605" w:rsidRDefault="005F5605"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eastAsia="DengXian" w:hAnsi="Arial" w:cs="Arial"/>
                <w:sz w:val="22"/>
                <w:szCs w:val="22"/>
              </w:rPr>
            </w:pPr>
            <m:oMathPara>
              <m:oMath>
                <m:sSub>
                  <m:sSubPr>
                    <m:ctrlPr>
                      <w:rPr>
                        <w:rFonts w:ascii="Cambria Math" w:eastAsia="DengXian" w:hAnsi="Cambria Math" w:cs="Arial"/>
                        <w:i/>
                        <w:sz w:val="22"/>
                        <w:szCs w:val="22"/>
                      </w:rPr>
                    </m:ctrlPr>
                  </m:sSubPr>
                  <m:e>
                    <m:r>
                      <w:rPr>
                        <w:rFonts w:ascii="Cambria Math" w:eastAsia="DengXian" w:hAnsi="Cambria Math" w:cs="Arial"/>
                        <w:sz w:val="22"/>
                        <w:szCs w:val="22"/>
                      </w:rPr>
                      <m:t>v</m:t>
                    </m:r>
                  </m:e>
                  <m:sub>
                    <m:r>
                      <w:rPr>
                        <w:rFonts w:ascii="Cambria Math" w:eastAsia="DengXian" w:hAnsi="Cambria Math" w:cs="Arial"/>
                        <w:sz w:val="22"/>
                        <w:szCs w:val="22"/>
                      </w:rPr>
                      <m:t>1</m:t>
                    </m:r>
                  </m:sub>
                </m:sSub>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0.1</w:t>
            </w:r>
          </w:p>
        </w:tc>
        <w:tc>
          <w:tcPr>
            <w:tcW w:w="2799"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Assumption</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9" w:type="dxa"/>
            <w:gridSpan w:val="2"/>
            <w:vMerge w:val="restart"/>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lastRenderedPageBreak/>
              <w:t>Proportion of first-line treatment failures being switched to second-line treatment</w:t>
            </w:r>
          </w:p>
        </w:tc>
        <w:tc>
          <w:tcPr>
            <w:tcW w:w="1263"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NTP provider</w:t>
            </w:r>
          </w:p>
        </w:tc>
        <w:tc>
          <w:tcPr>
            <w:tcW w:w="1074" w:type="dxa"/>
          </w:tcPr>
          <w:p w:rsidR="000623D8" w:rsidRPr="005F5605" w:rsidRDefault="005F5605"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eastAsia="DengXian" w:hAnsi="Arial" w:cs="Arial"/>
                <w:sz w:val="22"/>
                <w:szCs w:val="22"/>
              </w:rPr>
            </w:pPr>
            <m:oMathPara>
              <m:oMath>
                <m:sSub>
                  <m:sSubPr>
                    <m:ctrlPr>
                      <w:rPr>
                        <w:rFonts w:ascii="Cambria Math" w:eastAsia="DengXian" w:hAnsi="Cambria Math" w:cs="Arial"/>
                        <w:i/>
                        <w:sz w:val="22"/>
                        <w:szCs w:val="22"/>
                      </w:rPr>
                    </m:ctrlPr>
                  </m:sSubPr>
                  <m:e>
                    <m:r>
                      <w:rPr>
                        <w:rFonts w:ascii="Cambria Math" w:eastAsia="DengXian" w:hAnsi="Cambria Math" w:cs="Arial"/>
                        <w:sz w:val="22"/>
                        <w:szCs w:val="22"/>
                      </w:rPr>
                      <m:t>w</m:t>
                    </m:r>
                  </m:e>
                  <m:sub>
                    <m:r>
                      <w:rPr>
                        <w:rFonts w:ascii="Cambria Math" w:eastAsia="DengXian" w:hAnsi="Cambria Math" w:cs="Arial"/>
                        <w:sz w:val="22"/>
                        <w:szCs w:val="22"/>
                      </w:rPr>
                      <m:t>0</m:t>
                    </m:r>
                  </m:sub>
                </m:sSub>
                <m:r>
                  <w:rPr>
                    <w:rFonts w:ascii="Cambria Math" w:eastAsia="DengXian" w:hAnsi="Cambria Math" w:cs="Arial"/>
                    <w:sz w:val="22"/>
                    <w:szCs w:val="22"/>
                  </w:rPr>
                  <m:t xml:space="preserve"> </m:t>
                </m:r>
              </m:oMath>
            </m:oMathPara>
          </w:p>
        </w:tc>
        <w:tc>
          <w:tcPr>
            <w:tcW w:w="4689" w:type="dxa"/>
            <w:gridSpan w:val="3"/>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Calibrated for simulated, second-line treatment initiations to match reported RR/MDR notifications 16  (see table S4)</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2519" w:type="dxa"/>
            <w:gridSpan w:val="2"/>
            <w:vMerge/>
          </w:tcPr>
          <w:p w:rsidR="000623D8" w:rsidRPr="005F5605" w:rsidRDefault="000623D8" w:rsidP="000731FD">
            <w:pPr>
              <w:spacing w:before="60" w:after="60" w:line="312" w:lineRule="auto"/>
              <w:rPr>
                <w:rFonts w:ascii="Arial" w:hAnsi="Arial" w:cs="Arial"/>
                <w:sz w:val="20"/>
                <w:szCs w:val="20"/>
              </w:rPr>
            </w:pPr>
          </w:p>
        </w:tc>
        <w:tc>
          <w:tcPr>
            <w:tcW w:w="1263"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Non-NTP provider</w:t>
            </w:r>
          </w:p>
        </w:tc>
        <w:tc>
          <w:tcPr>
            <w:tcW w:w="1074" w:type="dxa"/>
          </w:tcPr>
          <w:p w:rsidR="000623D8" w:rsidRPr="005F5605" w:rsidRDefault="005F5605"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eastAsia="DengXian" w:hAnsi="Arial" w:cs="Arial"/>
                <w:sz w:val="22"/>
                <w:szCs w:val="22"/>
              </w:rPr>
            </w:pPr>
            <m:oMathPara>
              <m:oMath>
                <m:sSub>
                  <m:sSubPr>
                    <m:ctrlPr>
                      <w:rPr>
                        <w:rFonts w:ascii="Cambria Math" w:eastAsia="DengXian" w:hAnsi="Cambria Math" w:cs="Arial"/>
                        <w:i/>
                        <w:sz w:val="22"/>
                        <w:szCs w:val="22"/>
                      </w:rPr>
                    </m:ctrlPr>
                  </m:sSubPr>
                  <m:e>
                    <m:r>
                      <w:rPr>
                        <w:rFonts w:ascii="Cambria Math" w:eastAsia="DengXian" w:hAnsi="Cambria Math" w:cs="Arial"/>
                        <w:sz w:val="22"/>
                        <w:szCs w:val="22"/>
                      </w:rPr>
                      <m:t>w</m:t>
                    </m:r>
                  </m:e>
                  <m:sub>
                    <m:r>
                      <w:rPr>
                        <w:rFonts w:ascii="Cambria Math" w:eastAsia="DengXian" w:hAnsi="Cambria Math" w:cs="Arial"/>
                        <w:sz w:val="22"/>
                        <w:szCs w:val="22"/>
                      </w:rPr>
                      <m:t>1</m:t>
                    </m:r>
                  </m:sub>
                </m:sSub>
                <m:r>
                  <w:rPr>
                    <w:rFonts w:ascii="Cambria Math" w:eastAsia="DengXian" w:hAnsi="Cambria Math" w:cs="Arial"/>
                    <w:sz w:val="22"/>
                    <w:szCs w:val="22"/>
                  </w:rPr>
                  <m:t xml:space="preserve"> </m:t>
                </m:r>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0.1</w:t>
            </w:r>
          </w:p>
        </w:tc>
        <w:tc>
          <w:tcPr>
            <w:tcW w:w="2799"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Assumption</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9" w:type="dxa"/>
            <w:gridSpan w:val="2"/>
            <w:vMerge w:val="restart"/>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Proportion treatment success, second-line treatment </w:t>
            </w:r>
          </w:p>
        </w:tc>
        <w:tc>
          <w:tcPr>
            <w:tcW w:w="1263"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NTP provider</w:t>
            </w:r>
          </w:p>
        </w:tc>
        <w:tc>
          <w:tcPr>
            <w:tcW w:w="1074" w:type="dxa"/>
          </w:tcPr>
          <w:p w:rsidR="000623D8" w:rsidRPr="005F5605" w:rsidRDefault="005F5605" w:rsidP="000731FD">
            <w:pPr>
              <w:spacing w:before="60" w:after="60" w:line="312" w:lineRule="auto"/>
              <w:jc w:val="center"/>
              <w:cnfStyle w:val="000000100000" w:firstRow="0" w:lastRow="0" w:firstColumn="0" w:lastColumn="0" w:oddVBand="0" w:evenVBand="0" w:oddHBand="1" w:evenHBand="0" w:firstRowFirstColumn="0" w:firstRowLastColumn="0" w:lastRowFirstColumn="0" w:lastRowLastColumn="0"/>
              <w:rPr>
                <w:rFonts w:ascii="Arial" w:eastAsia="DengXian" w:hAnsi="Arial" w:cs="Arial"/>
                <w:sz w:val="22"/>
                <w:szCs w:val="22"/>
              </w:rPr>
            </w:pPr>
            <m:oMathPara>
              <m:oMath>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0</m:t>
                    </m:r>
                  </m:sub>
                  <m:sup>
                    <m:r>
                      <w:rPr>
                        <w:rFonts w:ascii="Cambria Math" w:hAnsi="Cambria Math"/>
                        <w:sz w:val="22"/>
                        <w:szCs w:val="22"/>
                      </w:rPr>
                      <m:t>(SL)</m:t>
                    </m:r>
                  </m:sup>
                </m:sSubSup>
              </m:oMath>
            </m:oMathPara>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0.5</w:t>
            </w:r>
          </w:p>
        </w:tc>
        <w:tc>
          <w:tcPr>
            <w:tcW w:w="2799"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Taken from country reports where available</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{"citationItems":[{"id":"ITEM-1","itemData":{"author":[{"dropping-particle":"","family":"World Health Organization","given":"","non-dropping-particle":"","parse-names":false,"suffix":""}],"id":"ITEM-1","issued":{"date-parts":[["0"]]},"publisher":"World Health Organization","title":"Global tuberculosis report 2018","type":"webpage"},"uris":["http://www.mendeley.com/documents/?uuid=83c1ff6a-0d9f-436c-a847-372de7569898"]}],"mendeley":{"formattedCitation":"&lt;sup&gt;14&lt;/sup&gt;","plainTextFormattedCitation":"14","previouslyFormattedCitation":"&lt;sup&gt;14&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14</w:t>
            </w:r>
            <w:r w:rsidRPr="005F5605">
              <w:rPr>
                <w:rFonts w:ascii="Arial" w:hAnsi="Arial" w:cs="Arial"/>
                <w:sz w:val="20"/>
                <w:szCs w:val="20"/>
              </w:rPr>
              <w:fldChar w:fldCharType="end"/>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2519" w:type="dxa"/>
            <w:gridSpan w:val="2"/>
            <w:vMerge/>
          </w:tcPr>
          <w:p w:rsidR="000623D8" w:rsidRPr="005F5605" w:rsidRDefault="000623D8" w:rsidP="000731FD">
            <w:pPr>
              <w:spacing w:before="60" w:after="60" w:line="312" w:lineRule="auto"/>
              <w:rPr>
                <w:rFonts w:ascii="Arial" w:hAnsi="Arial" w:cs="Arial"/>
                <w:sz w:val="20"/>
                <w:szCs w:val="20"/>
              </w:rPr>
            </w:pPr>
          </w:p>
        </w:tc>
        <w:tc>
          <w:tcPr>
            <w:tcW w:w="1263"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Non-NTP provider</w:t>
            </w:r>
          </w:p>
        </w:tc>
        <w:tc>
          <w:tcPr>
            <w:tcW w:w="1074" w:type="dxa"/>
          </w:tcPr>
          <w:p w:rsidR="000623D8" w:rsidRPr="005F5605" w:rsidRDefault="005F5605"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eastAsia="DengXian" w:hAnsi="Arial" w:cs="Arial"/>
                <w:sz w:val="22"/>
                <w:szCs w:val="22"/>
              </w:rPr>
            </w:pPr>
            <m:oMathPara>
              <m:oMath>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1</m:t>
                    </m:r>
                  </m:sub>
                  <m:sup>
                    <m:r>
                      <w:rPr>
                        <w:rFonts w:ascii="Cambria Math" w:hAnsi="Cambria Math"/>
                        <w:sz w:val="22"/>
                        <w:szCs w:val="22"/>
                      </w:rPr>
                      <m:t>(SL)</m:t>
                    </m:r>
                  </m:sup>
                </m:sSubSup>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0.2</w:t>
            </w:r>
          </w:p>
        </w:tc>
        <w:tc>
          <w:tcPr>
            <w:tcW w:w="2799"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Assumption</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45" w:type="dxa"/>
            <w:gridSpan w:val="7"/>
          </w:tcPr>
          <w:p w:rsidR="000623D8" w:rsidRPr="005F5605" w:rsidRDefault="000623D8" w:rsidP="000731FD">
            <w:pPr>
              <w:spacing w:before="60" w:after="60" w:line="312" w:lineRule="auto"/>
              <w:rPr>
                <w:rFonts w:ascii="Arial" w:hAnsi="Arial" w:cs="Arial"/>
                <w:sz w:val="10"/>
                <w:szCs w:val="10"/>
                <w:u w:val="single"/>
              </w:rPr>
            </w:pPr>
          </w:p>
          <w:p w:rsidR="000623D8" w:rsidRPr="005F5605" w:rsidRDefault="000623D8" w:rsidP="000731FD">
            <w:pPr>
              <w:spacing w:before="60" w:after="60" w:line="312" w:lineRule="auto"/>
              <w:rPr>
                <w:rFonts w:ascii="Arial" w:hAnsi="Arial" w:cs="Arial"/>
                <w:i/>
                <w:iCs/>
                <w:sz w:val="20"/>
                <w:szCs w:val="20"/>
              </w:rPr>
            </w:pPr>
            <w:r w:rsidRPr="005F5605">
              <w:rPr>
                <w:rFonts w:ascii="Arial" w:hAnsi="Arial" w:cs="Arial"/>
                <w:i/>
                <w:iCs/>
                <w:sz w:val="20"/>
                <w:szCs w:val="20"/>
                <w:u w:val="single"/>
              </w:rPr>
              <w:t>Other care parameters</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Duration of first-line regimen</w:t>
            </w:r>
          </w:p>
        </w:tc>
        <w:tc>
          <w:tcPr>
            <w:tcW w:w="1074" w:type="dxa"/>
          </w:tcPr>
          <w:p w:rsidR="000623D8" w:rsidRPr="005F5605" w:rsidRDefault="005F5605"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i/>
                <w:sz w:val="22"/>
                <w:szCs w:val="22"/>
              </w:rPr>
            </w:pPr>
            <m:oMathPara>
              <m:oMath>
                <m:sSup>
                  <m:sSupPr>
                    <m:ctrlPr>
                      <w:rPr>
                        <w:rFonts w:ascii="Cambria Math" w:hAnsi="Cambria Math" w:cs="Arial"/>
                        <w:i/>
                        <w:sz w:val="22"/>
                        <w:szCs w:val="22"/>
                      </w:rPr>
                    </m:ctrlPr>
                  </m:sSupPr>
                  <m:e>
                    <m:r>
                      <w:rPr>
                        <w:rFonts w:ascii="Cambria Math" w:hAnsi="Cambria Math" w:cs="Arial"/>
                        <w:sz w:val="22"/>
                        <w:szCs w:val="22"/>
                      </w:rPr>
                      <m:t>τ</m:t>
                    </m:r>
                  </m:e>
                  <m:sup>
                    <m:d>
                      <m:dPr>
                        <m:ctrlPr>
                          <w:rPr>
                            <w:rFonts w:ascii="Cambria Math" w:hAnsi="Cambria Math" w:cs="Arial"/>
                            <w:i/>
                            <w:sz w:val="22"/>
                            <w:szCs w:val="22"/>
                          </w:rPr>
                        </m:ctrlPr>
                      </m:dPr>
                      <m:e>
                        <m:r>
                          <w:rPr>
                            <w:rFonts w:ascii="Cambria Math" w:hAnsi="Cambria Math" w:cs="Arial"/>
                            <w:sz w:val="22"/>
                            <w:szCs w:val="22"/>
                          </w:rPr>
                          <m:t>FL</m:t>
                        </m:r>
                      </m:e>
                    </m:d>
                  </m:sup>
                </m:sSup>
                <m:r>
                  <w:rPr>
                    <w:rFonts w:ascii="Cambria Math" w:hAnsi="Cambria Math" w:cs="Arial"/>
                    <w:sz w:val="22"/>
                    <w:szCs w:val="22"/>
                  </w:rPr>
                  <m:t xml:space="preserve"> </m:t>
                </m:r>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2 y-1</w:t>
            </w:r>
          </w:p>
        </w:tc>
        <w:tc>
          <w:tcPr>
            <w:tcW w:w="2799"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Corresponds to a 6 month regimen</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{"citationItems":[{"id":"ITEM-1","itemData":{"DOI":"10.1586/17476348.1.1.85","ISBN":"9789241550000","ISSN":"1747-6348","PMID":"20477269","abstract":"Tuberculosis is still one of the main infectious diseases affecting mankind and is poorly controlled, despite the availability of cheap and effective drugs for the past 40-50 years. There are three basic principles of treatment against tuberculosis defined by the WHO and International Union Against Tuberculosis and Lung Disease (IUATLD). First is the use of potent bactericidal drugs in combination, to render the patients noninfective as rapidly as possible and prevent the transmission to other patients. Second, prolonged treatment eradicates even the dormant bacteria and prevents relapse. Third, regular treatment with correct doses is given in order to prevent the development of drug resistance. Most cases of tuberculosis can still be cured by a correct combination of isoniazid, rifampicin, pyrazinamide and ethambutol administered for 2 months, followed by isoniazid and rifampicin for 4 months. Antituberculous drugs are associated with adverse events, particularly in patients with comorbidities such as HIV. The main problems in the management of tuberculosis are the frequent association with HIV, particularly in Africa, and the increasing number of drug-resistant cases, particularly in Eastern Europe and Asia, making currently available treatment schedules inefficient. New drugs are urgently needed to cure these cases. This paper presents the basis for the current treatment schedules proposed by international organizations (WHO and IUATLD) for different forms of tuberculosis, the management of special situations and drug-resistant cases and of adverse events. This review is intended primarily for physicians unfamiliar with the management of tuberculosis.","author":[{"dropping-particle":"","family":"World Health Organization","given":"","non-dropping-particle":"","parse-names":false,"suffix":""}],"container-title":"Who","id":"ITEM-1","issued":{"date-parts":[["2017"]]},"title":"Guidelines for Treatment of Tuberculosis and Patient Care","type":"book"},"uris":["http://www.mendeley.com/documents/?uuid=0c86ff47-126e-4b1f-8bfb-b35973c19e90","http://www.mendeley.com/documents/?uuid=414a2a76-6e2f-49be-be0b-2ef342b84635"]}],"mendeley":{"formattedCitation":"&lt;sup&gt;43&lt;/sup&gt;","plainTextFormattedCitation":"43","previouslyFormattedCitation":"&lt;sup&gt;43&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43</w:t>
            </w:r>
            <w:r w:rsidRPr="005F5605">
              <w:rPr>
                <w:rFonts w:ascii="Arial" w:hAnsi="Arial" w:cs="Arial"/>
                <w:sz w:val="20"/>
                <w:szCs w:val="20"/>
              </w:rPr>
              <w:fldChar w:fldCharType="end"/>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Duration of second-line regimen</w:t>
            </w:r>
          </w:p>
        </w:tc>
        <w:tc>
          <w:tcPr>
            <w:tcW w:w="1074" w:type="dxa"/>
          </w:tcPr>
          <w:p w:rsidR="000623D8" w:rsidRPr="005F5605" w:rsidRDefault="005F5605"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eastAsia="DengXian" w:hAnsi="Arial" w:cs="Arial"/>
                <w:sz w:val="22"/>
                <w:szCs w:val="22"/>
              </w:rPr>
            </w:pPr>
            <m:oMathPara>
              <m:oMath>
                <m:sSup>
                  <m:sSupPr>
                    <m:ctrlPr>
                      <w:rPr>
                        <w:rFonts w:ascii="Cambria Math" w:hAnsi="Cambria Math" w:cs="Arial"/>
                        <w:i/>
                        <w:sz w:val="22"/>
                        <w:szCs w:val="22"/>
                      </w:rPr>
                    </m:ctrlPr>
                  </m:sSupPr>
                  <m:e>
                    <m:r>
                      <w:rPr>
                        <w:rFonts w:ascii="Cambria Math" w:hAnsi="Cambria Math" w:cs="Arial"/>
                        <w:sz w:val="22"/>
                        <w:szCs w:val="22"/>
                      </w:rPr>
                      <m:t>τ</m:t>
                    </m:r>
                  </m:e>
                  <m:sup>
                    <m:d>
                      <m:dPr>
                        <m:ctrlPr>
                          <w:rPr>
                            <w:rFonts w:ascii="Cambria Math" w:hAnsi="Cambria Math" w:cs="Arial"/>
                            <w:i/>
                            <w:sz w:val="22"/>
                            <w:szCs w:val="22"/>
                          </w:rPr>
                        </m:ctrlPr>
                      </m:dPr>
                      <m:e>
                        <m:r>
                          <w:rPr>
                            <w:rFonts w:ascii="Cambria Math" w:hAnsi="Cambria Math" w:cs="Arial"/>
                            <w:sz w:val="22"/>
                            <w:szCs w:val="22"/>
                          </w:rPr>
                          <m:t>SL</m:t>
                        </m:r>
                      </m:e>
                    </m:d>
                  </m:sup>
                </m:sSup>
              </m:oMath>
            </m:oMathPara>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0.5 y</w:t>
            </w:r>
            <w:r w:rsidRPr="005F5605">
              <w:rPr>
                <w:rFonts w:ascii="Arial" w:hAnsi="Arial" w:cs="Arial"/>
                <w:sz w:val="20"/>
                <w:szCs w:val="20"/>
                <w:vertAlign w:val="superscript"/>
              </w:rPr>
              <w:t>-1</w:t>
            </w:r>
          </w:p>
        </w:tc>
        <w:tc>
          <w:tcPr>
            <w:tcW w:w="2799"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Corresponds to a 2 year regimen</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{"citationItems":[{"id":"ITEM-1","itemData":{"DOI":"10.1586/17476348.1.1.85","ISBN":"9789241550000","ISSN":"1747-6348","PMID":"20477269","abstract":"Tuberculosis is still one of the main infectious diseases affecting mankind and is poorly controlled, despite the availability of cheap and effective drugs for the past 40-50 years. There are three basic principles of treatment against tuberculosis defined by the WHO and International Union Against Tuberculosis and Lung Disease (IUATLD). First is the use of potent bactericidal drugs in combination, to render the patients noninfective as rapidly as possible and prevent the transmission to other patients. Second, prolonged treatment eradicates even the dormant bacteria and prevents relapse. Third, regular treatment with correct doses is given in order to prevent the development of drug resistance. Most cases of tuberculosis can still be cured by a correct combination of isoniazid, rifampicin, pyrazinamide and ethambutol administered for 2 months, followed by isoniazid and rifampicin for 4 months. Antituberculous drugs are associated with adverse events, particularly in patients with comorbidities such as HIV. The main problems in the management of tuberculosis are the frequent association with HIV, particularly in Africa, and the increasing number of drug-resistant cases, particularly in Eastern Europe and Asia, making currently available treatment schedules inefficient. New drugs are urgently needed to cure these cases. This paper presents the basis for the current treatment schedules proposed by international organizations (WHO and IUATLD) for different forms of tuberculosis, the management of special situations and drug-resistant cases and of adverse events. This review is intended primarily for physicians unfamiliar with the management of tuberculosis.","author":[{"dropping-particle":"","family":"World Health Organization","given":"","non-dropping-particle":"","parse-names":false,"suffix":""}],"container-title":"Who","id":"ITEM-1","issued":{"date-parts":[["2017"]]},"title":"Guidelines for Treatment of Tuberculosis and Patient Care","type":"book"},"uris":["http://www.mendeley.com/documents/?uuid=414a2a76-6e2f-49be-be0b-2ef342b84635","http://www.mendeley.com/documents/?uuid=0c86ff47-126e-4b1f-8bfb-b35973c19e90"]}],"mendeley":{"formattedCitation":"&lt;sup&gt;43&lt;/sup&gt;","plainTextFormattedCitation":"43","previouslyFormattedCitation":"&lt;sup&gt;43&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43</w:t>
            </w:r>
            <w:r w:rsidRPr="005F5605">
              <w:rPr>
                <w:rFonts w:ascii="Arial" w:hAnsi="Arial" w:cs="Arial"/>
                <w:sz w:val="20"/>
                <w:szCs w:val="20"/>
              </w:rPr>
              <w:fldChar w:fldCharType="end"/>
            </w:r>
            <w:r w:rsidRPr="005F5605">
              <w:rPr>
                <w:rFonts w:ascii="Arial" w:hAnsi="Arial" w:cs="Arial"/>
                <w:sz w:val="20"/>
                <w:szCs w:val="20"/>
              </w:rPr>
              <w:t xml:space="preserve"> </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Rate of repeat care seeking for patients who have dropped out of care cascade</w:t>
            </w:r>
          </w:p>
        </w:tc>
        <w:tc>
          <w:tcPr>
            <w:tcW w:w="1074"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i/>
                <w:sz w:val="22"/>
                <w:szCs w:val="22"/>
              </w:rPr>
            </w:pPr>
            <m:oMathPara>
              <m:oMath>
                <m:r>
                  <w:rPr>
                    <w:rFonts w:ascii="Cambria Math" w:hAnsi="Cambria Math" w:cs="Arial"/>
                    <w:sz w:val="22"/>
                    <w:szCs w:val="22"/>
                  </w:rPr>
                  <m:t>γ</m:t>
                </m:r>
              </m:oMath>
            </m:oMathPara>
          </w:p>
        </w:tc>
        <w:tc>
          <w:tcPr>
            <w:tcW w:w="1890"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6 – 24 y-1</w:t>
            </w:r>
          </w:p>
        </w:tc>
        <w:tc>
          <w:tcPr>
            <w:tcW w:w="2799"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Yields an interval between </w:t>
            </w:r>
            <w:proofErr w:type="spellStart"/>
            <w:r w:rsidRPr="005F5605">
              <w:rPr>
                <w:rFonts w:ascii="Arial" w:hAnsi="Arial" w:cs="Arial"/>
                <w:sz w:val="20"/>
                <w:szCs w:val="20"/>
              </w:rPr>
              <w:t>careseeking</w:t>
            </w:r>
            <w:proofErr w:type="spellEnd"/>
            <w:r w:rsidRPr="005F5605">
              <w:rPr>
                <w:rFonts w:ascii="Arial" w:hAnsi="Arial" w:cs="Arial"/>
                <w:sz w:val="20"/>
                <w:szCs w:val="20"/>
              </w:rPr>
              <w:t xml:space="preserve"> episodes with uncertainty range of 2 weeks to 2 months</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{"citationItems":[{"id":"ITEM-1","itemData":{"DOI":"10.1371/journal.pone.0152287","ISSN":"19326203","PMID":"27018589","abstract":"Background: Timely diagnosis and treatment initiation are critical to reduce the chain of transmission of Tuberculosis (TB) in places like Mumbai, where almost 60% of the inhabitants reside in overcrowded slums. This study documents the pathway from the onset of symptoms suggestive of TB to initiation of TB treatment and examines factors responsible for delay among uncomplicated pulmonary TB patients in Mumbai. Methods: A population-based retrospective survey was conducted in the slums of 15 high TB burden administrative wards to identify 153 self-reported TB patients. Subsequently in-depth interviews of 76 consenting patients that fit the inclusion criteria were undertaken using an openended interview schedule. Mean total, first care seeking, diagnosis and treatment initiation duration and delays were computed for new and retreatment patients. Patients showing defined delays were divided into outliers and non-outliers for all three delays using the median values. Results: The mean duration for the total pathway was 65 days with 29% of patients being outliers. Importantly the mean duration of first care seeking was similar in new (24 days) and retreatment patients (25 days). Diagnostic duration contributed to 55% of the total pathway largely in new patients. Treatment initiation was noted to be the least among the three durations with mean duration in retreatment patients twice that of new patients. Significantly more female patients experienced diagnostic delay. Major shift of patients from the private to public sector and non-allopaths to allopaths was observed, particularly for treatment initiation. Conclusion: Achieving positive behavioural changes in providers (especially non-allopaths) and patients needs to be considered in TB control strategies. Specific attention is required in counselling of TB patients so that timely care seeking is effected at the time of relapse. Prioritizing improvement of environmental health in vulnerable locations and provision of point of care diagnostics would be singularly effective in curbing pathway delays.","author":[{"dropping-particle":"","family":"Mistry","given":"Nerges","non-dropping-particle":"","parse-names":false,"suffix":""},{"dropping-particle":"","family":"Rangan","given":"Sheela","non-dropping-particle":"","parse-names":false,"suffix":""},{"dropping-particle":"","family":"Dholakia","given":"Yatin","non-dropping-particle":"","parse-names":false,"suffix":""},{"dropping-particle":"","family":"Lobo","given":"Eunice","non-dropping-particle":"","parse-names":false,"suffix":""},{"dropping-particle":"","family":"Shah","given":"Shimoni","non-dropping-particle":"","parse-names":false,"suffix":""},{"dropping-particle":"","family":"Patil","given":"Akshaya","non-dropping-particle":"","parse-names":false,"suffix":""}],"container-title":"PLoS ONE","id":"ITEM-1","issued":{"date-parts":[["2016"]]},"title":"Durations and delays in care seeking, diagnosis and treatment initiation in uncomplicated pulmonary Tuberculosis patients in Mumbai, India","type":"article-journal"},"uris":["http://www.mendeley.com/documents/?uuid=30ad2d3b-7ac4-4a1c-b322-1cceb4775fe4"]}],"mendeley":{"formattedCitation":"&lt;sup&gt;44&lt;/sup&gt;","plainTextFormattedCitation":"44","previouslyFormattedCitation":"&lt;sup&gt;44&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44</w:t>
            </w:r>
            <w:r w:rsidRPr="005F5605">
              <w:rPr>
                <w:rFonts w:ascii="Arial" w:hAnsi="Arial" w:cs="Arial"/>
                <w:sz w:val="20"/>
                <w:szCs w:val="20"/>
              </w:rPr>
              <w:fldChar w:fldCharType="end"/>
            </w:r>
            <w:r w:rsidRPr="005F5605">
              <w:rPr>
                <w:rFonts w:ascii="Arial" w:hAnsi="Arial" w:cs="Arial"/>
                <w:sz w:val="20"/>
                <w:szCs w:val="20"/>
              </w:rPr>
              <w:t>.</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45" w:type="dxa"/>
            <w:gridSpan w:val="7"/>
          </w:tcPr>
          <w:p w:rsidR="000623D8" w:rsidRPr="005F5605" w:rsidRDefault="000623D8" w:rsidP="000731FD">
            <w:pPr>
              <w:spacing w:before="60" w:after="60" w:line="312" w:lineRule="auto"/>
              <w:rPr>
                <w:rFonts w:ascii="Arial" w:hAnsi="Arial" w:cs="Arial"/>
                <w:i/>
                <w:iCs/>
                <w:sz w:val="20"/>
                <w:szCs w:val="20"/>
                <w:u w:val="single"/>
              </w:rPr>
            </w:pPr>
            <w:r w:rsidRPr="005F5605">
              <w:rPr>
                <w:rFonts w:ascii="Arial" w:hAnsi="Arial" w:cs="Arial"/>
                <w:i/>
                <w:iCs/>
                <w:sz w:val="20"/>
                <w:szCs w:val="20"/>
                <w:u w:val="single"/>
              </w:rPr>
              <w:t>Population structure</w:t>
            </w:r>
          </w:p>
        </w:tc>
      </w:tr>
      <w:tr w:rsidR="000623D8" w:rsidRPr="005F5605" w:rsidTr="000731FD">
        <w:trPr>
          <w:trHeight w:val="952"/>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Per-capita birth rate</w:t>
            </w:r>
          </w:p>
        </w:tc>
        <w:tc>
          <w:tcPr>
            <w:tcW w:w="1074" w:type="dxa"/>
          </w:tcPr>
          <w:p w:rsidR="000623D8" w:rsidRPr="005F5605" w:rsidRDefault="000623D8" w:rsidP="000731FD">
            <w:pPr>
              <w:spacing w:before="60" w:after="60" w:line="312"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rPr>
            </w:pPr>
            <w:r w:rsidRPr="005F5605">
              <w:rPr>
                <w:rFonts w:ascii="Arial" w:hAnsi="Arial" w:cs="Arial"/>
                <w:i/>
                <w:sz w:val="20"/>
                <w:szCs w:val="20"/>
              </w:rPr>
              <w:t>b</w:t>
            </w:r>
          </w:p>
        </w:tc>
        <w:tc>
          <w:tcPr>
            <w:tcW w:w="4689" w:type="dxa"/>
            <w:gridSpan w:val="3"/>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Selected to yield projected population growth</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952"/>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Per-capita ‘background’ mortality hazard </w:t>
            </w:r>
          </w:p>
        </w:tc>
        <w:tc>
          <w:tcPr>
            <w:tcW w:w="1074"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i/>
                <w:sz w:val="20"/>
                <w:szCs w:val="20"/>
              </w:rPr>
            </w:pPr>
            <m:oMathPara>
              <m:oMath>
                <m:r>
                  <w:rPr>
                    <w:rFonts w:ascii="Cambria Math" w:hAnsi="Cambria Math" w:cs="Arial"/>
                    <w:sz w:val="20"/>
                    <w:szCs w:val="20"/>
                  </w:rPr>
                  <m:t>μ</m:t>
                </m:r>
              </m:oMath>
            </m:oMathPara>
          </w:p>
        </w:tc>
        <w:tc>
          <w:tcPr>
            <w:tcW w:w="1890"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1/66</w:t>
            </w:r>
          </w:p>
        </w:tc>
        <w:tc>
          <w:tcPr>
            <w:tcW w:w="2799"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Corresponding to a TB-free life expectancy of 66 years for India (World Bank, adjusted to country-specific data) </w:t>
            </w:r>
          </w:p>
        </w:tc>
      </w:tr>
      <w:tr w:rsidR="000623D8" w:rsidRPr="005F5605" w:rsidTr="000731FD">
        <w:trPr>
          <w:trHeight w:val="952"/>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Reduction of force of infection owing to previous infection</w:t>
            </w:r>
          </w:p>
        </w:tc>
        <w:tc>
          <w:tcPr>
            <w:tcW w:w="1074" w:type="dxa"/>
          </w:tcPr>
          <w:p w:rsidR="000623D8" w:rsidRPr="005F5605" w:rsidRDefault="005F5605"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0"/>
                <w:szCs w:val="20"/>
              </w:rPr>
            </w:pPr>
            <m:oMathPara>
              <m:oMath>
                <m:sSub>
                  <m:sSubPr>
                    <m:ctrlPr>
                      <w:rPr>
                        <w:rFonts w:ascii="Cambria Math" w:hAnsi="Cambria Math" w:cs="Arial"/>
                        <w:i/>
                        <w:sz w:val="22"/>
                        <w:szCs w:val="22"/>
                      </w:rPr>
                    </m:ctrlPr>
                  </m:sSubPr>
                  <m:e>
                    <m:r>
                      <w:rPr>
                        <w:rFonts w:ascii="Cambria Math" w:hAnsi="Cambria Math" w:cs="Arial"/>
                        <w:sz w:val="22"/>
                        <w:szCs w:val="22"/>
                      </w:rPr>
                      <m:t>c</m:t>
                    </m:r>
                  </m:e>
                  <m:sub>
                    <m:r>
                      <w:rPr>
                        <w:rFonts w:ascii="Cambria Math" w:hAnsi="Cambria Math" w:cs="Arial"/>
                        <w:sz w:val="22"/>
                        <w:szCs w:val="22"/>
                      </w:rPr>
                      <m:t>i</m:t>
                    </m:r>
                  </m:sub>
                </m:sSub>
              </m:oMath>
            </m:oMathPara>
          </w:p>
        </w:tc>
        <w:tc>
          <w:tcPr>
            <w:tcW w:w="1896" w:type="dxa"/>
            <w:gridSpan w:val="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0.85</w:t>
            </w:r>
          </w:p>
        </w:tc>
        <w:tc>
          <w:tcPr>
            <w:tcW w:w="2793" w:type="dxa"/>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{"citationItems":[{"id":"ITEM-1","itemData":{"DOI":"10.1093/cid/cir951","ISSN":"10584838","abstract":"Background: The risk of progression to active tuberculosis is greatest in the several years following initial infection. The extent to which latent tuberculosis infection reduces the risk of progressive disease following reexposure and reinfection is not known. Indirect estimates from population models have been highly variable. Methods: We reviewed prospective cohort studies of persons exposed to individuals with infectious tuberculosis that were published prior to the widespread treatment of latent tuberculosis to estimate the incidence of tuberculosis among individuals with latent tuberculosis infection (LTBI group) and without latent tuberculosis (uninfected; UI group). We calculated the incidence rate ratio (IRR) of tuberculosis disease following infection between these 2 groups. We then adjusted incidence for expected reactivation, proportion of each group that was infected, and median time of observation following infection during the study. Results: We identified 18 publications reporting tuberculosis incidence among 23 paired cohorts of individuals with and without latent infection (total N 5 19 886). The weighted mean adjusted incidence rate of tuberculosis in the LTBI and UI groups attributable to reinfection was 13.5 per 1000 person-years (95% confidence interval [CI]: 5.0-26.2 per 1000 person-years) and that attributable to primary infection was 60.1 per 1000 person-years (95% CI: 38.6-87.4 per 1000 person-years). The adjusted IRR for tuberculosis in the LTBI group compared with the UI group was 0.21 (95% CI: .14-.30). Conclusions: Individuals with latent tuberculosis had 79% lower risk of progressive tuberculosis fter reinfection than uninfected individuals. The risk reduction estimated in this study is greater than most previous estimates made through population models. © 2011 The Author. Published by Oxford University Press on behalf of the Infectious Diseases Society of America. All rights reserved.","author":[{"dropping-particle":"","family":"Andrews","given":"Jason R.","non-dropping-particle":"","parse-names":false,"suffix":""},{"dropping-particle":"","family":"Noubary","given":"Farzad","non-dropping-particle":"","parse-names":false,"suffix":""},{"dropping-particle":"","family":"Walensky","given":"Rochelle P.","non-dropping-particle":"","parse-names":false,"suffix":""},{"dropping-particle":"","family":"Cerda","given":"Rodrigo","non-dropping-particle":"","parse-names":false,"suffix":""},{"dropping-particle":"","family":"Losina","given":"Elena","non-dropping-particle":"","parse-names":false,"suffix":""},{"dropping-particle":"","family":"Horsburgh","given":"C. Robert","non-dropping-particle":"","parse-names":false,"suffix":""}],"container-title":"Clinical Infectious Diseases","id":"ITEM-1","issued":{"date-parts":[["2012"]]},"title":"Risk of progression to active tuberculosis following reinfection with Mycobacterium tuberculosis","type":"article-journal"},"uris":["http://www.mendeley.com/documents/?uuid=e2455d57-c6b0-4173-84cd-a820ffd4cd05"]}],"mendeley":{"formattedCitation":"&lt;sup&gt;45&lt;/sup&gt;","plainTextFormattedCitation":"45","previouslyFormattedCitation":"&lt;sup&gt;45&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45</w:t>
            </w:r>
            <w:r w:rsidRPr="005F5605">
              <w:rPr>
                <w:rFonts w:ascii="Arial" w:hAnsi="Arial" w:cs="Arial"/>
                <w:sz w:val="20"/>
                <w:szCs w:val="20"/>
              </w:rPr>
              <w:fldChar w:fldCharType="end"/>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952"/>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Relative transmission efficiency for HIV +</w:t>
            </w:r>
            <w:proofErr w:type="spellStart"/>
            <w:r w:rsidRPr="005F5605">
              <w:rPr>
                <w:rFonts w:ascii="Arial" w:hAnsi="Arial" w:cs="Arial"/>
                <w:sz w:val="20"/>
                <w:szCs w:val="20"/>
              </w:rPr>
              <w:t>ve</w:t>
            </w:r>
            <w:proofErr w:type="spellEnd"/>
            <w:r w:rsidRPr="005F5605">
              <w:rPr>
                <w:rFonts w:ascii="Arial" w:hAnsi="Arial" w:cs="Arial"/>
                <w:sz w:val="20"/>
                <w:szCs w:val="20"/>
              </w:rPr>
              <w:t xml:space="preserve"> patients</w:t>
            </w:r>
          </w:p>
        </w:tc>
        <w:tc>
          <w:tcPr>
            <w:tcW w:w="1074"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m:oMathPara>
              <m:oMath>
                <m:r>
                  <w:rPr>
                    <w:rFonts w:ascii="Cambria Math" w:hAnsi="Cambria Math" w:cs="Arial"/>
                    <w:sz w:val="22"/>
                    <w:szCs w:val="22"/>
                  </w:rPr>
                  <m:t>κ</m:t>
                </m:r>
              </m:oMath>
            </m:oMathPara>
          </w:p>
        </w:tc>
        <w:tc>
          <w:tcPr>
            <w:tcW w:w="1896"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0.7</w:t>
            </w:r>
          </w:p>
        </w:tc>
        <w:tc>
          <w:tcPr>
            <w:tcW w:w="2793"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Assumption</w:t>
            </w:r>
          </w:p>
        </w:tc>
      </w:tr>
      <w:tr w:rsidR="000623D8" w:rsidRPr="005F5605" w:rsidTr="000731FD">
        <w:trPr>
          <w:trHeight w:val="533"/>
        </w:trPr>
        <w:tc>
          <w:tcPr>
            <w:cnfStyle w:val="001000000000" w:firstRow="0" w:lastRow="0" w:firstColumn="1" w:lastColumn="0" w:oddVBand="0" w:evenVBand="0" w:oddHBand="0" w:evenHBand="0" w:firstRowFirstColumn="0" w:firstRowLastColumn="0" w:lastRowFirstColumn="0" w:lastRowLastColumn="0"/>
            <w:tcW w:w="9545" w:type="dxa"/>
            <w:gridSpan w:val="7"/>
            <w:shd w:val="clear" w:color="auto" w:fill="F2F2F2" w:themeFill="background1" w:themeFillShade="F2"/>
            <w:vAlign w:val="center"/>
          </w:tcPr>
          <w:p w:rsidR="000623D8" w:rsidRPr="005F5605" w:rsidRDefault="000623D8" w:rsidP="000731FD">
            <w:pPr>
              <w:spacing w:before="60" w:after="60" w:line="312" w:lineRule="auto"/>
              <w:rPr>
                <w:rFonts w:ascii="Arial" w:hAnsi="Arial" w:cs="Arial"/>
                <w:b w:val="0"/>
                <w:bCs w:val="0"/>
                <w:i/>
                <w:sz w:val="20"/>
                <w:szCs w:val="20"/>
                <w:u w:val="single"/>
                <w:lang w:eastAsia="zh-CN"/>
              </w:rPr>
            </w:pPr>
          </w:p>
          <w:p w:rsidR="000623D8" w:rsidRPr="005F5605" w:rsidRDefault="000623D8" w:rsidP="000731FD">
            <w:pPr>
              <w:spacing w:before="60" w:after="60" w:line="312" w:lineRule="auto"/>
              <w:rPr>
                <w:rFonts w:ascii="Arial" w:hAnsi="Arial" w:cs="Arial"/>
                <w:i/>
                <w:sz w:val="20"/>
                <w:szCs w:val="20"/>
                <w:u w:val="single"/>
              </w:rPr>
            </w:pPr>
            <w:r w:rsidRPr="005F5605">
              <w:rPr>
                <w:rFonts w:ascii="Arial" w:hAnsi="Arial" w:cs="Arial"/>
                <w:i/>
                <w:sz w:val="20"/>
                <w:szCs w:val="20"/>
                <w:u w:val="single"/>
                <w:lang w:eastAsia="zh-CN"/>
              </w:rPr>
              <w:t>Preventive therapy parameters</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3782" w:type="dxa"/>
            <w:gridSpan w:val="3"/>
            <w:shd w:val="clear" w:color="auto" w:fill="FFFFFF" w:themeFill="background1"/>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Incidence rate ratio, household contacts  vs general population </w:t>
            </w:r>
          </w:p>
        </w:tc>
        <w:tc>
          <w:tcPr>
            <w:tcW w:w="1074" w:type="dxa"/>
            <w:shd w:val="clear" w:color="auto" w:fill="FFFFFF" w:themeFill="background1"/>
          </w:tcPr>
          <w:p w:rsidR="000623D8" w:rsidRPr="005F5605" w:rsidRDefault="005F5605" w:rsidP="000731FD">
            <w:pPr>
              <w:spacing w:line="312" w:lineRule="auto"/>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m:oMathPara>
              <m:oMath>
                <m:sSub>
                  <m:sSubPr>
                    <m:ctrlPr>
                      <w:rPr>
                        <w:rFonts w:ascii="Cambria Math" w:hAnsi="Cambria Math" w:cs="Arial"/>
                        <w:i/>
                        <w:sz w:val="22"/>
                        <w:szCs w:val="22"/>
                        <w:lang w:eastAsia="zh-CN"/>
                      </w:rPr>
                    </m:ctrlPr>
                  </m:sSubPr>
                  <m:e>
                    <m:r>
                      <w:rPr>
                        <w:rFonts w:ascii="Cambria Math" w:hAnsi="Cambria Math" w:cs="Arial"/>
                        <w:sz w:val="22"/>
                        <w:szCs w:val="22"/>
                        <w:lang w:eastAsia="zh-CN"/>
                      </w:rPr>
                      <m:t>k</m:t>
                    </m:r>
                  </m:e>
                  <m:sub>
                    <m:r>
                      <w:rPr>
                        <w:rFonts w:ascii="Cambria Math" w:hAnsi="Cambria Math" w:cs="Arial"/>
                        <w:sz w:val="22"/>
                        <w:szCs w:val="22"/>
                        <w:lang w:eastAsia="zh-CN"/>
                      </w:rPr>
                      <m:t>HH</m:t>
                    </m:r>
                  </m:sub>
                </m:sSub>
              </m:oMath>
            </m:oMathPara>
          </w:p>
        </w:tc>
        <w:tc>
          <w:tcPr>
            <w:tcW w:w="1896" w:type="dxa"/>
            <w:gridSpan w:val="2"/>
            <w:shd w:val="clear" w:color="auto" w:fill="FFFFFF" w:themeFill="background1"/>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7.0 (3.0 – 11.0)</w:t>
            </w:r>
          </w:p>
        </w:tc>
        <w:tc>
          <w:tcPr>
            <w:tcW w:w="2793" w:type="dxa"/>
            <w:shd w:val="clear" w:color="auto" w:fill="FFFFFF" w:themeFill="background1"/>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Assumption based on 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{"citationItems":[{"id":"ITEM-1","itemData":{"DOI":"10.1056/NEJMoa1700209","ISSN":"15334406","abstract":"BACKGROUND: Active case finding is a top priority for the global control of tuberculosis, but robust evidence for its effectiveness in high-prevalence settings is lacking. We sought to evaluate the effectiveness of household-contact investigation, as compared with standard, passive measures alone, in Vietnam. METHODS: We performed a cluster-randomized, controlled trial at clinics in 70 districts (local government areas with an average population of approximately 500,000 in urban areas and 100,000 in rural areas) in eight provinces of Vietnam. Health workers at each district clinic or hospital were assigned to perform either household-contact intervention plus standard passive case finding (intervention group) or passive case finding alone (control group). In the intervention districts, household contacts of patients with positive results for tuberculosis on sputum smear microscopy (smear-positive tuberculosis) were invited for clinical assessment and chest radiography at baseline and at 6, 12, and 24 months. The primary outcome was the cumulative incidence of registered cases of tuberculosis among household contacts of patients with tuberculosis during a 2-year period. RESULTS: In 70 selected districts, we enrolled 25,707 household contacts of 10,964 patients who had smear-positive pulmonary tuberculosis. In the 36 districts that were included in the intervention group, 180 of 10,069 contacts were registered as having tuberculosis (1788 cases per 100,000 population), as compared with 110 of 15,638 contacts (703 per 100,000) in the control group (relative risk of the primary outcome in the intervention group, 2.5; 95% confidence interval [CI], 2.0 to 3.2; P&lt;0.001); the relative risk of smear-positive disease among household contacts in the intervention group was 6.4 (95% CI, 4.5 to 9.0; P&lt;0.001). CONCLUSIONS: Household-contact investigation plus standard passive case finding was more effective than standard passive case finding alone for the detection of tuberculosis in a high-prevalence setting at 2 years.","author":[{"dropping-particle":"","family":"Fox","given":"Greg J.","non-dropping-particle":"","parse-names":false,"suffix":""},{"dropping-particle":"","family":"Sy","given":"Dinh N.","non-dropping-particle":"","parse-names":false,"suffix":""},{"dropping-particle":"","family":"Hoa","given":"Nghiem L.P.","non-dropping-particle":"","parse-names":false,"suffix":""},{"dropping-particle":"","family":"Anh","given":"Le T.N.","non-dropping-particle":"","parse-names":false,"suffix":""},{"dropping-particle":"","family":"Anh","given":"Nguyen T.","non-dropping-particle":"","parse-names":false,"suffix":""},{"dropping-particle":"","family":"Hoa","given":"Nguyen B.","non-dropping-particle":"","parse-names":false,"suffix":""},{"dropping-particle":"","family":"Dung","given":"Nguyen H.","non-dropping-particle":"","parse-names":false,"suffix":""},{"dropping-particle":"","family":"Buu","given":"Tran N.","non-dropping-particle":"","parse-names":false,"suffix":""},{"dropping-particle":"","family":"Loi","given":"Nguyen T.","non-dropping-particle":"","parse-names":false,"suffix":""},{"dropping-particle":"","family":"Nhung","given":"Le T.","non-dropping-particle":"","parse-names":false,"suffix":""},{"dropping-particle":"V.","family":"Hung","given":"Nguyen","non-dropping-particle":"","parse-names":false,"suffix":""},{"dropping-particle":"","family":"Lieu","given":"Phan T.","non-dropping-particle":"","parse-names":false,"suffix":""},{"dropping-particle":"","family":"Cuong","given":"Nguyen K.","non-dropping-particle":"","parse-names":false,"suffix":""},{"dropping-particle":"","family":"Cuong","given":"Pham D.","non-dropping-particle":"","parse-names":false,"suffix":""},{"dropping-particle":"","family":"Bestrashniy","given":"Jessica","non-dropping-particle":"","parse-names":false,"suffix":""},{"dropping-particle":"","family":"Britton","given":"Warwick J.","non-dropping-particle":"","parse-names":false,"suffix":""},{"dropping-particle":"","family":"Marks","given":"Guy B.","non-dropping-particle":"","parse-names":false,"suffix":""},{"dropping-particle":"V.","family":"Nhung","given":"Nguyen","non-dropping-particle":"","parse-names":false,"suffix":""}],"container-title":"New England Journal of Medicine","id":"ITEM-1","issued":{"date-parts":[["2018"]]},"title":"Household-contact investigation for detection of tuberculosis in Vietnam","type":"article-journal"},"uris":["http://www.mendeley.com/documents/?uuid=b5b86ef6-b062-42dd-a28d-707e7af1f334"]},{"id":"ITEM-2","itemData":{"DOI":"10.1093/cid/civ611","ISSN":"15376591","abstract":"Progress in tuberculosis clinical research is hampered by a lack of reliable biomarkers that predict progression from latent to active tuberculosis, and subsequent cure, relapse, or failure. Regional Prospective Observational Research in Tuberculosis (RePORT) International represents a consortium of regional cohorts (RePORT India, RePORT Brazil, and RePORT Indonesia) that are linked through the implementation of a Common Protocol for data and specimen collection, and are poised to address this critical research need. Each RePORT network is designed to support local, in-country tuberculosis-specific data and specimen biorepositories, and associated research. Taken together, the expected results include greater global clinical research capacity in high-burden settings, and increased local access to quality data and specimens for members of each network and their domestic and international collaborators. Additional networks are expected to be added, helping to spur tuberculosis treatment and prevention research around the world.","author":[{"dropping-particle":"","family":"Hamilton","given":"Carol D.","non-dropping-particle":"","parse-names":false,"suffix":""},{"dropping-particle":"","family":"Swaminathan","given":"Soumya","non-dropping-particle":"","parse-names":false,"suffix":""},{"dropping-particle":"","family":"Christopher","given":"Devasahayam J.","non-dropping-particle":"","parse-names":false,"suffix":""},{"dropping-particle":"","family":"Ellner","given":"Jerrold","non-dropping-particle":"","parse-names":false,"suffix":""},{"dropping-particle":"","family":"Gupta","given":"Amita","non-dropping-particle":"","parse-names":false,"suffix":""},{"dropping-particle":"","family":"Sterling","given":"Timothy R.","non-dropping-particle":"","parse-names":false,"suffix":""},{"dropping-particle":"","family":"Rolla","given":"Valeria","non-dropping-particle":"","parse-names":false,"suffix":""},{"dropping-particle":"","family":"Srinivasan","given":"Sudha","non-dropping-particle":"","parse-names":false,"suffix":""},{"dropping-particle":"","family":"Karyana","given":"Muhammad","non-dropping-particle":"","parse-names":false,"suffix":""},{"dropping-particle":"","family":"Siddiqui","given":"Sophia","non-dropping-particle":"","parse-names":false,"suffix":""},{"dropping-particle":"","family":"Stoszek","given":"Sonia K.","non-dropping-particle":"","parse-names":false,"suffix":""},{"dropping-particle":"","family":"Kim","given":"Peter","non-dropping-particle":"","parse-names":false,"suffix":""}],"container-title":"Clinical Infectious Diseases","id":"ITEM-2","issued":{"date-parts":[["2015"]]},"title":"RePORT International: Advancing Tuberculosis Biomarker Research Through Global Collaboration","type":"article-journal"},"uris":["http://www.mendeley.com/documents/?uuid=45232973-ed80-4c34-9f43-f650fbe865cf"]}],"mendeley":{"formattedCitation":"&lt;sup&gt;31,32&lt;/sup&gt;","plainTextFormattedCitation":"31,32","previouslyFormattedCitation":"&lt;sup&gt;31,32&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31,32</w:t>
            </w:r>
            <w:r w:rsidRPr="005F5605">
              <w:rPr>
                <w:rFonts w:ascii="Arial" w:hAnsi="Arial" w:cs="Arial"/>
                <w:sz w:val="20"/>
                <w:szCs w:val="20"/>
              </w:rPr>
              <w:fldChar w:fldCharType="end"/>
            </w:r>
            <w:r w:rsidRPr="005F5605">
              <w:rPr>
                <w:rFonts w:ascii="Arial" w:hAnsi="Arial" w:cs="Arial"/>
                <w:sz w:val="20"/>
                <w:szCs w:val="20"/>
              </w:rPr>
              <w:t xml:space="preserve"> </w:t>
            </w:r>
          </w:p>
        </w:tc>
      </w:tr>
      <w:tr w:rsidR="000623D8" w:rsidRPr="005F5605" w:rsidTr="000731FD">
        <w:trPr>
          <w:trHeight w:val="608"/>
        </w:trPr>
        <w:tc>
          <w:tcPr>
            <w:cnfStyle w:val="001000000000" w:firstRow="0" w:lastRow="0" w:firstColumn="1" w:lastColumn="0" w:oddVBand="0" w:evenVBand="0" w:oddHBand="0" w:evenHBand="0" w:firstRowFirstColumn="0" w:firstRowLastColumn="0" w:lastRowFirstColumn="0" w:lastRowLastColumn="0"/>
            <w:tcW w:w="3782" w:type="dxa"/>
            <w:gridSpan w:val="3"/>
            <w:shd w:val="clear" w:color="auto" w:fill="F2F2F2" w:themeFill="background1" w:themeFillShade="F2"/>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Incidence rate ratio, other clinical risk groups vs general population </w:t>
            </w:r>
          </w:p>
        </w:tc>
        <w:tc>
          <w:tcPr>
            <w:tcW w:w="1074" w:type="dxa"/>
            <w:shd w:val="clear" w:color="auto" w:fill="F2F2F2" w:themeFill="background1" w:themeFillShade="F2"/>
          </w:tcPr>
          <w:p w:rsidR="000623D8" w:rsidRPr="005F5605" w:rsidRDefault="005F5605"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m:oMathPara>
              <m:oMath>
                <m:sSub>
                  <m:sSubPr>
                    <m:ctrlPr>
                      <w:rPr>
                        <w:rFonts w:ascii="Cambria Math" w:hAnsi="Cambria Math" w:cs="Arial"/>
                        <w:i/>
                        <w:sz w:val="22"/>
                        <w:szCs w:val="22"/>
                        <w:lang w:eastAsia="zh-CN"/>
                      </w:rPr>
                    </m:ctrlPr>
                  </m:sSubPr>
                  <m:e>
                    <m:r>
                      <w:rPr>
                        <w:rFonts w:ascii="Cambria Math" w:hAnsi="Cambria Math" w:cs="Arial"/>
                        <w:sz w:val="22"/>
                        <w:szCs w:val="22"/>
                        <w:lang w:eastAsia="zh-CN"/>
                      </w:rPr>
                      <m:t>k</m:t>
                    </m:r>
                  </m:e>
                  <m:sub>
                    <m:r>
                      <w:rPr>
                        <w:rFonts w:ascii="Cambria Math" w:hAnsi="Cambria Math" w:cs="Arial"/>
                        <w:sz w:val="22"/>
                        <w:szCs w:val="22"/>
                        <w:lang w:eastAsia="zh-CN"/>
                      </w:rPr>
                      <m:t>RG</m:t>
                    </m:r>
                  </m:sub>
                </m:sSub>
              </m:oMath>
            </m:oMathPara>
          </w:p>
        </w:tc>
        <w:tc>
          <w:tcPr>
            <w:tcW w:w="1896" w:type="dxa"/>
            <w:gridSpan w:val="2"/>
            <w:shd w:val="clear" w:color="auto" w:fill="F2F2F2" w:themeFill="background1" w:themeFillShade="F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11.0 (2.0 – 20.0)</w:t>
            </w:r>
          </w:p>
        </w:tc>
        <w:tc>
          <w:tcPr>
            <w:tcW w:w="2793" w:type="dxa"/>
            <w:shd w:val="clear" w:color="auto" w:fill="F2F2F2" w:themeFill="background1" w:themeFillShade="F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Assumption based on 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{"citationItems":[{"id":"ITEM-1","itemData":{"DOI":"10.1164/ajrccm.150.5.7952577","ISSN":"1073449X","abstract":"The elevated risk of tuberculosis in subjects with silicosis is widely accepted but has not been quantified in a population with a high prevalence of tuberculosis. In this study, a cohort of 1,153 older gold miners with and without silicosis who had not had tuberculosis have been followed for 7 yr by a routine mine surveillance program for detection of tuberculosis. One hundred seventy-eight of the men developed tuberculosis. The annual incidence of tuberculosis was 981/100,000 in the 335 men without silicosis and 2,707/100,000 in the 818 men with silicosis. The relative risk for tuberculosis was 2.8 (95% CI, 1.9 to 4.1) for men with silicosis compared with that in the men without silicosis. The incidence of tuberculosis increased from 1% per annum (pa) for the men without silicosis to 2.2% pa for the men with silicosis with Category 1 nodule profusion, 2.9% pa for those with Category 2, and 6.3% pa for those with Category 3 silicosis. This study has confirmed and quantified the high risk of pulmonary and of extrapulmonary tuberculosis in men with silicosis. The incidence of tuberculosis during this 7-yr study suggests that one quarter of these men with silicosis will have developed tuberculosis by 60 yr of age.","author":[{"dropping-particle":"","family":"Cowie","given":"Robert L.","non-dropping-particle":"","parse-names":false,"suffix":""}],"container-title":"American Journal of Respiratory and Critical Care Medicine","id":"ITEM-1","issued":{"date-parts":[["1994"]]},"title":"The epidemiology of tuberculosis in gold miners with silicosis","type":"article-journal"},"uris":["http://www.mendeley.com/documents/?uuid=ee099fb7-0d36-4add-a642-00320b516ba7","http://www.mendeley.com/documents/?uuid=7c88776f-6454-486e-a559-a5180282da7a"]},{"id":"ITEM-2","itemData":{"DOI":"10.1136/thx.2009.133173","ISSN":"00406376","abstract":"Guidelines have been compiled by the Joint Tuberculosis Committee of the British Thoracic Society for the prevention and management of Mycobacterium tuberculosis infection and disease in patients with all grades of renal impairment.","author":[{"dropping-particle":"","family":"Milburn","given":"Heather","non-dropping-particle":"","parse-names":false,"suffix":""},{"dropping-particle":"","family":"Ashman","given":"Neil","non-dropping-particle":"","parse-names":false,"suffix":""},{"dropping-particle":"","family":"Davies","given":"Peter","non-dropping-particle":"","parse-names":false,"suffix":""},{"dropping-particle":"","family":"Doffman","given":"Sarah","non-dropping-particle":"","parse-names":false,"suffix":""},{"dropping-particle":"","family":"Drobniewski","given":"Francis","non-dropping-particle":"","parse-names":false,"suffix":""},{"dropping-particle":"","family":"Khoo","given":"Saye","non-dropping-particle":"","parse-names":false,"suffix":""},{"dropping-particle":"","family":"Ormerod","given":"Peter","non-dropping-particle":"","parse-names":false,"suffix":""},{"dropping-particle":"","family":"Ostermann","given":"Marlies","non-dropping-particle":"","parse-names":false,"suffix":""},{"dropping-particle":"","family":"Snelson","given":"Catherine","non-dropping-particle":"","parse-names":false,"suffix":""}],"container-title":"Thorax","id":"ITEM-2","issued":{"date-parts":[["2010"]]},"title":"Guidelines for the prevention and management of Mycobacterium tuberculosis infection and disease in adult patients with chronic kidney disease","type":"article"},"uris":["http://www.mendeley.com/documents/?uuid=33c6aa0d-4956-417d-9182-46fc6aee1a2f","http://www.mendeley.com/documents/?uuid=23b2a7b3-a9d7-4c0b-b79f-95c872c76827","http://www.mendeley.com/documents/?uuid=e37dcff3-edc1-4cce-94e3-7af680970f48"]}],"mendeley":{"formattedCitation":"&lt;sup&gt;24,25&lt;/sup&gt;","plainTextFormattedCitation":"24,25","previouslyFormattedCitation":"&lt;sup&gt;24,25&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24,25</w:t>
            </w:r>
            <w:r w:rsidRPr="005F5605">
              <w:rPr>
                <w:rFonts w:ascii="Arial" w:hAnsi="Arial" w:cs="Arial"/>
                <w:sz w:val="20"/>
                <w:szCs w:val="20"/>
              </w:rPr>
              <w:fldChar w:fldCharType="end"/>
            </w:r>
            <w:r w:rsidRPr="005F5605">
              <w:rPr>
                <w:rFonts w:ascii="Arial" w:hAnsi="Arial" w:cs="Arial"/>
                <w:sz w:val="20"/>
                <w:szCs w:val="20"/>
              </w:rPr>
              <w:t xml:space="preserve"> </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lastRenderedPageBreak/>
              <w:t xml:space="preserve"> Effectiveness of preventive therapy</w:t>
            </w:r>
          </w:p>
        </w:tc>
        <w:tc>
          <w:tcPr>
            <w:tcW w:w="1074"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lang w:eastAsia="zh-CN"/>
              </w:rPr>
            </w:pPr>
            <m:oMathPara>
              <m:oMath>
                <m:r>
                  <w:rPr>
                    <w:rFonts w:ascii="Cambria Math" w:eastAsia="Calibri" w:hAnsi="Cambria Math" w:cs="Arial"/>
                    <w:sz w:val="22"/>
                    <w:szCs w:val="22"/>
                    <w:lang w:eastAsia="zh-CN"/>
                  </w:rPr>
                  <m:t>c</m:t>
                </m:r>
              </m:oMath>
            </m:oMathPara>
          </w:p>
        </w:tc>
        <w:tc>
          <w:tcPr>
            <w:tcW w:w="1896"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 0.3 (for IPT)</w:t>
            </w:r>
          </w:p>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0.6 (for 3HP)</w:t>
            </w:r>
          </w:p>
        </w:tc>
        <w:tc>
          <w:tcPr>
            <w:tcW w:w="2793" w:type="dxa"/>
            <w:shd w:val="clear" w:color="auto" w:fill="auto"/>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10.1002/14651858.CD001363","ISSN":"14651858","author":[{"dropping-particle":"","family":"Smieja","given":"Marek","non-dropping-particle":"","parse-names":false,"suffix":""},{"dropping-particle":"","family":"Marchetti","given":"Catherine","non-dropping-particle":"","parse-names":false,"suffix":""},{"dropping-particle":"","family":"Cook","given":"Deborah","non-dropping-particle":"","parse-names":false,"suffix":""},{"dropping-particle":"","family":"Smaill","given":"Fiona M","non-dropping-particle":"","parse-names":false,"suffix":""}],"container-title":"Cochrane Database of Systematic Reviews","id":"ITEM-1","issued":{"date-parts":[["1999","1"]]},"title":"Isoniazid for preventing tuberculosis in non-HIV infected persons","type":"article-journal"},"uris":["http://www.mendeley.com/documents/?uuid=cd61df24-8ac3-4427-b7c0-2d3d26b40ce4"]},{"id":"ITEM-2","itemData":{"DOI":"10.1056/NEJMoa1104875","ISSN":"0028-4793","PMID":"22150035","abstract":"BACKGROUND Treatment of latent Mycobacterium tuberculosis infection is an essential component of tuberculosis control and elimination. The current standard regimen of isoniazid for 9 months is efficacious but is limited by toxicity and low rates of treatment completion. METHODS We conducted an open-label, randomized noninferiority trial comparing 3 months of directly observed once-weekly therapy with rifapentine (900 mg) plus isoniazid (900 mg) (combination-therapy group) with 9 months of self-administered daily isoniazid (300 mg) (isoniazid-only group) in subjects at high risk for tuberculosis. Subjects were enrolled from the United States, Canada, Brazil, and Spain and followed for 33 months. The primary end point was confirmed tuberculosis, and the noninferiority margin was 0.75%. RESULTS In the modified intention-to-treat analysis, tuberculosis developed in 7 of 3986 subjects in the combination-therapy group (cumulative rate, 0.19%) and in 15 of 3745 subjects in the isoniazid-only group (cumulative rate, 0.43%), for a difference of 0.24 percentage points. Rates of treatment completion were 82.1% in the combination-therapy group and 69.0% in the isoniazid-only group (P&lt;0.001). Rates of permanent drug discontinuation owing to an adverse event were 4.9% in the combination-therapy group and 3.7% in the isoniazid-only group (P=0.009). Rates of investigator-assessed drug-related hepatotoxicity were 0.4% and 2.7%, respectively (P&lt;0.001). CONCLUSIONS The use of rifapentine plus isoniazid for 3 months was as effective as 9 months of isoniazid alone in preventing tuberculosis and had a higher treatment-completion rate. Long-term safety monitoring will be important. (Funded by the Centers for Disease Control and Prevention; PREVENT TB ClinicalTrials.gov number, NCT00023452.).","author":[{"dropping-particle":"","family":"Sterling","given":"Timothy R.","non-dropping-particle":"","parse-names":false,"suffix":""},{"dropping-particle":"","family":"Villarino","given":"M. Elsa","non-dropping-particle":"","parse-names":false,"suffix":""},{"dropping-particle":"","family":"Borisov","given":"Andrey S.","non-dropping-particle":"","parse-names":false,"suffix":""},{"dropping-particle":"","family":"Shang","given":"Nong","non-dropping-particle":"","parse-names":false,"suffix":""},{"dropping-particle":"","family":"Gordin","given":"Fred","non-dropping-particle":"","parse-names":false,"suffix":""},{"dropping-particle":"","family":"Bliven-Sizemore","given":"Erin","non-dropping-particle":"","parse-names":false,"suffix":""},{"dropping-particle":"","family":"Hackman","given":"Judith","non-dropping-particle":"","parse-names":false,"suffix":""},{"dropping-particle":"","family":"Hamilton","given":"Carol Dukes","non-dropping-particle":"","parse-names":false,"suffix":""},{"dropping-particle":"","family":"Menzies","given":"Dick","non-dropping-particle":"","parse-names":false,"suffix":""},{"dropping-particle":"","family":"Kerrigan","given":"Amy","non-dropping-particle":"","parse-names":false,"suffix":""},{"dropping-particle":"","family":"Weis","given":"Stephen E.","non-dropping-particle":"","parse-names":false,"suffix":""},{"dropping-particle":"","family":"Weiner","given":"Marc","non-dropping-particle":"","parse-names":false,"suffix":""},{"dropping-particle":"","family":"Wing","given":"Diane","non-dropping-particle":"","parse-names":false,"suffix":""},{"dropping-particle":"","family":"Conde","given":"Marcus B.","non-dropping-particle":"","parse-names":false,"suffix":""},{"dropping-particle":"","family":"Bozeman","given":"Lorna","non-dropping-particle":"","parse-names":false,"suffix":""},{"dropping-particle":"","family":"Horsburgh","given":"C. Robert","non-dropping-particle":"","parse-names":false,"suffix":""},{"dropping-particle":"","family":"Chaisson","given":"Richard E.","non-dropping-particle":"","parse-names":false,"suffix":""},{"dropping-particle":"","family":"TB Trials Consortium PREVENT TB Study Team","given":"","non-dropping-particle":"","parse-names":false,"suffix":""}],"container-title":"New England Journal of Medicine","id":"ITEM-2","issue":"23","issued":{"date-parts":[["2011","12"]]},"page":"2155-2166","title":"Three Months of Rifapentine and Isoniazid for Latent Tuberculosis Infection","type":"article-journal","volume":"365"},"uris":["http://www.mendeley.com/documents/?uuid=fa8c5261-768f-4fd5-bd3c-38c4d73f3f66"]},{"id":"ITEM-3","itemData":{"DOI":"10.1186/s12879-017-2377-x","ISSN":"14712334","abstract":"Background: We conducted a systematic review and network meta-analysis (NMA) to examine the efficacy and completion rates of treatments for latent tuberculosis infection (LTBI). While a previous review found newer, short-duration regimens to be effective, several included studies did not confirm LTBI, and analyses did not account for variable follow-up or assess completion. Methods: We searched MEDLINE, Embase, CENTRAL, PubMed, and additional sources to identify RCTs in patients with confirmed LTBI that involved a regimen of interest and reported on efficacy or completion. Regimens of interest included isoniazid (INH) with rifapentine once weekly for 12 weeks (INH/RPT-3), 6 and 9 months of daily INH (INH-6; INH-9), 3-4 months daily INH plus rifampicin (INH/RFMP 3-4), and 4 months daily rifampicin alone (RFMP-4). NMAs were performed to compare regimens for both endpoints. Results: Sixteen RCTs (n = 44,149) and 14 RCTs (n = 44,128) were included in analyses of efficacy and completion. Studies were published between 1968 and 2015, and there was diversity in patient age and comorbidities. All regimens of interest except INH-9 showed significant benefits in preventing active TB compared to placebo. Comparisons between active regimens did not reveal significant differences. While definitions of regimen completion varied across studies, regimens of 3-4 months were associated with a greater likelihood of adequate completion. Conclusions: Most of the active regimens showed an ability to reduce the risk of active TB relative to no treatment, however important differences between active regimens were not found. Shorter rifamycin-based regimens may offer comparable benefits to longer INH regimens. Regimens of 3-4 months duration are more likely to be completed than longer regimens.","author":[{"dropping-particle":"","family":"Pease","given":"Christopher","non-dropping-particle":"","parse-names":false,"suffix":""},{"dropping-particle":"","family":"Hutton","given":"Brian","non-dropping-particle":"","parse-names":false,"suffix":""},{"dropping-particle":"","family":"Yazdi","given":"Fatemeh","non-dropping-particle":"","parse-names":false,"suffix":""},{"dropping-particle":"","family":"Wolfe","given":"Dianna","non-dropping-particle":"","parse-names":false,"suffix":""},{"dropping-particle":"","family":"Hamel","given":"Candyce","non-dropping-particle":"","parse-names":false,"suffix":""},{"dropping-particle":"","family":"Quach","given":"Pauline","non-dropping-particle":"","parse-names":false,"suffix":""},{"dropping-particle":"","family":"Skidmore","given":"Becky","non-dropping-particle":"","parse-names":false,"suffix":""},{"dropping-particle":"","family":"Moher","given":"David","non-dropping-particle":"","parse-names":false,"suffix":""},{"dropping-particle":"","family":"Alvarez","given":"Gonzalo G.","non-dropping-particle":"","parse-names":false,"suffix":""}],"container-title":"BMC Infectious Diseases","id":"ITEM-3","issued":{"date-parts":[["2017"]]},"title":"Efficacy and completion rates of rifapentine and isoniazid (3HP) compared to other treatment regimens for latent tuberculosis infection: A systematic review with network meta-analyses","type":"article-journal"},"uris":["http://www.mendeley.com/documents/?uuid=d3392145-d5aa-4bf0-878a-185c88510d67"]}],"mendeley":{"formattedCitation":"&lt;sup&gt;15,17,46&lt;/sup&gt;","plainTextFormattedCitation":"15,17,46","previouslyFormattedCitation":"&lt;sup&gt;15,17,46&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15,17,46</w:t>
            </w:r>
            <w:r w:rsidRPr="005F5605">
              <w:rPr>
                <w:rFonts w:ascii="Arial" w:hAnsi="Arial" w:cs="Arial"/>
                <w:sz w:val="20"/>
                <w:szCs w:val="20"/>
              </w:rPr>
              <w:fldChar w:fldCharType="end"/>
            </w:r>
            <w:r w:rsidRPr="005F5605">
              <w:rPr>
                <w:rFonts w:ascii="Arial" w:hAnsi="Arial" w:cs="Arial"/>
                <w:sz w:val="20"/>
                <w:szCs w:val="20"/>
              </w:rPr>
              <w:t xml:space="preserve"> </w:t>
            </w:r>
          </w:p>
        </w:tc>
      </w:tr>
      <w:tr w:rsidR="000623D8" w:rsidRPr="005F5605" w:rsidTr="000731FD">
        <w:trPr>
          <w:trHeight w:val="608"/>
        </w:trPr>
        <w:tc>
          <w:tcPr>
            <w:cnfStyle w:val="001000000000" w:firstRow="0" w:lastRow="0" w:firstColumn="1" w:lastColumn="0" w:oddVBand="0" w:evenVBand="0" w:oddHBand="0" w:evenHBand="0" w:firstRowFirstColumn="0" w:firstRowLastColumn="0" w:lastRowFirstColumn="0" w:lastRowLastColumn="0"/>
            <w:tcW w:w="3782" w:type="dxa"/>
            <w:gridSpan w:val="3"/>
            <w:shd w:val="clear" w:color="auto" w:fill="F2F2F2" w:themeFill="background1" w:themeFillShade="F2"/>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 Average number of household contacts per index case</w:t>
            </w:r>
          </w:p>
        </w:tc>
        <w:tc>
          <w:tcPr>
            <w:tcW w:w="1074" w:type="dxa"/>
            <w:shd w:val="clear" w:color="auto" w:fill="F2F2F2" w:themeFill="background1" w:themeFillShade="F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lang w:eastAsia="zh-CN"/>
              </w:rPr>
            </w:pPr>
            <m:oMathPara>
              <m:oMath>
                <m:r>
                  <w:rPr>
                    <w:rFonts w:ascii="Cambria Math" w:eastAsia="Calibri" w:hAnsi="Cambria Math" w:cs="Arial"/>
                    <w:sz w:val="22"/>
                    <w:szCs w:val="22"/>
                    <w:lang w:eastAsia="zh-CN"/>
                  </w:rPr>
                  <m:t>f</m:t>
                </m:r>
              </m:oMath>
            </m:oMathPara>
          </w:p>
        </w:tc>
        <w:tc>
          <w:tcPr>
            <w:tcW w:w="1896" w:type="dxa"/>
            <w:gridSpan w:val="2"/>
            <w:shd w:val="clear" w:color="auto" w:fill="F2F2F2" w:themeFill="background1" w:themeFillShade="F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Varies by country, from 3.7 (Thailand) to 5.8 (Timor-Leste) </w:t>
            </w:r>
          </w:p>
        </w:tc>
        <w:tc>
          <w:tcPr>
            <w:tcW w:w="2793" w:type="dxa"/>
            <w:shd w:val="clear" w:color="auto" w:fill="F2F2F2" w:themeFill="background1" w:themeFillShade="F2"/>
          </w:tcPr>
          <w:p w:rsidR="000623D8" w:rsidRPr="005F5605" w:rsidRDefault="000623D8" w:rsidP="000731FD">
            <w:pPr>
              <w:spacing w:before="60" w:after="60" w:line="312"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  Ref.</w:t>
            </w:r>
            <w:r w:rsidRPr="005F5605">
              <w:rPr>
                <w:rFonts w:ascii="Arial" w:hAnsi="Arial" w:cs="Arial"/>
                <w:sz w:val="20"/>
                <w:szCs w:val="20"/>
              </w:rPr>
              <w:fldChar w:fldCharType="begin" w:fldLock="1"/>
            </w:r>
            <w:r w:rsidRPr="005F5605">
              <w:rPr>
                <w:rFonts w:ascii="Arial" w:hAnsi="Arial" w:cs="Arial"/>
                <w:sz w:val="20"/>
                <w:szCs w:val="20"/>
              </w:rPr>
              <w:instrText>ADDIN CSL_CITATION {"citationItems":[{"id":"ITEM-1","itemData":{"DOI":"10.3390/atmos6091362","ISSN":"10298479","abstract":"Data Booklet Household size and composition around the world 2017 The household, defined as a group of persons who make common provision of food, shelter and other essentials for living, is a fundamental socio-economic unit in human societies. Households are the centres of demographic, social and eco-nomic processes. Decisions about childbearing, education, health care, consumption, labour force participation, migration and savings occur primarily at the household level. Understanding the trends and patterns of household size and composition can thus inform efforts towards the achievement of the 2030 Agenda for Sustainable Development. This data booklet describes recent trends of household size and patterns of household com-position around the globe, drawing on data com-piled in the United Nations Database of House-hold Size and Composition 2017. The electronic version of this data booklet and the complete database are available online at www.unpopula-tion.org. Suggested citation: United Nations, Department of Economic and Social Affairs, Population Divi-sion (2017). Household Size and Composition Around the World 2017 – Data Booklet (ST/ESA/ SER.A/405).","author":[{"dropping-particle":"","family":"United Nations, Department of Economic and Social Affairs","given":"Population Divi- sion","non-dropping-particle":"","parse-names":false,"suffix":""}],"container-title":"United Nation","id":"ITEM-1","issued":{"date-parts":[["2017"]]},"title":"Household size and composition around the world 2017","type":"article-journal"},"uris":["http://www.mendeley.com/documents/?uuid=7227c916-ac8b-497f-94d1-5b9b432e6ca0"]}],"mendeley":{"formattedCitation":"&lt;sup&gt;47&lt;/sup&gt;","plainTextFormattedCitation":"47","previouslyFormattedCitation":"&lt;sup&gt;47&lt;/sup&gt;"},"properties":{"noteIndex":0},"schema":"https://github.com/citation-style-language/schema/raw/master/csl-citation.json"}</w:instrText>
            </w:r>
            <w:r w:rsidRPr="005F5605">
              <w:rPr>
                <w:rFonts w:ascii="Arial" w:hAnsi="Arial" w:cs="Arial"/>
                <w:sz w:val="20"/>
                <w:szCs w:val="20"/>
              </w:rPr>
              <w:fldChar w:fldCharType="separate"/>
            </w:r>
            <w:r w:rsidRPr="005F5605">
              <w:rPr>
                <w:rFonts w:ascii="Arial" w:hAnsi="Arial" w:cs="Arial"/>
                <w:noProof/>
                <w:sz w:val="20"/>
                <w:szCs w:val="20"/>
                <w:vertAlign w:val="superscript"/>
              </w:rPr>
              <w:t>47</w:t>
            </w:r>
            <w:r w:rsidRPr="005F5605">
              <w:rPr>
                <w:rFonts w:ascii="Arial" w:hAnsi="Arial" w:cs="Arial"/>
                <w:sz w:val="20"/>
                <w:szCs w:val="20"/>
              </w:rPr>
              <w:fldChar w:fldCharType="end"/>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3782" w:type="dxa"/>
            <w:gridSpan w:val="3"/>
          </w:tcPr>
          <w:p w:rsidR="000623D8" w:rsidRPr="005F5605" w:rsidRDefault="000623D8" w:rsidP="000731FD">
            <w:pPr>
              <w:spacing w:before="60" w:after="60" w:line="312" w:lineRule="auto"/>
              <w:rPr>
                <w:rFonts w:ascii="Arial" w:hAnsi="Arial" w:cs="Arial"/>
                <w:sz w:val="20"/>
                <w:szCs w:val="20"/>
              </w:rPr>
            </w:pPr>
            <w:r w:rsidRPr="005F5605">
              <w:rPr>
                <w:rFonts w:ascii="Arial" w:hAnsi="Arial" w:cs="Arial"/>
                <w:sz w:val="20"/>
                <w:szCs w:val="20"/>
              </w:rPr>
              <w:t xml:space="preserve"> Number belonging to clinical risk groups other than household contacts</w:t>
            </w:r>
          </w:p>
        </w:tc>
        <w:tc>
          <w:tcPr>
            <w:tcW w:w="1074"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i/>
                <w:iCs/>
                <w:sz w:val="22"/>
                <w:szCs w:val="22"/>
                <w:lang w:eastAsia="zh-CN"/>
              </w:rPr>
            </w:pPr>
            <w:r w:rsidRPr="005F5605">
              <w:rPr>
                <w:rFonts w:ascii="Arial" w:eastAsia="Calibri" w:hAnsi="Arial" w:cs="Arial"/>
                <w:i/>
                <w:iCs/>
                <w:sz w:val="22"/>
                <w:szCs w:val="22"/>
                <w:lang w:eastAsia="zh-CN"/>
              </w:rPr>
              <w:t>M</w:t>
            </w:r>
          </w:p>
        </w:tc>
        <w:tc>
          <w:tcPr>
            <w:tcW w:w="1896" w:type="dxa"/>
            <w:gridSpan w:val="2"/>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 xml:space="preserve"> 0.1% (0.05% - 0.15% of country population</w:t>
            </w:r>
          </w:p>
        </w:tc>
        <w:tc>
          <w:tcPr>
            <w:tcW w:w="2793" w:type="dxa"/>
          </w:tcPr>
          <w:p w:rsidR="000623D8" w:rsidRPr="005F5605" w:rsidRDefault="000623D8" w:rsidP="000731FD">
            <w:pPr>
              <w:spacing w:before="60" w:after="60" w:line="312"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5605">
              <w:rPr>
                <w:rFonts w:ascii="Arial" w:hAnsi="Arial" w:cs="Arial"/>
                <w:sz w:val="20"/>
                <w:szCs w:val="20"/>
              </w:rPr>
              <w:t>Assumption</w:t>
            </w:r>
          </w:p>
        </w:tc>
      </w:tr>
    </w:tbl>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after="120" w:line="312" w:lineRule="auto"/>
        <w:rPr>
          <w:rFonts w:ascii="Arial" w:hAnsi="Arial" w:cs="Arial"/>
          <w:b/>
          <w:color w:val="000000" w:themeColor="text1"/>
          <w:sz w:val="22"/>
          <w:szCs w:val="22"/>
        </w:rPr>
      </w:pPr>
    </w:p>
    <w:p w:rsidR="000623D8" w:rsidRPr="005F5605" w:rsidRDefault="000623D8" w:rsidP="000623D8">
      <w:pPr>
        <w:spacing w:after="120" w:line="312" w:lineRule="auto"/>
        <w:rPr>
          <w:rFonts w:ascii="Arial" w:hAnsi="Arial" w:cs="Arial"/>
          <w:b/>
          <w:color w:val="000000" w:themeColor="text1"/>
          <w:sz w:val="22"/>
          <w:szCs w:val="22"/>
        </w:rPr>
      </w:pPr>
    </w:p>
    <w:p w:rsidR="000623D8" w:rsidRPr="005F5605" w:rsidRDefault="000623D8" w:rsidP="000623D8">
      <w:pPr>
        <w:spacing w:after="120" w:line="312" w:lineRule="auto"/>
        <w:rPr>
          <w:rFonts w:ascii="Arial" w:hAnsi="Arial" w:cs="Arial"/>
          <w:color w:val="000000" w:themeColor="text1"/>
          <w:sz w:val="22"/>
          <w:szCs w:val="22"/>
        </w:rPr>
      </w:pPr>
      <w:r w:rsidRPr="005F5605">
        <w:rPr>
          <w:rFonts w:ascii="Arial" w:hAnsi="Arial" w:cs="Arial"/>
          <w:b/>
          <w:color w:val="000000" w:themeColor="text1"/>
          <w:sz w:val="22"/>
          <w:szCs w:val="22"/>
        </w:rPr>
        <w:t>Table S4: Summary of country-wise parameter estimates</w:t>
      </w:r>
      <w:r w:rsidRPr="005F5605">
        <w:rPr>
          <w:rFonts w:ascii="Arial" w:hAnsi="Arial" w:cs="Arial"/>
          <w:color w:val="000000" w:themeColor="text1"/>
          <w:sz w:val="22"/>
          <w:szCs w:val="22"/>
        </w:rPr>
        <w:t>. Numbers in brackets show the uncertainty ranges used in the simulations (for input parameters), or Bayesian credible intervals (for parameters being estimated). Parameters are as follows:</w:t>
      </w:r>
      <w:r w:rsidRPr="005F5605">
        <w:rPr>
          <w:rFonts w:ascii="Arial" w:hAnsi="Arial" w:cs="Arial"/>
          <w:b/>
          <w:i/>
          <w:color w:val="000000" w:themeColor="text1"/>
        </w:rPr>
        <w:t xml:space="preserve"> </w:t>
      </w:r>
      <w:r w:rsidRPr="005F5605">
        <w:rPr>
          <w:rFonts w:ascii="Arial" w:hAnsi="Arial" w:cs="Arial"/>
          <w:i/>
          <w:color w:val="000000" w:themeColor="text1"/>
        </w:rPr>
        <w:t xml:space="preserve">β </w:t>
      </w:r>
      <w:r w:rsidRPr="005F5605">
        <w:rPr>
          <w:rFonts w:ascii="Arial" w:hAnsi="Arial" w:cs="Arial"/>
          <w:iCs/>
          <w:color w:val="000000" w:themeColor="text1"/>
        </w:rPr>
        <w:t>is the</w:t>
      </w:r>
      <w:r w:rsidRPr="005F5605">
        <w:rPr>
          <w:rFonts w:ascii="Arial" w:hAnsi="Arial" w:cs="Arial"/>
          <w:color w:val="000000" w:themeColor="text1"/>
          <w:sz w:val="22"/>
          <w:szCs w:val="22"/>
        </w:rPr>
        <w:t xml:space="preserve"> average number of infections per drug-susceptible (DS) TB case per year; </w:t>
      </w:r>
      <w:r w:rsidRPr="005F5605">
        <w:rPr>
          <w:rFonts w:ascii="Arial" w:hAnsi="Arial" w:cs="Arial"/>
          <w:i/>
          <w:color w:val="000000" w:themeColor="text1"/>
        </w:rPr>
        <w:t>β</w:t>
      </w:r>
      <w:proofErr w:type="spellStart"/>
      <w:r w:rsidRPr="005F5605">
        <w:rPr>
          <w:rFonts w:ascii="Arial" w:hAnsi="Arial" w:cs="Arial"/>
          <w:i/>
          <w:color w:val="000000" w:themeColor="text1"/>
          <w:vertAlign w:val="subscript"/>
        </w:rPr>
        <w:t>mdr</w:t>
      </w:r>
      <w:proofErr w:type="spellEnd"/>
      <w:r w:rsidRPr="005F5605">
        <w:rPr>
          <w:rFonts w:ascii="Arial" w:hAnsi="Arial" w:cs="Arial"/>
          <w:color w:val="000000" w:themeColor="text1"/>
          <w:sz w:val="22"/>
          <w:szCs w:val="22"/>
        </w:rPr>
        <w:t xml:space="preserve"> is the average number of infections per MDR-TB case per year; </w:t>
      </w:r>
      <w:r w:rsidRPr="005F5605">
        <w:rPr>
          <w:rFonts w:ascii="Arial" w:hAnsi="Arial" w:cs="Arial"/>
          <w:i/>
          <w:color w:val="000000" w:themeColor="text1"/>
          <w:sz w:val="22"/>
          <w:szCs w:val="22"/>
        </w:rPr>
        <w:t xml:space="preserve">r </w:t>
      </w:r>
      <w:r w:rsidRPr="005F5605">
        <w:rPr>
          <w:rFonts w:ascii="Arial" w:hAnsi="Arial" w:cs="Arial"/>
          <w:iCs/>
          <w:color w:val="000000" w:themeColor="text1"/>
          <w:sz w:val="22"/>
          <w:szCs w:val="22"/>
        </w:rPr>
        <w:t>is the</w:t>
      </w:r>
      <w:r w:rsidRPr="005F5605">
        <w:rPr>
          <w:rFonts w:ascii="Arial" w:hAnsi="Arial" w:cs="Arial"/>
          <w:i/>
          <w:color w:val="000000" w:themeColor="text1"/>
          <w:sz w:val="22"/>
          <w:szCs w:val="22"/>
        </w:rPr>
        <w:t xml:space="preserve"> </w:t>
      </w:r>
      <w:r w:rsidRPr="005F5605">
        <w:rPr>
          <w:rFonts w:ascii="Arial" w:hAnsi="Arial" w:cs="Arial"/>
          <w:color w:val="000000" w:themeColor="text1"/>
          <w:sz w:val="22"/>
          <w:szCs w:val="22"/>
        </w:rPr>
        <w:t xml:space="preserve">rate of initial </w:t>
      </w:r>
      <w:proofErr w:type="spellStart"/>
      <w:r w:rsidRPr="005F5605">
        <w:rPr>
          <w:rFonts w:ascii="Arial" w:hAnsi="Arial" w:cs="Arial"/>
          <w:color w:val="000000" w:themeColor="text1"/>
          <w:sz w:val="22"/>
          <w:szCs w:val="22"/>
        </w:rPr>
        <w:t>careseeking</w:t>
      </w:r>
      <w:proofErr w:type="spellEnd"/>
      <w:r w:rsidRPr="005F5605">
        <w:rPr>
          <w:rFonts w:ascii="Arial" w:hAnsi="Arial" w:cs="Arial"/>
          <w:color w:val="000000" w:themeColor="text1"/>
          <w:sz w:val="22"/>
          <w:szCs w:val="22"/>
        </w:rPr>
        <w:t xml:space="preserve">;  </w:t>
      </w:r>
      <w:proofErr w:type="spellStart"/>
      <w:r w:rsidRPr="005F5605">
        <w:rPr>
          <w:rFonts w:ascii="Arial" w:hAnsi="Arial" w:cs="Arial"/>
          <w:i/>
          <w:color w:val="000000" w:themeColor="text1"/>
        </w:rPr>
        <w:t>p</w:t>
      </w:r>
      <w:r w:rsidRPr="005F5605">
        <w:rPr>
          <w:rFonts w:ascii="Arial" w:hAnsi="Arial" w:cs="Arial"/>
          <w:i/>
          <w:color w:val="000000" w:themeColor="text1"/>
          <w:vertAlign w:val="subscript"/>
        </w:rPr>
        <w:t>NTP</w:t>
      </w:r>
      <w:proofErr w:type="spellEnd"/>
      <w:r w:rsidRPr="005F5605">
        <w:rPr>
          <w:rFonts w:ascii="Arial" w:hAnsi="Arial" w:cs="Arial"/>
          <w:color w:val="000000" w:themeColor="text1"/>
          <w:sz w:val="22"/>
          <w:szCs w:val="22"/>
        </w:rPr>
        <w:t xml:space="preserve"> is the proportion of TB cases visiting an NTP provider at each care seeking attempt (rather than the private sector); </w:t>
      </w:r>
      <m:oMath>
        <m:sSub>
          <m:sSubPr>
            <m:ctrlPr>
              <w:rPr>
                <w:rFonts w:ascii="Cambria Math" w:hAnsi="Cambria Math" w:cs="Arial"/>
                <w:i/>
                <w:color w:val="000000" w:themeColor="text1"/>
                <w:vertAlign w:val="subscript"/>
              </w:rPr>
            </m:ctrlPr>
          </m:sSubPr>
          <m:e>
            <m:r>
              <w:rPr>
                <w:rFonts w:ascii="Cambria Math" w:hAnsi="Cambria Math" w:cs="Arial"/>
                <w:color w:val="000000" w:themeColor="text1"/>
                <w:vertAlign w:val="subscript"/>
              </w:rPr>
              <m:t>p</m:t>
            </m:r>
          </m:e>
          <m:sub>
            <m:r>
              <w:rPr>
                <w:rFonts w:ascii="Cambria Math" w:hAnsi="Cambria Math" w:cs="Arial"/>
                <w:color w:val="000000" w:themeColor="text1"/>
                <w:vertAlign w:val="subscript"/>
              </w:rPr>
              <m:t>DST</m:t>
            </m:r>
          </m:sub>
        </m:sSub>
      </m:oMath>
      <w:r w:rsidRPr="005F5605">
        <w:rPr>
          <w:rFonts w:ascii="Arial" w:hAnsi="Arial" w:cs="Arial"/>
          <w:color w:val="000000" w:themeColor="text1"/>
          <w:sz w:val="22"/>
          <w:szCs w:val="22"/>
        </w:rPr>
        <w:t xml:space="preserve"> is</w:t>
      </w:r>
      <w:r w:rsidRPr="005F5605">
        <w:t xml:space="preserve"> </w:t>
      </w:r>
      <w:r w:rsidRPr="005F5605">
        <w:rPr>
          <w:rFonts w:ascii="Arial" w:hAnsi="Arial" w:cs="Arial"/>
          <w:color w:val="000000" w:themeColor="text1"/>
          <w:sz w:val="22"/>
          <w:szCs w:val="22"/>
        </w:rPr>
        <w:t>the proportion of TB diagnoses receiving a drug susceptibility test;</w:t>
      </w:r>
      <w:r w:rsidRPr="005F5605">
        <w:rPr>
          <w:rFonts w:ascii="Arial" w:hAnsi="Arial" w:cs="Arial"/>
          <w:i/>
          <w:color w:val="000000" w:themeColor="text1"/>
        </w:rPr>
        <w:t xml:space="preserve"> </w:t>
      </w:r>
      <w:proofErr w:type="spellStart"/>
      <w:r w:rsidRPr="005F5605">
        <w:rPr>
          <w:rFonts w:ascii="Arial" w:hAnsi="Arial" w:cs="Arial"/>
          <w:i/>
          <w:color w:val="000000" w:themeColor="text1"/>
        </w:rPr>
        <w:t>p</w:t>
      </w:r>
      <w:r w:rsidRPr="005F5605">
        <w:rPr>
          <w:rFonts w:ascii="Arial" w:hAnsi="Arial" w:cs="Arial"/>
          <w:i/>
          <w:color w:val="000000" w:themeColor="text1"/>
          <w:vertAlign w:val="subscript"/>
        </w:rPr>
        <w:t>hiv</w:t>
      </w:r>
      <w:proofErr w:type="spellEnd"/>
      <w:r w:rsidRPr="005F5605">
        <w:rPr>
          <w:rFonts w:ascii="Arial" w:hAnsi="Arial" w:cs="Arial"/>
          <w:color w:val="000000" w:themeColor="text1"/>
          <w:sz w:val="22"/>
          <w:szCs w:val="22"/>
        </w:rPr>
        <w:t xml:space="preserve">  is the proportion of incident TB cases that are HIV infected;</w:t>
      </w:r>
      <w:r w:rsidRPr="005F5605">
        <w:rPr>
          <w:rFonts w:ascii="Times" w:hAnsi="Times" w:cs="Lucida Grande"/>
          <w:i/>
          <w:color w:val="000000" w:themeColor="text1"/>
        </w:rPr>
        <w:t xml:space="preserve"> </w:t>
      </w:r>
      <w:proofErr w:type="spellStart"/>
      <w:r w:rsidRPr="005F5605">
        <w:rPr>
          <w:rFonts w:ascii="Times" w:hAnsi="Times" w:cs="Lucida Grande"/>
          <w:i/>
          <w:color w:val="000000" w:themeColor="text1"/>
        </w:rPr>
        <w:t>μ</w:t>
      </w:r>
      <w:r w:rsidRPr="005F5605">
        <w:rPr>
          <w:rFonts w:ascii="Arial" w:hAnsi="Arial" w:cs="Arial"/>
          <w:i/>
          <w:color w:val="000000" w:themeColor="text1"/>
          <w:vertAlign w:val="subscript"/>
        </w:rPr>
        <w:t>non</w:t>
      </w:r>
      <w:proofErr w:type="spellEnd"/>
      <w:r w:rsidRPr="005F5605">
        <w:rPr>
          <w:rFonts w:ascii="Arial" w:hAnsi="Arial" w:cs="Arial"/>
          <w:i/>
          <w:color w:val="000000" w:themeColor="text1"/>
          <w:vertAlign w:val="subscript"/>
        </w:rPr>
        <w:t>-NTP</w:t>
      </w:r>
      <w:r w:rsidRPr="005F5605">
        <w:rPr>
          <w:rFonts w:ascii="Arial" w:hAnsi="Arial" w:cs="Arial"/>
          <w:color w:val="000000" w:themeColor="text1"/>
          <w:sz w:val="22"/>
          <w:szCs w:val="22"/>
        </w:rPr>
        <w:t xml:space="preserve"> is the mortality hazard of TB patients being managed by non-NTP providers (in units of inverse years); </w:t>
      </w:r>
      <w:r w:rsidRPr="005F5605">
        <w:rPr>
          <w:rFonts w:ascii="Arial" w:hAnsi="Arial" w:cs="Arial"/>
          <w:i/>
          <w:color w:val="000000" w:themeColor="text1"/>
        </w:rPr>
        <w:t>d</w:t>
      </w:r>
      <w:r w:rsidRPr="005F5605">
        <w:rPr>
          <w:rFonts w:ascii="Arial" w:hAnsi="Arial" w:cs="Arial"/>
          <w:i/>
          <w:color w:val="000000" w:themeColor="text1"/>
          <w:vertAlign w:val="subscript"/>
        </w:rPr>
        <w:t>β</w:t>
      </w:r>
      <w:r w:rsidRPr="005F5605">
        <w:rPr>
          <w:rFonts w:ascii="Arial" w:hAnsi="Arial" w:cs="Arial"/>
          <w:color w:val="000000" w:themeColor="text1"/>
          <w:sz w:val="22"/>
          <w:szCs w:val="22"/>
        </w:rPr>
        <w:t xml:space="preserve"> is the annual decline rate of </w:t>
      </w:r>
      <w:r w:rsidRPr="005F5605">
        <w:rPr>
          <w:rFonts w:ascii="Arial" w:hAnsi="Arial" w:cs="Arial"/>
          <w:i/>
          <w:color w:val="000000" w:themeColor="text1"/>
        </w:rPr>
        <w:t>β</w:t>
      </w:r>
      <w:r w:rsidRPr="005F5605">
        <w:rPr>
          <w:rFonts w:ascii="Arial" w:hAnsi="Arial" w:cs="Arial"/>
          <w:color w:val="000000" w:themeColor="text1"/>
          <w:sz w:val="22"/>
          <w:szCs w:val="22"/>
        </w:rPr>
        <w:t>;</w:t>
      </w:r>
      <w:r w:rsidRPr="005F5605">
        <w:rPr>
          <w:rFonts w:ascii="Arial" w:hAnsi="Arial" w:cs="Arial"/>
          <w:i/>
          <w:color w:val="000000" w:themeColor="text1"/>
        </w:rPr>
        <w:t xml:space="preserve"> and </w:t>
      </w:r>
      <w:proofErr w:type="spellStart"/>
      <w:r w:rsidRPr="005F5605">
        <w:rPr>
          <w:rFonts w:ascii="Arial" w:hAnsi="Arial" w:cs="Arial"/>
          <w:i/>
          <w:color w:val="000000" w:themeColor="text1"/>
        </w:rPr>
        <w:t>d</w:t>
      </w:r>
      <w:r w:rsidRPr="005F5605">
        <w:rPr>
          <w:rFonts w:ascii="Arial" w:hAnsi="Arial" w:cs="Arial"/>
          <w:i/>
          <w:color w:val="000000" w:themeColor="text1"/>
          <w:vertAlign w:val="subscript"/>
        </w:rPr>
        <w:t>mor</w:t>
      </w:r>
      <w:proofErr w:type="spellEnd"/>
      <w:r w:rsidRPr="005F5605">
        <w:rPr>
          <w:rFonts w:ascii="Arial" w:hAnsi="Arial" w:cs="Arial"/>
          <w:color w:val="000000" w:themeColor="text1"/>
          <w:sz w:val="22"/>
          <w:szCs w:val="22"/>
        </w:rPr>
        <w:t xml:space="preserve"> is the annual decline rate of TB mortality, both of the latter two having units of inverse years.</w:t>
      </w:r>
    </w:p>
    <w:tbl>
      <w:tblPr>
        <w:tblStyle w:val="PlainTable1"/>
        <w:tblW w:w="9590" w:type="dxa"/>
        <w:tblLayout w:type="fixed"/>
        <w:tblLook w:val="04A0" w:firstRow="1" w:lastRow="0" w:firstColumn="1" w:lastColumn="0" w:noHBand="0" w:noVBand="1"/>
      </w:tblPr>
      <w:tblGrid>
        <w:gridCol w:w="1129"/>
        <w:gridCol w:w="709"/>
        <w:gridCol w:w="709"/>
        <w:gridCol w:w="781"/>
        <w:gridCol w:w="1027"/>
        <w:gridCol w:w="1027"/>
        <w:gridCol w:w="1227"/>
        <w:gridCol w:w="1027"/>
        <w:gridCol w:w="927"/>
        <w:gridCol w:w="1027"/>
      </w:tblGrid>
      <w:tr w:rsidR="000623D8" w:rsidRPr="005F5605" w:rsidTr="000731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ascii="Arial" w:hAnsi="Arial" w:cs="Arial"/>
                <w:color w:val="000000" w:themeColor="text1"/>
              </w:rPr>
            </w:pPr>
            <w:r w:rsidRPr="005F5605">
              <w:rPr>
                <w:rFonts w:cstheme="minorHAnsi"/>
                <w:bCs w:val="0"/>
                <w:color w:val="000000" w:themeColor="text1"/>
                <w:sz w:val="18"/>
                <w:szCs w:val="18"/>
                <w:lang w:val="en-IN"/>
              </w:rPr>
              <w:t>Country</w:t>
            </w:r>
          </w:p>
        </w:tc>
        <w:tc>
          <w:tcPr>
            <w:tcW w:w="709" w:type="dxa"/>
          </w:tcPr>
          <w:p w:rsidR="000623D8" w:rsidRPr="005F5605" w:rsidRDefault="000623D8" w:rsidP="000731FD">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i/>
                <w:color w:val="000000" w:themeColor="text1"/>
              </w:rPr>
            </w:pPr>
            <w:r w:rsidRPr="005F5605">
              <w:rPr>
                <w:rFonts w:ascii="Arial" w:hAnsi="Arial" w:cs="Arial"/>
                <w:b w:val="0"/>
                <w:i/>
                <w:color w:val="000000" w:themeColor="text1"/>
              </w:rPr>
              <w:t>β</w:t>
            </w:r>
          </w:p>
        </w:tc>
        <w:tc>
          <w:tcPr>
            <w:tcW w:w="709" w:type="dxa"/>
          </w:tcPr>
          <w:p w:rsidR="000623D8" w:rsidRPr="005F5605" w:rsidRDefault="000623D8" w:rsidP="000731FD">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i/>
                <w:color w:val="000000" w:themeColor="text1"/>
              </w:rPr>
            </w:pPr>
            <w:r w:rsidRPr="005F5605">
              <w:rPr>
                <w:rFonts w:ascii="Arial" w:hAnsi="Arial" w:cs="Arial"/>
                <w:b w:val="0"/>
                <w:i/>
                <w:color w:val="000000" w:themeColor="text1"/>
              </w:rPr>
              <w:t>β</w:t>
            </w:r>
            <w:proofErr w:type="spellStart"/>
            <w:r w:rsidRPr="005F5605">
              <w:rPr>
                <w:rFonts w:ascii="Arial" w:hAnsi="Arial" w:cs="Arial"/>
                <w:b w:val="0"/>
                <w:i/>
                <w:color w:val="000000" w:themeColor="text1"/>
                <w:vertAlign w:val="subscript"/>
              </w:rPr>
              <w:t>mdr</w:t>
            </w:r>
            <w:proofErr w:type="spellEnd"/>
          </w:p>
        </w:tc>
        <w:tc>
          <w:tcPr>
            <w:tcW w:w="781" w:type="dxa"/>
          </w:tcPr>
          <w:p w:rsidR="000623D8" w:rsidRPr="005F5605" w:rsidRDefault="000623D8" w:rsidP="000731FD">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i/>
                <w:color w:val="000000" w:themeColor="text1"/>
              </w:rPr>
            </w:pPr>
            <w:r w:rsidRPr="005F5605">
              <w:rPr>
                <w:rFonts w:ascii="Arial" w:hAnsi="Arial" w:cs="Arial"/>
                <w:b w:val="0"/>
                <w:i/>
                <w:color w:val="000000" w:themeColor="text1"/>
              </w:rPr>
              <w:t>r</w:t>
            </w:r>
          </w:p>
        </w:tc>
        <w:tc>
          <w:tcPr>
            <w:tcW w:w="1027" w:type="dxa"/>
          </w:tcPr>
          <w:p w:rsidR="000623D8" w:rsidRPr="005F5605" w:rsidRDefault="000623D8" w:rsidP="000731FD">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i/>
                <w:color w:val="000000" w:themeColor="text1"/>
              </w:rPr>
            </w:pPr>
            <w:proofErr w:type="spellStart"/>
            <w:r w:rsidRPr="005F5605">
              <w:rPr>
                <w:rFonts w:ascii="Arial" w:hAnsi="Arial" w:cs="Arial"/>
                <w:b w:val="0"/>
                <w:i/>
                <w:color w:val="000000" w:themeColor="text1"/>
              </w:rPr>
              <w:t>p</w:t>
            </w:r>
            <w:r w:rsidRPr="005F5605">
              <w:rPr>
                <w:rFonts w:ascii="Arial" w:hAnsi="Arial" w:cs="Arial"/>
                <w:b w:val="0"/>
                <w:i/>
                <w:color w:val="000000" w:themeColor="text1"/>
                <w:vertAlign w:val="subscript"/>
              </w:rPr>
              <w:t>NTP</w:t>
            </w:r>
            <w:proofErr w:type="spellEnd"/>
          </w:p>
        </w:tc>
        <w:tc>
          <w:tcPr>
            <w:tcW w:w="1027" w:type="dxa"/>
          </w:tcPr>
          <w:p w:rsidR="000623D8" w:rsidRPr="005F5605" w:rsidRDefault="005F5605" w:rsidP="000731FD">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i/>
                <w:color w:val="000000" w:themeColor="text1"/>
              </w:rPr>
            </w:pPr>
            <m:oMathPara>
              <m:oMath>
                <m:sSub>
                  <m:sSubPr>
                    <m:ctrlPr>
                      <w:rPr>
                        <w:rFonts w:ascii="Cambria Math" w:hAnsi="Cambria Math" w:cs="Arial"/>
                        <w:bCs w:val="0"/>
                        <w:i/>
                        <w:color w:val="000000" w:themeColor="text1"/>
                        <w:vertAlign w:val="subscript"/>
                      </w:rPr>
                    </m:ctrlPr>
                  </m:sSubPr>
                  <m:e>
                    <m:r>
                      <m:rPr>
                        <m:sty m:val="bi"/>
                      </m:rPr>
                      <w:rPr>
                        <w:rFonts w:ascii="Cambria Math" w:hAnsi="Cambria Math" w:cs="Arial"/>
                        <w:color w:val="000000" w:themeColor="text1"/>
                        <w:vertAlign w:val="subscript"/>
                      </w:rPr>
                      <m:t>p</m:t>
                    </m:r>
                    <m:ctrlPr>
                      <w:rPr>
                        <w:rFonts w:ascii="Cambria Math" w:hAnsi="Cambria Math" w:cs="Arial"/>
                        <w:b w:val="0"/>
                        <w:i/>
                        <w:color w:val="000000" w:themeColor="text1"/>
                        <w:vertAlign w:val="subscript"/>
                      </w:rPr>
                    </m:ctrlPr>
                  </m:e>
                  <m:sub>
                    <m:r>
                      <m:rPr>
                        <m:sty m:val="bi"/>
                      </m:rPr>
                      <w:rPr>
                        <w:rFonts w:ascii="Cambria Math" w:hAnsi="Cambria Math" w:cs="Arial"/>
                        <w:color w:val="000000" w:themeColor="text1"/>
                        <w:vertAlign w:val="subscript"/>
                      </w:rPr>
                      <m:t>DST</m:t>
                    </m:r>
                  </m:sub>
                </m:sSub>
              </m:oMath>
            </m:oMathPara>
          </w:p>
        </w:tc>
        <w:tc>
          <w:tcPr>
            <w:tcW w:w="1227" w:type="dxa"/>
          </w:tcPr>
          <w:p w:rsidR="000623D8" w:rsidRPr="005F5605" w:rsidRDefault="000623D8" w:rsidP="000731FD">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i/>
                <w:color w:val="000000" w:themeColor="text1"/>
              </w:rPr>
            </w:pPr>
            <w:proofErr w:type="spellStart"/>
            <w:r w:rsidRPr="005F5605">
              <w:rPr>
                <w:rFonts w:ascii="Arial" w:hAnsi="Arial" w:cs="Arial"/>
                <w:b w:val="0"/>
                <w:i/>
                <w:color w:val="000000" w:themeColor="text1"/>
              </w:rPr>
              <w:t>p</w:t>
            </w:r>
            <w:r w:rsidRPr="005F5605">
              <w:rPr>
                <w:rFonts w:ascii="Arial" w:hAnsi="Arial" w:cs="Arial"/>
                <w:b w:val="0"/>
                <w:i/>
                <w:color w:val="000000" w:themeColor="text1"/>
                <w:vertAlign w:val="subscript"/>
              </w:rPr>
              <w:t>hiv</w:t>
            </w:r>
            <w:proofErr w:type="spellEnd"/>
          </w:p>
        </w:tc>
        <w:tc>
          <w:tcPr>
            <w:tcW w:w="1027" w:type="dxa"/>
          </w:tcPr>
          <w:p w:rsidR="000623D8" w:rsidRPr="005F5605" w:rsidRDefault="000623D8" w:rsidP="000731FD">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i/>
                <w:color w:val="000000" w:themeColor="text1"/>
              </w:rPr>
            </w:pPr>
            <w:proofErr w:type="spellStart"/>
            <w:r w:rsidRPr="005F5605">
              <w:rPr>
                <w:rFonts w:ascii="Times" w:hAnsi="Times" w:cs="Lucida Grande"/>
                <w:b w:val="0"/>
                <w:i/>
                <w:color w:val="000000" w:themeColor="text1"/>
              </w:rPr>
              <w:t>μ</w:t>
            </w:r>
            <w:r w:rsidRPr="005F5605">
              <w:rPr>
                <w:rFonts w:ascii="Arial" w:hAnsi="Arial" w:cs="Arial"/>
                <w:b w:val="0"/>
                <w:i/>
                <w:color w:val="000000" w:themeColor="text1"/>
                <w:vertAlign w:val="subscript"/>
              </w:rPr>
              <w:t>non</w:t>
            </w:r>
            <w:proofErr w:type="spellEnd"/>
            <w:r w:rsidRPr="005F5605">
              <w:rPr>
                <w:rFonts w:ascii="Arial" w:hAnsi="Arial" w:cs="Arial"/>
                <w:b w:val="0"/>
                <w:i/>
                <w:color w:val="000000" w:themeColor="text1"/>
                <w:vertAlign w:val="subscript"/>
              </w:rPr>
              <w:t>-NTP</w:t>
            </w:r>
          </w:p>
        </w:tc>
        <w:tc>
          <w:tcPr>
            <w:tcW w:w="927" w:type="dxa"/>
          </w:tcPr>
          <w:p w:rsidR="000623D8" w:rsidRPr="005F5605" w:rsidRDefault="000623D8" w:rsidP="000731FD">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i/>
                <w:color w:val="000000" w:themeColor="text1"/>
              </w:rPr>
            </w:pPr>
            <w:r w:rsidRPr="005F5605">
              <w:rPr>
                <w:rFonts w:ascii="Arial" w:hAnsi="Arial" w:cs="Arial"/>
                <w:b w:val="0"/>
                <w:i/>
                <w:color w:val="000000" w:themeColor="text1"/>
              </w:rPr>
              <w:t xml:space="preserve"> d</w:t>
            </w:r>
            <w:r w:rsidRPr="005F5605">
              <w:rPr>
                <w:rFonts w:ascii="Arial" w:hAnsi="Arial" w:cs="Arial"/>
                <w:b w:val="0"/>
                <w:i/>
                <w:color w:val="000000" w:themeColor="text1"/>
                <w:vertAlign w:val="subscript"/>
              </w:rPr>
              <w:t>β</w:t>
            </w:r>
          </w:p>
        </w:tc>
        <w:tc>
          <w:tcPr>
            <w:tcW w:w="1027" w:type="dxa"/>
          </w:tcPr>
          <w:p w:rsidR="000623D8" w:rsidRPr="005F5605" w:rsidRDefault="000623D8" w:rsidP="000731FD">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i/>
                <w:color w:val="000000" w:themeColor="text1"/>
              </w:rPr>
            </w:pPr>
            <w:proofErr w:type="spellStart"/>
            <w:r w:rsidRPr="005F5605">
              <w:rPr>
                <w:rFonts w:ascii="Arial" w:hAnsi="Arial" w:cs="Arial"/>
                <w:b w:val="0"/>
                <w:i/>
                <w:color w:val="000000" w:themeColor="text1"/>
              </w:rPr>
              <w:t>d</w:t>
            </w:r>
            <w:r w:rsidRPr="005F5605">
              <w:rPr>
                <w:rFonts w:ascii="Arial" w:hAnsi="Arial" w:cs="Arial"/>
                <w:b w:val="0"/>
                <w:i/>
                <w:color w:val="000000" w:themeColor="text1"/>
                <w:vertAlign w:val="subscript"/>
              </w:rPr>
              <w:t>mor</w:t>
            </w:r>
            <w:proofErr w:type="spellEnd"/>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Bangladesh</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22.7</w:t>
            </w:r>
          </w:p>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[7.6-37.8]</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6.6[2.6-9.5]</w:t>
            </w:r>
          </w:p>
        </w:tc>
        <w:tc>
          <w:tcPr>
            <w:tcW w:w="781"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1.0[0.5-1.8]</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0.85[0.58-0.99]</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0.03[0.02- 0.06]</w:t>
            </w:r>
          </w:p>
        </w:tc>
        <w:tc>
          <w:tcPr>
            <w:tcW w:w="12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0.002[0.001-0.003]</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0.22[0.11-0.44]</w:t>
            </w:r>
          </w:p>
        </w:tc>
        <w:tc>
          <w:tcPr>
            <w:tcW w:w="9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0.89[0.8-0.99]</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0.98[0.93-1.03]</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Bhutan</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27.3[12.2-38.3]</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8.6[5.9-9.9]</w:t>
            </w:r>
          </w:p>
        </w:tc>
        <w:tc>
          <w:tcPr>
            <w:tcW w:w="781"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6.4[2.1-9.8]</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0.45[0.25- 0.77]</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0.11 [0.07-0.19]</w:t>
            </w:r>
          </w:p>
        </w:tc>
        <w:tc>
          <w:tcPr>
            <w:tcW w:w="12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0.002[0.0005-0.005]</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0.15[0.07-0.27]</w:t>
            </w:r>
          </w:p>
        </w:tc>
        <w:tc>
          <w:tcPr>
            <w:tcW w:w="9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0.88 [0.8-1.0][</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0.99[ 0.92 -1.1]</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DPR Korea</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37.1 [27.7 -49.6]</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2.1 [1.2 -5.4]</w:t>
            </w:r>
          </w:p>
        </w:tc>
        <w:tc>
          <w:tcPr>
            <w:tcW w:w="781"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3.07 [0.86- 4.78]</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0.49 [0.35- 0.74]</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0.11 [0.08 – 0.17]</w:t>
            </w:r>
          </w:p>
        </w:tc>
        <w:tc>
          <w:tcPr>
            <w:tcW w:w="12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0.0002 [0.0001 -0.0004]</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0.14 [0.06 -0.26]</w:t>
            </w:r>
          </w:p>
        </w:tc>
        <w:tc>
          <w:tcPr>
            <w:tcW w:w="9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1.29 [1.09 -1.4]</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1.0 [0.97-1.04]</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India</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22.6 [12.7 -37.2]</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7.8 [4.6- 9.9]</w:t>
            </w:r>
          </w:p>
        </w:tc>
        <w:tc>
          <w:tcPr>
            <w:tcW w:w="781"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2.4 [1.5- 4.3]</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0.48 [0.36 -0.70]</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0.08 [0.05- 0.11]</w:t>
            </w:r>
          </w:p>
        </w:tc>
        <w:tc>
          <w:tcPr>
            <w:tcW w:w="12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0.004 [0.002 -0.006]</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0.24 [0.1 – 0.35]</w:t>
            </w:r>
          </w:p>
        </w:tc>
        <w:tc>
          <w:tcPr>
            <w:tcW w:w="9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0.96 [0.90 – 1.0]</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0.99[ 0.97 – 1.03]</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Indonesia</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15.6 [11.5 – 22.7]</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4.3 [2.5-5.3</w:t>
            </w:r>
          </w:p>
        </w:tc>
        <w:tc>
          <w:tcPr>
            <w:tcW w:w="781"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0.84[ 0.62 -1.34]</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0.47 [0.35-0.60]</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0.03[0.025 -0.041]</w:t>
            </w:r>
          </w:p>
        </w:tc>
        <w:tc>
          <w:tcPr>
            <w:tcW w:w="12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0.003 [0.002-0.005]</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0.12 [0.09- 0.21]</w:t>
            </w:r>
          </w:p>
        </w:tc>
        <w:tc>
          <w:tcPr>
            <w:tcW w:w="9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0.99[ 0.96 – 1.01]</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0.98 [0.95- 0.99]</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Maldives</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7.9[7.4 -8.4]</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0.77[ 0.69- 1.35]</w:t>
            </w:r>
          </w:p>
        </w:tc>
        <w:tc>
          <w:tcPr>
            <w:tcW w:w="781"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4.95 [4.92 – 4.99]</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0.37 [0.35 – 0.40]</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0.07 [0.05- 0.08]</w:t>
            </w:r>
          </w:p>
        </w:tc>
        <w:tc>
          <w:tcPr>
            <w:tcW w:w="12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0.00004 [0.00003- 0.00004]</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0.06 [0.05 -0.07]</w:t>
            </w:r>
          </w:p>
        </w:tc>
        <w:tc>
          <w:tcPr>
            <w:tcW w:w="9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1.033 [1.03-1.07]</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0.82 [0.81 -0.823]</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lastRenderedPageBreak/>
              <w:t>Myanmar</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21.6[ 9.1- 39.3]</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3.7 [2.5 – 5.9]</w:t>
            </w:r>
          </w:p>
        </w:tc>
        <w:tc>
          <w:tcPr>
            <w:tcW w:w="781"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2.4 [0.95-4.2]</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0.4 [0.3-0.7]</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0.05 [0.04 – 0.08]</w:t>
            </w:r>
          </w:p>
        </w:tc>
        <w:tc>
          <w:tcPr>
            <w:tcW w:w="12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0.01 [0.006 – 0.015]</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0.11 [0.05 -0.29]</w:t>
            </w:r>
          </w:p>
        </w:tc>
        <w:tc>
          <w:tcPr>
            <w:tcW w:w="9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0.98 [0.95 -1.03]</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1.0 [0.95 -1.05]</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Nepal</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28.2 [15.7 -46.6]</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5.2 [3.5 – 7.3]</w:t>
            </w:r>
          </w:p>
        </w:tc>
        <w:tc>
          <w:tcPr>
            <w:tcW w:w="781"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4.0[1.6 – 7.1]</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0.55 [0.42 – 0.69]</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0.06 [0.04 – 0.09]</w:t>
            </w:r>
          </w:p>
        </w:tc>
        <w:tc>
          <w:tcPr>
            <w:tcW w:w="12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0.0008 [0.0007 -0.001]</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0.13 [0.07 – 0.24]</w:t>
            </w:r>
          </w:p>
        </w:tc>
        <w:tc>
          <w:tcPr>
            <w:tcW w:w="9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0.99 [0.94 – 1.03]</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1.03 [0.97 – 1.1]</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Sri Lanka</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15.5[ 12.3 – 18.6]</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0.08 [0.005 – 0.25]</w:t>
            </w:r>
          </w:p>
        </w:tc>
        <w:tc>
          <w:tcPr>
            <w:tcW w:w="781"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3.9 [2.8 – 4.9]</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0.35 [0.28 – 0.46]</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0.006 [0.005 -0.009]</w:t>
            </w:r>
          </w:p>
        </w:tc>
        <w:tc>
          <w:tcPr>
            <w:tcW w:w="12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0.0003 [0.0002- 0.0005]</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0.08 [0.06-0.10]</w:t>
            </w:r>
          </w:p>
        </w:tc>
        <w:tc>
          <w:tcPr>
            <w:tcW w:w="9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0.95 [0.88 -1.01]</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0.98 [0.92 – 1.04]</w:t>
            </w:r>
          </w:p>
        </w:tc>
      </w:tr>
      <w:tr w:rsidR="000623D8" w:rsidRPr="005F5605" w:rsidTr="000731FD">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Thailand</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6.8 [4.4 – 12.3]</w:t>
            </w:r>
          </w:p>
        </w:tc>
        <w:tc>
          <w:tcPr>
            <w:tcW w:w="709"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3.3 [2.1 – 4.7]</w:t>
            </w:r>
          </w:p>
        </w:tc>
        <w:tc>
          <w:tcPr>
            <w:tcW w:w="781"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0.99 [0.62 – 1.61]</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0.68 [0.44 – 0.94]</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0.04 [0.03 – 0.05]</w:t>
            </w:r>
          </w:p>
        </w:tc>
        <w:tc>
          <w:tcPr>
            <w:tcW w:w="12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0.011 [0.007 – 0.015]</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0.13 [0.06 – 0.19]</w:t>
            </w:r>
          </w:p>
        </w:tc>
        <w:tc>
          <w:tcPr>
            <w:tcW w:w="9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1.0 [0.96 -1.04]</w:t>
            </w:r>
          </w:p>
        </w:tc>
        <w:tc>
          <w:tcPr>
            <w:tcW w:w="1027" w:type="dxa"/>
          </w:tcPr>
          <w:p w:rsidR="000623D8" w:rsidRPr="005F5605" w:rsidRDefault="000623D8" w:rsidP="000731FD">
            <w:pPr>
              <w:spacing w:after="12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0.96 [0.94 – 0.99]</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0623D8" w:rsidRPr="005F5605" w:rsidRDefault="000623D8" w:rsidP="000731FD">
            <w:pPr>
              <w:spacing w:after="120" w:line="480" w:lineRule="auto"/>
              <w:rPr>
                <w:rFonts w:cstheme="minorHAnsi"/>
                <w:color w:val="000000" w:themeColor="text1"/>
                <w:sz w:val="18"/>
                <w:szCs w:val="18"/>
              </w:rPr>
            </w:pPr>
            <w:r w:rsidRPr="005F5605">
              <w:rPr>
                <w:rFonts w:cstheme="minorHAnsi"/>
                <w:color w:val="000000" w:themeColor="text1"/>
                <w:sz w:val="18"/>
                <w:szCs w:val="18"/>
                <w:lang w:val="en-IN"/>
              </w:rPr>
              <w:t xml:space="preserve">Timor </w:t>
            </w:r>
            <w:proofErr w:type="spellStart"/>
            <w:r w:rsidRPr="005F5605">
              <w:rPr>
                <w:rFonts w:cstheme="minorHAnsi"/>
                <w:color w:val="000000" w:themeColor="text1"/>
                <w:sz w:val="18"/>
                <w:szCs w:val="18"/>
                <w:lang w:val="en-IN"/>
              </w:rPr>
              <w:t>Leste</w:t>
            </w:r>
            <w:proofErr w:type="spellEnd"/>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4.0 [2.1 – 8.8]</w:t>
            </w:r>
          </w:p>
        </w:tc>
        <w:tc>
          <w:tcPr>
            <w:tcW w:w="709"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3.3 [2.1 – 4.8]</w:t>
            </w:r>
          </w:p>
        </w:tc>
        <w:tc>
          <w:tcPr>
            <w:tcW w:w="781"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3.7 [1.2 – 8.2]</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0.04[0.02 – 0.08]</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0.04 [0.02 – 0.06]</w:t>
            </w:r>
          </w:p>
        </w:tc>
        <w:tc>
          <w:tcPr>
            <w:tcW w:w="12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0.002 [0.001 -0.003]</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0.16 [0.08 -0.32]</w:t>
            </w:r>
          </w:p>
        </w:tc>
        <w:tc>
          <w:tcPr>
            <w:tcW w:w="9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1.06 [1.01 -1.12]</w:t>
            </w:r>
          </w:p>
        </w:tc>
        <w:tc>
          <w:tcPr>
            <w:tcW w:w="1027" w:type="dxa"/>
          </w:tcPr>
          <w:p w:rsidR="000623D8" w:rsidRPr="005F5605" w:rsidRDefault="000623D8" w:rsidP="000731FD">
            <w:pPr>
              <w:spacing w:after="12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5F5605">
              <w:rPr>
                <w:rFonts w:cstheme="minorHAnsi"/>
                <w:color w:val="000000" w:themeColor="text1"/>
                <w:sz w:val="18"/>
                <w:szCs w:val="18"/>
              </w:rPr>
              <w:t>0.99 [0.93 -1.04]</w:t>
            </w:r>
          </w:p>
        </w:tc>
      </w:tr>
    </w:tbl>
    <w:p w:rsidR="000623D8" w:rsidRPr="005F5605" w:rsidRDefault="000623D8" w:rsidP="000623D8">
      <w:pPr>
        <w:spacing w:after="120" w:line="480" w:lineRule="auto"/>
        <w:rPr>
          <w:rFonts w:cstheme="minorHAnsi"/>
          <w:color w:val="000000" w:themeColor="text1"/>
          <w:sz w:val="18"/>
          <w:szCs w:val="18"/>
        </w:rPr>
      </w:pPr>
    </w:p>
    <w:p w:rsidR="000623D8" w:rsidRPr="005F5605" w:rsidRDefault="000623D8" w:rsidP="000623D8">
      <w:pPr>
        <w:rPr>
          <w:b/>
          <w:bCs/>
          <w:color w:val="000000" w:themeColor="text1"/>
        </w:rPr>
      </w:pPr>
    </w:p>
    <w:p w:rsidR="000623D8" w:rsidRPr="005F5605" w:rsidRDefault="000623D8" w:rsidP="000623D8">
      <w:pPr>
        <w:spacing w:line="312" w:lineRule="auto"/>
        <w:rPr>
          <w:rFonts w:ascii="Arial" w:hAnsi="Arial" w:cs="Arial"/>
          <w:color w:val="000000" w:themeColor="text1"/>
          <w:sz w:val="22"/>
          <w:szCs w:val="22"/>
        </w:rPr>
      </w:pPr>
      <w:r w:rsidRPr="005F5605">
        <w:rPr>
          <w:b/>
          <w:bCs/>
          <w:color w:val="000000" w:themeColor="text1"/>
        </w:rPr>
        <w:t>Table S5.</w:t>
      </w:r>
      <w:r w:rsidRPr="005F5605">
        <w:rPr>
          <w:rFonts w:ascii="Arial" w:hAnsi="Arial" w:cs="Arial"/>
          <w:b/>
          <w:bCs/>
          <w:color w:val="000000" w:themeColor="text1"/>
          <w:sz w:val="22"/>
          <w:szCs w:val="22"/>
        </w:rPr>
        <w:t xml:space="preserve"> Impact on cumulative TB incidence</w:t>
      </w:r>
      <w:r w:rsidRPr="005F5605">
        <w:rPr>
          <w:rFonts w:ascii="Arial" w:hAnsi="Arial" w:cs="Arial"/>
          <w:color w:val="000000" w:themeColor="text1"/>
          <w:sz w:val="22"/>
          <w:szCs w:val="22"/>
        </w:rPr>
        <w:t xml:space="preserve"> by country, and for the whole region, from 2019-2030. While results in the main text show impact in terms of reductions in annual incidence rates (in line with the End TB goals), this table summarises impact attributable to preventive therapy alone, in terms of reductions in </w:t>
      </w:r>
      <w:r w:rsidRPr="005F5605">
        <w:rPr>
          <w:rFonts w:ascii="Arial" w:hAnsi="Arial" w:cs="Arial"/>
          <w:i/>
          <w:iCs/>
          <w:color w:val="000000" w:themeColor="text1"/>
          <w:sz w:val="22"/>
          <w:szCs w:val="22"/>
        </w:rPr>
        <w:t>cumulative</w:t>
      </w:r>
      <w:r w:rsidRPr="005F5605">
        <w:rPr>
          <w:rFonts w:ascii="Arial" w:hAnsi="Arial" w:cs="Arial"/>
          <w:color w:val="000000" w:themeColor="text1"/>
          <w:sz w:val="22"/>
          <w:szCs w:val="22"/>
        </w:rPr>
        <w:t xml:space="preserve"> TB cases between 2019 and 2030. In this table, estimates under ‘status quo comparator’ relate to the difference between blue and orange curves in the left-hand panel of Figure 2; estimates under ‘improved TB cascade comparator’ relate to the difference between green and yellow curves in the right-hand panel of Figure 2.</w:t>
      </w:r>
    </w:p>
    <w:p w:rsidR="000623D8" w:rsidRPr="005F5605" w:rsidRDefault="000623D8" w:rsidP="000623D8">
      <w:pPr>
        <w:spacing w:line="312" w:lineRule="auto"/>
        <w:rPr>
          <w:b/>
          <w:bCs/>
          <w:color w:val="000000" w:themeColor="text1"/>
        </w:rPr>
      </w:pPr>
    </w:p>
    <w:tbl>
      <w:tblPr>
        <w:tblStyle w:val="PlainTable1"/>
        <w:tblW w:w="8135" w:type="dxa"/>
        <w:tblCellMar>
          <w:top w:w="57" w:type="dxa"/>
          <w:bottom w:w="57" w:type="dxa"/>
        </w:tblCellMar>
        <w:tblLook w:val="0420" w:firstRow="1" w:lastRow="0" w:firstColumn="0" w:lastColumn="0" w:noHBand="0" w:noVBand="1"/>
      </w:tblPr>
      <w:tblGrid>
        <w:gridCol w:w="1353"/>
        <w:gridCol w:w="1659"/>
        <w:gridCol w:w="1607"/>
        <w:gridCol w:w="1701"/>
        <w:gridCol w:w="1815"/>
      </w:tblGrid>
      <w:tr w:rsidR="000623D8" w:rsidRPr="005F5605" w:rsidTr="000731FD">
        <w:trPr>
          <w:cnfStyle w:val="100000000000" w:firstRow="1" w:lastRow="0" w:firstColumn="0" w:lastColumn="0" w:oddVBand="0" w:evenVBand="0" w:oddHBand="0" w:evenHBand="0" w:firstRowFirstColumn="0" w:firstRowLastColumn="0" w:lastRowFirstColumn="0" w:lastRowLastColumn="0"/>
          <w:trHeight w:val="343"/>
        </w:trPr>
        <w:tc>
          <w:tcPr>
            <w:tcW w:w="1353" w:type="dxa"/>
            <w:vMerge w:val="restart"/>
            <w:hideMark/>
          </w:tcPr>
          <w:p w:rsidR="000623D8" w:rsidRPr="005F5605" w:rsidRDefault="000623D8" w:rsidP="000731FD">
            <w:pPr>
              <w:rPr>
                <w:rFonts w:ascii="Calibri" w:hAnsi="Calibri" w:cs="Calibri"/>
                <w:b w:val="0"/>
                <w:color w:val="000000" w:themeColor="text1"/>
                <w:sz w:val="18"/>
                <w:szCs w:val="18"/>
                <w:lang w:val="en-IN"/>
              </w:rPr>
            </w:pPr>
            <w:r w:rsidRPr="005F5605">
              <w:rPr>
                <w:rFonts w:ascii="Calibri" w:hAnsi="Calibri" w:cs="Calibri"/>
                <w:color w:val="000000" w:themeColor="text1"/>
                <w:sz w:val="18"/>
                <w:szCs w:val="18"/>
                <w:lang w:val="en-IN"/>
              </w:rPr>
              <w:t>Cases averted (2019-2030)</w:t>
            </w:r>
          </w:p>
        </w:tc>
        <w:tc>
          <w:tcPr>
            <w:tcW w:w="3266" w:type="dxa"/>
            <w:gridSpan w:val="2"/>
            <w:hideMark/>
          </w:tcPr>
          <w:p w:rsidR="000623D8" w:rsidRPr="005F5605" w:rsidRDefault="000623D8" w:rsidP="000731FD">
            <w:pPr>
              <w:rPr>
                <w:rFonts w:ascii="Calibri" w:hAnsi="Calibri" w:cs="Calibri"/>
                <w:b w:val="0"/>
                <w:color w:val="000000" w:themeColor="text1"/>
                <w:sz w:val="18"/>
                <w:szCs w:val="18"/>
                <w:lang w:val="en-IN"/>
              </w:rPr>
            </w:pPr>
            <w:r w:rsidRPr="005F5605">
              <w:rPr>
                <w:rFonts w:ascii="Calibri" w:hAnsi="Calibri" w:cs="Calibri"/>
                <w:color w:val="000000" w:themeColor="text1"/>
                <w:sz w:val="18"/>
                <w:szCs w:val="18"/>
                <w:lang w:val="en-IN"/>
              </w:rPr>
              <w:t>Status quo comparator</w:t>
            </w:r>
          </w:p>
        </w:tc>
        <w:tc>
          <w:tcPr>
            <w:tcW w:w="3516" w:type="dxa"/>
            <w:gridSpan w:val="2"/>
            <w:hideMark/>
          </w:tcPr>
          <w:p w:rsidR="000623D8" w:rsidRPr="005F5605" w:rsidRDefault="000623D8" w:rsidP="000731FD">
            <w:pPr>
              <w:rPr>
                <w:rFonts w:ascii="Calibri" w:hAnsi="Calibri" w:cs="Calibri"/>
                <w:b w:val="0"/>
                <w:bCs w:val="0"/>
                <w:color w:val="000000" w:themeColor="text1"/>
                <w:sz w:val="18"/>
                <w:szCs w:val="18"/>
                <w:lang w:val="en-IN"/>
              </w:rPr>
            </w:pPr>
            <w:r w:rsidRPr="005F5605">
              <w:rPr>
                <w:rFonts w:ascii="Calibri" w:hAnsi="Calibri" w:cs="Calibri"/>
                <w:color w:val="000000" w:themeColor="text1"/>
                <w:sz w:val="18"/>
                <w:szCs w:val="18"/>
                <w:lang w:val="en-IN"/>
              </w:rPr>
              <w:t>Improved TB cascade comparator</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10"/>
        </w:trPr>
        <w:tc>
          <w:tcPr>
            <w:tcW w:w="0" w:type="auto"/>
            <w:vMerge/>
            <w:hideMark/>
          </w:tcPr>
          <w:p w:rsidR="000623D8" w:rsidRPr="005F5605" w:rsidRDefault="000623D8" w:rsidP="000731FD">
            <w:pPr>
              <w:rPr>
                <w:rFonts w:ascii="Calibri" w:hAnsi="Calibri" w:cs="Calibri"/>
                <w:b/>
                <w:color w:val="000000" w:themeColor="text1"/>
                <w:sz w:val="18"/>
                <w:szCs w:val="18"/>
                <w:lang w:val="en-IN"/>
              </w:rPr>
            </w:pPr>
          </w:p>
        </w:tc>
        <w:tc>
          <w:tcPr>
            <w:tcW w:w="1659" w:type="dxa"/>
            <w:hideMark/>
          </w:tcPr>
          <w:p w:rsidR="000623D8" w:rsidRPr="005F5605" w:rsidRDefault="000623D8" w:rsidP="000731FD">
            <w:pPr>
              <w:rPr>
                <w:rFonts w:ascii="Calibri" w:hAnsi="Calibri" w:cs="Calibri"/>
                <w:b/>
                <w:color w:val="000000" w:themeColor="text1"/>
                <w:sz w:val="18"/>
                <w:szCs w:val="18"/>
                <w:lang w:val="en-IN"/>
              </w:rPr>
            </w:pPr>
            <w:r w:rsidRPr="005F5605">
              <w:rPr>
                <w:rFonts w:ascii="Calibri" w:hAnsi="Calibri" w:cs="Calibri"/>
                <w:b/>
                <w:color w:val="000000" w:themeColor="text1"/>
                <w:sz w:val="18"/>
                <w:szCs w:val="18"/>
                <w:lang w:val="en-IN"/>
              </w:rPr>
              <w:t>Number of TB cases averted</w:t>
            </w:r>
          </w:p>
          <w:p w:rsidR="000623D8" w:rsidRPr="005F5605" w:rsidRDefault="000623D8" w:rsidP="000731FD">
            <w:pPr>
              <w:rPr>
                <w:rFonts w:ascii="Calibri" w:hAnsi="Calibri" w:cs="Calibri"/>
                <w:b/>
                <w:color w:val="000000" w:themeColor="text1"/>
                <w:sz w:val="18"/>
                <w:szCs w:val="18"/>
                <w:lang w:val="en-IN"/>
              </w:rPr>
            </w:pPr>
            <w:r w:rsidRPr="005F5605" w:rsidDel="009C578B">
              <w:rPr>
                <w:rFonts w:ascii="Calibri" w:hAnsi="Calibri" w:cs="Calibri"/>
                <w:b/>
                <w:color w:val="000000" w:themeColor="text1"/>
                <w:sz w:val="18"/>
                <w:szCs w:val="18"/>
                <w:lang w:val="en-IN"/>
              </w:rPr>
              <w:t xml:space="preserve"> </w:t>
            </w:r>
            <w:r w:rsidRPr="005F5605">
              <w:rPr>
                <w:rFonts w:ascii="Calibri" w:hAnsi="Calibri" w:cs="Calibri"/>
                <w:b/>
                <w:color w:val="000000" w:themeColor="text1"/>
                <w:sz w:val="18"/>
                <w:szCs w:val="18"/>
                <w:lang w:val="en-IN"/>
              </w:rPr>
              <w:t>(thousands)</w:t>
            </w:r>
          </w:p>
        </w:tc>
        <w:tc>
          <w:tcPr>
            <w:tcW w:w="1607" w:type="dxa"/>
            <w:hideMark/>
          </w:tcPr>
          <w:p w:rsidR="000623D8" w:rsidRPr="005F5605" w:rsidRDefault="000623D8" w:rsidP="000731FD">
            <w:pPr>
              <w:rPr>
                <w:rFonts w:ascii="Calibri" w:hAnsi="Calibri" w:cs="Calibri"/>
                <w:b/>
                <w:color w:val="000000" w:themeColor="text1"/>
                <w:sz w:val="18"/>
                <w:szCs w:val="18"/>
                <w:lang w:val="en-IN"/>
              </w:rPr>
            </w:pPr>
            <w:proofErr w:type="spellStart"/>
            <w:r w:rsidRPr="005F5605">
              <w:rPr>
                <w:rFonts w:ascii="Calibri" w:hAnsi="Calibri" w:cs="Calibri"/>
                <w:b/>
                <w:color w:val="000000" w:themeColor="text1"/>
                <w:sz w:val="18"/>
                <w:szCs w:val="18"/>
                <w:lang w:val="en-IN"/>
              </w:rPr>
              <w:t>Pct</w:t>
            </w:r>
            <w:proofErr w:type="spellEnd"/>
            <w:r w:rsidRPr="005F5605">
              <w:rPr>
                <w:rFonts w:ascii="Calibri" w:hAnsi="Calibri" w:cs="Calibri"/>
                <w:b/>
                <w:color w:val="000000" w:themeColor="text1"/>
                <w:sz w:val="18"/>
                <w:szCs w:val="18"/>
                <w:lang w:val="en-IN"/>
              </w:rPr>
              <w:t xml:space="preserve"> reduction in cumulative incidence</w:t>
            </w:r>
          </w:p>
        </w:tc>
        <w:tc>
          <w:tcPr>
            <w:tcW w:w="1701" w:type="dxa"/>
            <w:hideMark/>
          </w:tcPr>
          <w:p w:rsidR="000623D8" w:rsidRPr="005F5605" w:rsidRDefault="000623D8" w:rsidP="000731FD">
            <w:pPr>
              <w:rPr>
                <w:rFonts w:ascii="Calibri" w:hAnsi="Calibri" w:cs="Calibri"/>
                <w:b/>
                <w:color w:val="000000" w:themeColor="text1"/>
                <w:sz w:val="18"/>
                <w:szCs w:val="18"/>
                <w:lang w:val="en-IN"/>
              </w:rPr>
            </w:pPr>
            <w:r w:rsidRPr="005F5605">
              <w:rPr>
                <w:rFonts w:ascii="Calibri" w:hAnsi="Calibri" w:cs="Calibri"/>
                <w:b/>
                <w:color w:val="000000" w:themeColor="text1"/>
                <w:sz w:val="18"/>
                <w:szCs w:val="18"/>
                <w:lang w:val="en-IN"/>
              </w:rPr>
              <w:t>Number of TB cases averted (thousands)</w:t>
            </w:r>
          </w:p>
        </w:tc>
        <w:tc>
          <w:tcPr>
            <w:tcW w:w="1815" w:type="dxa"/>
            <w:hideMark/>
          </w:tcPr>
          <w:p w:rsidR="000623D8" w:rsidRPr="005F5605" w:rsidRDefault="000623D8" w:rsidP="000731FD">
            <w:pPr>
              <w:rPr>
                <w:rFonts w:ascii="Calibri" w:hAnsi="Calibri" w:cs="Calibri"/>
                <w:b/>
                <w:color w:val="000000" w:themeColor="text1"/>
                <w:sz w:val="18"/>
                <w:szCs w:val="18"/>
                <w:lang w:val="en-IN"/>
              </w:rPr>
            </w:pPr>
            <w:r w:rsidRPr="005F5605">
              <w:rPr>
                <w:rFonts w:ascii="Calibri" w:hAnsi="Calibri" w:cs="Calibri"/>
                <w:b/>
                <w:color w:val="000000" w:themeColor="text1"/>
                <w:sz w:val="18"/>
                <w:szCs w:val="18"/>
                <w:lang w:val="en-IN"/>
              </w:rPr>
              <w:t xml:space="preserve"> </w:t>
            </w:r>
            <w:proofErr w:type="spellStart"/>
            <w:r w:rsidRPr="005F5605">
              <w:rPr>
                <w:rFonts w:ascii="Calibri" w:hAnsi="Calibri" w:cs="Calibri"/>
                <w:b/>
                <w:color w:val="000000" w:themeColor="text1"/>
                <w:sz w:val="18"/>
                <w:szCs w:val="18"/>
                <w:lang w:val="en-IN"/>
              </w:rPr>
              <w:t>Pct</w:t>
            </w:r>
            <w:proofErr w:type="spellEnd"/>
            <w:r w:rsidRPr="005F5605">
              <w:rPr>
                <w:rFonts w:ascii="Calibri" w:hAnsi="Calibri" w:cs="Calibri"/>
                <w:b/>
                <w:color w:val="000000" w:themeColor="text1"/>
                <w:sz w:val="18"/>
                <w:szCs w:val="18"/>
                <w:lang w:val="en-IN"/>
              </w:rPr>
              <w:t xml:space="preserve"> reduction in cumulative incidence</w:t>
            </w:r>
          </w:p>
        </w:tc>
      </w:tr>
      <w:tr w:rsidR="000623D8" w:rsidRPr="005F5605" w:rsidTr="000731FD">
        <w:trPr>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Bangladesh</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138[129-194]</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3.8[3.2-4.5]</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136[122-158]</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3.7[3.1-5.0]</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Bhutan</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0.33[0.27-0.48]</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2.8[2.3-3.2]</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0.32[0.28-0.39]</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2.8[2.4-3.3]</w:t>
            </w:r>
          </w:p>
        </w:tc>
      </w:tr>
      <w:tr w:rsidR="000623D8" w:rsidRPr="005F5605" w:rsidTr="000731FD">
        <w:trPr>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DPR Korea</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144[84-196]</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4.5[2.5-9.6]</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101[42-146]</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5.5[2.0-10.6]</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India</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1450[1200-1925]</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5.1[4.0-6.4]</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1394[1160-1661]</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5.2[4.2-6.4]</w:t>
            </w:r>
          </w:p>
        </w:tc>
      </w:tr>
      <w:tr w:rsidR="000623D8" w:rsidRPr="005F5605" w:rsidTr="000731FD">
        <w:trPr>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Indonesia</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555[451-735]</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5.7[4.8-6.6]</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521[451-625]</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6.3[5.4-7.1]</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Maldives</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0.03[0.02-0.1]</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1.6[1.4-2.4]</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0.02[0.01-0.03]</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1.4[0.9-1.7]</w:t>
            </w:r>
          </w:p>
        </w:tc>
      </w:tr>
      <w:tr w:rsidR="000623D8" w:rsidRPr="005F5605" w:rsidTr="000731FD">
        <w:trPr>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Myanmar</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167[138-323]</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8.2[6.3-11.1]</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202[155-353]</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10.4[7.5-12.7]</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Nepal</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18.2[15.0-30.4]</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3.6[3.3-4.1]</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17[14-22]</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3.8[3.2-4.6]</w:t>
            </w:r>
          </w:p>
        </w:tc>
      </w:tr>
      <w:tr w:rsidR="000623D8" w:rsidRPr="005F5605" w:rsidTr="000731FD">
        <w:trPr>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Sri Lanka</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2.2[1.9-2.9]</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1.6[1.3-2.0]</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2.5[2.0-3.1]</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2.1[1.5-2.3]</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Thailand</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92[64-171]</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7.4[5.7-9.0]</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70[58-94]</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7.0[5.8-8.5]</w:t>
            </w:r>
          </w:p>
        </w:tc>
      </w:tr>
      <w:tr w:rsidR="000623D8" w:rsidRPr="005F5605" w:rsidTr="000731FD">
        <w:trPr>
          <w:trHeight w:val="310"/>
        </w:trPr>
        <w:tc>
          <w:tcPr>
            <w:tcW w:w="135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lastRenderedPageBreak/>
              <w:t xml:space="preserve">Timor </w:t>
            </w:r>
            <w:proofErr w:type="spellStart"/>
            <w:r w:rsidRPr="005F5605">
              <w:rPr>
                <w:rFonts w:ascii="Calibri" w:hAnsi="Calibri" w:cs="Calibri"/>
                <w:color w:val="000000" w:themeColor="text1"/>
                <w:sz w:val="18"/>
                <w:szCs w:val="18"/>
                <w:lang w:val="en-IN"/>
              </w:rPr>
              <w:t>Leste</w:t>
            </w:r>
            <w:proofErr w:type="spellEnd"/>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14.0[10.6-20.4]</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10.6[6.8-14.1]</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8.5[6.8-11.4]</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11.8[9.7-14.3]</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310"/>
        </w:trPr>
        <w:tc>
          <w:tcPr>
            <w:tcW w:w="1353"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SEAR</w:t>
            </w:r>
          </w:p>
        </w:tc>
        <w:tc>
          <w:tcPr>
            <w:tcW w:w="1659"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2642[2274-3194]</w:t>
            </w:r>
          </w:p>
        </w:tc>
        <w:tc>
          <w:tcPr>
            <w:tcW w:w="16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5.2[4.6-6.1]</w:t>
            </w:r>
          </w:p>
        </w:tc>
        <w:tc>
          <w:tcPr>
            <w:tcW w:w="170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2472[2207-2879]</w:t>
            </w:r>
          </w:p>
        </w:tc>
        <w:tc>
          <w:tcPr>
            <w:tcW w:w="181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5.6[4.8-6.5]</w:t>
            </w:r>
          </w:p>
        </w:tc>
      </w:tr>
    </w:tbl>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rFonts w:ascii="Arial" w:hAnsi="Arial" w:cs="Arial"/>
          <w:b/>
          <w:color w:val="000000" w:themeColor="text1"/>
          <w:sz w:val="22"/>
          <w:szCs w:val="22"/>
        </w:rPr>
      </w:pPr>
      <w:r w:rsidRPr="005F5605">
        <w:rPr>
          <w:rFonts w:ascii="Arial" w:hAnsi="Arial" w:cs="Arial"/>
          <w:b/>
          <w:color w:val="000000" w:themeColor="text1"/>
          <w:sz w:val="22"/>
          <w:szCs w:val="22"/>
        </w:rPr>
        <w:br w:type="page"/>
      </w:r>
    </w:p>
    <w:p w:rsidR="000623D8" w:rsidRPr="005F5605" w:rsidRDefault="000623D8" w:rsidP="000623D8">
      <w:pPr>
        <w:spacing w:line="312" w:lineRule="auto"/>
        <w:rPr>
          <w:rFonts w:ascii="Arial" w:hAnsi="Arial" w:cs="Arial"/>
          <w:color w:val="000000" w:themeColor="text1"/>
          <w:sz w:val="22"/>
          <w:szCs w:val="22"/>
        </w:rPr>
      </w:pPr>
      <w:r w:rsidRPr="005F5605">
        <w:rPr>
          <w:b/>
          <w:bCs/>
          <w:color w:val="000000" w:themeColor="text1"/>
        </w:rPr>
        <w:lastRenderedPageBreak/>
        <w:t>Table S6.</w:t>
      </w:r>
      <w:r w:rsidRPr="005F5605">
        <w:rPr>
          <w:rFonts w:ascii="Arial" w:hAnsi="Arial" w:cs="Arial"/>
          <w:b/>
          <w:bCs/>
          <w:color w:val="000000" w:themeColor="text1"/>
          <w:sz w:val="22"/>
          <w:szCs w:val="22"/>
        </w:rPr>
        <w:t xml:space="preserve"> Impact on cumulative TB mortality </w:t>
      </w:r>
      <w:r w:rsidRPr="005F5605">
        <w:rPr>
          <w:rFonts w:ascii="Arial" w:hAnsi="Arial" w:cs="Arial"/>
          <w:color w:val="000000" w:themeColor="text1"/>
          <w:sz w:val="22"/>
          <w:szCs w:val="22"/>
        </w:rPr>
        <w:t xml:space="preserve">by country, and for the whole region, from 2019-2030. Similar to table S5, this table summarises reductions in </w:t>
      </w:r>
      <w:r w:rsidRPr="005F5605">
        <w:rPr>
          <w:rFonts w:ascii="Arial" w:hAnsi="Arial" w:cs="Arial"/>
          <w:i/>
          <w:iCs/>
          <w:color w:val="000000" w:themeColor="text1"/>
          <w:sz w:val="22"/>
          <w:szCs w:val="22"/>
        </w:rPr>
        <w:t>cumulative</w:t>
      </w:r>
      <w:r w:rsidRPr="005F5605">
        <w:rPr>
          <w:rFonts w:ascii="Arial" w:hAnsi="Arial" w:cs="Arial"/>
          <w:color w:val="000000" w:themeColor="text1"/>
          <w:sz w:val="22"/>
          <w:szCs w:val="22"/>
        </w:rPr>
        <w:t xml:space="preserve"> TB mortality between 2019 and 2030, attributable to preventive therapy alone.</w:t>
      </w:r>
    </w:p>
    <w:p w:rsidR="000623D8" w:rsidRPr="005F5605" w:rsidRDefault="000623D8" w:rsidP="000623D8">
      <w:pPr>
        <w:rPr>
          <w:rFonts w:ascii="Arial" w:hAnsi="Arial" w:cs="Arial"/>
          <w:b/>
          <w:color w:val="000000" w:themeColor="text1"/>
          <w:sz w:val="22"/>
          <w:szCs w:val="22"/>
        </w:rPr>
      </w:pPr>
    </w:p>
    <w:p w:rsidR="000623D8" w:rsidRPr="005F5605" w:rsidRDefault="000623D8" w:rsidP="000623D8">
      <w:pPr>
        <w:spacing w:line="312" w:lineRule="auto"/>
        <w:rPr>
          <w:rFonts w:ascii="Arial" w:hAnsi="Arial" w:cs="Arial"/>
          <w:color w:val="000000" w:themeColor="text1"/>
          <w:sz w:val="22"/>
          <w:szCs w:val="22"/>
        </w:rPr>
      </w:pPr>
    </w:p>
    <w:p w:rsidR="000623D8" w:rsidRPr="005F5605" w:rsidRDefault="000623D8" w:rsidP="000623D8">
      <w:pPr>
        <w:rPr>
          <w:rFonts w:ascii="Arial" w:hAnsi="Arial" w:cs="Arial"/>
          <w:b/>
          <w:color w:val="000000" w:themeColor="text1"/>
          <w:sz w:val="22"/>
          <w:szCs w:val="22"/>
        </w:rPr>
      </w:pPr>
    </w:p>
    <w:tbl>
      <w:tblPr>
        <w:tblStyle w:val="PlainTable1"/>
        <w:tblW w:w="8495" w:type="dxa"/>
        <w:tblCellMar>
          <w:top w:w="57" w:type="dxa"/>
          <w:bottom w:w="57" w:type="dxa"/>
        </w:tblCellMar>
        <w:tblLook w:val="0420" w:firstRow="1" w:lastRow="0" w:firstColumn="0" w:lastColumn="0" w:noHBand="0" w:noVBand="1"/>
      </w:tblPr>
      <w:tblGrid>
        <w:gridCol w:w="1334"/>
        <w:gridCol w:w="1978"/>
        <w:gridCol w:w="1625"/>
        <w:gridCol w:w="1707"/>
        <w:gridCol w:w="1851"/>
      </w:tblGrid>
      <w:tr w:rsidR="000623D8" w:rsidRPr="005F5605" w:rsidTr="000731FD">
        <w:trPr>
          <w:cnfStyle w:val="100000000000" w:firstRow="1" w:lastRow="0" w:firstColumn="0" w:lastColumn="0" w:oddVBand="0" w:evenVBand="0" w:oddHBand="0" w:evenHBand="0" w:firstRowFirstColumn="0" w:firstRowLastColumn="0" w:lastRowFirstColumn="0" w:lastRowLastColumn="0"/>
          <w:trHeight w:val="299"/>
        </w:trPr>
        <w:tc>
          <w:tcPr>
            <w:tcW w:w="1334" w:type="dxa"/>
            <w:vMerge w:val="restart"/>
            <w:hideMark/>
          </w:tcPr>
          <w:p w:rsidR="000623D8" w:rsidRPr="005F5605" w:rsidRDefault="000623D8" w:rsidP="000731FD">
            <w:pPr>
              <w:rPr>
                <w:rFonts w:ascii="Calibri" w:hAnsi="Calibri" w:cs="Calibri"/>
                <w:b w:val="0"/>
                <w:color w:val="000000" w:themeColor="text1"/>
                <w:sz w:val="18"/>
                <w:szCs w:val="18"/>
                <w:lang w:val="en-IN"/>
              </w:rPr>
            </w:pPr>
            <w:r w:rsidRPr="005F5605">
              <w:rPr>
                <w:rFonts w:ascii="Calibri" w:hAnsi="Calibri" w:cs="Calibri"/>
                <w:color w:val="000000" w:themeColor="text1"/>
                <w:sz w:val="18"/>
                <w:szCs w:val="18"/>
                <w:lang w:val="en-IN"/>
              </w:rPr>
              <w:t>Deaths averted (2019-2030)</w:t>
            </w:r>
          </w:p>
        </w:tc>
        <w:tc>
          <w:tcPr>
            <w:tcW w:w="3603" w:type="dxa"/>
            <w:gridSpan w:val="2"/>
            <w:hideMark/>
          </w:tcPr>
          <w:p w:rsidR="000623D8" w:rsidRPr="005F5605" w:rsidRDefault="000623D8" w:rsidP="000731FD">
            <w:pPr>
              <w:rPr>
                <w:rFonts w:ascii="Calibri" w:hAnsi="Calibri" w:cs="Calibri"/>
                <w:b w:val="0"/>
                <w:color w:val="000000" w:themeColor="text1"/>
                <w:sz w:val="18"/>
                <w:szCs w:val="18"/>
                <w:lang w:val="en-IN"/>
              </w:rPr>
            </w:pPr>
            <w:r w:rsidRPr="005F5605">
              <w:rPr>
                <w:rFonts w:ascii="Calibri" w:hAnsi="Calibri" w:cs="Calibri"/>
                <w:color w:val="000000" w:themeColor="text1"/>
                <w:sz w:val="18"/>
                <w:szCs w:val="18"/>
                <w:lang w:val="en-IN"/>
              </w:rPr>
              <w:t>Status quo comparator</w:t>
            </w:r>
          </w:p>
        </w:tc>
        <w:tc>
          <w:tcPr>
            <w:tcW w:w="3558" w:type="dxa"/>
            <w:gridSpan w:val="2"/>
            <w:hideMark/>
          </w:tcPr>
          <w:p w:rsidR="000623D8" w:rsidRPr="005F5605" w:rsidRDefault="000623D8" w:rsidP="000731FD">
            <w:pPr>
              <w:rPr>
                <w:rFonts w:ascii="Calibri" w:hAnsi="Calibri" w:cs="Calibri"/>
                <w:b w:val="0"/>
                <w:bCs w:val="0"/>
                <w:color w:val="000000" w:themeColor="text1"/>
                <w:sz w:val="18"/>
                <w:szCs w:val="18"/>
                <w:lang w:val="en-IN"/>
              </w:rPr>
            </w:pPr>
            <w:r w:rsidRPr="005F5605">
              <w:rPr>
                <w:rFonts w:ascii="Calibri" w:hAnsi="Calibri" w:cs="Calibri"/>
                <w:color w:val="000000" w:themeColor="text1"/>
                <w:sz w:val="18"/>
                <w:szCs w:val="18"/>
                <w:lang w:val="en-IN"/>
              </w:rPr>
              <w:t>Improved TB cascade comparator</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0" w:type="auto"/>
            <w:vMerge/>
            <w:hideMark/>
          </w:tcPr>
          <w:p w:rsidR="000623D8" w:rsidRPr="005F5605" w:rsidRDefault="000623D8" w:rsidP="000731FD">
            <w:pPr>
              <w:rPr>
                <w:rFonts w:ascii="Calibri" w:hAnsi="Calibri" w:cs="Calibri"/>
                <w:b/>
                <w:color w:val="000000" w:themeColor="text1"/>
                <w:sz w:val="18"/>
                <w:szCs w:val="18"/>
                <w:lang w:val="en-IN"/>
              </w:rPr>
            </w:pPr>
          </w:p>
        </w:tc>
        <w:tc>
          <w:tcPr>
            <w:tcW w:w="1978" w:type="dxa"/>
            <w:hideMark/>
          </w:tcPr>
          <w:p w:rsidR="000623D8" w:rsidRPr="005F5605" w:rsidRDefault="000623D8" w:rsidP="000731FD">
            <w:pPr>
              <w:rPr>
                <w:rFonts w:ascii="Calibri" w:hAnsi="Calibri" w:cs="Calibri"/>
                <w:b/>
                <w:color w:val="000000" w:themeColor="text1"/>
                <w:sz w:val="18"/>
                <w:szCs w:val="18"/>
                <w:lang w:val="en-IN"/>
              </w:rPr>
            </w:pPr>
            <w:r w:rsidRPr="005F5605">
              <w:rPr>
                <w:rFonts w:ascii="Calibri" w:hAnsi="Calibri" w:cs="Calibri"/>
                <w:b/>
                <w:color w:val="000000" w:themeColor="text1"/>
                <w:sz w:val="18"/>
                <w:szCs w:val="18"/>
                <w:lang w:val="en-IN"/>
              </w:rPr>
              <w:t>Number of TB deaths averted (thousands)</w:t>
            </w:r>
          </w:p>
        </w:tc>
        <w:tc>
          <w:tcPr>
            <w:tcW w:w="1625" w:type="dxa"/>
            <w:hideMark/>
          </w:tcPr>
          <w:p w:rsidR="000623D8" w:rsidRPr="005F5605" w:rsidRDefault="000623D8" w:rsidP="000731FD">
            <w:pPr>
              <w:rPr>
                <w:rFonts w:ascii="Calibri" w:hAnsi="Calibri" w:cs="Calibri"/>
                <w:b/>
                <w:color w:val="000000" w:themeColor="text1"/>
                <w:sz w:val="18"/>
                <w:szCs w:val="18"/>
                <w:lang w:val="en-IN"/>
              </w:rPr>
            </w:pPr>
            <w:proofErr w:type="spellStart"/>
            <w:r w:rsidRPr="005F5605">
              <w:rPr>
                <w:rFonts w:ascii="Calibri" w:hAnsi="Calibri" w:cs="Calibri"/>
                <w:b/>
                <w:color w:val="000000" w:themeColor="text1"/>
                <w:sz w:val="18"/>
                <w:szCs w:val="18"/>
                <w:lang w:val="en-IN"/>
              </w:rPr>
              <w:t>Pct</w:t>
            </w:r>
            <w:proofErr w:type="spellEnd"/>
            <w:r w:rsidRPr="005F5605">
              <w:rPr>
                <w:rFonts w:ascii="Calibri" w:hAnsi="Calibri" w:cs="Calibri"/>
                <w:b/>
                <w:color w:val="000000" w:themeColor="text1"/>
                <w:sz w:val="18"/>
                <w:szCs w:val="18"/>
                <w:lang w:val="en-IN"/>
              </w:rPr>
              <w:t xml:space="preserve"> reduction in cumulative TB mortality</w:t>
            </w:r>
          </w:p>
        </w:tc>
        <w:tc>
          <w:tcPr>
            <w:tcW w:w="1707" w:type="dxa"/>
            <w:hideMark/>
          </w:tcPr>
          <w:p w:rsidR="000623D8" w:rsidRPr="005F5605" w:rsidRDefault="000623D8" w:rsidP="000731FD">
            <w:pPr>
              <w:rPr>
                <w:rFonts w:ascii="Calibri" w:hAnsi="Calibri" w:cs="Calibri"/>
                <w:b/>
                <w:color w:val="000000" w:themeColor="text1"/>
                <w:sz w:val="18"/>
                <w:szCs w:val="18"/>
                <w:lang w:val="en-IN"/>
              </w:rPr>
            </w:pPr>
            <w:r w:rsidRPr="005F5605">
              <w:rPr>
                <w:rFonts w:ascii="Calibri" w:hAnsi="Calibri" w:cs="Calibri"/>
                <w:b/>
                <w:color w:val="000000" w:themeColor="text1"/>
                <w:sz w:val="18"/>
                <w:szCs w:val="18"/>
                <w:lang w:val="en-IN"/>
              </w:rPr>
              <w:t>Number of TB deaths averted (thousands)</w:t>
            </w:r>
          </w:p>
        </w:tc>
        <w:tc>
          <w:tcPr>
            <w:tcW w:w="1851" w:type="dxa"/>
            <w:hideMark/>
          </w:tcPr>
          <w:p w:rsidR="000623D8" w:rsidRPr="005F5605" w:rsidRDefault="000623D8" w:rsidP="000731FD">
            <w:pPr>
              <w:rPr>
                <w:rFonts w:ascii="Calibri" w:hAnsi="Calibri" w:cs="Calibri"/>
                <w:b/>
                <w:color w:val="000000" w:themeColor="text1"/>
                <w:sz w:val="18"/>
                <w:szCs w:val="18"/>
                <w:lang w:val="en-IN"/>
              </w:rPr>
            </w:pPr>
            <w:proofErr w:type="spellStart"/>
            <w:r w:rsidRPr="005F5605">
              <w:rPr>
                <w:rFonts w:ascii="Calibri" w:hAnsi="Calibri" w:cs="Calibri"/>
                <w:b/>
                <w:color w:val="000000" w:themeColor="text1"/>
                <w:sz w:val="18"/>
                <w:szCs w:val="18"/>
                <w:lang w:val="en-IN"/>
              </w:rPr>
              <w:t>Pct</w:t>
            </w:r>
            <w:proofErr w:type="spellEnd"/>
            <w:r w:rsidRPr="005F5605">
              <w:rPr>
                <w:rFonts w:ascii="Calibri" w:hAnsi="Calibri" w:cs="Calibri"/>
                <w:b/>
                <w:color w:val="000000" w:themeColor="text1"/>
                <w:sz w:val="18"/>
                <w:szCs w:val="18"/>
                <w:lang w:val="en-IN"/>
              </w:rPr>
              <w:t xml:space="preserve"> reduction in cumulative TB mortality</w:t>
            </w:r>
          </w:p>
        </w:tc>
      </w:tr>
      <w:tr w:rsidR="000623D8" w:rsidRPr="005F5605" w:rsidTr="000731FD">
        <w:trPr>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Bangladesh</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15.5[7.4-28.9]</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3.1[2.4-4.1]</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8.5[3.5-17.9]</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2.7[1.9-3.6]</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Bhutan</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0.03[0.01-0.07]</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2.3[1.8-3.03]</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0.02[0.01-0.04]</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2.1[1.4-2.9]</w:t>
            </w:r>
          </w:p>
        </w:tc>
      </w:tr>
      <w:tr w:rsidR="000623D8" w:rsidRPr="005F5605" w:rsidTr="000731FD">
        <w:trPr>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DPR Korea</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13.8[7.2-25.8]</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3.9[2.4-8.7]</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6.4[1.9-15.0]</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4.4[1.6-8.6]</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India</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206[146-278]</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4.4[3.5-5.6]</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123[88.7-187.3]</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3.9[3.2-4.9]</w:t>
            </w:r>
          </w:p>
        </w:tc>
      </w:tr>
      <w:tr w:rsidR="000623D8" w:rsidRPr="005F5605" w:rsidTr="000731FD">
        <w:trPr>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Indonesia</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40[33-50]</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4.4[3.7-5.1]</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24.4[19.2-33.5]</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4.2[3.6-4.8]</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Maldives</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0.0001[0.00006-0.00014]</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0.7[0.6-1.1]</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0.00005[0.00003- 0.00006]</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0.6[0.4-0.7]</w:t>
            </w:r>
          </w:p>
        </w:tc>
      </w:tr>
      <w:tr w:rsidR="000623D8" w:rsidRPr="005F5605" w:rsidTr="000731FD">
        <w:trPr>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Myanmar</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15.3[9.7-26.3]</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6.6[5.2-8.8]</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11.4[5.8-16.9]</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7.4[5.1-9.5]</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Nepal</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2.6[1.2-4.8]</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3.5[2.8-4.1]</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1.6[0.5-3.4]</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3.2[2.4-4.1]</w:t>
            </w:r>
          </w:p>
        </w:tc>
      </w:tr>
      <w:tr w:rsidR="000623D8" w:rsidRPr="005F5605" w:rsidTr="000731FD">
        <w:trPr>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Sri Lanka</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0.09[0.05-0.19]</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1.3[1.0-1.7]</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0.08[0.03-0.15]</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1.6[0.9-1.9]</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Thailand</w:t>
            </w:r>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4.2[2.5-8.1]</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5.5[4.3-7.2]</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2.2[1.2-4.5]</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4.5[3.7-6.0]</w:t>
            </w:r>
          </w:p>
        </w:tc>
      </w:tr>
      <w:tr w:rsidR="000623D8" w:rsidRPr="005F5605" w:rsidTr="000731FD">
        <w:trPr>
          <w:trHeight w:val="270"/>
        </w:trPr>
        <w:tc>
          <w:tcPr>
            <w:tcW w:w="1334"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 xml:space="preserve">Timor </w:t>
            </w:r>
            <w:proofErr w:type="spellStart"/>
            <w:r w:rsidRPr="005F5605">
              <w:rPr>
                <w:rFonts w:ascii="Calibri" w:hAnsi="Calibri" w:cs="Calibri"/>
                <w:color w:val="000000" w:themeColor="text1"/>
                <w:sz w:val="18"/>
                <w:szCs w:val="18"/>
                <w:lang w:val="en-IN"/>
              </w:rPr>
              <w:t>Leste</w:t>
            </w:r>
            <w:proofErr w:type="spellEnd"/>
          </w:p>
        </w:tc>
        <w:tc>
          <w:tcPr>
            <w:tcW w:w="1978"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1.95[0.87-4.5]</w:t>
            </w:r>
          </w:p>
        </w:tc>
        <w:tc>
          <w:tcPr>
            <w:tcW w:w="162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8.6[5.9-11.6]</w:t>
            </w:r>
          </w:p>
        </w:tc>
        <w:tc>
          <w:tcPr>
            <w:tcW w:w="1707"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0.65[0.24-1.86]</w:t>
            </w:r>
          </w:p>
        </w:tc>
        <w:tc>
          <w:tcPr>
            <w:tcW w:w="1851"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kern w:val="24"/>
                <w:sz w:val="18"/>
                <w:szCs w:val="18"/>
              </w:rPr>
              <w:t>7.9[5.5-10.6]</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34"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SEAR</w:t>
            </w:r>
          </w:p>
        </w:tc>
        <w:tc>
          <w:tcPr>
            <w:tcW w:w="1978" w:type="dxa"/>
          </w:tcPr>
          <w:p w:rsidR="000623D8" w:rsidRPr="005F5605" w:rsidRDefault="000623D8" w:rsidP="000731FD">
            <w:pPr>
              <w:jc w:val="both"/>
              <w:rPr>
                <w:rFonts w:ascii="Calibri" w:hAnsi="Calibri" w:cs="Calibri"/>
                <w:color w:val="000000" w:themeColor="text1"/>
                <w:kern w:val="24"/>
                <w:sz w:val="18"/>
                <w:szCs w:val="18"/>
              </w:rPr>
            </w:pPr>
            <w:r w:rsidRPr="005F5605">
              <w:rPr>
                <w:rFonts w:ascii="Calibri" w:hAnsi="Calibri" w:cs="Calibri"/>
                <w:color w:val="000000" w:themeColor="text1"/>
                <w:kern w:val="24"/>
                <w:sz w:val="18"/>
                <w:szCs w:val="18"/>
              </w:rPr>
              <w:t>303[237-369]</w:t>
            </w:r>
          </w:p>
        </w:tc>
        <w:tc>
          <w:tcPr>
            <w:tcW w:w="1625" w:type="dxa"/>
          </w:tcPr>
          <w:p w:rsidR="000623D8" w:rsidRPr="005F5605" w:rsidRDefault="000623D8" w:rsidP="000731FD">
            <w:pPr>
              <w:jc w:val="both"/>
              <w:rPr>
                <w:rFonts w:ascii="Calibri" w:hAnsi="Calibri" w:cs="Calibri"/>
                <w:color w:val="000000" w:themeColor="text1"/>
                <w:kern w:val="24"/>
                <w:sz w:val="18"/>
                <w:szCs w:val="18"/>
              </w:rPr>
            </w:pPr>
            <w:r w:rsidRPr="005F5605">
              <w:rPr>
                <w:rFonts w:ascii="Calibri" w:hAnsi="Calibri" w:cs="Calibri"/>
                <w:color w:val="000000" w:themeColor="text1"/>
                <w:kern w:val="24"/>
                <w:sz w:val="18"/>
                <w:szCs w:val="18"/>
              </w:rPr>
              <w:t>4.4[3.8-5.2]</w:t>
            </w:r>
          </w:p>
        </w:tc>
        <w:tc>
          <w:tcPr>
            <w:tcW w:w="1707" w:type="dxa"/>
          </w:tcPr>
          <w:p w:rsidR="000623D8" w:rsidRPr="005F5605" w:rsidRDefault="000623D8" w:rsidP="000731FD">
            <w:pPr>
              <w:jc w:val="both"/>
              <w:rPr>
                <w:rFonts w:ascii="Calibri" w:hAnsi="Calibri" w:cs="Calibri"/>
                <w:color w:val="000000" w:themeColor="text1"/>
                <w:kern w:val="24"/>
                <w:sz w:val="18"/>
                <w:szCs w:val="18"/>
              </w:rPr>
            </w:pPr>
            <w:r w:rsidRPr="005F5605">
              <w:rPr>
                <w:rFonts w:ascii="Calibri" w:hAnsi="Calibri" w:cs="Calibri"/>
                <w:color w:val="000000" w:themeColor="text1"/>
                <w:kern w:val="24"/>
                <w:sz w:val="18"/>
                <w:szCs w:val="18"/>
              </w:rPr>
              <w:t>179[139-243]</w:t>
            </w:r>
          </w:p>
        </w:tc>
        <w:tc>
          <w:tcPr>
            <w:tcW w:w="1851" w:type="dxa"/>
          </w:tcPr>
          <w:p w:rsidR="000623D8" w:rsidRPr="005F5605" w:rsidRDefault="000623D8" w:rsidP="000731FD">
            <w:pPr>
              <w:jc w:val="both"/>
              <w:rPr>
                <w:rFonts w:ascii="Calibri" w:hAnsi="Calibri" w:cs="Calibri"/>
                <w:color w:val="000000" w:themeColor="text1"/>
                <w:kern w:val="24"/>
                <w:sz w:val="18"/>
                <w:szCs w:val="18"/>
              </w:rPr>
            </w:pPr>
            <w:r w:rsidRPr="005F5605">
              <w:rPr>
                <w:rFonts w:ascii="Calibri" w:hAnsi="Calibri" w:cs="Calibri"/>
                <w:color w:val="000000" w:themeColor="text1"/>
                <w:kern w:val="24"/>
                <w:sz w:val="18"/>
                <w:szCs w:val="18"/>
              </w:rPr>
              <w:t>4.0[3.4-4.9]</w:t>
            </w:r>
          </w:p>
        </w:tc>
      </w:tr>
    </w:tbl>
    <w:p w:rsidR="000623D8" w:rsidRPr="005F5605" w:rsidRDefault="000623D8" w:rsidP="000623D8">
      <w:pPr>
        <w:rPr>
          <w:rFonts w:ascii="Arial" w:hAnsi="Arial" w:cs="Arial"/>
          <w:color w:val="000000" w:themeColor="text1"/>
          <w:sz w:val="22"/>
          <w:szCs w:val="22"/>
        </w:rPr>
      </w:pPr>
    </w:p>
    <w:p w:rsidR="000623D8" w:rsidRPr="005F5605" w:rsidRDefault="000623D8" w:rsidP="000623D8">
      <w:pPr>
        <w:rPr>
          <w:rFonts w:cstheme="minorHAnsi"/>
          <w:color w:val="000000" w:themeColor="text1"/>
          <w:sz w:val="18"/>
          <w:szCs w:val="18"/>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b/>
          <w:bCs/>
          <w:sz w:val="22"/>
          <w:szCs w:val="22"/>
        </w:rPr>
      </w:pPr>
    </w:p>
    <w:p w:rsidR="000623D8" w:rsidRPr="005F5605" w:rsidRDefault="000623D8" w:rsidP="000623D8">
      <w:pPr>
        <w:spacing w:line="312" w:lineRule="auto"/>
        <w:rPr>
          <w:rFonts w:ascii="Arial" w:hAnsi="Arial" w:cs="Arial"/>
          <w:sz w:val="22"/>
          <w:szCs w:val="22"/>
        </w:rPr>
      </w:pPr>
      <w:r w:rsidRPr="005F5605">
        <w:rPr>
          <w:rFonts w:ascii="Arial" w:hAnsi="Arial" w:cs="Arial"/>
          <w:b/>
          <w:bCs/>
          <w:sz w:val="22"/>
          <w:szCs w:val="22"/>
        </w:rPr>
        <w:lastRenderedPageBreak/>
        <w:t xml:space="preserve">Table S7.  Total impact of improved TB cascade and preventive therapy. </w:t>
      </w:r>
      <w:r w:rsidRPr="005F5605">
        <w:rPr>
          <w:rFonts w:ascii="Arial" w:hAnsi="Arial" w:cs="Arial"/>
          <w:sz w:val="22"/>
          <w:szCs w:val="22"/>
        </w:rPr>
        <w:t>Results presented elsewhere in this study</w:t>
      </w:r>
      <w:r w:rsidRPr="005F5605">
        <w:rPr>
          <w:rFonts w:ascii="Arial" w:hAnsi="Arial" w:cs="Arial"/>
          <w:b/>
          <w:bCs/>
          <w:sz w:val="22"/>
          <w:szCs w:val="22"/>
        </w:rPr>
        <w:t xml:space="preserve"> </w:t>
      </w:r>
      <w:r w:rsidRPr="005F5605">
        <w:rPr>
          <w:rFonts w:ascii="Arial" w:hAnsi="Arial" w:cs="Arial"/>
          <w:sz w:val="22"/>
          <w:szCs w:val="22"/>
        </w:rPr>
        <w:t xml:space="preserve">refer to the impact attributable solely to preventive therapy. In the ‘improved TB cascade’ comparator, these results are thus incremental to the impact of improving the TB cascade. Presented here are results for the </w:t>
      </w:r>
      <w:r w:rsidRPr="005F5605">
        <w:rPr>
          <w:rFonts w:ascii="Arial" w:hAnsi="Arial" w:cs="Arial"/>
          <w:i/>
          <w:iCs/>
          <w:sz w:val="22"/>
          <w:szCs w:val="22"/>
        </w:rPr>
        <w:t>combined</w:t>
      </w:r>
      <w:r w:rsidRPr="005F5605">
        <w:rPr>
          <w:rFonts w:ascii="Arial" w:hAnsi="Arial" w:cs="Arial"/>
          <w:sz w:val="22"/>
          <w:szCs w:val="22"/>
        </w:rPr>
        <w:t xml:space="preserve"> impact of both cascade improvements and preventive therapy.</w:t>
      </w:r>
    </w:p>
    <w:p w:rsidR="000623D8" w:rsidRPr="005F5605" w:rsidRDefault="000623D8" w:rsidP="000623D8">
      <w:pPr>
        <w:rPr>
          <w:rFonts w:cstheme="minorHAnsi"/>
          <w:color w:val="000000" w:themeColor="text1"/>
          <w:sz w:val="18"/>
          <w:szCs w:val="18"/>
        </w:rPr>
      </w:pPr>
    </w:p>
    <w:tbl>
      <w:tblPr>
        <w:tblStyle w:val="PlainTable1"/>
        <w:tblW w:w="8495" w:type="dxa"/>
        <w:tblCellMar>
          <w:top w:w="57" w:type="dxa"/>
          <w:bottom w:w="57" w:type="dxa"/>
        </w:tblCellMar>
        <w:tblLook w:val="0420" w:firstRow="1" w:lastRow="0" w:firstColumn="0" w:lastColumn="0" w:noHBand="0" w:noVBand="1"/>
      </w:tblPr>
      <w:tblGrid>
        <w:gridCol w:w="1385"/>
        <w:gridCol w:w="1776"/>
        <w:gridCol w:w="1645"/>
        <w:gridCol w:w="1776"/>
        <w:gridCol w:w="1913"/>
      </w:tblGrid>
      <w:tr w:rsidR="000623D8" w:rsidRPr="005F5605" w:rsidTr="000731FD">
        <w:trPr>
          <w:cnfStyle w:val="100000000000" w:firstRow="1" w:lastRow="0" w:firstColumn="0" w:lastColumn="0" w:oddVBand="0" w:evenVBand="0" w:oddHBand="0" w:evenHBand="0" w:firstRowFirstColumn="0" w:firstRowLastColumn="0" w:lastRowFirstColumn="0" w:lastRowLastColumn="0"/>
          <w:trHeight w:val="299"/>
        </w:trPr>
        <w:tc>
          <w:tcPr>
            <w:tcW w:w="1385" w:type="dxa"/>
            <w:vMerge w:val="restart"/>
            <w:hideMark/>
          </w:tcPr>
          <w:p w:rsidR="000623D8" w:rsidRPr="005F5605" w:rsidRDefault="000623D8" w:rsidP="000731FD">
            <w:pPr>
              <w:rPr>
                <w:rFonts w:ascii="Calibri" w:hAnsi="Calibri" w:cs="Calibri"/>
                <w:b w:val="0"/>
                <w:color w:val="000000" w:themeColor="text1"/>
                <w:sz w:val="18"/>
                <w:szCs w:val="18"/>
                <w:lang w:val="en-IN"/>
              </w:rPr>
            </w:pPr>
            <w:r w:rsidRPr="005F5605">
              <w:rPr>
                <w:rFonts w:ascii="Calibri" w:hAnsi="Calibri" w:cs="Calibri"/>
                <w:color w:val="000000" w:themeColor="text1"/>
                <w:sz w:val="18"/>
                <w:szCs w:val="18"/>
                <w:lang w:val="en-IN"/>
              </w:rPr>
              <w:t>Improved TB cascade + preventive therapy</w:t>
            </w:r>
          </w:p>
        </w:tc>
        <w:tc>
          <w:tcPr>
            <w:tcW w:w="3421" w:type="dxa"/>
            <w:gridSpan w:val="2"/>
            <w:hideMark/>
          </w:tcPr>
          <w:p w:rsidR="000623D8" w:rsidRPr="005F5605" w:rsidRDefault="000623D8" w:rsidP="000731FD">
            <w:pPr>
              <w:rPr>
                <w:rFonts w:ascii="Calibri" w:hAnsi="Calibri" w:cs="Calibri"/>
                <w:b w:val="0"/>
                <w:bCs w:val="0"/>
                <w:color w:val="000000" w:themeColor="text1"/>
                <w:sz w:val="18"/>
                <w:szCs w:val="18"/>
                <w:lang w:val="en-IN"/>
              </w:rPr>
            </w:pPr>
            <w:r w:rsidRPr="005F5605">
              <w:rPr>
                <w:rFonts w:ascii="Calibri" w:hAnsi="Calibri" w:cs="Calibri"/>
                <w:color w:val="000000" w:themeColor="text1"/>
                <w:sz w:val="18"/>
                <w:szCs w:val="18"/>
                <w:lang w:val="en-IN"/>
              </w:rPr>
              <w:t xml:space="preserve">Reductions in annual rates </w:t>
            </w:r>
          </w:p>
          <w:p w:rsidR="000623D8" w:rsidRPr="005F5605" w:rsidRDefault="000623D8" w:rsidP="000731FD">
            <w:pPr>
              <w:rPr>
                <w:rFonts w:ascii="Calibri" w:hAnsi="Calibri" w:cs="Calibri"/>
                <w:b w:val="0"/>
                <w:color w:val="000000" w:themeColor="text1"/>
                <w:sz w:val="18"/>
                <w:szCs w:val="18"/>
                <w:lang w:val="en-IN"/>
              </w:rPr>
            </w:pPr>
            <w:r w:rsidRPr="005F5605">
              <w:rPr>
                <w:rFonts w:ascii="Calibri" w:hAnsi="Calibri" w:cs="Calibri"/>
                <w:color w:val="000000" w:themeColor="text1"/>
                <w:sz w:val="18"/>
                <w:szCs w:val="18"/>
                <w:lang w:val="en-IN"/>
              </w:rPr>
              <w:t>(to complement Table 1 in main text)</w:t>
            </w:r>
          </w:p>
        </w:tc>
        <w:tc>
          <w:tcPr>
            <w:tcW w:w="3689" w:type="dxa"/>
            <w:gridSpan w:val="2"/>
            <w:hideMark/>
          </w:tcPr>
          <w:p w:rsidR="000623D8" w:rsidRPr="005F5605" w:rsidRDefault="000623D8" w:rsidP="000731FD">
            <w:pPr>
              <w:rPr>
                <w:rFonts w:ascii="Calibri" w:hAnsi="Calibri" w:cs="Calibri"/>
                <w:b w:val="0"/>
                <w:bCs w:val="0"/>
                <w:color w:val="000000" w:themeColor="text1"/>
                <w:sz w:val="18"/>
                <w:szCs w:val="18"/>
                <w:lang w:val="en-IN"/>
              </w:rPr>
            </w:pPr>
            <w:r w:rsidRPr="005F5605">
              <w:rPr>
                <w:rFonts w:ascii="Calibri" w:hAnsi="Calibri" w:cs="Calibri"/>
                <w:color w:val="000000" w:themeColor="text1"/>
                <w:sz w:val="18"/>
                <w:szCs w:val="18"/>
                <w:lang w:val="en-IN"/>
              </w:rPr>
              <w:t>Reductions in cumulative burden between 2019 – 2030 (to complement Tables S5, S6)</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0" w:type="auto"/>
            <w:vMerge/>
            <w:hideMark/>
          </w:tcPr>
          <w:p w:rsidR="000623D8" w:rsidRPr="005F5605" w:rsidRDefault="000623D8" w:rsidP="000731FD">
            <w:pPr>
              <w:rPr>
                <w:rFonts w:ascii="Calibri" w:hAnsi="Calibri" w:cs="Calibri"/>
                <w:b/>
                <w:color w:val="000000" w:themeColor="text1"/>
                <w:sz w:val="18"/>
                <w:szCs w:val="18"/>
                <w:lang w:val="en-IN"/>
              </w:rPr>
            </w:pPr>
          </w:p>
        </w:tc>
        <w:tc>
          <w:tcPr>
            <w:tcW w:w="1776" w:type="dxa"/>
            <w:hideMark/>
          </w:tcPr>
          <w:p w:rsidR="000623D8" w:rsidRPr="005F5605" w:rsidRDefault="000623D8" w:rsidP="000731FD">
            <w:pPr>
              <w:rPr>
                <w:rFonts w:cstheme="minorHAnsi"/>
                <w:b/>
                <w:color w:val="000000" w:themeColor="text1"/>
                <w:sz w:val="18"/>
                <w:szCs w:val="18"/>
                <w:lang w:val="en-IN"/>
              </w:rPr>
            </w:pPr>
            <w:r w:rsidRPr="005F5605">
              <w:rPr>
                <w:rFonts w:cstheme="minorHAnsi"/>
                <w:b/>
                <w:color w:val="000000" w:themeColor="text1"/>
                <w:sz w:val="18"/>
                <w:szCs w:val="18"/>
                <w:lang w:val="en-IN"/>
              </w:rPr>
              <w:t xml:space="preserve">% Reduction in annual incidence rate </w:t>
            </w:r>
          </w:p>
          <w:p w:rsidR="000623D8" w:rsidRPr="005F5605" w:rsidRDefault="000623D8" w:rsidP="000731FD">
            <w:pPr>
              <w:rPr>
                <w:rFonts w:ascii="Calibri" w:hAnsi="Calibri" w:cs="Calibri"/>
                <w:b/>
                <w:color w:val="000000" w:themeColor="text1"/>
                <w:sz w:val="18"/>
                <w:szCs w:val="18"/>
                <w:lang w:val="en-IN"/>
              </w:rPr>
            </w:pPr>
            <w:r w:rsidRPr="005F5605">
              <w:rPr>
                <w:rFonts w:cstheme="minorHAnsi"/>
                <w:b/>
                <w:color w:val="000000" w:themeColor="text1"/>
                <w:sz w:val="18"/>
                <w:szCs w:val="18"/>
                <w:lang w:val="en-IN"/>
              </w:rPr>
              <w:t>(2030 relative to 2015)</w:t>
            </w:r>
          </w:p>
        </w:tc>
        <w:tc>
          <w:tcPr>
            <w:tcW w:w="1645" w:type="dxa"/>
            <w:hideMark/>
          </w:tcPr>
          <w:p w:rsidR="000623D8" w:rsidRPr="005F5605" w:rsidRDefault="000623D8" w:rsidP="000731FD">
            <w:pPr>
              <w:rPr>
                <w:rFonts w:cstheme="minorHAnsi"/>
                <w:b/>
                <w:color w:val="000000" w:themeColor="text1"/>
                <w:sz w:val="18"/>
                <w:szCs w:val="18"/>
                <w:lang w:val="en-IN"/>
              </w:rPr>
            </w:pPr>
            <w:r w:rsidRPr="005F5605">
              <w:rPr>
                <w:rFonts w:cstheme="minorHAnsi"/>
                <w:b/>
                <w:color w:val="000000" w:themeColor="text1"/>
                <w:sz w:val="18"/>
                <w:szCs w:val="18"/>
                <w:lang w:val="en-IN"/>
              </w:rPr>
              <w:t xml:space="preserve">% Reduction in annual TB deaths </w:t>
            </w:r>
          </w:p>
          <w:p w:rsidR="000623D8" w:rsidRPr="005F5605" w:rsidRDefault="000623D8" w:rsidP="000731FD">
            <w:pPr>
              <w:rPr>
                <w:rFonts w:ascii="Calibri" w:hAnsi="Calibri" w:cs="Calibri"/>
                <w:b/>
                <w:color w:val="000000" w:themeColor="text1"/>
                <w:sz w:val="18"/>
                <w:szCs w:val="18"/>
                <w:lang w:val="en-IN"/>
              </w:rPr>
            </w:pPr>
            <w:r w:rsidRPr="005F5605">
              <w:rPr>
                <w:rFonts w:cstheme="minorHAnsi"/>
                <w:b/>
                <w:color w:val="000000" w:themeColor="text1"/>
                <w:sz w:val="18"/>
                <w:szCs w:val="18"/>
                <w:lang w:val="en-IN"/>
              </w:rPr>
              <w:t>(2030 relative to 2015)</w:t>
            </w:r>
          </w:p>
        </w:tc>
        <w:tc>
          <w:tcPr>
            <w:tcW w:w="1776" w:type="dxa"/>
            <w:hideMark/>
          </w:tcPr>
          <w:p w:rsidR="000623D8" w:rsidRPr="005F5605" w:rsidRDefault="000623D8" w:rsidP="000731FD">
            <w:pPr>
              <w:rPr>
                <w:rFonts w:ascii="Calibri" w:hAnsi="Calibri" w:cs="Calibri"/>
                <w:b/>
                <w:color w:val="000000" w:themeColor="text1"/>
                <w:sz w:val="18"/>
                <w:szCs w:val="18"/>
                <w:lang w:val="en-IN"/>
              </w:rPr>
            </w:pPr>
            <w:r w:rsidRPr="005F5605">
              <w:rPr>
                <w:rFonts w:ascii="Calibri" w:hAnsi="Calibri" w:cs="Calibri"/>
                <w:b/>
                <w:color w:val="000000" w:themeColor="text1"/>
                <w:sz w:val="18"/>
                <w:szCs w:val="18"/>
                <w:lang w:val="en-IN"/>
              </w:rPr>
              <w:t>Number of TB cases averted (thousands)</w:t>
            </w:r>
          </w:p>
        </w:tc>
        <w:tc>
          <w:tcPr>
            <w:tcW w:w="1913" w:type="dxa"/>
            <w:hideMark/>
          </w:tcPr>
          <w:p w:rsidR="000623D8" w:rsidRPr="005F5605" w:rsidRDefault="000623D8" w:rsidP="000731FD">
            <w:pPr>
              <w:rPr>
                <w:rFonts w:ascii="Calibri" w:hAnsi="Calibri" w:cs="Calibri"/>
                <w:b/>
                <w:color w:val="000000" w:themeColor="text1"/>
                <w:sz w:val="18"/>
                <w:szCs w:val="18"/>
                <w:lang w:val="en-IN"/>
              </w:rPr>
            </w:pPr>
            <w:r w:rsidRPr="005F5605">
              <w:rPr>
                <w:rFonts w:ascii="Calibri" w:hAnsi="Calibri" w:cs="Calibri"/>
                <w:b/>
                <w:color w:val="000000" w:themeColor="text1"/>
                <w:sz w:val="18"/>
                <w:szCs w:val="18"/>
                <w:lang w:val="en-IN"/>
              </w:rPr>
              <w:t>Number of TB deaths averted (thousands)</w:t>
            </w:r>
          </w:p>
        </w:tc>
      </w:tr>
      <w:tr w:rsidR="000623D8" w:rsidRPr="005F5605" w:rsidTr="000731FD">
        <w:trPr>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Bangladesh</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46.3[39.0-57.2]</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74.5[41.3-90.8]</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342[224-991]</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154[100-235]</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Bhutan</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46.5[24.6-54.9]</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67.1[-6.1-91.0]</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0.70[0.41-3.12]</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0.35[0.20-0.67]</w:t>
            </w:r>
          </w:p>
        </w:tc>
      </w:tr>
      <w:tr w:rsidR="000623D8" w:rsidRPr="005F5605" w:rsidTr="000731FD">
        <w:trPr>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DPR Korea</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-6.7[-63.1-33.3]</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35.6[-54.2-71.2]</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1026[313-3999]</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140[62-479]</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India</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44.4[33.9-50.7]</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60.3[41.7-70.3]</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3479[2182-6297]</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1642[1388-1986]</w:t>
            </w:r>
          </w:p>
        </w:tc>
      </w:tr>
      <w:tr w:rsidR="000623D8" w:rsidRPr="005F5605" w:rsidTr="000731FD">
        <w:trPr>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Indonesia</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47.4[33.7-57.8]</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74.6[61.8-84.3]</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2254[1170-3745]</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370[289-452]</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Maldives</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17.8[-56.5-35.9]</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97.1[96.1-97.7]</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0.41[0.17-1.79]</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0.002[0.001-0.004]</w:t>
            </w:r>
          </w:p>
        </w:tc>
      </w:tr>
      <w:tr w:rsidR="000623D8" w:rsidRPr="005F5605" w:rsidTr="000731FD">
        <w:trPr>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Myanmar</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48.4[8.2-61.8]</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70.3[53.5-86.6]</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416[231-1426]</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88[54-226]</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Nepal</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42.2[8.4-53.5]</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30.6[-95.8-83.7]</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92[44-235]</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24[13-48]</w:t>
            </w:r>
          </w:p>
        </w:tc>
      </w:tr>
      <w:tr w:rsidR="000623D8" w:rsidRPr="005F5605" w:rsidTr="000731FD">
        <w:trPr>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Sri Lanka</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40.5[27.3-50.1]</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70.4[31.8-85.5]</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13.3[6.7-31.6]</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1.3[0.8-2.3]</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Thailand</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42.7[4.2-56.6]</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79.0[41.3-91.0]</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330[168-898]</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30.6[19.6-60.5]</w:t>
            </w:r>
          </w:p>
        </w:tc>
      </w:tr>
      <w:tr w:rsidR="000623D8" w:rsidRPr="005F5605" w:rsidTr="000731FD">
        <w:trPr>
          <w:trHeight w:val="270"/>
        </w:trPr>
        <w:tc>
          <w:tcPr>
            <w:tcW w:w="1385" w:type="dxa"/>
            <w:hideMark/>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 xml:space="preserve">Timor </w:t>
            </w:r>
            <w:proofErr w:type="spellStart"/>
            <w:r w:rsidRPr="005F5605">
              <w:rPr>
                <w:rFonts w:ascii="Calibri" w:hAnsi="Calibri" w:cs="Calibri"/>
                <w:color w:val="000000" w:themeColor="text1"/>
                <w:sz w:val="18"/>
                <w:szCs w:val="18"/>
                <w:lang w:val="en-IN"/>
              </w:rPr>
              <w:t>Leste</w:t>
            </w:r>
            <w:proofErr w:type="spellEnd"/>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41.5[-48.5-72.3]</w:t>
            </w:r>
          </w:p>
        </w:tc>
        <w:tc>
          <w:tcPr>
            <w:tcW w:w="164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64.9[-8.1-91.2]</w:t>
            </w:r>
          </w:p>
        </w:tc>
        <w:tc>
          <w:tcPr>
            <w:tcW w:w="1776"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71.6[38.4-148.3]</w:t>
            </w:r>
          </w:p>
        </w:tc>
        <w:tc>
          <w:tcPr>
            <w:tcW w:w="1913"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14.7[7.4-36.6]</w:t>
            </w:r>
          </w:p>
        </w:tc>
      </w:tr>
      <w:tr w:rsidR="000623D8" w:rsidRPr="005F5605" w:rsidTr="000731FD">
        <w:trPr>
          <w:cnfStyle w:val="000000100000" w:firstRow="0" w:lastRow="0" w:firstColumn="0" w:lastColumn="0" w:oddVBand="0" w:evenVBand="0" w:oddHBand="1" w:evenHBand="0" w:firstRowFirstColumn="0" w:firstRowLastColumn="0" w:lastRowFirstColumn="0" w:lastRowLastColumn="0"/>
          <w:trHeight w:val="270"/>
        </w:trPr>
        <w:tc>
          <w:tcPr>
            <w:tcW w:w="1385" w:type="dxa"/>
          </w:tcPr>
          <w:p w:rsidR="000623D8" w:rsidRPr="005F5605" w:rsidRDefault="000623D8" w:rsidP="000731FD">
            <w:pPr>
              <w:jc w:val="both"/>
              <w:rPr>
                <w:rFonts w:ascii="Calibri" w:hAnsi="Calibri" w:cs="Calibri"/>
                <w:color w:val="000000" w:themeColor="text1"/>
                <w:sz w:val="18"/>
                <w:szCs w:val="18"/>
                <w:lang w:val="en-IN"/>
              </w:rPr>
            </w:pPr>
            <w:r w:rsidRPr="005F5605">
              <w:rPr>
                <w:rFonts w:ascii="Calibri" w:hAnsi="Calibri" w:cs="Calibri"/>
                <w:color w:val="000000" w:themeColor="text1"/>
                <w:sz w:val="18"/>
                <w:szCs w:val="18"/>
                <w:lang w:val="en-IN"/>
              </w:rPr>
              <w:t>SEAR</w:t>
            </w:r>
          </w:p>
        </w:tc>
        <w:tc>
          <w:tcPr>
            <w:tcW w:w="1776" w:type="dxa"/>
          </w:tcPr>
          <w:p w:rsidR="000623D8" w:rsidRPr="005F5605" w:rsidRDefault="000623D8" w:rsidP="000731FD">
            <w:pPr>
              <w:jc w:val="both"/>
              <w:rPr>
                <w:rFonts w:ascii="Calibri" w:hAnsi="Calibri" w:cs="Calibri"/>
                <w:color w:val="000000" w:themeColor="text1"/>
                <w:kern w:val="24"/>
                <w:sz w:val="18"/>
                <w:szCs w:val="18"/>
              </w:rPr>
            </w:pPr>
            <w:r w:rsidRPr="005F5605">
              <w:rPr>
                <w:rFonts w:ascii="Calibri" w:hAnsi="Calibri" w:cs="Calibri"/>
                <w:color w:val="000000" w:themeColor="text1"/>
                <w:kern w:val="24"/>
                <w:sz w:val="18"/>
                <w:szCs w:val="18"/>
              </w:rPr>
              <w:t>43.3[37.4-47.8]</w:t>
            </w:r>
          </w:p>
        </w:tc>
        <w:tc>
          <w:tcPr>
            <w:tcW w:w="1645" w:type="dxa"/>
          </w:tcPr>
          <w:p w:rsidR="000623D8" w:rsidRPr="005F5605" w:rsidRDefault="000623D8" w:rsidP="000731FD">
            <w:pPr>
              <w:jc w:val="both"/>
              <w:rPr>
                <w:rFonts w:ascii="Calibri" w:hAnsi="Calibri" w:cs="Calibri"/>
                <w:color w:val="000000" w:themeColor="text1"/>
                <w:kern w:val="24"/>
                <w:sz w:val="18"/>
                <w:szCs w:val="18"/>
              </w:rPr>
            </w:pPr>
            <w:r w:rsidRPr="005F5605">
              <w:rPr>
                <w:rFonts w:ascii="Calibri" w:hAnsi="Calibri" w:cs="Calibri"/>
                <w:color w:val="000000" w:themeColor="text1"/>
                <w:kern w:val="24"/>
                <w:sz w:val="18"/>
                <w:szCs w:val="18"/>
              </w:rPr>
              <w:t>63.2[52.7-71.5]</w:t>
            </w:r>
          </w:p>
        </w:tc>
        <w:tc>
          <w:tcPr>
            <w:tcW w:w="1776" w:type="dxa"/>
          </w:tcPr>
          <w:p w:rsidR="000623D8" w:rsidRPr="005F5605" w:rsidRDefault="000623D8" w:rsidP="000731FD">
            <w:pPr>
              <w:jc w:val="both"/>
              <w:rPr>
                <w:rFonts w:ascii="Calibri" w:hAnsi="Calibri" w:cs="Calibri"/>
                <w:color w:val="000000" w:themeColor="text1"/>
                <w:kern w:val="24"/>
                <w:sz w:val="18"/>
                <w:szCs w:val="18"/>
              </w:rPr>
            </w:pPr>
            <w:r w:rsidRPr="005F5605">
              <w:rPr>
                <w:rFonts w:ascii="Calibri" w:hAnsi="Calibri" w:cs="Calibri"/>
                <w:color w:val="000000" w:themeColor="text1"/>
                <w:kern w:val="24"/>
                <w:sz w:val="18"/>
                <w:szCs w:val="18"/>
              </w:rPr>
              <w:t>8911[6310-12337]</w:t>
            </w:r>
          </w:p>
        </w:tc>
        <w:tc>
          <w:tcPr>
            <w:tcW w:w="1913" w:type="dxa"/>
          </w:tcPr>
          <w:p w:rsidR="000623D8" w:rsidRPr="005F5605" w:rsidRDefault="000623D8" w:rsidP="000731FD">
            <w:pPr>
              <w:jc w:val="both"/>
              <w:rPr>
                <w:rFonts w:ascii="Calibri" w:hAnsi="Calibri" w:cs="Calibri"/>
                <w:color w:val="000000" w:themeColor="text1"/>
                <w:kern w:val="24"/>
                <w:sz w:val="18"/>
                <w:szCs w:val="18"/>
              </w:rPr>
            </w:pPr>
            <w:r w:rsidRPr="005F5605">
              <w:rPr>
                <w:rFonts w:ascii="Calibri" w:hAnsi="Calibri" w:cs="Calibri"/>
                <w:color w:val="000000" w:themeColor="text1"/>
                <w:kern w:val="24"/>
                <w:sz w:val="18"/>
                <w:szCs w:val="18"/>
              </w:rPr>
              <w:t>2535[2217-2996]</w:t>
            </w:r>
          </w:p>
        </w:tc>
      </w:tr>
    </w:tbl>
    <w:p w:rsidR="000623D8" w:rsidRPr="005F5605" w:rsidRDefault="000623D8" w:rsidP="000623D8">
      <w:pPr>
        <w:rPr>
          <w:rFonts w:cstheme="minorHAnsi"/>
          <w:color w:val="000000" w:themeColor="text1"/>
          <w:sz w:val="18"/>
          <w:szCs w:val="18"/>
        </w:rPr>
      </w:pPr>
    </w:p>
    <w:p w:rsidR="000623D8" w:rsidRPr="005F5605" w:rsidRDefault="000623D8" w:rsidP="000623D8">
      <w:pPr>
        <w:rPr>
          <w:rFonts w:cstheme="minorHAnsi"/>
          <w:color w:val="000000" w:themeColor="text1"/>
          <w:sz w:val="18"/>
          <w:szCs w:val="18"/>
        </w:rPr>
      </w:pPr>
    </w:p>
    <w:p w:rsidR="000623D8" w:rsidRPr="005F5605" w:rsidRDefault="000623D8" w:rsidP="000623D8">
      <w:pPr>
        <w:rPr>
          <w:rFonts w:cstheme="minorHAnsi"/>
          <w:color w:val="000000" w:themeColor="text1"/>
          <w:sz w:val="18"/>
          <w:szCs w:val="18"/>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r w:rsidRPr="005F5605">
        <w:rPr>
          <w:b/>
          <w:bCs/>
          <w:color w:val="000000" w:themeColor="text1"/>
        </w:rPr>
        <w:lastRenderedPageBreak/>
        <w:t>Figure S1: Calibration results to incidence and mortality</w:t>
      </w:r>
      <w:r w:rsidRPr="005F5605">
        <w:rPr>
          <w:bCs/>
          <w:color w:val="000000" w:themeColor="text1"/>
        </w:rPr>
        <w:t>. Dots and error bars show WHO estimates of incidence and mortality; solid blue lines show model-simulated results; and shaded regions show uncertainty in model projections (95% credible intervals).</w:t>
      </w:r>
    </w:p>
    <w:p w:rsidR="000623D8" w:rsidRPr="005F5605" w:rsidRDefault="000623D8" w:rsidP="000623D8">
      <w:pPr>
        <w:rPr>
          <w:rFonts w:cstheme="minorHAnsi"/>
          <w:color w:val="000000" w:themeColor="text1"/>
          <w:sz w:val="18"/>
          <w:szCs w:val="18"/>
        </w:rPr>
      </w:pPr>
      <w:r w:rsidRPr="005F5605">
        <w:rPr>
          <w:rFonts w:cstheme="minorHAnsi"/>
          <w:noProof/>
          <w:color w:val="000000" w:themeColor="text1"/>
          <w:sz w:val="18"/>
          <w:szCs w:val="18"/>
          <w:lang w:val="en-IN" w:eastAsia="en-IN"/>
        </w:rPr>
        <w:drawing>
          <wp:inline distT="0" distB="0" distL="0" distR="0" wp14:anchorId="7641EBDB" wp14:editId="5A0216AF">
            <wp:extent cx="5577840" cy="8153400"/>
            <wp:effectExtent l="0" t="0" r="3810" b="0"/>
            <wp:docPr id="1" name="Picture 1" descr="C:\Users\Sandip\Desktop\LTBI_draft\Callibration5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ip\Desktop\LTBI_draft\Callibration5 copy.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77840" cy="8153400"/>
                    </a:xfrm>
                    <a:prstGeom prst="rect">
                      <a:avLst/>
                    </a:prstGeom>
                    <a:noFill/>
                    <a:ln>
                      <a:noFill/>
                    </a:ln>
                  </pic:spPr>
                </pic:pic>
              </a:graphicData>
            </a:graphic>
          </wp:inline>
        </w:drawing>
      </w:r>
    </w:p>
    <w:p w:rsidR="000623D8" w:rsidRPr="005F5605" w:rsidRDefault="000623D8" w:rsidP="000623D8">
      <w:pPr>
        <w:rPr>
          <w:rFonts w:cstheme="minorHAnsi"/>
          <w:color w:val="000000" w:themeColor="text1"/>
          <w:sz w:val="18"/>
          <w:szCs w:val="18"/>
        </w:rPr>
      </w:pPr>
    </w:p>
    <w:p w:rsidR="000623D8" w:rsidRPr="005F5605" w:rsidRDefault="000623D8" w:rsidP="000623D8">
      <w:pPr>
        <w:rPr>
          <w:bCs/>
          <w:color w:val="000000" w:themeColor="text1"/>
        </w:rPr>
      </w:pPr>
      <w:r w:rsidRPr="005F5605">
        <w:rPr>
          <w:b/>
          <w:bCs/>
          <w:color w:val="000000" w:themeColor="text1"/>
        </w:rPr>
        <w:lastRenderedPageBreak/>
        <w:t xml:space="preserve">Figure S2: Calibration results to additional indicators. </w:t>
      </w:r>
      <w:r w:rsidRPr="005F5605">
        <w:rPr>
          <w:bCs/>
          <w:color w:val="000000" w:themeColor="text1"/>
        </w:rPr>
        <w:t>Black indicates estimates and data to which the model is calibrated, while red indicates model simulation outputs.</w:t>
      </w:r>
    </w:p>
    <w:p w:rsidR="000623D8" w:rsidRPr="005F5605" w:rsidRDefault="000623D8" w:rsidP="000623D8">
      <w:pPr>
        <w:rPr>
          <w:color w:val="000000" w:themeColor="text1"/>
        </w:rPr>
      </w:pPr>
      <w:r w:rsidRPr="005F5605">
        <w:rPr>
          <w:noProof/>
          <w:color w:val="000000" w:themeColor="text1"/>
          <w:lang w:val="en-IN" w:eastAsia="en-IN"/>
        </w:rPr>
        <w:drawing>
          <wp:inline distT="0" distB="0" distL="0" distR="0" wp14:anchorId="1D2D2798" wp14:editId="6854BAE6">
            <wp:extent cx="5018593" cy="8069580"/>
            <wp:effectExtent l="0" t="0" r="0" b="7620"/>
            <wp:docPr id="2" name="Picture 2" descr="C:\Users\Sandip\Desktop\LTBI_draft\Callibration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ndip\Desktop\LTBI_draft\Callibration6 copy.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21902" cy="8074901"/>
                    </a:xfrm>
                    <a:prstGeom prst="rect">
                      <a:avLst/>
                    </a:prstGeom>
                    <a:noFill/>
                    <a:ln>
                      <a:noFill/>
                    </a:ln>
                  </pic:spPr>
                </pic:pic>
              </a:graphicData>
            </a:graphic>
          </wp:inline>
        </w:drawing>
      </w:r>
    </w:p>
    <w:p w:rsidR="000623D8" w:rsidRPr="005F5605" w:rsidRDefault="000623D8" w:rsidP="000623D8">
      <w:pPr>
        <w:rPr>
          <w:color w:val="000000" w:themeColor="text1"/>
        </w:rPr>
      </w:pPr>
    </w:p>
    <w:p w:rsidR="000623D8" w:rsidRPr="005F5605" w:rsidRDefault="000623D8" w:rsidP="000623D8">
      <w:pPr>
        <w:rPr>
          <w:color w:val="000000" w:themeColor="text1"/>
        </w:rPr>
      </w:pPr>
      <w:r w:rsidRPr="005F5605">
        <w:rPr>
          <w:b/>
          <w:color w:val="000000" w:themeColor="text1"/>
        </w:rPr>
        <w:lastRenderedPageBreak/>
        <w:t>Figure S3:</w:t>
      </w:r>
      <w:r w:rsidRPr="005F5605">
        <w:rPr>
          <w:color w:val="000000" w:themeColor="text1"/>
        </w:rPr>
        <w:t xml:space="preserve"> Sensitivity analysis to assumptions for coverage and effectiveness of preventive therapy. In the main text we present results under the assumption that (after a three-year scale-up), all household contacts and clinical risk groups receive preventive therapy, with efficacy matching that observed in clinical trials. Here we simulate a range of less idealised scenarios, defining ‘effective coverage’ as a product of the actual coverage of preventive therapy (proportion of eligible population receiving it), and its efficacy relative to clinical trials. The left-hand panel shows incidence impact for a range of effective coverage, while the right-hand panel shows mortality impact, both panels illustrating a roughly proportional relationship between effective coverage and impact.</w:t>
      </w:r>
    </w:p>
    <w:p w:rsidR="000623D8" w:rsidRPr="005F5605" w:rsidRDefault="000623D8" w:rsidP="000623D8">
      <w:pPr>
        <w:rPr>
          <w:color w:val="000000" w:themeColor="text1"/>
        </w:rPr>
      </w:pPr>
    </w:p>
    <w:p w:rsidR="000623D8" w:rsidRPr="005F5605" w:rsidRDefault="000623D8" w:rsidP="000623D8">
      <w:pPr>
        <w:rPr>
          <w:color w:val="000000" w:themeColor="text1"/>
        </w:rPr>
      </w:pPr>
      <w:r w:rsidRPr="005F5605">
        <w:rPr>
          <w:noProof/>
          <w:color w:val="000000" w:themeColor="text1"/>
          <w:lang w:val="en-IN" w:eastAsia="en-IN"/>
        </w:rPr>
        <w:drawing>
          <wp:inline distT="0" distB="0" distL="0" distR="0" wp14:anchorId="1592EABD" wp14:editId="40441EB1">
            <wp:extent cx="6080760" cy="2509957"/>
            <wp:effectExtent l="0" t="0" r="0" b="5080"/>
            <wp:docPr id="5" name="Picture 5" descr="F:\CCMB\papers\sandip paper\PHFI\LTBI_draft\v2\BMCMed_04.02.2020\Revised_manuscript\Nim\Final\Fig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CMB\papers\sandip paper\PHFI\LTBI_draft\v2\BMCMed_04.02.2020\Revised_manuscript\Nim\Final\FigS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88470" cy="2513140"/>
                    </a:xfrm>
                    <a:prstGeom prst="rect">
                      <a:avLst/>
                    </a:prstGeom>
                    <a:noFill/>
                    <a:ln>
                      <a:noFill/>
                    </a:ln>
                  </pic:spPr>
                </pic:pic>
              </a:graphicData>
            </a:graphic>
          </wp:inline>
        </w:drawing>
      </w:r>
    </w:p>
    <w:p w:rsidR="000623D8" w:rsidRPr="005F5605" w:rsidRDefault="000623D8" w:rsidP="000623D8">
      <w:pPr>
        <w:rPr>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b/>
          <w:bCs/>
          <w:color w:val="000000" w:themeColor="text1"/>
        </w:rPr>
      </w:pPr>
    </w:p>
    <w:p w:rsidR="000623D8" w:rsidRPr="005F5605" w:rsidRDefault="000623D8" w:rsidP="000623D8">
      <w:pPr>
        <w:rPr>
          <w:color w:val="000000" w:themeColor="text1"/>
        </w:rPr>
      </w:pPr>
      <w:r w:rsidRPr="005F5605">
        <w:rPr>
          <w:b/>
          <w:bCs/>
          <w:color w:val="000000" w:themeColor="text1"/>
        </w:rPr>
        <w:lastRenderedPageBreak/>
        <w:t>Figure S4. Sensitivity analysis to model parameters</w:t>
      </w:r>
      <w:r w:rsidRPr="005F5605">
        <w:rPr>
          <w:color w:val="000000" w:themeColor="text1"/>
        </w:rPr>
        <w:t>. The model shows partial rank correlation coefficients of each of the model inputs (parameters and data) against a selected model outcome, the percent reduction in incidence rates in 2030 relative to 2015. Inputs are listed in order of decreasing sensitivity from top to bottom.</w:t>
      </w:r>
    </w:p>
    <w:p w:rsidR="000623D8" w:rsidRPr="005F5605" w:rsidRDefault="000623D8" w:rsidP="000623D8">
      <w:pPr>
        <w:rPr>
          <w:color w:val="000000" w:themeColor="text1"/>
        </w:rPr>
      </w:pPr>
    </w:p>
    <w:p w:rsidR="000623D8" w:rsidRDefault="000623D8" w:rsidP="000623D8">
      <w:pPr>
        <w:rPr>
          <w:color w:val="000000" w:themeColor="text1"/>
        </w:rPr>
      </w:pPr>
      <w:r w:rsidRPr="005F5605">
        <w:rPr>
          <w:noProof/>
          <w:color w:val="000000" w:themeColor="text1"/>
          <w:lang w:val="en-IN" w:eastAsia="en-IN"/>
        </w:rPr>
        <w:drawing>
          <wp:inline distT="0" distB="0" distL="0" distR="0" wp14:anchorId="105A3176" wp14:editId="6F284871">
            <wp:extent cx="4928870" cy="4013009"/>
            <wp:effectExtent l="0" t="0" r="5080" b="6985"/>
            <wp:docPr id="4" name="Picture 4" descr="F:\CCMB\papers\sandip paper\PHFI\LTBI_draft\Sensitiv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CMB\papers\sandip paper\PHFI\LTBI_draft\Sensitivit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0278" cy="4014155"/>
                    </a:xfrm>
                    <a:prstGeom prst="rect">
                      <a:avLst/>
                    </a:prstGeom>
                    <a:noFill/>
                    <a:ln>
                      <a:noFill/>
                    </a:ln>
                  </pic:spPr>
                </pic:pic>
              </a:graphicData>
            </a:graphic>
          </wp:inline>
        </w:drawing>
      </w:r>
    </w:p>
    <w:p w:rsidR="000623D8" w:rsidRDefault="000623D8" w:rsidP="000623D8">
      <w:pPr>
        <w:rPr>
          <w:color w:val="000000" w:themeColor="text1"/>
        </w:rPr>
      </w:pPr>
    </w:p>
    <w:p w:rsidR="00437EED" w:rsidRDefault="00437EED"/>
    <w:sectPr w:rsidR="00437E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33AF1"/>
    <w:multiLevelType w:val="hybridMultilevel"/>
    <w:tmpl w:val="CD6AE2FC"/>
    <w:lvl w:ilvl="0" w:tplc="FFFFFFFF">
      <w:start w:val="1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338D0"/>
    <w:multiLevelType w:val="hybridMultilevel"/>
    <w:tmpl w:val="25520F72"/>
    <w:lvl w:ilvl="0" w:tplc="F522A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818F4"/>
    <w:multiLevelType w:val="hybridMultilevel"/>
    <w:tmpl w:val="E438F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E487B"/>
    <w:multiLevelType w:val="hybridMultilevel"/>
    <w:tmpl w:val="B4CEE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5152D9"/>
    <w:multiLevelType w:val="hybridMultilevel"/>
    <w:tmpl w:val="0D84058E"/>
    <w:lvl w:ilvl="0" w:tplc="94D8A408">
      <w:start w:val="1"/>
      <w:numFmt w:val="bullet"/>
      <w:lvlText w:val="•"/>
      <w:lvlJc w:val="left"/>
      <w:pPr>
        <w:tabs>
          <w:tab w:val="num" w:pos="720"/>
        </w:tabs>
        <w:ind w:left="720" w:hanging="360"/>
      </w:pPr>
      <w:rPr>
        <w:rFonts w:ascii="Arial" w:hAnsi="Arial" w:hint="default"/>
      </w:rPr>
    </w:lvl>
    <w:lvl w:ilvl="1" w:tplc="3E661F78" w:tentative="1">
      <w:start w:val="1"/>
      <w:numFmt w:val="bullet"/>
      <w:lvlText w:val="•"/>
      <w:lvlJc w:val="left"/>
      <w:pPr>
        <w:tabs>
          <w:tab w:val="num" w:pos="1440"/>
        </w:tabs>
        <w:ind w:left="1440" w:hanging="360"/>
      </w:pPr>
      <w:rPr>
        <w:rFonts w:ascii="Arial" w:hAnsi="Arial" w:hint="default"/>
      </w:rPr>
    </w:lvl>
    <w:lvl w:ilvl="2" w:tplc="8346BE30" w:tentative="1">
      <w:start w:val="1"/>
      <w:numFmt w:val="bullet"/>
      <w:lvlText w:val="•"/>
      <w:lvlJc w:val="left"/>
      <w:pPr>
        <w:tabs>
          <w:tab w:val="num" w:pos="2160"/>
        </w:tabs>
        <w:ind w:left="2160" w:hanging="360"/>
      </w:pPr>
      <w:rPr>
        <w:rFonts w:ascii="Arial" w:hAnsi="Arial" w:hint="default"/>
      </w:rPr>
    </w:lvl>
    <w:lvl w:ilvl="3" w:tplc="AB3456EC" w:tentative="1">
      <w:start w:val="1"/>
      <w:numFmt w:val="bullet"/>
      <w:lvlText w:val="•"/>
      <w:lvlJc w:val="left"/>
      <w:pPr>
        <w:tabs>
          <w:tab w:val="num" w:pos="2880"/>
        </w:tabs>
        <w:ind w:left="2880" w:hanging="360"/>
      </w:pPr>
      <w:rPr>
        <w:rFonts w:ascii="Arial" w:hAnsi="Arial" w:hint="default"/>
      </w:rPr>
    </w:lvl>
    <w:lvl w:ilvl="4" w:tplc="EC620E74" w:tentative="1">
      <w:start w:val="1"/>
      <w:numFmt w:val="bullet"/>
      <w:lvlText w:val="•"/>
      <w:lvlJc w:val="left"/>
      <w:pPr>
        <w:tabs>
          <w:tab w:val="num" w:pos="3600"/>
        </w:tabs>
        <w:ind w:left="3600" w:hanging="360"/>
      </w:pPr>
      <w:rPr>
        <w:rFonts w:ascii="Arial" w:hAnsi="Arial" w:hint="default"/>
      </w:rPr>
    </w:lvl>
    <w:lvl w:ilvl="5" w:tplc="C038A590" w:tentative="1">
      <w:start w:val="1"/>
      <w:numFmt w:val="bullet"/>
      <w:lvlText w:val="•"/>
      <w:lvlJc w:val="left"/>
      <w:pPr>
        <w:tabs>
          <w:tab w:val="num" w:pos="4320"/>
        </w:tabs>
        <w:ind w:left="4320" w:hanging="360"/>
      </w:pPr>
      <w:rPr>
        <w:rFonts w:ascii="Arial" w:hAnsi="Arial" w:hint="default"/>
      </w:rPr>
    </w:lvl>
    <w:lvl w:ilvl="6" w:tplc="010EE3E6" w:tentative="1">
      <w:start w:val="1"/>
      <w:numFmt w:val="bullet"/>
      <w:lvlText w:val="•"/>
      <w:lvlJc w:val="left"/>
      <w:pPr>
        <w:tabs>
          <w:tab w:val="num" w:pos="5040"/>
        </w:tabs>
        <w:ind w:left="5040" w:hanging="360"/>
      </w:pPr>
      <w:rPr>
        <w:rFonts w:ascii="Arial" w:hAnsi="Arial" w:hint="default"/>
      </w:rPr>
    </w:lvl>
    <w:lvl w:ilvl="7" w:tplc="7812A9F8" w:tentative="1">
      <w:start w:val="1"/>
      <w:numFmt w:val="bullet"/>
      <w:lvlText w:val="•"/>
      <w:lvlJc w:val="left"/>
      <w:pPr>
        <w:tabs>
          <w:tab w:val="num" w:pos="5760"/>
        </w:tabs>
        <w:ind w:left="5760" w:hanging="360"/>
      </w:pPr>
      <w:rPr>
        <w:rFonts w:ascii="Arial" w:hAnsi="Arial" w:hint="default"/>
      </w:rPr>
    </w:lvl>
    <w:lvl w:ilvl="8" w:tplc="271E37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72F7607"/>
    <w:multiLevelType w:val="multilevel"/>
    <w:tmpl w:val="8E166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841138"/>
    <w:multiLevelType w:val="hybridMultilevel"/>
    <w:tmpl w:val="97227C3C"/>
    <w:lvl w:ilvl="0" w:tplc="40E2929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235AC2"/>
    <w:multiLevelType w:val="hybridMultilevel"/>
    <w:tmpl w:val="15269DF6"/>
    <w:lvl w:ilvl="0" w:tplc="FFFFFFFF">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59110B"/>
    <w:multiLevelType w:val="hybridMultilevel"/>
    <w:tmpl w:val="FCDC2136"/>
    <w:lvl w:ilvl="0" w:tplc="79D8CD9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F9936F5"/>
    <w:multiLevelType w:val="hybridMultilevel"/>
    <w:tmpl w:val="44223062"/>
    <w:lvl w:ilvl="0" w:tplc="7EDE6BBC">
      <w:start w:val="1"/>
      <w:numFmt w:val="bullet"/>
      <w:lvlText w:val="•"/>
      <w:lvlJc w:val="left"/>
      <w:pPr>
        <w:tabs>
          <w:tab w:val="num" w:pos="360"/>
        </w:tabs>
        <w:ind w:left="360" w:hanging="360"/>
      </w:pPr>
      <w:rPr>
        <w:rFonts w:ascii="Arial" w:hAnsi="Arial" w:hint="default"/>
      </w:rPr>
    </w:lvl>
    <w:lvl w:ilvl="1" w:tplc="8E3AD9DC">
      <w:numFmt w:val="bullet"/>
      <w:lvlText w:val="•"/>
      <w:lvlJc w:val="left"/>
      <w:pPr>
        <w:tabs>
          <w:tab w:val="num" w:pos="1080"/>
        </w:tabs>
        <w:ind w:left="1080" w:hanging="360"/>
      </w:pPr>
      <w:rPr>
        <w:rFonts w:ascii="Arial" w:hAnsi="Arial" w:hint="default"/>
      </w:rPr>
    </w:lvl>
    <w:lvl w:ilvl="2" w:tplc="73646308" w:tentative="1">
      <w:start w:val="1"/>
      <w:numFmt w:val="bullet"/>
      <w:lvlText w:val="•"/>
      <w:lvlJc w:val="left"/>
      <w:pPr>
        <w:tabs>
          <w:tab w:val="num" w:pos="1800"/>
        </w:tabs>
        <w:ind w:left="1800" w:hanging="360"/>
      </w:pPr>
      <w:rPr>
        <w:rFonts w:ascii="Arial" w:hAnsi="Arial" w:hint="default"/>
      </w:rPr>
    </w:lvl>
    <w:lvl w:ilvl="3" w:tplc="C94602A6" w:tentative="1">
      <w:start w:val="1"/>
      <w:numFmt w:val="bullet"/>
      <w:lvlText w:val="•"/>
      <w:lvlJc w:val="left"/>
      <w:pPr>
        <w:tabs>
          <w:tab w:val="num" w:pos="2520"/>
        </w:tabs>
        <w:ind w:left="2520" w:hanging="360"/>
      </w:pPr>
      <w:rPr>
        <w:rFonts w:ascii="Arial" w:hAnsi="Arial" w:hint="default"/>
      </w:rPr>
    </w:lvl>
    <w:lvl w:ilvl="4" w:tplc="F77E69B2" w:tentative="1">
      <w:start w:val="1"/>
      <w:numFmt w:val="bullet"/>
      <w:lvlText w:val="•"/>
      <w:lvlJc w:val="left"/>
      <w:pPr>
        <w:tabs>
          <w:tab w:val="num" w:pos="3240"/>
        </w:tabs>
        <w:ind w:left="3240" w:hanging="360"/>
      </w:pPr>
      <w:rPr>
        <w:rFonts w:ascii="Arial" w:hAnsi="Arial" w:hint="default"/>
      </w:rPr>
    </w:lvl>
    <w:lvl w:ilvl="5" w:tplc="298EB3E2" w:tentative="1">
      <w:start w:val="1"/>
      <w:numFmt w:val="bullet"/>
      <w:lvlText w:val="•"/>
      <w:lvlJc w:val="left"/>
      <w:pPr>
        <w:tabs>
          <w:tab w:val="num" w:pos="3960"/>
        </w:tabs>
        <w:ind w:left="3960" w:hanging="360"/>
      </w:pPr>
      <w:rPr>
        <w:rFonts w:ascii="Arial" w:hAnsi="Arial" w:hint="default"/>
      </w:rPr>
    </w:lvl>
    <w:lvl w:ilvl="6" w:tplc="96721218" w:tentative="1">
      <w:start w:val="1"/>
      <w:numFmt w:val="bullet"/>
      <w:lvlText w:val="•"/>
      <w:lvlJc w:val="left"/>
      <w:pPr>
        <w:tabs>
          <w:tab w:val="num" w:pos="4680"/>
        </w:tabs>
        <w:ind w:left="4680" w:hanging="360"/>
      </w:pPr>
      <w:rPr>
        <w:rFonts w:ascii="Arial" w:hAnsi="Arial" w:hint="default"/>
      </w:rPr>
    </w:lvl>
    <w:lvl w:ilvl="7" w:tplc="9E2C6858" w:tentative="1">
      <w:start w:val="1"/>
      <w:numFmt w:val="bullet"/>
      <w:lvlText w:val="•"/>
      <w:lvlJc w:val="left"/>
      <w:pPr>
        <w:tabs>
          <w:tab w:val="num" w:pos="5400"/>
        </w:tabs>
        <w:ind w:left="5400" w:hanging="360"/>
      </w:pPr>
      <w:rPr>
        <w:rFonts w:ascii="Arial" w:hAnsi="Arial" w:hint="default"/>
      </w:rPr>
    </w:lvl>
    <w:lvl w:ilvl="8" w:tplc="7CD8C976"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67707998"/>
    <w:multiLevelType w:val="hybridMultilevel"/>
    <w:tmpl w:val="CE08B914"/>
    <w:lvl w:ilvl="0" w:tplc="7EDE6BBC">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8B827C0"/>
    <w:multiLevelType w:val="hybridMultilevel"/>
    <w:tmpl w:val="BF1AE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C442D0"/>
    <w:multiLevelType w:val="hybridMultilevel"/>
    <w:tmpl w:val="B10C9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2"/>
  </w:num>
  <w:num w:numId="4">
    <w:abstractNumId w:val="7"/>
  </w:num>
  <w:num w:numId="5">
    <w:abstractNumId w:val="5"/>
  </w:num>
  <w:num w:numId="6">
    <w:abstractNumId w:val="6"/>
  </w:num>
  <w:num w:numId="7">
    <w:abstractNumId w:val="9"/>
  </w:num>
  <w:num w:numId="8">
    <w:abstractNumId w:val="10"/>
  </w:num>
  <w:num w:numId="9">
    <w:abstractNumId w:val="2"/>
  </w:num>
  <w:num w:numId="10">
    <w:abstractNumId w:val="11"/>
  </w:num>
  <w:num w:numId="11">
    <w:abstractNumId w:val="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3D8"/>
    <w:rsid w:val="000623D8"/>
    <w:rsid w:val="00414E2A"/>
    <w:rsid w:val="00437EED"/>
    <w:rsid w:val="005F5605"/>
    <w:rsid w:val="00BD5E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FFFE45-3111-415B-A823-B261C086F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3D8"/>
    <w:pPr>
      <w:spacing w:after="0" w:line="240" w:lineRule="auto"/>
    </w:pPr>
    <w:rPr>
      <w:sz w:val="24"/>
      <w:szCs w:val="24"/>
      <w:lang w:val="en-GB"/>
    </w:rPr>
  </w:style>
  <w:style w:type="paragraph" w:styleId="Heading1">
    <w:name w:val="heading 1"/>
    <w:basedOn w:val="Normal"/>
    <w:link w:val="Heading1Char"/>
    <w:uiPriority w:val="9"/>
    <w:qFormat/>
    <w:rsid w:val="000623D8"/>
    <w:pPr>
      <w:spacing w:before="100" w:beforeAutospacing="1" w:after="100" w:afterAutospacing="1"/>
      <w:outlineLvl w:val="0"/>
    </w:pPr>
    <w:rPr>
      <w:rFonts w:ascii="Times New Roman" w:eastAsia="Times New Roman" w:hAnsi="Times New Roman" w:cs="Times New Roman"/>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3D8"/>
    <w:rPr>
      <w:rFonts w:ascii="Times New Roman" w:eastAsia="Times New Roman" w:hAnsi="Times New Roman" w:cs="Times New Roman"/>
      <w:b/>
      <w:bCs/>
      <w:kern w:val="36"/>
      <w:sz w:val="48"/>
      <w:szCs w:val="48"/>
      <w:lang w:eastAsia="en-IN"/>
    </w:rPr>
  </w:style>
  <w:style w:type="paragraph" w:styleId="ListParagraph">
    <w:name w:val="List Paragraph"/>
    <w:basedOn w:val="Normal"/>
    <w:uiPriority w:val="34"/>
    <w:qFormat/>
    <w:rsid w:val="000623D8"/>
    <w:pPr>
      <w:ind w:left="720"/>
      <w:contextualSpacing/>
    </w:pPr>
  </w:style>
  <w:style w:type="table" w:styleId="TableGrid">
    <w:name w:val="Table Grid"/>
    <w:basedOn w:val="TableNormal"/>
    <w:uiPriority w:val="59"/>
    <w:rsid w:val="000623D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23D8"/>
    <w:rPr>
      <w:color w:val="0000FF"/>
      <w:u w:val="single"/>
    </w:rPr>
  </w:style>
  <w:style w:type="table" w:customStyle="1" w:styleId="PlainTable11">
    <w:name w:val="Plain Table 11"/>
    <w:basedOn w:val="TableNormal"/>
    <w:uiPriority w:val="41"/>
    <w:rsid w:val="000623D8"/>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0623D8"/>
    <w:rPr>
      <w:sz w:val="16"/>
      <w:szCs w:val="16"/>
    </w:rPr>
  </w:style>
  <w:style w:type="paragraph" w:styleId="CommentText">
    <w:name w:val="annotation text"/>
    <w:basedOn w:val="Normal"/>
    <w:link w:val="CommentTextChar"/>
    <w:uiPriority w:val="99"/>
    <w:semiHidden/>
    <w:unhideWhenUsed/>
    <w:rsid w:val="000623D8"/>
    <w:rPr>
      <w:sz w:val="20"/>
      <w:szCs w:val="20"/>
    </w:rPr>
  </w:style>
  <w:style w:type="character" w:customStyle="1" w:styleId="CommentTextChar">
    <w:name w:val="Comment Text Char"/>
    <w:basedOn w:val="DefaultParagraphFont"/>
    <w:link w:val="CommentText"/>
    <w:uiPriority w:val="99"/>
    <w:semiHidden/>
    <w:rsid w:val="000623D8"/>
    <w:rPr>
      <w:sz w:val="20"/>
      <w:szCs w:val="20"/>
      <w:lang w:val="en-GB"/>
    </w:rPr>
  </w:style>
  <w:style w:type="paragraph" w:styleId="CommentSubject">
    <w:name w:val="annotation subject"/>
    <w:basedOn w:val="CommentText"/>
    <w:next w:val="CommentText"/>
    <w:link w:val="CommentSubjectChar"/>
    <w:uiPriority w:val="99"/>
    <w:semiHidden/>
    <w:unhideWhenUsed/>
    <w:rsid w:val="000623D8"/>
    <w:rPr>
      <w:b/>
      <w:bCs/>
    </w:rPr>
  </w:style>
  <w:style w:type="character" w:customStyle="1" w:styleId="CommentSubjectChar">
    <w:name w:val="Comment Subject Char"/>
    <w:basedOn w:val="CommentTextChar"/>
    <w:link w:val="CommentSubject"/>
    <w:uiPriority w:val="99"/>
    <w:semiHidden/>
    <w:rsid w:val="000623D8"/>
    <w:rPr>
      <w:b/>
      <w:bCs/>
      <w:sz w:val="20"/>
      <w:szCs w:val="20"/>
      <w:lang w:val="en-GB"/>
    </w:rPr>
  </w:style>
  <w:style w:type="paragraph" w:styleId="BalloonText">
    <w:name w:val="Balloon Text"/>
    <w:basedOn w:val="Normal"/>
    <w:link w:val="BalloonTextChar"/>
    <w:uiPriority w:val="99"/>
    <w:semiHidden/>
    <w:unhideWhenUsed/>
    <w:rsid w:val="000623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3D8"/>
    <w:rPr>
      <w:rFonts w:ascii="Segoe UI" w:hAnsi="Segoe UI" w:cs="Segoe UI"/>
      <w:sz w:val="18"/>
      <w:szCs w:val="18"/>
      <w:lang w:val="en-GB"/>
    </w:rPr>
  </w:style>
  <w:style w:type="paragraph" w:styleId="Bibliography">
    <w:name w:val="Bibliography"/>
    <w:basedOn w:val="Normal"/>
    <w:next w:val="Normal"/>
    <w:uiPriority w:val="37"/>
    <w:unhideWhenUsed/>
    <w:rsid w:val="000623D8"/>
  </w:style>
  <w:style w:type="paragraph" w:styleId="FootnoteText">
    <w:name w:val="footnote text"/>
    <w:basedOn w:val="Normal"/>
    <w:link w:val="FootnoteTextChar"/>
    <w:uiPriority w:val="99"/>
    <w:semiHidden/>
    <w:unhideWhenUsed/>
    <w:rsid w:val="000623D8"/>
    <w:rPr>
      <w:sz w:val="20"/>
      <w:szCs w:val="20"/>
    </w:rPr>
  </w:style>
  <w:style w:type="character" w:customStyle="1" w:styleId="FootnoteTextChar">
    <w:name w:val="Footnote Text Char"/>
    <w:basedOn w:val="DefaultParagraphFont"/>
    <w:link w:val="FootnoteText"/>
    <w:uiPriority w:val="99"/>
    <w:semiHidden/>
    <w:rsid w:val="000623D8"/>
    <w:rPr>
      <w:sz w:val="20"/>
      <w:szCs w:val="20"/>
      <w:lang w:val="en-GB"/>
    </w:rPr>
  </w:style>
  <w:style w:type="character" w:styleId="FootnoteReference">
    <w:name w:val="footnote reference"/>
    <w:basedOn w:val="DefaultParagraphFont"/>
    <w:uiPriority w:val="99"/>
    <w:semiHidden/>
    <w:unhideWhenUsed/>
    <w:rsid w:val="000623D8"/>
    <w:rPr>
      <w:vertAlign w:val="superscript"/>
    </w:rPr>
  </w:style>
  <w:style w:type="paragraph" w:styleId="Footer">
    <w:name w:val="footer"/>
    <w:basedOn w:val="Normal"/>
    <w:link w:val="FooterChar"/>
    <w:uiPriority w:val="99"/>
    <w:unhideWhenUsed/>
    <w:rsid w:val="000623D8"/>
    <w:pPr>
      <w:tabs>
        <w:tab w:val="center" w:pos="4680"/>
        <w:tab w:val="right" w:pos="9360"/>
      </w:tabs>
    </w:pPr>
  </w:style>
  <w:style w:type="character" w:customStyle="1" w:styleId="FooterChar">
    <w:name w:val="Footer Char"/>
    <w:basedOn w:val="DefaultParagraphFont"/>
    <w:link w:val="Footer"/>
    <w:uiPriority w:val="99"/>
    <w:rsid w:val="000623D8"/>
    <w:rPr>
      <w:sz w:val="24"/>
      <w:szCs w:val="24"/>
      <w:lang w:val="en-GB"/>
    </w:rPr>
  </w:style>
  <w:style w:type="character" w:styleId="PageNumber">
    <w:name w:val="page number"/>
    <w:basedOn w:val="DefaultParagraphFont"/>
    <w:uiPriority w:val="99"/>
    <w:semiHidden/>
    <w:unhideWhenUsed/>
    <w:rsid w:val="000623D8"/>
  </w:style>
  <w:style w:type="character" w:styleId="LineNumber">
    <w:name w:val="line number"/>
    <w:basedOn w:val="DefaultParagraphFont"/>
    <w:uiPriority w:val="99"/>
    <w:semiHidden/>
    <w:unhideWhenUsed/>
    <w:rsid w:val="000623D8"/>
  </w:style>
  <w:style w:type="paragraph" w:styleId="Revision">
    <w:name w:val="Revision"/>
    <w:hidden/>
    <w:uiPriority w:val="99"/>
    <w:semiHidden/>
    <w:rsid w:val="000623D8"/>
    <w:pPr>
      <w:spacing w:after="0" w:line="240" w:lineRule="auto"/>
    </w:pPr>
    <w:rPr>
      <w:sz w:val="24"/>
      <w:szCs w:val="24"/>
      <w:lang w:val="en-GB"/>
    </w:rPr>
  </w:style>
  <w:style w:type="character" w:customStyle="1" w:styleId="UnresolvedMention1">
    <w:name w:val="Unresolved Mention1"/>
    <w:basedOn w:val="DefaultParagraphFont"/>
    <w:uiPriority w:val="99"/>
    <w:unhideWhenUsed/>
    <w:rsid w:val="000623D8"/>
    <w:rPr>
      <w:color w:val="605E5C"/>
      <w:shd w:val="clear" w:color="auto" w:fill="E1DFDD"/>
    </w:rPr>
  </w:style>
  <w:style w:type="table" w:styleId="PlainTable2">
    <w:name w:val="Plain Table 2"/>
    <w:basedOn w:val="TableNormal"/>
    <w:uiPriority w:val="42"/>
    <w:rsid w:val="000623D8"/>
    <w:pPr>
      <w:spacing w:after="0" w:line="240" w:lineRule="auto"/>
    </w:pPr>
    <w:rPr>
      <w:sz w:val="24"/>
      <w:szCs w:val="24"/>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0623D8"/>
    <w:rPr>
      <w:color w:val="954F72" w:themeColor="followedHyperlink"/>
      <w:u w:val="single"/>
    </w:rPr>
  </w:style>
  <w:style w:type="character" w:styleId="PlaceholderText">
    <w:name w:val="Placeholder Text"/>
    <w:basedOn w:val="DefaultParagraphFont"/>
    <w:uiPriority w:val="99"/>
    <w:semiHidden/>
    <w:rsid w:val="000623D8"/>
    <w:rPr>
      <w:color w:val="808080"/>
    </w:rPr>
  </w:style>
  <w:style w:type="table" w:customStyle="1" w:styleId="GridTable1Light-Accent11">
    <w:name w:val="Grid Table 1 Light - Accent 11"/>
    <w:basedOn w:val="TableNormal"/>
    <w:uiPriority w:val="46"/>
    <w:rsid w:val="000623D8"/>
    <w:pPr>
      <w:spacing w:after="0" w:line="240" w:lineRule="auto"/>
    </w:pPr>
    <w:rPr>
      <w:sz w:val="24"/>
      <w:szCs w:val="24"/>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0623D8"/>
    <w:pPr>
      <w:spacing w:after="0" w:line="240" w:lineRule="auto"/>
    </w:pPr>
    <w:rPr>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0623D8"/>
    <w:pPr>
      <w:spacing w:after="0" w:line="240" w:lineRule="auto"/>
    </w:pPr>
    <w:rPr>
      <w:sz w:val="24"/>
      <w:szCs w:val="24"/>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0623D8"/>
    <w:pPr>
      <w:spacing w:after="0" w:line="240" w:lineRule="auto"/>
    </w:pPr>
    <w:rPr>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dnoteText">
    <w:name w:val="endnote text"/>
    <w:basedOn w:val="Normal"/>
    <w:link w:val="EndnoteTextChar"/>
    <w:uiPriority w:val="99"/>
    <w:semiHidden/>
    <w:unhideWhenUsed/>
    <w:rsid w:val="000623D8"/>
    <w:rPr>
      <w:rFonts w:eastAsiaTheme="minorEastAsia"/>
      <w:sz w:val="20"/>
      <w:szCs w:val="20"/>
      <w:lang w:val="en-US"/>
    </w:rPr>
  </w:style>
  <w:style w:type="character" w:customStyle="1" w:styleId="EndnoteTextChar">
    <w:name w:val="Endnote Text Char"/>
    <w:basedOn w:val="DefaultParagraphFont"/>
    <w:link w:val="EndnoteText"/>
    <w:uiPriority w:val="99"/>
    <w:semiHidden/>
    <w:rsid w:val="000623D8"/>
    <w:rPr>
      <w:rFonts w:eastAsiaTheme="minorEastAsia"/>
      <w:sz w:val="20"/>
      <w:szCs w:val="20"/>
      <w:lang w:val="en-US"/>
    </w:rPr>
  </w:style>
  <w:style w:type="character" w:styleId="EndnoteReference">
    <w:name w:val="endnote reference"/>
    <w:basedOn w:val="DefaultParagraphFont"/>
    <w:uiPriority w:val="99"/>
    <w:semiHidden/>
    <w:unhideWhenUsed/>
    <w:rsid w:val="000623D8"/>
    <w:rPr>
      <w:vertAlign w:val="superscript"/>
    </w:rPr>
  </w:style>
  <w:style w:type="paragraph" w:styleId="Header">
    <w:name w:val="header"/>
    <w:basedOn w:val="Normal"/>
    <w:link w:val="HeaderChar"/>
    <w:uiPriority w:val="99"/>
    <w:unhideWhenUsed/>
    <w:rsid w:val="000623D8"/>
    <w:pPr>
      <w:tabs>
        <w:tab w:val="center" w:pos="4680"/>
        <w:tab w:val="right" w:pos="9360"/>
      </w:tabs>
    </w:pPr>
    <w:rPr>
      <w:rFonts w:eastAsiaTheme="minorEastAsia"/>
      <w:lang w:val="en-US"/>
    </w:rPr>
  </w:style>
  <w:style w:type="character" w:customStyle="1" w:styleId="HeaderChar">
    <w:name w:val="Header Char"/>
    <w:basedOn w:val="DefaultParagraphFont"/>
    <w:link w:val="Header"/>
    <w:uiPriority w:val="99"/>
    <w:rsid w:val="000623D8"/>
    <w:rPr>
      <w:rFonts w:eastAsiaTheme="minorEastAsia"/>
      <w:sz w:val="24"/>
      <w:szCs w:val="24"/>
      <w:lang w:val="en-US"/>
    </w:rPr>
  </w:style>
  <w:style w:type="table" w:styleId="PlainTable1">
    <w:name w:val="Plain Table 1"/>
    <w:basedOn w:val="TableNormal"/>
    <w:uiPriority w:val="41"/>
    <w:rsid w:val="000623D8"/>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623D8"/>
    <w:pPr>
      <w:spacing w:after="0" w:line="240" w:lineRule="auto"/>
    </w:pPr>
    <w:rPr>
      <w:sz w:val="24"/>
      <w:szCs w:val="24"/>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0623D8"/>
    <w:pPr>
      <w:spacing w:after="0" w:line="240" w:lineRule="auto"/>
    </w:pPr>
    <w:rPr>
      <w:rFonts w:ascii="Calibri" w:eastAsia="Calibri" w:hAnsi="Calibri" w:cs="Times New Roman"/>
      <w:lang w:val="en-US"/>
    </w:rPr>
  </w:style>
  <w:style w:type="character" w:customStyle="1" w:styleId="UnresolvedMention2">
    <w:name w:val="Unresolved Mention2"/>
    <w:basedOn w:val="DefaultParagraphFont"/>
    <w:uiPriority w:val="99"/>
    <w:semiHidden/>
    <w:unhideWhenUsed/>
    <w:rsid w:val="00062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20</Pages>
  <Words>20802</Words>
  <Characters>118577</Characters>
  <Application>Microsoft Office Word</Application>
  <DocSecurity>0</DocSecurity>
  <Lines>988</Lines>
  <Paragraphs>278</Paragraphs>
  <ScaleCrop>false</ScaleCrop>
  <Company/>
  <LinksUpToDate>false</LinksUpToDate>
  <CharactersWithSpaces>139101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Sandip</dc:creator>
  <cp:keywords/>
  <dc:description/>
  <cp:lastModifiedBy>Sandip</cp:lastModifiedBy>
  <cp:revision>4</cp:revision>
  <dcterms:created xsi:type="dcterms:W3CDTF">2020-05-21T11:08:00Z</dcterms:created>
  <dcterms:modified xsi:type="dcterms:W3CDTF">2020-05-21T15:31:00Z</dcterms:modified>
</cp:coreProperties>
</file>