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>Additional File 2: Table 1. Statistical analysis: confounders used in the Cox proportional hazards analysis.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</w:p>
    <w:p w:rsidR="000030D5" w:rsidRPr="005D12E8" w:rsidRDefault="000030D5" w:rsidP="000030D5">
      <w:pPr>
        <w:spacing w:after="0" w:line="360" w:lineRule="auto"/>
        <w:rPr>
          <w:b/>
          <w:lang w:val="en-US"/>
        </w:rPr>
      </w:pPr>
      <w:r w:rsidRPr="005D12E8">
        <w:rPr>
          <w:b/>
          <w:lang w:val="en-US"/>
        </w:rPr>
        <w:t xml:space="preserve">Demographic factors: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rFonts w:hint="eastAsia"/>
          <w:lang w:val="en-US"/>
        </w:rPr>
        <w:t xml:space="preserve">age (18-39 years, 40-59 years,  </w:t>
      </w:r>
      <w:r>
        <w:rPr>
          <w:rFonts w:ascii="Calibri" w:hAnsi="Calibri" w:cs="Calibri"/>
          <w:lang w:val="en-US"/>
        </w:rPr>
        <w:t>≥</w:t>
      </w:r>
      <w:r w:rsidRPr="005D12E8">
        <w:rPr>
          <w:rFonts w:hint="eastAsia"/>
          <w:lang w:val="en-US"/>
        </w:rPr>
        <w:t xml:space="preserve">60 years); gender; ethnicity (Non-Hispanic White, Non-Hispanic Black, Mexican American, Other Hispanic, Other Race);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</w:p>
    <w:p w:rsidR="000030D5" w:rsidRPr="005D12E8" w:rsidRDefault="000030D5" w:rsidP="000030D5">
      <w:pPr>
        <w:spacing w:after="0" w:line="360" w:lineRule="auto"/>
        <w:rPr>
          <w:b/>
          <w:lang w:val="en-US"/>
        </w:rPr>
      </w:pPr>
      <w:r w:rsidRPr="005D12E8">
        <w:rPr>
          <w:b/>
          <w:lang w:val="en-US"/>
        </w:rPr>
        <w:t xml:space="preserve">Socioeconomic and lifestyle factors: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 xml:space="preserve">body mass index (BMI; &lt;20, 20 to &lt;25, 25 to &lt;30, 30 to &lt;35, 35 to &lt;40, </w:t>
      </w:r>
      <w:r>
        <w:rPr>
          <w:rFonts w:cstheme="minorHAnsi"/>
          <w:lang w:val="en-US"/>
        </w:rPr>
        <w:t>≥</w:t>
      </w:r>
      <w:r w:rsidRPr="005D12E8">
        <w:rPr>
          <w:lang w:val="en-US"/>
        </w:rPr>
        <w:t xml:space="preserve">40 kg/m2); education (less than 9th grade, 9–11th grade, high-school grade, some college or associate's (AA) degree, college graduate and above); annual family income (&lt;$25,000,  $25,000 to $75,000, &gt;$75,000); smoking (non-smoker, former smoker, current smoker); alcohol consumption;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</w:p>
    <w:p w:rsidR="000030D5" w:rsidRPr="005D12E8" w:rsidRDefault="000030D5" w:rsidP="000030D5">
      <w:pPr>
        <w:spacing w:after="0" w:line="360" w:lineRule="auto"/>
        <w:rPr>
          <w:b/>
          <w:lang w:val="en-US"/>
        </w:rPr>
      </w:pPr>
      <w:r w:rsidRPr="005D12E8">
        <w:rPr>
          <w:b/>
          <w:lang w:val="en-US"/>
        </w:rPr>
        <w:t>Comorbidities and  laboratory measurements: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rFonts w:hint="eastAsia"/>
          <w:lang w:val="en-US"/>
        </w:rPr>
        <w:t xml:space="preserve">a. diagnosis of diabetes mellitus (defined as self-reported diabetes, hemoglobin A1c </w:t>
      </w:r>
      <w:r>
        <w:rPr>
          <w:rFonts w:cstheme="minorHAnsi"/>
          <w:lang w:val="en-US"/>
        </w:rPr>
        <w:t>≥</w:t>
      </w:r>
      <w:r w:rsidRPr="005D12E8">
        <w:rPr>
          <w:rFonts w:hint="eastAsia"/>
          <w:lang w:val="en-US"/>
        </w:rPr>
        <w:t xml:space="preserve"> 6.5%, fasting plasma glucose level </w:t>
      </w:r>
      <w:r>
        <w:rPr>
          <w:rFonts w:cstheme="minorHAnsi"/>
          <w:lang w:val="en-US"/>
        </w:rPr>
        <w:t>≥</w:t>
      </w:r>
      <w:r w:rsidRPr="005D12E8">
        <w:rPr>
          <w:rFonts w:hint="eastAsia"/>
          <w:lang w:val="en-US"/>
        </w:rPr>
        <w:t xml:space="preserve">7.0 </w:t>
      </w:r>
      <w:proofErr w:type="spellStart"/>
      <w:r w:rsidRPr="005D12E8">
        <w:rPr>
          <w:rFonts w:hint="eastAsia"/>
          <w:lang w:val="en-US"/>
        </w:rPr>
        <w:t>mmol</w:t>
      </w:r>
      <w:proofErr w:type="spellEnd"/>
      <w:r w:rsidRPr="005D12E8">
        <w:rPr>
          <w:rFonts w:hint="eastAsia"/>
          <w:lang w:val="en-US"/>
        </w:rPr>
        <w:t xml:space="preserve">/l, or the use of oral glucose-lowering medication or insulin);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rFonts w:hint="eastAsia"/>
          <w:lang w:val="en-US"/>
        </w:rPr>
        <w:t xml:space="preserve">b. hypertension (self-reported hypertension, systolic blood pressure </w:t>
      </w:r>
      <w:r>
        <w:rPr>
          <w:rFonts w:ascii="Calibri" w:hAnsi="Calibri" w:cs="Calibri"/>
          <w:lang w:val="en-US"/>
        </w:rPr>
        <w:t>≥</w:t>
      </w:r>
      <w:r w:rsidRPr="005D12E8">
        <w:rPr>
          <w:rFonts w:hint="eastAsia"/>
          <w:lang w:val="en-US"/>
        </w:rPr>
        <w:t xml:space="preserve">140 mm Hg, or diastolic blood pressure </w:t>
      </w:r>
      <w:r>
        <w:rPr>
          <w:rFonts w:cstheme="minorHAnsi"/>
          <w:lang w:val="en-US"/>
        </w:rPr>
        <w:t>≥</w:t>
      </w:r>
      <w:r w:rsidRPr="005D12E8">
        <w:rPr>
          <w:rFonts w:hint="eastAsia"/>
          <w:lang w:val="en-US"/>
        </w:rPr>
        <w:t>90 mm Hg or reported use of medication to lower blood pressure);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rFonts w:hint="eastAsia"/>
          <w:lang w:val="en-US"/>
        </w:rPr>
        <w:t xml:space="preserve">c. dyslipidemia (total cholesterol </w:t>
      </w:r>
      <w:r>
        <w:rPr>
          <w:rFonts w:cstheme="minorHAnsi"/>
          <w:lang w:val="en-US"/>
        </w:rPr>
        <w:t>≥</w:t>
      </w:r>
      <w:r>
        <w:rPr>
          <w:lang w:val="en-US"/>
        </w:rPr>
        <w:t xml:space="preserve"> </w:t>
      </w:r>
      <w:r w:rsidRPr="005D12E8">
        <w:rPr>
          <w:rFonts w:hint="eastAsia"/>
          <w:lang w:val="en-US"/>
        </w:rPr>
        <w:t xml:space="preserve">6.0 </w:t>
      </w:r>
      <w:proofErr w:type="spellStart"/>
      <w:r w:rsidRPr="005D12E8">
        <w:rPr>
          <w:rFonts w:hint="eastAsia"/>
          <w:lang w:val="en-US"/>
        </w:rPr>
        <w:t>mmol</w:t>
      </w:r>
      <w:proofErr w:type="spellEnd"/>
      <w:r w:rsidRPr="005D12E8">
        <w:rPr>
          <w:rFonts w:hint="eastAsia"/>
          <w:lang w:val="en-US"/>
        </w:rPr>
        <w:t xml:space="preserve">/l, low-density cholesterol </w:t>
      </w:r>
      <w:r>
        <w:rPr>
          <w:rFonts w:cstheme="minorHAnsi"/>
          <w:lang w:val="en-US"/>
        </w:rPr>
        <w:t>≥</w:t>
      </w:r>
      <w:r>
        <w:rPr>
          <w:lang w:val="en-US"/>
        </w:rPr>
        <w:t xml:space="preserve"> </w:t>
      </w:r>
      <w:r w:rsidRPr="005D12E8">
        <w:rPr>
          <w:rFonts w:hint="eastAsia"/>
          <w:lang w:val="en-US"/>
        </w:rPr>
        <w:t xml:space="preserve">3.5 </w:t>
      </w:r>
      <w:proofErr w:type="spellStart"/>
      <w:r w:rsidRPr="005D12E8">
        <w:rPr>
          <w:rFonts w:hint="eastAsia"/>
          <w:lang w:val="en-US"/>
        </w:rPr>
        <w:t>mmol</w:t>
      </w:r>
      <w:proofErr w:type="spellEnd"/>
      <w:r w:rsidRPr="005D12E8">
        <w:rPr>
          <w:rFonts w:hint="eastAsia"/>
          <w:lang w:val="en-US"/>
        </w:rPr>
        <w:t xml:space="preserve">/l, or use of statins);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>d. chronic kidney disease (glomerular filtration rate &lt;60 mL/min/1. 73 m</w:t>
      </w:r>
      <w:r w:rsidRPr="005D12E8">
        <w:rPr>
          <w:vertAlign w:val="superscript"/>
          <w:lang w:val="en-US"/>
        </w:rPr>
        <w:t>2</w:t>
      </w:r>
      <w:r w:rsidRPr="005D12E8">
        <w:rPr>
          <w:lang w:val="en-US"/>
        </w:rPr>
        <w:t xml:space="preserve">);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 xml:space="preserve">e. previous cardiovascular disease (self-reported ischemic heart disease, heart failure or previous stroke);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 xml:space="preserve">f. self-reported history of cancer;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 xml:space="preserve">g. self-reported pulmonary disorders (asthma, emphysema, chronic bronchitis);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 xml:space="preserve">h. other comorbidities, based on chronic medication use; </w:t>
      </w:r>
    </w:p>
    <w:p w:rsidR="000030D5" w:rsidRPr="005D12E8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>i. white blood cell count and hemoglobin, as a proxy for inflammati</w:t>
      </w:r>
      <w:bookmarkStart w:id="0" w:name="_GoBack"/>
      <w:bookmarkEnd w:id="0"/>
      <w:r w:rsidRPr="005D12E8">
        <w:rPr>
          <w:lang w:val="en-US"/>
        </w:rPr>
        <w:t xml:space="preserve">on; </w:t>
      </w:r>
    </w:p>
    <w:p w:rsidR="000030D5" w:rsidRDefault="000030D5" w:rsidP="000030D5">
      <w:pPr>
        <w:spacing w:after="0" w:line="360" w:lineRule="auto"/>
        <w:rPr>
          <w:lang w:val="en-US"/>
        </w:rPr>
      </w:pPr>
      <w:r w:rsidRPr="005D12E8">
        <w:rPr>
          <w:lang w:val="en-US"/>
        </w:rPr>
        <w:t xml:space="preserve">j. serum folate </w:t>
      </w:r>
      <w:r>
        <w:rPr>
          <w:lang w:val="en-US"/>
        </w:rPr>
        <w:t>concentrations</w:t>
      </w:r>
      <w:r w:rsidRPr="005D12E8">
        <w:rPr>
          <w:lang w:val="en-US"/>
        </w:rPr>
        <w:t>.</w:t>
      </w:r>
    </w:p>
    <w:p w:rsidR="000030D5" w:rsidRDefault="000030D5" w:rsidP="000030D5">
      <w:pPr>
        <w:rPr>
          <w:lang w:val="en-US"/>
        </w:rPr>
      </w:pPr>
    </w:p>
    <w:p w:rsidR="000030D5" w:rsidRDefault="000030D5" w:rsidP="000030D5">
      <w:pPr>
        <w:spacing w:after="0" w:line="480" w:lineRule="auto"/>
        <w:rPr>
          <w:lang w:val="en-US"/>
        </w:rPr>
      </w:pPr>
      <w:r w:rsidRPr="00484117">
        <w:rPr>
          <w:lang w:val="en-US"/>
        </w:rPr>
        <w:t>NHANES has created specific sampling weights to account for its complex survey design (including oversampling), survey non-response, and post-stratification</w:t>
      </w:r>
      <w:r w:rsidR="00190F8B">
        <w:rPr>
          <w:lang w:val="en-US"/>
        </w:rPr>
        <w:t xml:space="preserve"> [1]</w:t>
      </w:r>
      <w:r w:rsidRPr="00484117">
        <w:rPr>
          <w:lang w:val="en-US"/>
        </w:rPr>
        <w:t xml:space="preserve">. The incorporation of sampling weights into estimated regression coefficients helps to protect against the potential existence of missing </w:t>
      </w:r>
      <w:proofErr w:type="spellStart"/>
      <w:r w:rsidRPr="00484117">
        <w:rPr>
          <w:lang w:val="en-US"/>
        </w:rPr>
        <w:t>regressors</w:t>
      </w:r>
      <w:proofErr w:type="spellEnd"/>
      <w:r w:rsidRPr="00484117">
        <w:rPr>
          <w:lang w:val="en-US"/>
        </w:rPr>
        <w:t xml:space="preserve">. In addition, the linearization variance estimator is suggested to be robust against </w:t>
      </w:r>
      <w:r w:rsidRPr="00484117">
        <w:rPr>
          <w:lang w:val="en-US"/>
        </w:rPr>
        <w:lastRenderedPageBreak/>
        <w:t>the likelihood of correlated errors and the possibility of heteroscedasticity</w:t>
      </w:r>
      <w:r w:rsidR="00190F8B">
        <w:rPr>
          <w:lang w:val="en-US"/>
        </w:rPr>
        <w:t xml:space="preserve"> [2,3]</w:t>
      </w:r>
      <w:r>
        <w:rPr>
          <w:lang w:val="en-US"/>
        </w:rPr>
        <w:t>.</w:t>
      </w:r>
      <w:r w:rsidRPr="00484117">
        <w:rPr>
          <w:lang w:val="en-US"/>
        </w:rPr>
        <w:t xml:space="preserve"> Although we did not intend to extrapolate our findings to the U.S. civilian noninstitutionalized Census population, we calculated our multivariable regression models with application of these weights. </w:t>
      </w:r>
    </w:p>
    <w:p w:rsidR="00AF51F7" w:rsidRDefault="00AF51F7">
      <w:pPr>
        <w:rPr>
          <w:lang w:val="en-US"/>
        </w:rPr>
      </w:pPr>
    </w:p>
    <w:p w:rsidR="00190F8B" w:rsidRDefault="00190F8B">
      <w:pPr>
        <w:rPr>
          <w:lang w:val="en-US"/>
        </w:rPr>
      </w:pPr>
      <w:r>
        <w:rPr>
          <w:lang w:val="en-US"/>
        </w:rPr>
        <w:t>References:</w:t>
      </w:r>
    </w:p>
    <w:p w:rsidR="00190F8B" w:rsidRPr="00190F8B" w:rsidRDefault="00190F8B" w:rsidP="00190F8B">
      <w:pPr>
        <w:rPr>
          <w:lang w:val="en-US"/>
        </w:rPr>
      </w:pPr>
      <w:r>
        <w:rPr>
          <w:lang w:val="en-US"/>
        </w:rPr>
        <w:t>1</w:t>
      </w:r>
      <w:r w:rsidRPr="00190F8B">
        <w:rPr>
          <w:lang w:val="en-US"/>
        </w:rPr>
        <w:t>.</w:t>
      </w:r>
      <w:r>
        <w:rPr>
          <w:lang w:val="en-US"/>
        </w:rPr>
        <w:t xml:space="preserve"> </w:t>
      </w:r>
      <w:r w:rsidRPr="00190F8B">
        <w:rPr>
          <w:lang w:val="en-US"/>
        </w:rPr>
        <w:t>NHANES tutorials. https://wwwn.cdc.gov/nchs/nhanes/tutorials/default.aspx. Accessed June 10.</w:t>
      </w:r>
    </w:p>
    <w:p w:rsidR="00190F8B" w:rsidRPr="00190F8B" w:rsidRDefault="00190F8B" w:rsidP="00190F8B">
      <w:pPr>
        <w:rPr>
          <w:lang w:val="en-US"/>
        </w:rPr>
      </w:pPr>
      <w:r w:rsidRPr="00190F8B">
        <w:rPr>
          <w:lang w:val="en-US"/>
        </w:rPr>
        <w:t>2.</w:t>
      </w:r>
      <w:r>
        <w:rPr>
          <w:lang w:val="en-US"/>
        </w:rPr>
        <w:t xml:space="preserve"> </w:t>
      </w:r>
      <w:r w:rsidRPr="00190F8B">
        <w:rPr>
          <w:lang w:val="en-US"/>
        </w:rPr>
        <w:t>Kott PS: A Model-Based Look at Linear Regression with Survey Data. The American Statistician 1991, 45(2):107-112.</w:t>
      </w:r>
    </w:p>
    <w:p w:rsidR="00190F8B" w:rsidRPr="000030D5" w:rsidRDefault="00190F8B" w:rsidP="00190F8B">
      <w:pPr>
        <w:rPr>
          <w:lang w:val="en-US"/>
        </w:rPr>
      </w:pPr>
      <w:r>
        <w:rPr>
          <w:lang w:val="en-US"/>
        </w:rPr>
        <w:t>3</w:t>
      </w:r>
      <w:r w:rsidRPr="00190F8B">
        <w:rPr>
          <w:lang w:val="en-US"/>
        </w:rPr>
        <w:t>.</w:t>
      </w:r>
      <w:r>
        <w:rPr>
          <w:lang w:val="en-US"/>
        </w:rPr>
        <w:t xml:space="preserve"> </w:t>
      </w:r>
      <w:r w:rsidRPr="00190F8B">
        <w:rPr>
          <w:lang w:val="en-US"/>
        </w:rPr>
        <w:t xml:space="preserve">Gallagher CM, Smith DM, </w:t>
      </w:r>
      <w:proofErr w:type="spellStart"/>
      <w:r w:rsidRPr="00190F8B">
        <w:rPr>
          <w:lang w:val="en-US"/>
        </w:rPr>
        <w:t>Meliker</w:t>
      </w:r>
      <w:proofErr w:type="spellEnd"/>
      <w:r w:rsidRPr="00190F8B">
        <w:rPr>
          <w:lang w:val="en-US"/>
        </w:rPr>
        <w:t xml:space="preserve"> JR: Total blood mercury and serum measles antibodies in US children, NHANES 2003-2004. </w:t>
      </w:r>
      <w:proofErr w:type="spellStart"/>
      <w:r w:rsidRPr="00190F8B">
        <w:rPr>
          <w:lang w:val="en-US"/>
        </w:rPr>
        <w:t>Sci</w:t>
      </w:r>
      <w:proofErr w:type="spellEnd"/>
      <w:r w:rsidRPr="00190F8B">
        <w:rPr>
          <w:lang w:val="en-US"/>
        </w:rPr>
        <w:t xml:space="preserve"> Total Environ 2011, 410-411:65-71.</w:t>
      </w:r>
    </w:p>
    <w:sectPr w:rsidR="00190F8B" w:rsidRPr="00003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D5"/>
    <w:rsid w:val="000030D5"/>
    <w:rsid w:val="00190F8B"/>
    <w:rsid w:val="00A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BFE1281-1E76-4250-8470-5383F2EE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30D5"/>
    <w:rPr>
      <w:rFonts w:eastAsia="Bata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bhrw</dc:creator>
  <cp:keywords/>
  <dc:description/>
  <cp:lastModifiedBy>bhrw</cp:lastModifiedBy>
  <cp:revision>2</cp:revision>
  <dcterms:created xsi:type="dcterms:W3CDTF">2020-08-02T11:14:00Z</dcterms:created>
  <dcterms:modified xsi:type="dcterms:W3CDTF">2020-08-02T11:19:00Z</dcterms:modified>
</cp:coreProperties>
</file>