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002D" w:rsidRDefault="0068252F" w:rsidP="00D80415">
      <w:pPr>
        <w:jc w:val="center"/>
        <w:rPr>
          <w:rFonts w:ascii="Candara" w:hAnsi="Candara"/>
          <w:b/>
          <w:bCs/>
          <w:sz w:val="28"/>
          <w:szCs w:val="28"/>
          <w:lang w:val="en-US"/>
        </w:rPr>
      </w:pPr>
      <w:r>
        <w:rPr>
          <w:rFonts w:ascii="Candara" w:hAnsi="Candara"/>
          <w:b/>
          <w:bCs/>
          <w:sz w:val="28"/>
          <w:szCs w:val="28"/>
          <w:lang w:val="en-US"/>
        </w:rPr>
        <w:t>Additional</w:t>
      </w:r>
      <w:r w:rsidR="00D80415" w:rsidRPr="00D80415">
        <w:rPr>
          <w:rFonts w:ascii="Candara" w:hAnsi="Candara"/>
          <w:b/>
          <w:bCs/>
          <w:sz w:val="28"/>
          <w:szCs w:val="28"/>
          <w:lang w:val="en-US"/>
        </w:rPr>
        <w:t xml:space="preserve"> File</w:t>
      </w:r>
      <w:r>
        <w:rPr>
          <w:rFonts w:ascii="Candara" w:hAnsi="Candara"/>
          <w:b/>
          <w:bCs/>
          <w:sz w:val="28"/>
          <w:szCs w:val="28"/>
          <w:lang w:val="en-US"/>
        </w:rPr>
        <w:t xml:space="preserve"> 1</w:t>
      </w:r>
    </w:p>
    <w:p w:rsidR="00D80415" w:rsidRDefault="00D80415" w:rsidP="00D80415">
      <w:pPr>
        <w:jc w:val="center"/>
        <w:rPr>
          <w:rFonts w:ascii="Candara" w:hAnsi="Candara"/>
          <w:b/>
          <w:bCs/>
          <w:sz w:val="28"/>
          <w:szCs w:val="28"/>
          <w:lang w:val="en-US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S1</w:t>
      </w:r>
      <w:r w:rsidRPr="006C0BDB">
        <w:rPr>
          <w:rFonts w:ascii="Candara" w:hAnsi="Candara"/>
          <w:b/>
          <w:bCs/>
          <w:sz w:val="22"/>
          <w:szCs w:val="22"/>
        </w:rPr>
        <w:t xml:space="preserve">A: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Cardiac biomarkers evaluating risk of myocardial injury in patients presenting with acute influenza</w:t>
      </w: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Pr="006C0BDB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S1</w:t>
      </w:r>
      <w:r w:rsidRPr="006C0BDB">
        <w:rPr>
          <w:rFonts w:ascii="Candara" w:hAnsi="Candara"/>
          <w:b/>
          <w:bCs/>
          <w:sz w:val="22"/>
          <w:szCs w:val="22"/>
        </w:rPr>
        <w:t xml:space="preserve">B: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Cardiac biomarkers evaluating risk of myocardial injury in patients presenting with COVID-19</w:t>
      </w: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S2</w:t>
      </w:r>
      <w:r w:rsidRPr="006C0BDB">
        <w:rPr>
          <w:rFonts w:ascii="Candara" w:hAnsi="Candara"/>
          <w:b/>
          <w:bCs/>
          <w:sz w:val="22"/>
          <w:szCs w:val="22"/>
        </w:rPr>
        <w:t xml:space="preserve">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Studies highlighting Chronic Cardiovascular Complication and its association with prior Influenza</w:t>
      </w: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S3</w:t>
      </w:r>
      <w:r w:rsidRPr="006C0BDB">
        <w:rPr>
          <w:rFonts w:ascii="Candara" w:hAnsi="Candara"/>
          <w:b/>
          <w:bCs/>
          <w:sz w:val="22"/>
          <w:szCs w:val="22"/>
        </w:rPr>
        <w:t xml:space="preserve">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Studies evaluating association between Influenza season and hospitalization for cardiovascular conditions </w:t>
      </w: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  <w:sectPr w:rsidR="00D804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Pr="006C0BDB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S1</w:t>
      </w:r>
      <w:r w:rsidRPr="006C0BDB">
        <w:rPr>
          <w:rFonts w:ascii="Candara" w:hAnsi="Candara"/>
          <w:b/>
          <w:bCs/>
          <w:sz w:val="22"/>
          <w:szCs w:val="22"/>
        </w:rPr>
        <w:t xml:space="preserve">A: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Cardiac biomarkers evaluating risk of myocardial injury in patients presenting with acute influenza</w:t>
      </w:r>
    </w:p>
    <w:tbl>
      <w:tblPr>
        <w:tblStyle w:val="TableGrid"/>
        <w:tblpPr w:leftFromText="180" w:rightFromText="180" w:vertAnchor="text" w:horzAnchor="margin" w:tblpXSpec="center" w:tblpY="-1439"/>
        <w:tblW w:w="15206" w:type="dxa"/>
        <w:tblLook w:val="04A0" w:firstRow="1" w:lastRow="0" w:firstColumn="1" w:lastColumn="0" w:noHBand="0" w:noVBand="1"/>
      </w:tblPr>
      <w:tblGrid>
        <w:gridCol w:w="1602"/>
        <w:gridCol w:w="904"/>
        <w:gridCol w:w="1397"/>
        <w:gridCol w:w="692"/>
        <w:gridCol w:w="710"/>
        <w:gridCol w:w="1094"/>
        <w:gridCol w:w="1027"/>
        <w:gridCol w:w="1263"/>
        <w:gridCol w:w="1079"/>
        <w:gridCol w:w="1245"/>
        <w:gridCol w:w="1358"/>
        <w:gridCol w:w="1276"/>
        <w:gridCol w:w="1559"/>
      </w:tblGrid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lastRenderedPageBreak/>
              <w:t xml:space="preserve">Study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CVD,  (%)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D-dimer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 xml:space="preserve">CRP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 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 I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CK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CK-MB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  <w:t>NTproBNP</w:t>
            </w:r>
            <w:proofErr w:type="spellEnd"/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Greaves, 2003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Randomized placebo-control trial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12 patients had high CK [1064 (181 - 7280)]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elevated 21 (8-80)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Ison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2005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USA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Prospective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None had elevated troponin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2 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patients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 had high CK [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312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(37-5430)]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Cao, 2009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426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2 (0.5)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CRP &gt;10 [mg/L] in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68/217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CK &gt;200 [U/L]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In 16/115 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patients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 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Erden, 2010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Turkey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Prospective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6 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patients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 had 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elevated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 xml:space="preserve"> CK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17.9 [IU/L]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Wang, 2011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Non- Fatal group 5.75± 4.11 [ug/mL]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Fatal group 10.70± 6.29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Non- Fatal group 591.54± 348.72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Fatal group 682.20± 424.20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Non- Fatal group 30.30± 17.63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Fatal group 32.66± 18.25 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  <w:t>[U/L]</w:t>
            </w:r>
          </w:p>
          <w:p w:rsidR="00D80415" w:rsidRPr="006C0BDB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Chacko, 2012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India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5.4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17 patients with &gt;1.5 [ng/mL]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3.1 (7.7) [ng/mL]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 34 patients 106 ± 137 [U/L]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Fagnoul</w:t>
            </w:r>
            <w:proofErr w:type="spellEnd"/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, 2013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Belgium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10.9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0.03 (0.01-0.3)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[ng/mL]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lastRenderedPageBreak/>
              <w:t>Han, 2015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China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6 (0.15)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0.007 (0.oo-0.032)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0.388 (0.003-1.449)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IV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1.145 (0.073-3.024)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218 (38-1048)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493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53–2622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Group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 xml:space="preserve"> IV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440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90–889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[U/L]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22 (11-62)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Group III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33 (15-79) [U/L]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Group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 xml:space="preserve"> IV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pl-PL"/>
              </w:rPr>
            </w:pPr>
            <w:r w:rsidRPr="00A0046F">
              <w:rPr>
                <w:rFonts w:ascii="Candara" w:hAnsi="Candara"/>
                <w:sz w:val="20"/>
                <w:szCs w:val="20"/>
                <w:lang w:val="pl-PL"/>
              </w:rPr>
              <w:t>28 (25-34) [U/L]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Ito, 2017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Japan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Prospective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None of the patients had elevated troponin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5 patients had elevated CK-MB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17 (16-36) [IU/mL]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rPr>
          <w:trHeight w:val="2180"/>
        </w:trPr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Harris, 2018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USA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 42.4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23 patients with 0.3 to 1.5 [ng/mL]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10 patients with &gt; 1.5 [ng/mL]. 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A0046F" w:rsidTr="00AF0EAD">
        <w:trPr>
          <w:trHeight w:val="2500"/>
        </w:trPr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lastRenderedPageBreak/>
              <w:t>Pizzini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Cross-sectional analysis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33.7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 w:cstheme="majorBidi"/>
                <w:sz w:val="20"/>
                <w:szCs w:val="20"/>
                <w:lang w:val="pt-BR"/>
              </w:rPr>
            </w:pPr>
            <w:r w:rsidRPr="00A0046F">
              <w:rPr>
                <w:rFonts w:ascii="Candara" w:hAnsi="Candara" w:cstheme="majorBidi"/>
                <w:sz w:val="20"/>
                <w:szCs w:val="20"/>
                <w:lang w:val="pt-BR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lang w:val="pt-BR"/>
              </w:rPr>
              <w:t xml:space="preserve">IV-A 4.74 </w:t>
            </w: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  <w:t>± 5.89 [mg/</w:t>
            </w:r>
            <w:proofErr w:type="spellStart"/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  <w:t>dL</w:t>
            </w:r>
            <w:proofErr w:type="spellEnd"/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  <w:t>]</w:t>
            </w:r>
          </w:p>
          <w:p w:rsidR="00D80415" w:rsidRPr="00A0046F" w:rsidRDefault="00D80415" w:rsidP="00AF0EAD">
            <w:pPr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</w:pPr>
          </w:p>
          <w:p w:rsidR="00D80415" w:rsidRPr="00A0046F" w:rsidRDefault="00D80415" w:rsidP="00AF0EAD">
            <w:pPr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</w:pP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  <w:lang w:val="pt-BR"/>
              </w:rPr>
              <w:t xml:space="preserve">IV-B 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0.98 ± 0.30 [mg/dL]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hsTnT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IV-A 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br/>
              <w:t xml:space="preserve">27.09 </w:t>
            </w: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± 67.31 [ng/L]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IV-B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16.40 </w:t>
            </w: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± 36.3 [ng/L]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sz w:val="20"/>
                <w:szCs w:val="20"/>
              </w:rPr>
              <w:t xml:space="preserve"> I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V-A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3238 </w:t>
            </w: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±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7992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[ng/L]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IV-B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1716 </w:t>
            </w: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± 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2572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 w:cs="Arial"/>
                <w:color w:val="000000" w:themeColor="text1"/>
                <w:sz w:val="20"/>
                <w:szCs w:val="20"/>
                <w:shd w:val="clear" w:color="auto" w:fill="FFFFFF"/>
              </w:rPr>
              <w:t>[ng/L]</w:t>
            </w:r>
          </w:p>
        </w:tc>
      </w:tr>
      <w:tr w:rsidR="00D80415" w:rsidRPr="00A0046F" w:rsidTr="00AF0EAD">
        <w:tc>
          <w:tcPr>
            <w:tcW w:w="160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Gao,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China</w:t>
            </w:r>
          </w:p>
        </w:tc>
        <w:tc>
          <w:tcPr>
            <w:tcW w:w="1397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6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321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8.1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0.5 (0.2–2.1)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Maximum level was 1.1 (0.3–5.1)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5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27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0.9 (0.5–1.5)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Maximum level was 1.3 (0.8–2.4)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</w:tbl>
    <w:p w:rsidR="00D80415" w:rsidRPr="006C0BDB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/>
          <w:sz w:val="22"/>
          <w:szCs w:val="22"/>
        </w:rPr>
      </w:pPr>
      <w:r w:rsidRPr="006C0BDB">
        <w:rPr>
          <w:rFonts w:ascii="Candara" w:hAnsi="Candara"/>
          <w:sz w:val="22"/>
          <w:szCs w:val="22"/>
        </w:rPr>
        <w:t>CRP = C-Reactive Protein; CK = Creatine Kinase; CK-MB = Creatine Kinase-myocardial band; NR = Not Reported; hsTnT = high sensitivity cardiac troponin T; IV = Influenza virus; CVD = cardiovascular disease; NTproBNP = N-terminal pro b-type natriuretic peptide</w:t>
      </w:r>
      <w:r w:rsidRPr="006C0BDB">
        <w:rPr>
          <w:rFonts w:ascii="Candara" w:hAnsi="Candara"/>
          <w:sz w:val="22"/>
          <w:szCs w:val="22"/>
        </w:rPr>
        <w:br/>
        <w:t>Data reported as N (%), mean (SD), median (IQR)</w:t>
      </w:r>
    </w:p>
    <w:p w:rsidR="00D80415" w:rsidRPr="006C0BDB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S1</w:t>
      </w:r>
      <w:r w:rsidRPr="006C0BDB">
        <w:rPr>
          <w:rFonts w:ascii="Candara" w:hAnsi="Candara"/>
          <w:b/>
          <w:bCs/>
          <w:sz w:val="22"/>
          <w:szCs w:val="22"/>
        </w:rPr>
        <w:t xml:space="preserve">B: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Cardiac biomarkers evaluating risk of myocardial injury in patients presenting with COVID-19</w:t>
      </w: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Default="00D80415" w:rsidP="00D80415">
      <w:pPr>
        <w:spacing w:line="360" w:lineRule="auto"/>
        <w:rPr>
          <w:rFonts w:ascii="Candara" w:hAnsi="Candara"/>
          <w:b/>
          <w:bCs/>
          <w:color w:val="000000" w:themeColor="text1"/>
          <w:sz w:val="22"/>
          <w:szCs w:val="22"/>
        </w:rPr>
      </w:pPr>
    </w:p>
    <w:p w:rsidR="00D80415" w:rsidRPr="006C0BDB" w:rsidRDefault="00D80415" w:rsidP="00D80415">
      <w:pPr>
        <w:spacing w:line="360" w:lineRule="auto"/>
        <w:rPr>
          <w:rFonts w:ascii="Candara" w:hAnsi="Candara" w:cstheme="majorBid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-1439"/>
        <w:tblW w:w="15163" w:type="dxa"/>
        <w:tblLook w:val="04A0" w:firstRow="1" w:lastRow="0" w:firstColumn="1" w:lastColumn="0" w:noHBand="0" w:noVBand="1"/>
      </w:tblPr>
      <w:tblGrid>
        <w:gridCol w:w="1750"/>
        <w:gridCol w:w="904"/>
        <w:gridCol w:w="1397"/>
        <w:gridCol w:w="629"/>
        <w:gridCol w:w="590"/>
        <w:gridCol w:w="1039"/>
        <w:gridCol w:w="1140"/>
        <w:gridCol w:w="1128"/>
        <w:gridCol w:w="1004"/>
        <w:gridCol w:w="1004"/>
        <w:gridCol w:w="1269"/>
        <w:gridCol w:w="889"/>
        <w:gridCol w:w="1119"/>
        <w:gridCol w:w="1301"/>
      </w:tblGrid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lastRenderedPageBreak/>
              <w:t xml:space="preserve">Study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Design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 xml:space="preserve"> N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CVD (%)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 xml:space="preserve">CRP 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D-Dimer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 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Troponin I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CK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CK-MB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  <w:t>NTproBNP</w:t>
            </w:r>
            <w:proofErr w:type="spellEnd"/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color w:val="2E2E2E"/>
                <w:sz w:val="20"/>
                <w:szCs w:val="20"/>
              </w:rPr>
              <w:t>BNP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Cummings, 2020</w:t>
            </w:r>
          </w:p>
        </w:tc>
        <w:tc>
          <w:tcPr>
            <w:tcW w:w="0" w:type="auto"/>
          </w:tcPr>
          <w:p w:rsidR="00D80415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US</w:t>
            </w:r>
          </w:p>
          <w:p w:rsidR="00D80415" w:rsidRPr="00A1256C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1256C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Prospective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257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19.1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158 (92–254)/ 253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[mg/L]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1·6 (0·9–3·5) in 244 patients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HsTnT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19 (9–52) in 254 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patients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  <w:lang w:val="de-DE"/>
              </w:rPr>
              <w:t>[</w:t>
            </w:r>
            <w:proofErr w:type="spellStart"/>
            <w:r w:rsidRPr="00A0046F">
              <w:rPr>
                <w:rFonts w:ascii="Candara" w:hAnsi="Candara"/>
                <w:color w:val="2E2E2E"/>
                <w:sz w:val="20"/>
                <w:szCs w:val="20"/>
                <w:lang w:val="de-DE"/>
              </w:rPr>
              <w:t>ng</w:t>
            </w:r>
            <w:proofErr w:type="spellEnd"/>
            <w:r w:rsidRPr="00A0046F">
              <w:rPr>
                <w:rFonts w:ascii="Candara" w:hAnsi="Candara"/>
                <w:color w:val="2E2E2E"/>
                <w:sz w:val="20"/>
                <w:szCs w:val="20"/>
                <w:lang w:val="de-DE"/>
              </w:rPr>
              <w:t>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Richardson,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 case-series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5700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12.3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13.0 (6.4-26.9) mg/dL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438 (262-872) ng/mL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Elevated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troponin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 in 802 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patients</w:t>
            </w:r>
            <w:proofErr w:type="spellEnd"/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171 (84-397)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[U/L]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385.5 (106-1996.8)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[</w:t>
            </w:r>
            <w:proofErr w:type="spellStart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/mL]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Arentz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US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 case-series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42.9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 patients with Troponin &gt; 0.3  [ng/mL]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95 (45-1290) U/L 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 xml:space="preserve">4720 (69-33423) </w:t>
            </w:r>
            <w:proofErr w:type="spellStart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 xml:space="preserve">/mL 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Chen N,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40.4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51.4 (41.8) [mg/L]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Increased in 63/73 patients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0.9 (0.5-2.8)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[ug/L]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Increased in 36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85.0 (51.0 -184.0) [U/L]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Increased in 13 patients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Zhou,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Retrospective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14.6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0·8 (0·4–3·2)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[ug/L]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4·1 (2·0–14·1)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[ng/mL]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21·5 (13·0–72·4) 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[U/L]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Huang,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Cohort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41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14.6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0·5 (0·3–1·3)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[mg/L]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3·4 (1·1–9·1)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/mL]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132·5 (62·0–219·0)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Guan,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1099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&gt;10mg/L in 481/793 patients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&gt;0.5 mg/L in 260/560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CK &gt;200 [U/L] in 90/657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Guo,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4.04 (1.64-8.14) [mg/dL] 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lastRenderedPageBreak/>
              <w:t>0.43 (0.19-2.66) [ug/mL]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268.4 (75.3-689.1)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Wang,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 case-series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138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14.5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203 (121-403) [mg/dL]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6.4 (2.8-18.5)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92 (56-130) [U/L]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14 (10-18) [U/L]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Zhang,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138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NR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34.2 (12.5-67.4)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[Mg/L]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0046F">
              <w:rPr>
                <w:rFonts w:ascii="Candara" w:hAnsi="Candara"/>
                <w:sz w:val="20"/>
                <w:szCs w:val="20"/>
              </w:rPr>
              <w:t>in 125/136 patients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0.20 (0.1-0.5)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[ug/mL]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Increased in 35/81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72.5 (52.2-115)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[U/L]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0046F">
              <w:rPr>
                <w:rFonts w:ascii="Candara" w:hAnsi="Candara"/>
                <w:sz w:val="20"/>
                <w:szCs w:val="20"/>
              </w:rPr>
              <w:t>in 4/60 patients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Yang,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9.6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</w:t>
            </w:r>
            <w:r w:rsidRPr="00A0046F">
              <w:rPr>
                <w:rFonts w:ascii="Candara" w:hAnsi="Candara"/>
                <w:sz w:val="20"/>
                <w:szCs w:val="20"/>
              </w:rPr>
              <w:t>161(41·8–766·1)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Wu,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Cohort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201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4.0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42.4 (14.2-92.7) [mg/L]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in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194 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patients</w:t>
            </w:r>
            <w:proofErr w:type="spellEnd"/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0.61 (0.35-1.28) [ug/mL] in 189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15 (12-20) U/L in 198 pts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Chen T,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274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8.4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 xml:space="preserve">53.4 (18.6-113.0) [mg/L]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</w:p>
        </w:tc>
        <w:tc>
          <w:tcPr>
            <w:tcW w:w="1162" w:type="dxa"/>
          </w:tcPr>
          <w:p w:rsidR="00D80415" w:rsidRPr="006C0BDB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1.1 (0.5-3.2)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μg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hsTnI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 xml:space="preserve"> 8.7 (2.9-33.6)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 xml:space="preserve">/mL] 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109.0 (53.5- 188.0) [U/L]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267.0 (48.0-821.0) [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/mL]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Lang Wang,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Retrospective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339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15.6</w:t>
            </w: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49.6 (18.5-93.2) [mg/L]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1.20 (0.62-3.25) [mg/L]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0.010 (0.006-0.030) [ng/mL]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63 (40-104) [U/L]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1.26 (0.85-2.36) [ng/mL]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868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lastRenderedPageBreak/>
              <w:t>Shi,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Cohort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416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10.6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03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de-DE"/>
              </w:rPr>
            </w:pPr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4.5 (1.4-8.5) [mg/</w:t>
            </w:r>
            <w:proofErr w:type="spellStart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dL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de-DE"/>
              </w:rPr>
              <w:t>]</w:t>
            </w:r>
          </w:p>
        </w:tc>
        <w:tc>
          <w:tcPr>
            <w:tcW w:w="116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B977E8">
              <w:rPr>
                <w:rFonts w:ascii="Candara" w:hAnsi="Candara"/>
                <w:sz w:val="20"/>
                <w:szCs w:val="20"/>
              </w:rPr>
              <w:t>hsTnI</w:t>
            </w:r>
            <w:proofErr w:type="spellEnd"/>
            <w:r w:rsidRPr="00B977E8">
              <w:rPr>
                <w:rFonts w:ascii="Candara" w:hAnsi="Candara"/>
                <w:sz w:val="20"/>
                <w:szCs w:val="20"/>
              </w:rPr>
              <w:t xml:space="preserve"> &lt;0.006 (&lt;0.006-0.02) [ug/L]</w:t>
            </w:r>
          </w:p>
        </w:tc>
        <w:tc>
          <w:tcPr>
            <w:tcW w:w="1319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B977E8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609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1.0 (0.7-2) [ng/mL]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219 (73-699)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pg</w:t>
            </w:r>
            <w:proofErr w:type="spellEnd"/>
            <w:r w:rsidRPr="00A0046F">
              <w:rPr>
                <w:rFonts w:ascii="Candara" w:hAnsi="Candara"/>
                <w:color w:val="2E2E2E"/>
                <w:sz w:val="20"/>
                <w:szCs w:val="20"/>
              </w:rPr>
              <w:t>/mL</w:t>
            </w:r>
          </w:p>
        </w:tc>
        <w:tc>
          <w:tcPr>
            <w:tcW w:w="1391" w:type="dxa"/>
          </w:tcPr>
          <w:p w:rsidR="00D80415" w:rsidRPr="00A0046F" w:rsidRDefault="00D80415" w:rsidP="00AF0EAD">
            <w:pPr>
              <w:rPr>
                <w:rFonts w:ascii="Candara" w:hAnsi="Candara"/>
                <w:color w:val="2E2E2E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</w:tr>
      <w:tr w:rsidR="00D80415" w:rsidRPr="009B22CB" w:rsidTr="00AF0EAD">
        <w:tc>
          <w:tcPr>
            <w:tcW w:w="15163" w:type="dxa"/>
            <w:gridSpan w:val="14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Summary</w:t>
            </w:r>
          </w:p>
        </w:tc>
      </w:tr>
      <w:tr w:rsidR="00D80415" w:rsidRPr="009B22CB" w:rsidTr="00AF0EAD">
        <w:tc>
          <w:tcPr>
            <w:tcW w:w="15163" w:type="dxa"/>
            <w:gridSpan w:val="14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Less heterogeneous data is observed for cardiac biomarkers evaluating the risk of myocardial injury in patients presenting with COVID-19. Fourteen studies evaluated at least two or more cardiac biomarkers, with CRP, D-dimer, 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HsTnI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and CK being the most commonly reported cardiac biomarkers. D-dimer values were reported in 12 studies, while NT-</w:t>
            </w: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proBNP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and BNP levels were reported in three and two studies respectively.</w:t>
            </w:r>
          </w:p>
        </w:tc>
      </w:tr>
    </w:tbl>
    <w:p w:rsidR="00D80415" w:rsidRPr="006C0BDB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/>
          <w:sz w:val="22"/>
          <w:szCs w:val="22"/>
        </w:rPr>
      </w:pPr>
      <w:r w:rsidRPr="006C0BDB">
        <w:rPr>
          <w:rFonts w:ascii="Candara" w:hAnsi="Candara"/>
          <w:sz w:val="22"/>
          <w:szCs w:val="22"/>
        </w:rPr>
        <w:t xml:space="preserve">Levels noted at the time of hospitalization </w:t>
      </w:r>
      <w:r w:rsidRPr="006C0BDB">
        <w:rPr>
          <w:rFonts w:ascii="Candara" w:hAnsi="Candara"/>
          <w:sz w:val="22"/>
          <w:szCs w:val="22"/>
        </w:rPr>
        <w:br/>
        <w:t>CRP = C-Reactive Protein; CK = Creatine Kinase; CK-MB = Creatine Kinase-myocardial band; hsTnI = hypersensitive cardiac troponin I; NR = Not Reported; hsTnT = high sensitivity cardiac troponin T; CVD = Cardiovascular Disease; NTproBNP = N-terminal pro b-type natriuretic peptide</w:t>
      </w:r>
    </w:p>
    <w:p w:rsidR="00D80415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 w:cstheme="majorBidi"/>
          <w:color w:val="000000"/>
          <w:sz w:val="22"/>
          <w:szCs w:val="22"/>
          <w:shd w:val="clear" w:color="auto" w:fill="FFFFFF"/>
        </w:rPr>
      </w:pPr>
      <w:r w:rsidRPr="006C0BDB">
        <w:rPr>
          <w:rFonts w:ascii="Candara" w:hAnsi="Candara" w:cstheme="majorBidi"/>
          <w:color w:val="000000"/>
          <w:sz w:val="22"/>
          <w:szCs w:val="22"/>
          <w:shd w:val="clear" w:color="auto" w:fill="FFFFFF"/>
        </w:rPr>
        <w:t>Data reported as mean (SD), N(%) or median (IQR)</w:t>
      </w:r>
    </w:p>
    <w:p w:rsidR="00D80415" w:rsidRPr="006C0BDB" w:rsidRDefault="00D80415" w:rsidP="00D80415">
      <w:pPr>
        <w:spacing w:line="360" w:lineRule="auto"/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b/>
          <w:bCs/>
          <w:sz w:val="22"/>
          <w:szCs w:val="22"/>
        </w:rPr>
      </w:pPr>
    </w:p>
    <w:p w:rsidR="00D80415" w:rsidRDefault="00D80415" w:rsidP="00D80415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lastRenderedPageBreak/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S2</w:t>
      </w:r>
      <w:r w:rsidRPr="006C0BDB">
        <w:rPr>
          <w:rFonts w:ascii="Candara" w:hAnsi="Candara"/>
          <w:b/>
          <w:bCs/>
          <w:sz w:val="22"/>
          <w:szCs w:val="22"/>
        </w:rPr>
        <w:t xml:space="preserve">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>Studies highlighting Chronic Cardiovascular Complication and its association with prior Influenza</w:t>
      </w:r>
    </w:p>
    <w:p w:rsidR="00D80415" w:rsidRDefault="00D80415" w:rsidP="00D80415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83"/>
        <w:tblW w:w="15840" w:type="dxa"/>
        <w:tblLook w:val="04A0" w:firstRow="1" w:lastRow="0" w:firstColumn="1" w:lastColumn="0" w:noHBand="0" w:noVBand="1"/>
      </w:tblPr>
      <w:tblGrid>
        <w:gridCol w:w="1356"/>
        <w:gridCol w:w="1188"/>
        <w:gridCol w:w="986"/>
        <w:gridCol w:w="1379"/>
        <w:gridCol w:w="1063"/>
        <w:gridCol w:w="800"/>
        <w:gridCol w:w="1012"/>
        <w:gridCol w:w="726"/>
        <w:gridCol w:w="1138"/>
        <w:gridCol w:w="6192"/>
      </w:tblGrid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Study Author, Year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Influenza confirmation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Outcome of Interest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(N)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Influenza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 xml:space="preserve">Positive 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Cases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b/>
                <w:bCs/>
                <w:sz w:val="20"/>
                <w:szCs w:val="20"/>
              </w:rPr>
              <w:t>Results</w:t>
            </w:r>
          </w:p>
        </w:tc>
      </w:tr>
      <w:tr w:rsidR="00D80415" w:rsidRPr="00A0046F" w:rsidTr="00AF0EAD">
        <w:trPr>
          <w:trHeight w:val="1376"/>
        </w:trPr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Guan, 2008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Case-control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China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Serology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AMI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158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IV-A: 122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  <w:t>IV-B: 73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80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IV-A  OR 7.5 (1.3–43.0)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  <w:t>IV-B OR 27.3 (6.6–113.8)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</w:r>
          </w:p>
          <w:p w:rsidR="00D80415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IV-B had closest association with the risk of AMI than that of other pathogens (OR 27.3 [6.6 -113.8], P&lt;0.001).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Kwok et al, 2015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Meta-analysis of 12 studies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Both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MI, HF, stroke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84,003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NA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it-IT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  <w:lang w:val="it-IT"/>
              </w:rPr>
              <w:t>Serological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  <w:lang w:val="it-IT"/>
              </w:rPr>
              <w:t xml:space="preserve"> Influenza: MI (OR 1.27 [95% CI, 0.54–2.95]; ILI: MI (OR 2.17 95% CI [1.68–2.80])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  <w:lang w:val="it-IT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6C0BDB">
              <w:rPr>
                <w:rFonts w:ascii="Candara" w:hAnsi="Candara"/>
                <w:sz w:val="20"/>
                <w:szCs w:val="20"/>
              </w:rPr>
              <w:t xml:space="preserve">HF: 1 study. </w:t>
            </w:r>
            <w:r w:rsidRPr="00A0046F">
              <w:rPr>
                <w:rFonts w:ascii="Candara" w:hAnsi="Candara"/>
                <w:sz w:val="20"/>
                <w:szCs w:val="20"/>
              </w:rPr>
              <w:t>Crude OR for risk of HF (OR 7.05 95% CI [1.22– 40.90])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Stroke: 1 study. Increased risk of stroke within first 15 days of ILI (OR 6.5, 95% CI [2.2–19.7]) which decreases with duration (OR 3.3 95% CI [1.9–5.8]) at 90 days.</w:t>
            </w:r>
          </w:p>
          <w:p w:rsidR="00D80415" w:rsidRPr="00A0046F" w:rsidRDefault="00D80415" w:rsidP="00AF0EAD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Warren-Gash, 2018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Self-controlled case-series design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Scotland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Serology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MI, Stroke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1989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293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1989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None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MI: </w:t>
            </w:r>
            <w:r w:rsidRPr="00A0046F">
              <w:rPr>
                <w:rFonts w:ascii="Candara" w:hAnsi="Candara"/>
                <w:sz w:val="20"/>
                <w:szCs w:val="20"/>
              </w:rPr>
              <w:t xml:space="preserve">Age and season-adjusted IR (95% CI):  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  <w:t>Day 1-3: 9.80 (2.37-40.5);  Day 4-7: 3.98 (0.55-28.9); Day 8-14 2.72 (0.38-19.5);  Day 15-28: 2.77 (0.68-11.2); vs  all other respiratory viruses (combined)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Stroke: </w:t>
            </w:r>
            <w:r w:rsidRPr="00A0046F">
              <w:rPr>
                <w:rFonts w:ascii="Candara" w:hAnsi="Candara"/>
                <w:sz w:val="20"/>
                <w:szCs w:val="20"/>
              </w:rPr>
              <w:t>Age and season-adjusted IR (95% CI):  Day 1-3, 7.82 (1.07-56.9);  Day 8-14, 8.13 (1.98-33.3);  Day 15-28, 5.13 (1.55-17.0) vs  all other respiratory viruses (combined)</w:t>
            </w: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Boehme AK, 2018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Case‐crossover design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US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 xml:space="preserve">ILI 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Preceding ILI in stroke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36975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554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36975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Cases without past influenza act as control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ILI within 15 days before stroke  OR 2.88 (1.86–4.47); 30 days before stroke OR 2.59(1.86–3.61); 60 days before stroke OR 2.18(1.69–2.82; 90 days before stroke 1.78 (1.43–2.21); 180 days before stroke 1.51(1.27–1.78; 365 days before stroke 1.50(1.31–1.71).</w:t>
            </w: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sz w:val="20"/>
                <w:szCs w:val="20"/>
              </w:rPr>
              <w:lastRenderedPageBreak/>
              <w:t>Kwong</w:t>
            </w:r>
            <w:proofErr w:type="spellEnd"/>
            <w:r w:rsidRPr="00A0046F">
              <w:rPr>
                <w:rFonts w:ascii="Candara" w:hAnsi="Candara"/>
                <w:sz w:val="20"/>
                <w:szCs w:val="20"/>
              </w:rPr>
              <w:t>, 2018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Self-controlled case-series design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Canada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Serology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AMI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332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332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Risk Interval for AMI after influenza infection: 1-7 days IR 6.05 (3.86–9.50); 1-3 days IR 6.30 (3.25–12.22); 4-7 days IR 5.78 (3.17–10.53); 8-14 days IR 0.60 (0.15–2.41); 15-28 days IR 0.75 (0.31–1.81)</w:t>
            </w: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Alvord, 2019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Abstract: case-crossover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US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ILI</w:t>
            </w: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Preceding ILI in stroke patients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  <w:shd w:val="clear" w:color="auto" w:fill="FFFFFF"/>
              </w:rPr>
              <w:t>30912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30912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None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ILI within 15 days before stroke OR 1.39 (1.09–1.77); 30 days before stroke OR  1.48 (1.25–1.76); 60 days before stroke OR 1.48 (1.30–1.69); 90 days before stroke 1.59 (1.42–1.78); 180 days before stroke 1.68(1.53–1.85); 365 days before stroke 1.69(1.56–1.83)</w:t>
            </w:r>
          </w:p>
        </w:tc>
      </w:tr>
      <w:tr w:rsidR="00D80415" w:rsidRPr="00A0046F" w:rsidTr="00AF0EAD">
        <w:tc>
          <w:tcPr>
            <w:tcW w:w="1356" w:type="dxa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Ohland</w:t>
            </w:r>
            <w:proofErr w:type="spellEnd"/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Self-controlled case series 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Denmark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Serology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063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MI, stroke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/>
                <w:sz w:val="20"/>
                <w:szCs w:val="20"/>
              </w:rPr>
              <w:t>1350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1350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None</w:t>
            </w:r>
          </w:p>
        </w:tc>
        <w:tc>
          <w:tcPr>
            <w:tcW w:w="6192" w:type="dxa"/>
          </w:tcPr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MI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  <w:t xml:space="preserve">Season adjusted IR: Day 1-3, 17.5 (8.5–36.2); Day 4-7, 5.1 (1.6–16.3);  Day 8-14, 3.1 (1.0–9.7);  Day 15-28, 1.7 (0.5–5.3) </w:t>
            </w: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sz w:val="20"/>
                <w:szCs w:val="20"/>
              </w:rPr>
            </w:pPr>
            <w:r w:rsidRPr="00A0046F">
              <w:rPr>
                <w:rFonts w:ascii="Candara" w:hAnsi="Candara"/>
                <w:sz w:val="20"/>
                <w:szCs w:val="20"/>
              </w:rPr>
              <w:t>Stroke</w:t>
            </w:r>
            <w:r w:rsidRPr="00A0046F">
              <w:rPr>
                <w:rFonts w:ascii="Candara" w:hAnsi="Candara"/>
                <w:sz w:val="20"/>
                <w:szCs w:val="20"/>
              </w:rPr>
              <w:br/>
              <w:t xml:space="preserve">Season adjusted IR: Day 1-3, 10.3 (4.2–25.4); Day 4-7, 6.5 (2.4–17.7);  Day 8-1, 5.9 (2.6–13.4); Day 15-28, 1.0 (0.3–4.2) </w:t>
            </w:r>
          </w:p>
        </w:tc>
      </w:tr>
    </w:tbl>
    <w:p w:rsidR="00D80415" w:rsidRPr="00846760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 w:cstheme="majorBidi"/>
          <w:sz w:val="20"/>
          <w:szCs w:val="20"/>
        </w:rPr>
      </w:pPr>
      <w:r w:rsidRPr="00846760">
        <w:rPr>
          <w:rFonts w:ascii="Candara" w:hAnsi="Candara" w:cstheme="majorBidi"/>
          <w:sz w:val="20"/>
          <w:szCs w:val="20"/>
        </w:rPr>
        <w:t xml:space="preserve">ILI = Influenza-like illness; HF = Heart Failure; MI = Myocardial Infarction; AMI = acute myocardial infarction; IV = Influenza Virus OR = Odds ratio; RR = Risk Ratio; IR = Incident Ratio  </w:t>
      </w: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sz w:val="28"/>
          <w:szCs w:val="28"/>
        </w:rPr>
      </w:pPr>
    </w:p>
    <w:p w:rsidR="00D80415" w:rsidRDefault="00D80415" w:rsidP="00D80415">
      <w:pPr>
        <w:rPr>
          <w:rFonts w:ascii="Candara" w:hAnsi="Candara"/>
          <w:b/>
          <w:bCs/>
          <w:color w:val="000000" w:themeColor="text1"/>
          <w:sz w:val="22"/>
          <w:szCs w:val="22"/>
        </w:rPr>
      </w:pPr>
      <w:r w:rsidRPr="006C0BDB">
        <w:rPr>
          <w:rFonts w:ascii="Candara" w:hAnsi="Candara"/>
          <w:b/>
          <w:bCs/>
          <w:sz w:val="22"/>
          <w:szCs w:val="22"/>
        </w:rPr>
        <w:lastRenderedPageBreak/>
        <w:t xml:space="preserve">Table </w:t>
      </w:r>
      <w:r>
        <w:rPr>
          <w:rFonts w:ascii="Candara" w:hAnsi="Candara"/>
          <w:b/>
          <w:bCs/>
          <w:sz w:val="22"/>
          <w:szCs w:val="22"/>
          <w:lang w:val="en-US"/>
        </w:rPr>
        <w:t>S3</w:t>
      </w:r>
      <w:r w:rsidRPr="006C0BDB">
        <w:rPr>
          <w:rFonts w:ascii="Candara" w:hAnsi="Candara"/>
          <w:b/>
          <w:bCs/>
          <w:sz w:val="22"/>
          <w:szCs w:val="22"/>
        </w:rPr>
        <w:t xml:space="preserve">: </w:t>
      </w:r>
      <w:r w:rsidRPr="006C0BDB">
        <w:rPr>
          <w:rFonts w:ascii="Candara" w:hAnsi="Candara"/>
          <w:b/>
          <w:bCs/>
          <w:color w:val="000000" w:themeColor="text1"/>
          <w:sz w:val="22"/>
          <w:szCs w:val="22"/>
        </w:rPr>
        <w:t xml:space="preserve">Studies evaluating association between Influenza season and hospitalization for cardiovascular conditions </w:t>
      </w:r>
    </w:p>
    <w:p w:rsidR="00D80415" w:rsidRPr="006C0BDB" w:rsidRDefault="00D80415" w:rsidP="00D80415">
      <w:pPr>
        <w:rPr>
          <w:rFonts w:ascii="Candara" w:hAnsi="Candar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940"/>
        <w:gridCol w:w="5856"/>
        <w:gridCol w:w="5821"/>
      </w:tblGrid>
      <w:tr w:rsidR="00D80415" w:rsidRPr="00A0046F" w:rsidTr="00AF0EAD"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b/>
                <w:bCs/>
                <w:sz w:val="20"/>
                <w:szCs w:val="20"/>
              </w:rPr>
              <w:t>Study Author, Year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b/>
                <w:bCs/>
                <w:sz w:val="20"/>
                <w:szCs w:val="20"/>
              </w:rPr>
              <w:t>CV Area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b/>
                <w:bCs/>
                <w:sz w:val="20"/>
                <w:szCs w:val="20"/>
              </w:rPr>
              <w:t>Objective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b/>
                <w:bCs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b/>
                <w:bCs/>
                <w:sz w:val="20"/>
                <w:szCs w:val="20"/>
              </w:rPr>
              <w:t>Outcome</w:t>
            </w:r>
          </w:p>
        </w:tc>
      </w:tr>
      <w:tr w:rsidR="00D80415" w:rsidRPr="00A0046F" w:rsidTr="00AF0EAD">
        <w:trPr>
          <w:trHeight w:val="986"/>
        </w:trPr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Upshur</w:t>
            </w:r>
            <w:proofErr w:type="spellEnd"/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, 1999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Relation between circulating influenza virus and all hospital admissions of people &gt;65 years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>The relation between circulation of influenza virus and admissions for congestive heart failure was inconsistent. </w:t>
            </w:r>
          </w:p>
        </w:tc>
      </w:tr>
      <w:tr w:rsidR="00D80415" w:rsidRPr="00A0046F" w:rsidTr="00AF0EAD">
        <w:trPr>
          <w:trHeight w:val="986"/>
        </w:trPr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Warren-Gash, 2011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>Relationship between population levels of influenza circulation and acute MI–associated admissions and deaths in England and Wales and in Hong Kong</w:t>
            </w:r>
          </w:p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 xml:space="preserve"> (IRR, 1.05  [1.043–1.058]; </w:t>
            </w:r>
            <w:r w:rsidRPr="00A0046F">
              <w:rPr>
                <w:rStyle w:val="Emphasis"/>
                <w:rFonts w:ascii="Candara" w:hAnsi="Candara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> &lt; .001)*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 xml:space="preserve"> (IRR, 1.08 [1.013–1.145]; </w:t>
            </w:r>
            <w:r w:rsidRPr="00A0046F">
              <w:rPr>
                <w:rStyle w:val="Emphasis"/>
                <w:rFonts w:ascii="Candara" w:hAnsi="Candara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P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> = .018)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‡</w:t>
            </w:r>
          </w:p>
        </w:tc>
      </w:tr>
      <w:tr w:rsidR="00D80415" w:rsidRPr="00A0046F" w:rsidTr="00AF0EAD"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Foster, 2013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AMI, Stroke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To determine if AMIs and ischemic strokes are associated with influenza activity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  <w:t>Across all models, we found consistent significant associations between AMIs and influenza activity, but not between ischemic strokes and influenza.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D80415" w:rsidRPr="00A0046F" w:rsidTr="00AF0EAD"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proofErr w:type="spellStart"/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Kytomaa</w:t>
            </w:r>
            <w:proofErr w:type="spellEnd"/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, 2019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jc w:val="center"/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HF, MI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 w:cstheme="majorBidi"/>
                <w:color w:val="000000" w:themeColor="text1"/>
                <w:sz w:val="20"/>
                <w:szCs w:val="20"/>
              </w:rPr>
              <w:t>To estimate annual influenza-associated hospitalizations in the USA by hospital discharge category, discharge type, and age group.</w:t>
            </w:r>
          </w:p>
        </w:tc>
        <w:tc>
          <w:tcPr>
            <w:tcW w:w="0" w:type="auto"/>
          </w:tcPr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(IRR, 1.24  [1.11-1.38]; </w:t>
            </w:r>
            <w:r w:rsidRPr="00A0046F">
              <w:rPr>
                <w:rFonts w:ascii="Candara" w:hAnsi="Candar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0046F">
              <w:rPr>
                <w:rFonts w:ascii="Arial" w:hAnsi="Arial" w:cs="Arial"/>
                <w:color w:val="000000" w:themeColor="text1"/>
                <w:sz w:val="20"/>
                <w:szCs w:val="20"/>
              </w:rPr>
              <w:t> 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&lt;</w:t>
            </w:r>
            <w:r w:rsidRPr="00A0046F">
              <w:rPr>
                <w:rFonts w:ascii="Arial" w:hAnsi="Arial" w:cs="Arial"/>
                <w:color w:val="000000" w:themeColor="text1"/>
                <w:sz w:val="20"/>
                <w:szCs w:val="20"/>
              </w:rPr>
              <w:t> 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.001)</w:t>
            </w:r>
            <w:r w:rsidRPr="00A0046F">
              <w:rPr>
                <w:rFonts w:ascii="Candara" w:hAnsi="Candara" w:cstheme="majorBidi"/>
                <w:color w:val="000000"/>
                <w:sz w:val="20"/>
                <w:szCs w:val="20"/>
                <w:shd w:val="clear" w:color="auto" w:fill="FFFFFF"/>
              </w:rPr>
              <w:t xml:space="preserve"> ~</w:t>
            </w: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</w:rPr>
            </w:pPr>
          </w:p>
          <w:p w:rsidR="00D80415" w:rsidRPr="00A0046F" w:rsidRDefault="00D80415" w:rsidP="00AF0EAD">
            <w:pPr>
              <w:rPr>
                <w:rFonts w:ascii="Candara" w:hAnsi="Candar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 (IRR, 1.02 [0.90-1.17]; p=</w:t>
            </w:r>
            <w:r w:rsidRPr="00A0046F">
              <w:rPr>
                <w:rFonts w:ascii="Arial" w:hAnsi="Arial" w:cs="Arial"/>
                <w:color w:val="000000" w:themeColor="text1"/>
                <w:sz w:val="20"/>
                <w:szCs w:val="20"/>
              </w:rPr>
              <w:t> </w:t>
            </w:r>
            <w:r w:rsidRPr="006C0BDB">
              <w:rPr>
                <w:rFonts w:ascii="Candara" w:hAnsi="Candara" w:cs="Arial"/>
                <w:color w:val="000000" w:themeColor="text1"/>
                <w:sz w:val="20"/>
                <w:szCs w:val="20"/>
              </w:rPr>
              <w:t>0</w:t>
            </w:r>
            <w:r w:rsidRPr="00A0046F">
              <w:rPr>
                <w:rFonts w:ascii="Candara" w:hAnsi="Candara"/>
                <w:color w:val="000000" w:themeColor="text1"/>
                <w:sz w:val="20"/>
                <w:szCs w:val="20"/>
              </w:rPr>
              <w:t>.72)</w:t>
            </w:r>
            <w:r w:rsidRPr="00A0046F">
              <w:rPr>
                <w:rFonts w:ascii="Candara" w:hAnsi="Candara" w:cstheme="majorBidi"/>
                <w:sz w:val="20"/>
                <w:szCs w:val="20"/>
              </w:rPr>
              <w:t xml:space="preserve"> #</w:t>
            </w:r>
          </w:p>
        </w:tc>
      </w:tr>
    </w:tbl>
    <w:p w:rsidR="00D80415" w:rsidRPr="006C0BDB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 w:cstheme="majorBidi"/>
          <w:sz w:val="22"/>
          <w:szCs w:val="22"/>
        </w:rPr>
      </w:pPr>
      <w:r w:rsidRPr="006C0BDB">
        <w:rPr>
          <w:rFonts w:ascii="Candara" w:hAnsi="Candara" w:cstheme="majorBidi"/>
          <w:sz w:val="22"/>
          <w:szCs w:val="22"/>
        </w:rPr>
        <w:t>HF = Heart Failure; MI = Myocardial Infarction; AMI = acute myocardial infarction; CHF = Congestive Heart Failure; IRR = Incident rate ratio</w:t>
      </w:r>
      <w:r w:rsidRPr="006C0BDB">
        <w:rPr>
          <w:rFonts w:ascii="Candara" w:hAnsi="Candara" w:cstheme="majorBidi"/>
          <w:sz w:val="22"/>
          <w:szCs w:val="22"/>
        </w:rPr>
        <w:br/>
      </w:r>
      <w:r w:rsidRPr="006C0BDB">
        <w:rPr>
          <w:rFonts w:ascii="Candara" w:hAnsi="Candara" w:cstheme="majorBidi"/>
          <w:color w:val="000000"/>
          <w:sz w:val="22"/>
          <w:szCs w:val="22"/>
          <w:shd w:val="clear" w:color="auto" w:fill="FFFFFF"/>
        </w:rPr>
        <w:t>~</w:t>
      </w:r>
      <w:r w:rsidRPr="006C0BDB">
        <w:rPr>
          <w:rFonts w:ascii="Candara" w:hAnsi="Candara"/>
          <w:color w:val="000000" w:themeColor="text1"/>
          <w:sz w:val="22"/>
          <w:szCs w:val="22"/>
        </w:rPr>
        <w:t xml:space="preserve"> A 5% monthly absolute increase in influenza activity was associated with a 24% increase in HF hospitalization rates</w:t>
      </w:r>
      <w:r w:rsidRPr="006C0BDB">
        <w:rPr>
          <w:rFonts w:ascii="Candara" w:hAnsi="Candara"/>
          <w:color w:val="000000" w:themeColor="text1"/>
          <w:sz w:val="22"/>
          <w:szCs w:val="22"/>
        </w:rPr>
        <w:br/>
      </w:r>
      <w:r w:rsidRPr="006C0BDB">
        <w:rPr>
          <w:rFonts w:ascii="Candara" w:hAnsi="Candara" w:cstheme="majorBidi"/>
          <w:sz w:val="22"/>
          <w:szCs w:val="22"/>
        </w:rPr>
        <w:t>#</w:t>
      </w:r>
      <w:r w:rsidRPr="006C0BDB">
        <w:rPr>
          <w:rFonts w:ascii="Candara" w:hAnsi="Candara"/>
          <w:color w:val="000000" w:themeColor="text1"/>
          <w:sz w:val="22"/>
          <w:szCs w:val="22"/>
        </w:rPr>
        <w:t xml:space="preserve"> Influenza-like illness activity was not significantly associated with MI hospitalizations</w:t>
      </w:r>
    </w:p>
    <w:p w:rsidR="00D80415" w:rsidRPr="006C0BDB" w:rsidRDefault="00D80415" w:rsidP="00D80415">
      <w:pPr>
        <w:pBdr>
          <w:bottom w:val="single" w:sz="4" w:space="1" w:color="auto"/>
        </w:pBdr>
        <w:spacing w:line="360" w:lineRule="auto"/>
        <w:rPr>
          <w:rFonts w:ascii="Candara" w:hAnsi="Candara"/>
          <w:color w:val="000000" w:themeColor="text1"/>
          <w:sz w:val="22"/>
          <w:szCs w:val="22"/>
          <w:shd w:val="clear" w:color="auto" w:fill="FFFFFF"/>
        </w:rPr>
      </w:pPr>
      <w:r w:rsidRPr="006C0BDB">
        <w:rPr>
          <w:rFonts w:ascii="Candara" w:hAnsi="Candara" w:cstheme="majorBidi"/>
          <w:sz w:val="22"/>
          <w:szCs w:val="22"/>
        </w:rPr>
        <w:t xml:space="preserve">*Association in England and Wales between General practitioner consultations for Influenza like illness </w:t>
      </w:r>
      <w:r w:rsidRPr="006C0BDB">
        <w:rPr>
          <w:rFonts w:ascii="Candara" w:hAnsi="Candara"/>
          <w:color w:val="000000" w:themeColor="text1"/>
          <w:sz w:val="22"/>
          <w:szCs w:val="22"/>
          <w:shd w:val="clear" w:color="auto" w:fill="FFFFFF"/>
        </w:rPr>
        <w:t xml:space="preserve">and MI-associated deaths after adjusting for environmental temperature and humidity </w:t>
      </w:r>
      <w:r w:rsidRPr="006C0BDB">
        <w:rPr>
          <w:rFonts w:ascii="Candara" w:hAnsi="Candara"/>
          <w:color w:val="000000" w:themeColor="text1"/>
          <w:sz w:val="22"/>
          <w:szCs w:val="22"/>
          <w:shd w:val="clear" w:color="auto" w:fill="FFFFFF"/>
        </w:rPr>
        <w:br/>
      </w:r>
      <w:r w:rsidRPr="006C0BDB">
        <w:rPr>
          <w:rFonts w:ascii="Candara" w:hAnsi="Candara" w:cstheme="majorBidi"/>
          <w:color w:val="000000"/>
          <w:sz w:val="22"/>
          <w:szCs w:val="22"/>
          <w:shd w:val="clear" w:color="auto" w:fill="FFFFFF"/>
        </w:rPr>
        <w:t>‡</w:t>
      </w:r>
      <w:r w:rsidRPr="006C0BDB">
        <w:rPr>
          <w:rFonts w:ascii="Candara" w:hAnsi="Candara"/>
          <w:color w:val="000000" w:themeColor="text1"/>
          <w:sz w:val="22"/>
          <w:szCs w:val="22"/>
          <w:shd w:val="clear" w:color="auto" w:fill="FFFFFF"/>
        </w:rPr>
        <w:t xml:space="preserve"> Significant association between the proportion of specimens testing positive for influenza virus and MI-associated deaths occurring in the same week in Hongkong </w:t>
      </w:r>
    </w:p>
    <w:p w:rsidR="00D80415" w:rsidRPr="00D80415" w:rsidRDefault="00D80415" w:rsidP="00D80415">
      <w:pPr>
        <w:rPr>
          <w:rFonts w:ascii="Candara" w:hAnsi="Candara"/>
          <w:sz w:val="28"/>
          <w:szCs w:val="28"/>
        </w:rPr>
      </w:pPr>
    </w:p>
    <w:sectPr w:rsidR="00D80415" w:rsidRPr="00D80415" w:rsidSect="00D804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15"/>
    <w:rsid w:val="000D619A"/>
    <w:rsid w:val="004B6175"/>
    <w:rsid w:val="005F002D"/>
    <w:rsid w:val="00674817"/>
    <w:rsid w:val="0068252F"/>
    <w:rsid w:val="00952B15"/>
    <w:rsid w:val="00D70346"/>
    <w:rsid w:val="00D80415"/>
    <w:rsid w:val="00EC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1A02F"/>
  <w15:chartTrackingRefBased/>
  <w15:docId w15:val="{B8405C48-A7FE-9242-95D7-E05C107B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P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41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804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1666</Words>
  <Characters>9499</Characters>
  <Application>Microsoft Office Word</Application>
  <DocSecurity>0</DocSecurity>
  <Lines>79</Lines>
  <Paragraphs>22</Paragraphs>
  <ScaleCrop>false</ScaleCrop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Izza Shahid</dc:creator>
  <cp:keywords/>
  <dc:description/>
  <cp:lastModifiedBy>Izza Shahid</cp:lastModifiedBy>
  <cp:revision>2</cp:revision>
  <dcterms:created xsi:type="dcterms:W3CDTF">2020-10-13T19:47:00Z</dcterms:created>
  <dcterms:modified xsi:type="dcterms:W3CDTF">2020-10-13T19:47:00Z</dcterms:modified>
</cp:coreProperties>
</file>