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0FF224" w14:textId="77777777" w:rsidR="00372E00" w:rsidRPr="00ED0B9C" w:rsidRDefault="00A77E06">
      <w:pPr>
        <w:spacing w:line="360" w:lineRule="auto"/>
        <w:jc w:val="center"/>
        <w:rPr>
          <w:rFonts w:ascii="Times New Roman" w:hAnsi="Times New Roman" w:cs="Times New Roman"/>
          <w:b/>
          <w:bCs/>
          <w:color w:val="000000" w:themeColor="text1"/>
          <w:sz w:val="24"/>
          <w:szCs w:val="24"/>
        </w:rPr>
      </w:pPr>
      <w:r w:rsidRPr="00ED0B9C">
        <w:rPr>
          <w:rFonts w:ascii="Times New Roman" w:hAnsi="Times New Roman" w:cs="Times New Roman" w:hint="eastAsia"/>
          <w:b/>
          <w:color w:val="000000" w:themeColor="text1"/>
          <w:sz w:val="24"/>
          <w:szCs w:val="24"/>
        </w:rPr>
        <w:t>S</w:t>
      </w:r>
      <w:r w:rsidRPr="00ED0B9C">
        <w:rPr>
          <w:rFonts w:ascii="Times New Roman" w:hAnsi="Times New Roman" w:cs="Times New Roman"/>
          <w:b/>
          <w:color w:val="000000" w:themeColor="text1"/>
          <w:sz w:val="24"/>
          <w:szCs w:val="24"/>
        </w:rPr>
        <w:t>upplementary</w:t>
      </w:r>
      <w:r w:rsidRPr="00ED0B9C">
        <w:rPr>
          <w:rFonts w:ascii="Times New Roman" w:hAnsi="Times New Roman" w:cs="Times New Roman" w:hint="eastAsia"/>
          <w:b/>
          <w:color w:val="000000" w:themeColor="text1"/>
          <w:sz w:val="24"/>
          <w:szCs w:val="24"/>
        </w:rPr>
        <w:t xml:space="preserve"> </w:t>
      </w:r>
      <w:bookmarkStart w:id="0" w:name="_Hlk29885292"/>
      <w:r w:rsidRPr="00ED0B9C">
        <w:rPr>
          <w:rFonts w:ascii="Times New Roman" w:hAnsi="Times New Roman" w:cs="Times New Roman"/>
          <w:b/>
          <w:bCs/>
          <w:color w:val="000000" w:themeColor="text1"/>
          <w:sz w:val="24"/>
          <w:szCs w:val="24"/>
        </w:rPr>
        <w:t>materials</w:t>
      </w:r>
      <w:bookmarkEnd w:id="0"/>
    </w:p>
    <w:p w14:paraId="4FC8FEA8" w14:textId="77777777" w:rsidR="00372E00" w:rsidRPr="00ED0B9C" w:rsidRDefault="00372E00">
      <w:pPr>
        <w:spacing w:line="360" w:lineRule="auto"/>
        <w:rPr>
          <w:rFonts w:ascii="Times New Roman" w:hAnsi="Times New Roman" w:cs="Times New Roman"/>
          <w:b/>
          <w:bCs/>
          <w:color w:val="000000" w:themeColor="text1"/>
          <w:sz w:val="24"/>
          <w:szCs w:val="24"/>
        </w:rPr>
      </w:pPr>
    </w:p>
    <w:p w14:paraId="6CDE59FB" w14:textId="77777777" w:rsidR="00372E00" w:rsidRPr="00ED0B9C" w:rsidRDefault="00A77E06">
      <w:pPr>
        <w:spacing w:line="360" w:lineRule="auto"/>
        <w:jc w:val="left"/>
        <w:rPr>
          <w:rFonts w:ascii="Times New Roman" w:eastAsia="宋体" w:hAnsi="Times New Roman" w:cs="Times New Roman"/>
          <w:b/>
          <w:color w:val="000000" w:themeColor="text1"/>
          <w:sz w:val="24"/>
          <w:szCs w:val="24"/>
        </w:rPr>
      </w:pPr>
      <w:r w:rsidRPr="00ED0B9C">
        <w:rPr>
          <w:rFonts w:ascii="Times New Roman" w:eastAsia="宋体" w:hAnsi="Times New Roman" w:cs="Times New Roman"/>
          <w:b/>
          <w:color w:val="000000" w:themeColor="text1"/>
          <w:sz w:val="24"/>
          <w:szCs w:val="24"/>
        </w:rPr>
        <w:t>“Dietary fruit and vegetable intake, gut microbiota and type 2 diabetes: results from two large human cohort studies”</w:t>
      </w:r>
    </w:p>
    <w:p w14:paraId="292EE20E" w14:textId="77777777" w:rsidR="00372E00" w:rsidRPr="00ED0B9C" w:rsidRDefault="00372E00">
      <w:pPr>
        <w:spacing w:line="360" w:lineRule="auto"/>
        <w:rPr>
          <w:rFonts w:ascii="Times New Roman" w:hAnsi="Times New Roman" w:cs="Times New Roman"/>
          <w:b/>
          <w:bCs/>
          <w:color w:val="000000" w:themeColor="text1"/>
          <w:sz w:val="24"/>
          <w:szCs w:val="24"/>
        </w:rPr>
      </w:pPr>
    </w:p>
    <w:p w14:paraId="06A2EDE9" w14:textId="77777777" w:rsidR="00372E00" w:rsidRPr="00ED0B9C" w:rsidRDefault="00A77E06">
      <w:pPr>
        <w:spacing w:line="360" w:lineRule="auto"/>
        <w:jc w:val="left"/>
        <w:rPr>
          <w:rFonts w:ascii="Times New Roman" w:eastAsia="等线" w:hAnsi="Times New Roman" w:cs="Times New Roman"/>
          <w:b/>
          <w:color w:val="000000" w:themeColor="text1"/>
          <w:sz w:val="24"/>
          <w:szCs w:val="24"/>
          <w:lang w:val="en-GB"/>
        </w:rPr>
      </w:pPr>
      <w:r w:rsidRPr="00ED0B9C">
        <w:rPr>
          <w:rFonts w:ascii="Times New Roman" w:eastAsia="等线" w:hAnsi="Times New Roman" w:cs="Times New Roman"/>
          <w:b/>
          <w:color w:val="000000" w:themeColor="text1"/>
          <w:sz w:val="24"/>
          <w:szCs w:val="24"/>
          <w:lang w:val="en-GB"/>
        </w:rPr>
        <w:t>This supplementary file contains the following:</w:t>
      </w:r>
    </w:p>
    <w:p w14:paraId="338DA750" w14:textId="77777777" w:rsidR="00372E00" w:rsidRPr="00ED0B9C" w:rsidRDefault="00A77E06">
      <w:pPr>
        <w:spacing w:line="360" w:lineRule="auto"/>
        <w:jc w:val="left"/>
        <w:rPr>
          <w:rFonts w:ascii="Times New Roman" w:eastAsia="等线" w:hAnsi="Times New Roman" w:cs="Times New Roman"/>
          <w:b/>
          <w:bCs/>
          <w:color w:val="000000" w:themeColor="text1"/>
          <w:sz w:val="24"/>
          <w:szCs w:val="24"/>
          <w:lang w:val="en-GB"/>
        </w:rPr>
      </w:pPr>
      <w:bookmarkStart w:id="1" w:name="_Hlk54948416"/>
      <w:r w:rsidRPr="00ED0B9C">
        <w:rPr>
          <w:rFonts w:ascii="Times New Roman" w:eastAsia="等线" w:hAnsi="Times New Roman" w:cs="Times New Roman"/>
          <w:b/>
          <w:bCs/>
          <w:color w:val="000000" w:themeColor="text1"/>
          <w:sz w:val="24"/>
          <w:szCs w:val="24"/>
          <w:lang w:val="en-GB"/>
        </w:rPr>
        <w:t>Supplementary Methods</w:t>
      </w:r>
      <w:r w:rsidR="00B160AE" w:rsidRPr="00ED0B9C">
        <w:rPr>
          <w:rFonts w:ascii="Times New Roman" w:eastAsia="等线" w:hAnsi="Times New Roman" w:cs="Times New Roman" w:hint="eastAsia"/>
          <w:b/>
          <w:bCs/>
          <w:color w:val="000000" w:themeColor="text1"/>
          <w:sz w:val="24"/>
          <w:szCs w:val="24"/>
          <w:lang w:val="en-GB"/>
        </w:rPr>
        <w:t>：</w:t>
      </w:r>
    </w:p>
    <w:p w14:paraId="5C586D38" w14:textId="77777777" w:rsidR="00B160AE" w:rsidRPr="00ED0B9C" w:rsidRDefault="00B160AE">
      <w:pPr>
        <w:spacing w:line="360" w:lineRule="auto"/>
        <w:jc w:val="left"/>
        <w:rPr>
          <w:rFonts w:ascii="Times New Roman" w:eastAsia="等线" w:hAnsi="Times New Roman" w:cs="Times New Roman"/>
          <w:color w:val="000000" w:themeColor="text1"/>
          <w:sz w:val="24"/>
          <w:szCs w:val="24"/>
          <w:lang w:val="en-GB"/>
        </w:rPr>
      </w:pPr>
      <w:bookmarkStart w:id="2" w:name="_Hlk54947293"/>
      <w:r w:rsidRPr="00ED0B9C">
        <w:rPr>
          <w:rFonts w:ascii="Times New Roman" w:eastAsia="等线" w:hAnsi="Times New Roman" w:cs="Times New Roman"/>
          <w:b/>
          <w:bCs/>
          <w:color w:val="000000" w:themeColor="text1"/>
          <w:sz w:val="24"/>
          <w:szCs w:val="24"/>
          <w:lang w:val="en-GB"/>
        </w:rPr>
        <w:t>Method S1</w:t>
      </w:r>
      <w:bookmarkEnd w:id="2"/>
      <w:r w:rsidRPr="00ED0B9C">
        <w:rPr>
          <w:rFonts w:ascii="Times New Roman" w:eastAsia="等线" w:hAnsi="Times New Roman" w:cs="Times New Roman"/>
          <w:b/>
          <w:bCs/>
          <w:color w:val="000000" w:themeColor="text1"/>
          <w:sz w:val="24"/>
          <w:szCs w:val="24"/>
          <w:lang w:val="en-GB"/>
        </w:rPr>
        <w:t xml:space="preserve"> </w:t>
      </w:r>
      <w:r w:rsidRPr="00ED0B9C">
        <w:rPr>
          <w:rFonts w:ascii="Times New Roman" w:eastAsia="等线" w:hAnsi="Times New Roman" w:cs="Times New Roman"/>
          <w:color w:val="000000" w:themeColor="text1"/>
          <w:sz w:val="24"/>
          <w:szCs w:val="24"/>
          <w:lang w:val="en-GB"/>
        </w:rPr>
        <w:t>Fecal microbial DNA extraction and 16S rRNA gene sequencing in GNHS</w:t>
      </w:r>
    </w:p>
    <w:p w14:paraId="4762F049" w14:textId="77777777" w:rsidR="00B160AE" w:rsidRPr="00ED0B9C" w:rsidRDefault="00B160AE">
      <w:pPr>
        <w:spacing w:line="360" w:lineRule="auto"/>
        <w:jc w:val="left"/>
        <w:rPr>
          <w:rFonts w:ascii="Times New Roman" w:eastAsia="等线" w:hAnsi="Times New Roman" w:cs="Times New Roman"/>
          <w:color w:val="000000" w:themeColor="text1"/>
          <w:sz w:val="24"/>
          <w:szCs w:val="24"/>
          <w:lang w:val="en-GB"/>
        </w:rPr>
      </w:pPr>
      <w:r w:rsidRPr="00ED0B9C">
        <w:rPr>
          <w:rFonts w:ascii="Times New Roman" w:eastAsia="等线" w:hAnsi="Times New Roman" w:cs="Times New Roman"/>
          <w:b/>
          <w:bCs/>
          <w:color w:val="000000" w:themeColor="text1"/>
          <w:sz w:val="24"/>
          <w:szCs w:val="24"/>
          <w:lang w:val="en-GB"/>
        </w:rPr>
        <w:t xml:space="preserve">Method S2 </w:t>
      </w:r>
      <w:r w:rsidRPr="00ED0B9C">
        <w:rPr>
          <w:rFonts w:ascii="Times New Roman" w:eastAsia="等线" w:hAnsi="Times New Roman" w:cs="Times New Roman"/>
          <w:color w:val="000000" w:themeColor="text1"/>
          <w:sz w:val="24"/>
          <w:szCs w:val="24"/>
          <w:lang w:val="en-GB"/>
        </w:rPr>
        <w:t>16S rRNA gene sequencing bioinformatics in GNHS</w:t>
      </w:r>
    </w:p>
    <w:p w14:paraId="39A8EC6C" w14:textId="77777777" w:rsidR="00B160AE" w:rsidRPr="00ED0B9C" w:rsidRDefault="00B160AE">
      <w:pPr>
        <w:spacing w:line="360" w:lineRule="auto"/>
        <w:jc w:val="left"/>
        <w:rPr>
          <w:rFonts w:ascii="Times New Roman" w:eastAsia="等线" w:hAnsi="Times New Roman" w:cs="Times New Roman"/>
          <w:color w:val="000000" w:themeColor="text1"/>
          <w:sz w:val="24"/>
          <w:szCs w:val="24"/>
          <w:lang w:val="en-GB"/>
        </w:rPr>
      </w:pPr>
      <w:r w:rsidRPr="00ED0B9C">
        <w:rPr>
          <w:rFonts w:ascii="Times New Roman" w:eastAsia="等线" w:hAnsi="Times New Roman" w:cs="Times New Roman"/>
          <w:b/>
          <w:bCs/>
          <w:color w:val="000000" w:themeColor="text1"/>
          <w:sz w:val="24"/>
          <w:szCs w:val="24"/>
          <w:lang w:val="en-GB"/>
        </w:rPr>
        <w:t xml:space="preserve">Method S3 </w:t>
      </w:r>
      <w:r w:rsidRPr="00ED0B9C">
        <w:rPr>
          <w:rFonts w:ascii="Times New Roman" w:eastAsia="等线" w:hAnsi="Times New Roman" w:cs="Times New Roman"/>
          <w:color w:val="000000" w:themeColor="text1"/>
          <w:sz w:val="24"/>
          <w:szCs w:val="24"/>
          <w:lang w:val="en-GB"/>
        </w:rPr>
        <w:t>Targeted fecal metabolomics profiling in GNHS</w:t>
      </w:r>
    </w:p>
    <w:p w14:paraId="2082C527" w14:textId="77777777" w:rsidR="00B160AE" w:rsidRPr="00ED0B9C" w:rsidRDefault="00B160AE">
      <w:pPr>
        <w:spacing w:line="360" w:lineRule="auto"/>
        <w:jc w:val="left"/>
        <w:rPr>
          <w:rFonts w:ascii="Times New Roman" w:eastAsia="等线" w:hAnsi="Times New Roman" w:cs="Times New Roman"/>
          <w:color w:val="000000" w:themeColor="text1"/>
          <w:sz w:val="24"/>
          <w:szCs w:val="24"/>
          <w:lang w:val="en-GB"/>
        </w:rPr>
      </w:pPr>
      <w:r w:rsidRPr="00ED0B9C">
        <w:rPr>
          <w:rFonts w:ascii="Times New Roman" w:eastAsia="等线" w:hAnsi="Times New Roman" w:cs="Times New Roman"/>
          <w:b/>
          <w:bCs/>
          <w:color w:val="000000" w:themeColor="text1"/>
          <w:sz w:val="24"/>
          <w:szCs w:val="24"/>
          <w:lang w:val="en-GB"/>
        </w:rPr>
        <w:t>Method S4</w:t>
      </w:r>
      <w:r w:rsidRPr="00ED0B9C">
        <w:rPr>
          <w:rFonts w:ascii="Times New Roman" w:eastAsia="等线" w:hAnsi="Times New Roman" w:cs="Times New Roman"/>
          <w:color w:val="000000" w:themeColor="text1"/>
          <w:sz w:val="24"/>
          <w:szCs w:val="24"/>
          <w:lang w:val="en-GB"/>
        </w:rPr>
        <w:t xml:space="preserve"> Fruit/vegetable-microbiota index calculation</w:t>
      </w:r>
    </w:p>
    <w:p w14:paraId="53D21B72" w14:textId="77777777" w:rsidR="00372E00" w:rsidRPr="00ED0B9C" w:rsidRDefault="00A77E06">
      <w:pPr>
        <w:spacing w:line="360" w:lineRule="auto"/>
        <w:jc w:val="left"/>
        <w:rPr>
          <w:rFonts w:ascii="Times New Roman" w:eastAsia="等线" w:hAnsi="Times New Roman" w:cs="Times New Roman"/>
          <w:b/>
          <w:bCs/>
          <w:color w:val="000000" w:themeColor="text1"/>
          <w:sz w:val="24"/>
          <w:szCs w:val="24"/>
          <w:lang w:val="en-GB"/>
        </w:rPr>
      </w:pPr>
      <w:r w:rsidRPr="00ED0B9C">
        <w:rPr>
          <w:rFonts w:ascii="Times New Roman" w:eastAsia="等线" w:hAnsi="Times New Roman" w:cs="Times New Roman"/>
          <w:b/>
          <w:bCs/>
          <w:color w:val="000000" w:themeColor="text1"/>
          <w:sz w:val="24"/>
          <w:szCs w:val="24"/>
          <w:lang w:val="en-GB"/>
        </w:rPr>
        <w:t>Supplementary Tables:</w:t>
      </w:r>
    </w:p>
    <w:p w14:paraId="3E73B9AF" w14:textId="77777777" w:rsidR="00372E00" w:rsidRPr="00ED0B9C" w:rsidRDefault="00A77E06">
      <w:pPr>
        <w:spacing w:line="360" w:lineRule="auto"/>
        <w:jc w:val="left"/>
        <w:rPr>
          <w:rFonts w:ascii="Times New Roman" w:hAnsi="Times New Roman" w:cs="Times New Roman"/>
          <w:bCs/>
          <w:color w:val="000000" w:themeColor="text1"/>
          <w:sz w:val="24"/>
          <w:szCs w:val="24"/>
        </w:rPr>
      </w:pPr>
      <w:r w:rsidRPr="00ED0B9C">
        <w:rPr>
          <w:rFonts w:ascii="Times New Roman" w:hAnsi="Times New Roman" w:cs="Times New Roman"/>
          <w:bCs/>
          <w:color w:val="000000" w:themeColor="text1"/>
          <w:kern w:val="24"/>
          <w:sz w:val="24"/>
          <w:szCs w:val="24"/>
        </w:rPr>
        <w:t xml:space="preserve">Table </w:t>
      </w:r>
      <w:r w:rsidR="00B160AE" w:rsidRPr="00ED0B9C">
        <w:rPr>
          <w:rFonts w:ascii="Times New Roman" w:hAnsi="Times New Roman" w:cs="Times New Roman"/>
          <w:bCs/>
          <w:color w:val="000000" w:themeColor="text1"/>
          <w:kern w:val="24"/>
          <w:sz w:val="24"/>
          <w:szCs w:val="24"/>
        </w:rPr>
        <w:t>S</w:t>
      </w:r>
      <w:r w:rsidRPr="00ED0B9C">
        <w:rPr>
          <w:rFonts w:ascii="Times New Roman" w:hAnsi="Times New Roman" w:cs="Times New Roman"/>
          <w:bCs/>
          <w:color w:val="000000" w:themeColor="text1"/>
          <w:kern w:val="24"/>
          <w:sz w:val="24"/>
          <w:szCs w:val="24"/>
        </w:rPr>
        <w:t xml:space="preserve">1 Characteristics of study participants </w:t>
      </w:r>
      <w:r w:rsidRPr="00ED0B9C">
        <w:rPr>
          <w:rFonts w:ascii="Times New Roman" w:hAnsi="Times New Roman" w:cs="Times New Roman"/>
          <w:bCs/>
          <w:color w:val="000000" w:themeColor="text1"/>
          <w:sz w:val="24"/>
          <w:szCs w:val="24"/>
        </w:rPr>
        <w:t>from the GGMP</w:t>
      </w:r>
    </w:p>
    <w:p w14:paraId="78A73D2C" w14:textId="77777777" w:rsidR="00372E00" w:rsidRPr="00ED0B9C" w:rsidRDefault="00A77E06">
      <w:pPr>
        <w:spacing w:line="360" w:lineRule="auto"/>
        <w:jc w:val="left"/>
        <w:rPr>
          <w:rFonts w:ascii="Times New Roman" w:hAnsi="Times New Roman" w:cs="Times New Roman"/>
          <w:color w:val="000000" w:themeColor="text1"/>
          <w:sz w:val="24"/>
          <w:szCs w:val="24"/>
        </w:rPr>
      </w:pPr>
      <w:r w:rsidRPr="00ED0B9C">
        <w:rPr>
          <w:rFonts w:ascii="Times New Roman" w:hAnsi="Times New Roman" w:cs="Times New Roman"/>
          <w:color w:val="000000" w:themeColor="text1"/>
          <w:sz w:val="24"/>
          <w:szCs w:val="24"/>
        </w:rPr>
        <w:t xml:space="preserve">Table </w:t>
      </w:r>
      <w:r w:rsidR="00B160AE" w:rsidRPr="00ED0B9C">
        <w:rPr>
          <w:rFonts w:ascii="Times New Roman" w:hAnsi="Times New Roman" w:cs="Times New Roman"/>
          <w:color w:val="000000" w:themeColor="text1"/>
          <w:sz w:val="24"/>
          <w:szCs w:val="24"/>
        </w:rPr>
        <w:t>S</w:t>
      </w:r>
      <w:r w:rsidRPr="00ED0B9C">
        <w:rPr>
          <w:rFonts w:ascii="Times New Roman" w:hAnsi="Times New Roman" w:cs="Times New Roman"/>
          <w:color w:val="000000" w:themeColor="text1"/>
          <w:sz w:val="24"/>
          <w:szCs w:val="24"/>
        </w:rPr>
        <w:t>2 The detailed items in the fruit and vegetable categories</w:t>
      </w:r>
    </w:p>
    <w:p w14:paraId="42E2AF94" w14:textId="77777777" w:rsidR="00372E00" w:rsidRPr="00ED0B9C" w:rsidRDefault="00A77E06">
      <w:pPr>
        <w:spacing w:line="360" w:lineRule="auto"/>
        <w:jc w:val="left"/>
        <w:rPr>
          <w:rFonts w:ascii="Times New Roman" w:hAnsi="Times New Roman" w:cs="Times New Roman"/>
          <w:bCs/>
          <w:color w:val="000000" w:themeColor="text1"/>
          <w:sz w:val="24"/>
          <w:szCs w:val="24"/>
        </w:rPr>
      </w:pPr>
      <w:r w:rsidRPr="00ED0B9C">
        <w:rPr>
          <w:rFonts w:ascii="Times New Roman" w:hAnsi="Times New Roman" w:cs="Times New Roman"/>
          <w:bCs/>
          <w:color w:val="000000" w:themeColor="text1"/>
          <w:kern w:val="24"/>
          <w:sz w:val="24"/>
          <w:szCs w:val="24"/>
        </w:rPr>
        <w:t xml:space="preserve">Table </w:t>
      </w:r>
      <w:r w:rsidR="00B160AE" w:rsidRPr="00ED0B9C">
        <w:rPr>
          <w:rFonts w:ascii="Times New Roman" w:hAnsi="Times New Roman" w:cs="Times New Roman"/>
          <w:bCs/>
          <w:color w:val="000000" w:themeColor="text1"/>
          <w:kern w:val="24"/>
          <w:sz w:val="24"/>
          <w:szCs w:val="24"/>
        </w:rPr>
        <w:t>S</w:t>
      </w:r>
      <w:r w:rsidRPr="00ED0B9C">
        <w:rPr>
          <w:rFonts w:ascii="Times New Roman" w:hAnsi="Times New Roman" w:cs="Times New Roman"/>
          <w:bCs/>
          <w:color w:val="000000" w:themeColor="text1"/>
          <w:kern w:val="24"/>
          <w:sz w:val="24"/>
          <w:szCs w:val="24"/>
        </w:rPr>
        <w:t>3 Characteristics of study participants by</w:t>
      </w:r>
      <w:r w:rsidRPr="00ED0B9C">
        <w:rPr>
          <w:rFonts w:ascii="Times New Roman" w:hAnsi="Times New Roman" w:cs="Times New Roman"/>
          <w:bCs/>
          <w:color w:val="000000" w:themeColor="text1"/>
          <w:sz w:val="16"/>
          <w:szCs w:val="16"/>
        </w:rPr>
        <w:t xml:space="preserve"> </w:t>
      </w:r>
      <w:r w:rsidRPr="00ED0B9C">
        <w:rPr>
          <w:rFonts w:ascii="Times New Roman" w:hAnsi="Times New Roman" w:cs="Times New Roman"/>
          <w:bCs/>
          <w:color w:val="000000" w:themeColor="text1"/>
          <w:sz w:val="24"/>
          <w:szCs w:val="24"/>
        </w:rPr>
        <w:t>total fruit and vegetable intake from the GNHS</w:t>
      </w:r>
    </w:p>
    <w:p w14:paraId="0D769E81" w14:textId="77777777" w:rsidR="00372E00" w:rsidRPr="00ED0B9C" w:rsidRDefault="00A77E06">
      <w:pPr>
        <w:spacing w:line="360" w:lineRule="auto"/>
        <w:jc w:val="left"/>
        <w:rPr>
          <w:rFonts w:ascii="Times New Roman" w:hAnsi="Times New Roman" w:cs="Times New Roman"/>
          <w:bCs/>
          <w:color w:val="000000" w:themeColor="text1"/>
          <w:sz w:val="24"/>
          <w:szCs w:val="24"/>
        </w:rPr>
      </w:pPr>
      <w:r w:rsidRPr="00ED0B9C">
        <w:rPr>
          <w:rFonts w:ascii="Times New Roman" w:hAnsi="Times New Roman" w:cs="Times New Roman"/>
          <w:bCs/>
          <w:color w:val="000000" w:themeColor="text1"/>
          <w:sz w:val="24"/>
          <w:szCs w:val="24"/>
        </w:rPr>
        <w:t xml:space="preserve">Table </w:t>
      </w:r>
      <w:r w:rsidR="00B160AE" w:rsidRPr="00ED0B9C">
        <w:rPr>
          <w:rFonts w:ascii="Times New Roman" w:hAnsi="Times New Roman" w:cs="Times New Roman"/>
          <w:bCs/>
          <w:color w:val="000000" w:themeColor="text1"/>
          <w:sz w:val="24"/>
          <w:szCs w:val="24"/>
        </w:rPr>
        <w:t>S</w:t>
      </w:r>
      <w:r w:rsidRPr="00ED0B9C">
        <w:rPr>
          <w:rFonts w:ascii="Times New Roman" w:hAnsi="Times New Roman" w:cs="Times New Roman"/>
          <w:bCs/>
          <w:color w:val="000000" w:themeColor="text1"/>
          <w:sz w:val="24"/>
          <w:szCs w:val="24"/>
        </w:rPr>
        <w:t>4 Characteristics of study participants by sex from the GNHS</w:t>
      </w:r>
    </w:p>
    <w:p w14:paraId="1AAB7742" w14:textId="77777777" w:rsidR="00372E00" w:rsidRPr="00ED0B9C" w:rsidRDefault="00A77E06">
      <w:pPr>
        <w:spacing w:line="360" w:lineRule="auto"/>
        <w:jc w:val="left"/>
        <w:rPr>
          <w:rFonts w:ascii="Times New Roman" w:hAnsi="Times New Roman" w:cs="Times New Roman"/>
          <w:bCs/>
          <w:color w:val="000000" w:themeColor="text1"/>
          <w:sz w:val="24"/>
          <w:szCs w:val="24"/>
        </w:rPr>
      </w:pPr>
      <w:r w:rsidRPr="00ED0B9C">
        <w:rPr>
          <w:rFonts w:ascii="Times New Roman" w:hAnsi="Times New Roman" w:cs="Times New Roman"/>
          <w:bCs/>
          <w:color w:val="000000" w:themeColor="text1"/>
          <w:sz w:val="24"/>
          <w:szCs w:val="24"/>
        </w:rPr>
        <w:t xml:space="preserve">Table </w:t>
      </w:r>
      <w:r w:rsidR="00B160AE" w:rsidRPr="00ED0B9C">
        <w:rPr>
          <w:rFonts w:ascii="Times New Roman" w:hAnsi="Times New Roman" w:cs="Times New Roman"/>
          <w:bCs/>
          <w:color w:val="000000" w:themeColor="text1"/>
          <w:sz w:val="24"/>
          <w:szCs w:val="24"/>
        </w:rPr>
        <w:t>S</w:t>
      </w:r>
      <w:r w:rsidRPr="00ED0B9C">
        <w:rPr>
          <w:rFonts w:ascii="Times New Roman" w:hAnsi="Times New Roman" w:cs="Times New Roman"/>
          <w:bCs/>
          <w:color w:val="000000" w:themeColor="text1"/>
          <w:sz w:val="24"/>
          <w:szCs w:val="24"/>
        </w:rPr>
        <w:t>5 Gut microbiota biomarkers of fruit intake comparing quartile 4 with quartile 1</w:t>
      </w:r>
    </w:p>
    <w:p w14:paraId="3F0AE1E3" w14:textId="77777777" w:rsidR="00372E00" w:rsidRPr="00ED0B9C" w:rsidRDefault="00A77E06">
      <w:pPr>
        <w:spacing w:line="360" w:lineRule="auto"/>
        <w:jc w:val="left"/>
        <w:rPr>
          <w:rFonts w:ascii="Times New Roman" w:hAnsi="Times New Roman" w:cs="Times New Roman"/>
          <w:bCs/>
          <w:color w:val="000000" w:themeColor="text1"/>
          <w:sz w:val="24"/>
          <w:szCs w:val="24"/>
        </w:rPr>
      </w:pPr>
      <w:r w:rsidRPr="00ED0B9C">
        <w:rPr>
          <w:rFonts w:ascii="Times New Roman" w:hAnsi="Times New Roman" w:cs="Times New Roman"/>
          <w:bCs/>
          <w:color w:val="000000" w:themeColor="text1"/>
          <w:sz w:val="24"/>
          <w:szCs w:val="24"/>
        </w:rPr>
        <w:t xml:space="preserve">Table </w:t>
      </w:r>
      <w:r w:rsidR="00B160AE" w:rsidRPr="00ED0B9C">
        <w:rPr>
          <w:rFonts w:ascii="Times New Roman" w:hAnsi="Times New Roman" w:cs="Times New Roman"/>
          <w:bCs/>
          <w:color w:val="000000" w:themeColor="text1"/>
          <w:sz w:val="24"/>
          <w:szCs w:val="24"/>
        </w:rPr>
        <w:t>S</w:t>
      </w:r>
      <w:r w:rsidRPr="00ED0B9C">
        <w:rPr>
          <w:rFonts w:ascii="Times New Roman" w:hAnsi="Times New Roman" w:cs="Times New Roman"/>
          <w:bCs/>
          <w:color w:val="000000" w:themeColor="text1"/>
          <w:sz w:val="24"/>
          <w:szCs w:val="24"/>
        </w:rPr>
        <w:t>6 Gut microbial biomarkers of vegetable intake comparing quartile 4 with quartile 1</w:t>
      </w:r>
    </w:p>
    <w:p w14:paraId="1F88A32C" w14:textId="77777777" w:rsidR="00372E00" w:rsidRPr="00ED0B9C" w:rsidRDefault="00A77E06">
      <w:pPr>
        <w:widowControl/>
        <w:spacing w:line="360" w:lineRule="auto"/>
        <w:jc w:val="left"/>
        <w:rPr>
          <w:rFonts w:ascii="Times New Roman" w:hAnsi="Times New Roman" w:cs="Times New Roman"/>
          <w:bCs/>
          <w:color w:val="000000" w:themeColor="text1"/>
          <w:sz w:val="24"/>
          <w:szCs w:val="24"/>
        </w:rPr>
      </w:pPr>
      <w:r w:rsidRPr="00ED0B9C">
        <w:rPr>
          <w:rFonts w:ascii="Times New Roman" w:hAnsi="Times New Roman" w:cs="Times New Roman"/>
          <w:bCs/>
          <w:color w:val="000000" w:themeColor="text1"/>
          <w:sz w:val="24"/>
          <w:szCs w:val="24"/>
        </w:rPr>
        <w:t xml:space="preserve">Table </w:t>
      </w:r>
      <w:r w:rsidR="00B160AE" w:rsidRPr="00ED0B9C">
        <w:rPr>
          <w:rFonts w:ascii="Times New Roman" w:hAnsi="Times New Roman" w:cs="Times New Roman"/>
          <w:bCs/>
          <w:color w:val="000000" w:themeColor="text1"/>
          <w:sz w:val="24"/>
          <w:szCs w:val="24"/>
        </w:rPr>
        <w:t>S</w:t>
      </w:r>
      <w:r w:rsidRPr="00ED0B9C">
        <w:rPr>
          <w:rFonts w:ascii="Times New Roman" w:hAnsi="Times New Roman" w:cs="Times New Roman"/>
          <w:bCs/>
          <w:color w:val="000000" w:themeColor="text1"/>
          <w:sz w:val="24"/>
          <w:szCs w:val="24"/>
        </w:rPr>
        <w:t>7 Gut microbial biomarkers of total fruit and vegetable intake comparing quartile 4 with quartile 1</w:t>
      </w:r>
    </w:p>
    <w:p w14:paraId="57E8A36D" w14:textId="77777777" w:rsidR="00372E00" w:rsidRPr="00ED0B9C" w:rsidRDefault="00A77E06">
      <w:pPr>
        <w:widowControl/>
        <w:spacing w:line="360" w:lineRule="auto"/>
        <w:jc w:val="left"/>
        <w:rPr>
          <w:rFonts w:ascii="Times New Roman" w:hAnsi="Times New Roman" w:cs="Times New Roman"/>
          <w:bCs/>
          <w:color w:val="000000" w:themeColor="text1"/>
          <w:sz w:val="24"/>
          <w:szCs w:val="24"/>
        </w:rPr>
      </w:pPr>
      <w:r w:rsidRPr="00ED0B9C">
        <w:rPr>
          <w:rFonts w:ascii="Times New Roman" w:hAnsi="Times New Roman" w:cs="Times New Roman"/>
          <w:bCs/>
          <w:color w:val="000000" w:themeColor="text1"/>
          <w:sz w:val="24"/>
          <w:szCs w:val="24"/>
        </w:rPr>
        <w:t xml:space="preserve">Table </w:t>
      </w:r>
      <w:r w:rsidR="00B160AE" w:rsidRPr="00ED0B9C">
        <w:rPr>
          <w:rFonts w:ascii="Times New Roman" w:hAnsi="Times New Roman" w:cs="Times New Roman"/>
          <w:bCs/>
          <w:color w:val="000000" w:themeColor="text1"/>
          <w:sz w:val="24"/>
          <w:szCs w:val="24"/>
        </w:rPr>
        <w:t>S</w:t>
      </w:r>
      <w:r w:rsidRPr="00ED0B9C">
        <w:rPr>
          <w:rFonts w:ascii="Times New Roman" w:hAnsi="Times New Roman" w:cs="Times New Roman"/>
          <w:bCs/>
          <w:color w:val="000000" w:themeColor="text1"/>
          <w:sz w:val="24"/>
          <w:szCs w:val="24"/>
        </w:rPr>
        <w:t>8 Sensitivity analysis for the relationships among the fruit intake, fruit-microbiota index and type 2 diabetes in the GGMP</w:t>
      </w:r>
    </w:p>
    <w:p w14:paraId="12D281A4" w14:textId="77777777" w:rsidR="00372E00" w:rsidRPr="00ED0B9C" w:rsidRDefault="00372E00">
      <w:pPr>
        <w:widowControl/>
        <w:spacing w:line="360" w:lineRule="auto"/>
        <w:jc w:val="left"/>
        <w:rPr>
          <w:rFonts w:ascii="Times New Roman" w:hAnsi="Times New Roman" w:cs="Times New Roman"/>
          <w:bCs/>
          <w:color w:val="000000" w:themeColor="text1"/>
          <w:sz w:val="24"/>
          <w:szCs w:val="24"/>
        </w:rPr>
      </w:pPr>
    </w:p>
    <w:p w14:paraId="30C4196A" w14:textId="77777777" w:rsidR="00372E00" w:rsidRPr="00ED0B9C" w:rsidRDefault="00A77E06">
      <w:pPr>
        <w:spacing w:line="360" w:lineRule="auto"/>
        <w:jc w:val="left"/>
        <w:rPr>
          <w:rFonts w:ascii="Times New Roman" w:eastAsia="等线" w:hAnsi="Times New Roman" w:cs="Times New Roman"/>
          <w:b/>
          <w:bCs/>
          <w:color w:val="000000" w:themeColor="text1"/>
          <w:sz w:val="24"/>
          <w:szCs w:val="24"/>
          <w:lang w:val="en-GB"/>
        </w:rPr>
      </w:pPr>
      <w:r w:rsidRPr="00ED0B9C">
        <w:rPr>
          <w:rFonts w:ascii="Times New Roman" w:eastAsia="等线" w:hAnsi="Times New Roman" w:cs="Times New Roman"/>
          <w:b/>
          <w:bCs/>
          <w:color w:val="000000" w:themeColor="text1"/>
          <w:sz w:val="24"/>
          <w:szCs w:val="24"/>
          <w:lang w:val="en-GB"/>
        </w:rPr>
        <w:t>Supplementary Figures:</w:t>
      </w:r>
    </w:p>
    <w:p w14:paraId="6E0FD11F" w14:textId="77777777" w:rsidR="00372E00" w:rsidRPr="00ED0B9C" w:rsidRDefault="00A77E06">
      <w:pPr>
        <w:spacing w:line="360" w:lineRule="auto"/>
        <w:jc w:val="left"/>
        <w:rPr>
          <w:rFonts w:ascii="Times New Roman" w:hAnsi="Times New Roman"/>
          <w:color w:val="000000" w:themeColor="text1"/>
          <w:sz w:val="24"/>
          <w:szCs w:val="24"/>
        </w:rPr>
      </w:pPr>
      <w:r w:rsidRPr="00ED0B9C">
        <w:rPr>
          <w:rFonts w:ascii="Times New Roman" w:hAnsi="Times New Roman" w:cs="Times New Roman"/>
          <w:b/>
          <w:color w:val="000000" w:themeColor="text1"/>
          <w:sz w:val="24"/>
          <w:szCs w:val="24"/>
        </w:rPr>
        <w:t xml:space="preserve">Figure </w:t>
      </w:r>
      <w:r w:rsidR="00B160AE" w:rsidRPr="00ED0B9C">
        <w:rPr>
          <w:rFonts w:ascii="Times New Roman" w:hAnsi="Times New Roman" w:cs="Times New Roman"/>
          <w:b/>
          <w:color w:val="000000" w:themeColor="text1"/>
          <w:sz w:val="24"/>
          <w:szCs w:val="24"/>
        </w:rPr>
        <w:t>S</w:t>
      </w:r>
      <w:r w:rsidRPr="00ED0B9C">
        <w:rPr>
          <w:rFonts w:ascii="Times New Roman" w:hAnsi="Times New Roman" w:cs="Times New Roman"/>
          <w:b/>
          <w:color w:val="000000" w:themeColor="text1"/>
          <w:sz w:val="24"/>
          <w:szCs w:val="24"/>
        </w:rPr>
        <w:t xml:space="preserve">1 The prospective associations of vegetable intake and total fruit and </w:t>
      </w:r>
      <w:r w:rsidRPr="00ED0B9C">
        <w:rPr>
          <w:rFonts w:ascii="Times New Roman" w:hAnsi="Times New Roman" w:cs="Times New Roman"/>
          <w:b/>
          <w:color w:val="000000" w:themeColor="text1"/>
          <w:sz w:val="24"/>
          <w:szCs w:val="24"/>
        </w:rPr>
        <w:lastRenderedPageBreak/>
        <w:t>vegetable intake with α-diversity.</w:t>
      </w:r>
      <w:r w:rsidRPr="00ED0B9C">
        <w:rPr>
          <w:rFonts w:ascii="Times New Roman" w:hAnsi="Times New Roman" w:cs="Times New Roman"/>
          <w:b/>
          <w:bCs/>
          <w:color w:val="000000" w:themeColor="text1"/>
          <w:sz w:val="24"/>
          <w:szCs w:val="24"/>
        </w:rPr>
        <w:t xml:space="preserve"> </w:t>
      </w:r>
      <w:r w:rsidRPr="00ED0B9C">
        <w:rPr>
          <w:rFonts w:ascii="Times New Roman" w:hAnsi="Times New Roman" w:cs="Times New Roman"/>
          <w:bCs/>
          <w:color w:val="000000" w:themeColor="text1"/>
          <w:sz w:val="24"/>
          <w:szCs w:val="24"/>
        </w:rPr>
        <w:t>(A) α-diversity for vegetable intake: Observed species, Chao 1’s diversity parameter, Shannon’s diversity parameter, adjusted for Bristol stool score, sequencing run, sequencing depth, age, sex, BMI, smoking status, alcohol status, physical activity, education, income, T2D status, drug use (medications for hypertension, hyperlipidemia and T2D), total energy intake, fruit intake, red and processed meat, fish and dairy products. (B) α-diversity for total fruit and vegetable intake, adjusted for Bristol stool score, sequencing run, sequencing depth, age, sex, BMI, smoking status, alcohol status, physical activity, education, income, T2D status, drug use (medications for hypertension, hyperlipidemia and T2D), total energy intake, red and processed meat, fish and dairy products. Multivariable linear regression was used to estimate the difference in α-diversity comparing extreme quartiles of vegetable intake and total fruit and vegetable intake respectively. Value with “ns” represents no significant difference and asterisk is significantly different (*</w:t>
      </w:r>
      <w:r w:rsidRPr="00ED0B9C">
        <w:rPr>
          <w:rFonts w:ascii="Times New Roman" w:hAnsi="Times New Roman" w:cs="Times New Roman"/>
          <w:bCs/>
          <w:i/>
          <w:iCs/>
          <w:color w:val="000000" w:themeColor="text1"/>
          <w:sz w:val="24"/>
          <w:szCs w:val="24"/>
        </w:rPr>
        <w:t>p</w:t>
      </w:r>
      <w:r w:rsidRPr="00ED0B9C">
        <w:rPr>
          <w:rFonts w:ascii="Times New Roman" w:hAnsi="Times New Roman" w:cs="Times New Roman"/>
          <w:bCs/>
          <w:color w:val="000000" w:themeColor="text1"/>
          <w:sz w:val="24"/>
          <w:szCs w:val="24"/>
        </w:rPr>
        <w:t xml:space="preserve"> &lt; 0.05, ** </w:t>
      </w:r>
      <w:r w:rsidRPr="00ED0B9C">
        <w:rPr>
          <w:rFonts w:ascii="Times New Roman" w:hAnsi="Times New Roman" w:cs="Times New Roman"/>
          <w:bCs/>
          <w:i/>
          <w:iCs/>
          <w:color w:val="000000" w:themeColor="text1"/>
          <w:sz w:val="24"/>
          <w:szCs w:val="24"/>
        </w:rPr>
        <w:t>p</w:t>
      </w:r>
      <w:r w:rsidRPr="00ED0B9C">
        <w:rPr>
          <w:rFonts w:ascii="Times New Roman" w:hAnsi="Times New Roman" w:cs="Times New Roman"/>
          <w:bCs/>
          <w:color w:val="000000" w:themeColor="text1"/>
          <w:sz w:val="24"/>
          <w:szCs w:val="24"/>
        </w:rPr>
        <w:t xml:space="preserve"> &lt; 0.01, ***</w:t>
      </w:r>
      <w:r w:rsidRPr="00ED0B9C">
        <w:rPr>
          <w:rFonts w:ascii="Times New Roman" w:hAnsi="Times New Roman" w:cs="Times New Roman"/>
          <w:bCs/>
          <w:i/>
          <w:iCs/>
          <w:color w:val="000000" w:themeColor="text1"/>
          <w:sz w:val="24"/>
          <w:szCs w:val="24"/>
        </w:rPr>
        <w:t xml:space="preserve"> p</w:t>
      </w:r>
      <w:r w:rsidRPr="00ED0B9C">
        <w:rPr>
          <w:rFonts w:ascii="Times New Roman" w:hAnsi="Times New Roman" w:cs="Times New Roman"/>
          <w:bCs/>
          <w:color w:val="000000" w:themeColor="text1"/>
          <w:sz w:val="24"/>
          <w:szCs w:val="24"/>
        </w:rPr>
        <w:t xml:space="preserve"> &lt; 0.001).</w:t>
      </w:r>
      <w:r w:rsidRPr="00ED0B9C">
        <w:rPr>
          <w:rFonts w:ascii="Times New Roman" w:hAnsi="Times New Roman"/>
          <w:color w:val="000000" w:themeColor="text1"/>
          <w:sz w:val="24"/>
          <w:szCs w:val="24"/>
        </w:rPr>
        <w:t xml:space="preserve"> </w:t>
      </w:r>
    </w:p>
    <w:p w14:paraId="6FD67564" w14:textId="77777777" w:rsidR="00372E00" w:rsidRPr="00ED0B9C" w:rsidRDefault="00372E00">
      <w:pPr>
        <w:spacing w:line="360" w:lineRule="auto"/>
        <w:jc w:val="left"/>
        <w:rPr>
          <w:rFonts w:ascii="Times New Roman" w:hAnsi="Times New Roman"/>
          <w:color w:val="000000" w:themeColor="text1"/>
          <w:sz w:val="24"/>
          <w:szCs w:val="24"/>
        </w:rPr>
      </w:pPr>
    </w:p>
    <w:p w14:paraId="11626329" w14:textId="77777777" w:rsidR="00372E00" w:rsidRPr="00ED0B9C" w:rsidRDefault="00A77E06">
      <w:pPr>
        <w:widowControl/>
        <w:spacing w:line="360" w:lineRule="auto"/>
        <w:jc w:val="left"/>
        <w:rPr>
          <w:rFonts w:ascii="Times New Roman" w:hAnsi="Times New Roman" w:cs="Times New Roman"/>
          <w:bCs/>
          <w:color w:val="000000" w:themeColor="text1"/>
          <w:sz w:val="24"/>
          <w:szCs w:val="24"/>
        </w:rPr>
      </w:pPr>
      <w:r w:rsidRPr="00ED0B9C">
        <w:rPr>
          <w:rFonts w:ascii="Times New Roman" w:hAnsi="Times New Roman" w:cs="Times New Roman"/>
          <w:b/>
          <w:color w:val="000000" w:themeColor="text1"/>
          <w:sz w:val="24"/>
          <w:szCs w:val="24"/>
        </w:rPr>
        <w:t xml:space="preserve">Figure </w:t>
      </w:r>
      <w:r w:rsidR="00B160AE" w:rsidRPr="00ED0B9C">
        <w:rPr>
          <w:rFonts w:ascii="Times New Roman" w:hAnsi="Times New Roman" w:cs="Times New Roman"/>
          <w:b/>
          <w:color w:val="000000" w:themeColor="text1"/>
          <w:sz w:val="24"/>
          <w:szCs w:val="24"/>
        </w:rPr>
        <w:t>S</w:t>
      </w:r>
      <w:r w:rsidRPr="00ED0B9C">
        <w:rPr>
          <w:rFonts w:ascii="Times New Roman" w:hAnsi="Times New Roman" w:cs="Times New Roman"/>
          <w:b/>
          <w:color w:val="000000" w:themeColor="text1"/>
          <w:sz w:val="24"/>
          <w:szCs w:val="24"/>
        </w:rPr>
        <w:t xml:space="preserve">2 The prospective associations of vegetable intake and total fruit and vegetable intake with β-diversity. </w:t>
      </w:r>
      <w:r w:rsidRPr="00ED0B9C">
        <w:rPr>
          <w:rFonts w:ascii="Times New Roman" w:hAnsi="Times New Roman" w:cs="Times New Roman"/>
          <w:bCs/>
          <w:color w:val="000000" w:themeColor="text1"/>
          <w:sz w:val="24"/>
          <w:szCs w:val="24"/>
        </w:rPr>
        <w:t>Principal coordinate analysis (PCoA) plot based on Bray-Cutis distance at operational taxonomic unit (OTU) level. Permutational ANOVA (PERMANOVA) (999 permutations) was used to identify the variation of β-diversity in human gut microbiota structure comparing extreme quartiles of (A) vegetable intake, adjusted for Bristol stool score, sequencing run, sequencing depth, age, sex, BMI, smoking status, alcohol status, physical activity, education, income, T2D status, drug use (medications for hypertension, hyperlipidemia and T2D), total energy intake, fruit intake, red and processed meat, fish and dairy products, and (B) total fruit and vegetable intake, adjusted for Bristol stool score, sequencing run, sequencing depth, age, sex, BMI, smoking status, alcohol status, physical activity, education, income, T2D status, drug use (medications for hypertension, hyperlipidemia and T2D), total energy intake, red and processed meat, fish and dairy products, respectively. Value with asterisk is significantly different (*</w:t>
      </w:r>
      <w:r w:rsidRPr="00ED0B9C">
        <w:rPr>
          <w:rFonts w:ascii="Times New Roman" w:hAnsi="Times New Roman" w:cs="Times New Roman"/>
          <w:bCs/>
          <w:i/>
          <w:iCs/>
          <w:color w:val="000000" w:themeColor="text1"/>
          <w:sz w:val="24"/>
          <w:szCs w:val="24"/>
        </w:rPr>
        <w:t>p</w:t>
      </w:r>
      <w:r w:rsidRPr="00ED0B9C">
        <w:rPr>
          <w:rFonts w:ascii="Times New Roman" w:hAnsi="Times New Roman" w:cs="Times New Roman"/>
          <w:bCs/>
          <w:color w:val="000000" w:themeColor="text1"/>
          <w:sz w:val="24"/>
          <w:szCs w:val="24"/>
        </w:rPr>
        <w:t xml:space="preserve"> &lt; 0.05, ** </w:t>
      </w:r>
      <w:r w:rsidRPr="00ED0B9C">
        <w:rPr>
          <w:rFonts w:ascii="Times New Roman" w:hAnsi="Times New Roman" w:cs="Times New Roman"/>
          <w:bCs/>
          <w:i/>
          <w:iCs/>
          <w:color w:val="000000" w:themeColor="text1"/>
          <w:sz w:val="24"/>
          <w:szCs w:val="24"/>
        </w:rPr>
        <w:t>p</w:t>
      </w:r>
      <w:r w:rsidRPr="00ED0B9C">
        <w:rPr>
          <w:rFonts w:ascii="Times New Roman" w:hAnsi="Times New Roman" w:cs="Times New Roman"/>
          <w:bCs/>
          <w:color w:val="000000" w:themeColor="text1"/>
          <w:sz w:val="24"/>
          <w:szCs w:val="24"/>
        </w:rPr>
        <w:t xml:space="preserve"> &lt; 0.01, ***</w:t>
      </w:r>
      <w:r w:rsidRPr="00ED0B9C">
        <w:rPr>
          <w:rFonts w:ascii="Times New Roman" w:hAnsi="Times New Roman" w:cs="Times New Roman"/>
          <w:bCs/>
          <w:i/>
          <w:iCs/>
          <w:color w:val="000000" w:themeColor="text1"/>
          <w:sz w:val="24"/>
          <w:szCs w:val="24"/>
        </w:rPr>
        <w:t>p</w:t>
      </w:r>
      <w:r w:rsidRPr="00ED0B9C">
        <w:rPr>
          <w:rFonts w:ascii="Times New Roman" w:hAnsi="Times New Roman" w:cs="Times New Roman"/>
          <w:bCs/>
          <w:color w:val="000000" w:themeColor="text1"/>
          <w:sz w:val="24"/>
          <w:szCs w:val="24"/>
        </w:rPr>
        <w:t xml:space="preserve"> &lt; 0.001).</w:t>
      </w:r>
    </w:p>
    <w:p w14:paraId="0682C9AE" w14:textId="77777777" w:rsidR="00372E00" w:rsidRPr="00ED0B9C" w:rsidRDefault="00A77E06">
      <w:pPr>
        <w:widowControl/>
        <w:spacing w:line="360" w:lineRule="auto"/>
        <w:jc w:val="left"/>
        <w:rPr>
          <w:rFonts w:ascii="Times New Roman" w:hAnsi="Times New Roman" w:cs="Times New Roman"/>
          <w:bCs/>
          <w:color w:val="000000" w:themeColor="text1"/>
          <w:sz w:val="24"/>
          <w:szCs w:val="24"/>
        </w:rPr>
      </w:pPr>
      <w:r w:rsidRPr="00ED0B9C">
        <w:rPr>
          <w:rFonts w:ascii="Times New Roman" w:hAnsi="Times New Roman" w:cs="Times New Roman"/>
          <w:b/>
          <w:color w:val="000000" w:themeColor="text1"/>
          <w:sz w:val="24"/>
          <w:szCs w:val="24"/>
        </w:rPr>
        <w:lastRenderedPageBreak/>
        <w:t xml:space="preserve">Figure </w:t>
      </w:r>
      <w:r w:rsidR="00B160AE" w:rsidRPr="00ED0B9C">
        <w:rPr>
          <w:rFonts w:ascii="Times New Roman" w:hAnsi="Times New Roman" w:cs="Times New Roman"/>
          <w:b/>
          <w:color w:val="000000" w:themeColor="text1"/>
          <w:sz w:val="24"/>
          <w:szCs w:val="24"/>
        </w:rPr>
        <w:t>S</w:t>
      </w:r>
      <w:r w:rsidRPr="00ED0B9C">
        <w:rPr>
          <w:rFonts w:ascii="Times New Roman" w:hAnsi="Times New Roman" w:cs="Times New Roman"/>
          <w:b/>
          <w:color w:val="000000" w:themeColor="text1"/>
          <w:sz w:val="24"/>
          <w:szCs w:val="24"/>
        </w:rPr>
        <w:t xml:space="preserve">3 The association of </w:t>
      </w:r>
      <w:r w:rsidRPr="00ED0B9C">
        <w:rPr>
          <w:rFonts w:ascii="Times New Roman" w:hAnsi="Times New Roman" w:cs="Times New Roman"/>
          <w:b/>
          <w:bCs/>
          <w:color w:val="000000" w:themeColor="text1"/>
          <w:sz w:val="24"/>
          <w:szCs w:val="24"/>
        </w:rPr>
        <w:t>fruit-microbiota index</w:t>
      </w:r>
      <w:r w:rsidRPr="00ED0B9C">
        <w:rPr>
          <w:rFonts w:ascii="Times New Roman" w:hAnsi="Times New Roman" w:cs="Times New Roman"/>
          <w:b/>
          <w:color w:val="000000" w:themeColor="text1"/>
          <w:sz w:val="24"/>
          <w:szCs w:val="24"/>
        </w:rPr>
        <w:t xml:space="preserve"> with fruit categories in the Guangzhou Nutrition and Health Study.</w:t>
      </w:r>
      <w:r w:rsidRPr="00ED0B9C">
        <w:rPr>
          <w:rFonts w:ascii="Times New Roman" w:hAnsi="Times New Roman" w:cs="Times New Roman"/>
          <w:bCs/>
          <w:color w:val="000000" w:themeColor="text1"/>
          <w:sz w:val="24"/>
          <w:szCs w:val="24"/>
        </w:rPr>
        <w:t xml:space="preserve"> Violin plot showing the association (partial correlation analysis) of the fruit-microbiota index with fruit categories adjusted for age, sex and BMI as confounders. The x axis shows the partial correlation rho values and the y axis indicates the -log (base 10) of the </w:t>
      </w:r>
      <w:r w:rsidRPr="00ED0B9C">
        <w:rPr>
          <w:rFonts w:ascii="Times New Roman" w:hAnsi="Times New Roman" w:cs="Times New Roman"/>
          <w:bCs/>
          <w:i/>
          <w:iCs/>
          <w:color w:val="000000" w:themeColor="text1"/>
          <w:sz w:val="24"/>
          <w:szCs w:val="24"/>
        </w:rPr>
        <w:t>p</w:t>
      </w:r>
      <w:r w:rsidRPr="00ED0B9C">
        <w:rPr>
          <w:rFonts w:ascii="Times New Roman" w:hAnsi="Times New Roman" w:cs="Times New Roman"/>
          <w:bCs/>
          <w:color w:val="000000" w:themeColor="text1"/>
          <w:sz w:val="24"/>
          <w:szCs w:val="24"/>
        </w:rPr>
        <w:t xml:space="preserve"> values. Points are coloured based on the significance of the obtained associations (red indicates associations with </w:t>
      </w:r>
      <w:r w:rsidRPr="00ED0B9C">
        <w:rPr>
          <w:rFonts w:ascii="Times New Roman" w:hAnsi="Times New Roman" w:cs="Times New Roman"/>
          <w:bCs/>
          <w:i/>
          <w:iCs/>
          <w:color w:val="000000" w:themeColor="text1"/>
          <w:sz w:val="24"/>
          <w:szCs w:val="24"/>
        </w:rPr>
        <w:t>p</w:t>
      </w:r>
      <w:r w:rsidRPr="00ED0B9C">
        <w:rPr>
          <w:rFonts w:ascii="Times New Roman" w:hAnsi="Times New Roman" w:cs="Times New Roman"/>
          <w:bCs/>
          <w:color w:val="000000" w:themeColor="text1"/>
          <w:sz w:val="24"/>
          <w:szCs w:val="24"/>
        </w:rPr>
        <w:t xml:space="preserve">&lt;0.05). The Benjamini-Hochberg method was used to adjust </w:t>
      </w:r>
      <w:r w:rsidRPr="00ED0B9C">
        <w:rPr>
          <w:rFonts w:ascii="Times New Roman" w:hAnsi="Times New Roman" w:cs="Times New Roman"/>
          <w:bCs/>
          <w:i/>
          <w:iCs/>
          <w:color w:val="000000" w:themeColor="text1"/>
          <w:sz w:val="24"/>
          <w:szCs w:val="24"/>
        </w:rPr>
        <w:t>p</w:t>
      </w:r>
      <w:r w:rsidRPr="00ED0B9C">
        <w:rPr>
          <w:rFonts w:ascii="Times New Roman" w:hAnsi="Times New Roman" w:cs="Times New Roman"/>
          <w:bCs/>
          <w:color w:val="000000" w:themeColor="text1"/>
          <w:sz w:val="24"/>
          <w:szCs w:val="24"/>
        </w:rPr>
        <w:t xml:space="preserve"> values for multiple testing.</w:t>
      </w:r>
    </w:p>
    <w:p w14:paraId="627FCB03" w14:textId="77777777" w:rsidR="00372E00" w:rsidRPr="00ED0B9C" w:rsidRDefault="00372E00">
      <w:pPr>
        <w:widowControl/>
        <w:spacing w:line="360" w:lineRule="auto"/>
        <w:jc w:val="left"/>
        <w:rPr>
          <w:rFonts w:ascii="Times New Roman" w:hAnsi="Times New Roman" w:cs="Times New Roman"/>
          <w:bCs/>
          <w:color w:val="000000" w:themeColor="text1"/>
          <w:sz w:val="24"/>
          <w:szCs w:val="24"/>
        </w:rPr>
      </w:pPr>
    </w:p>
    <w:p w14:paraId="5B9C11C6" w14:textId="77777777" w:rsidR="00372E00" w:rsidRPr="00ED0B9C" w:rsidRDefault="00A77E06">
      <w:pPr>
        <w:widowControl/>
        <w:spacing w:line="360" w:lineRule="auto"/>
        <w:jc w:val="left"/>
        <w:rPr>
          <w:rFonts w:ascii="Times New Roman" w:hAnsi="Times New Roman" w:cs="Times New Roman"/>
          <w:bCs/>
          <w:color w:val="000000" w:themeColor="text1"/>
          <w:sz w:val="24"/>
          <w:szCs w:val="24"/>
        </w:rPr>
      </w:pPr>
      <w:r w:rsidRPr="00ED0B9C">
        <w:rPr>
          <w:rFonts w:ascii="Times New Roman" w:hAnsi="Times New Roman" w:cs="Times New Roman"/>
          <w:b/>
          <w:bCs/>
          <w:color w:val="000000" w:themeColor="text1"/>
          <w:sz w:val="24"/>
          <w:szCs w:val="24"/>
        </w:rPr>
        <w:t xml:space="preserve">Figure </w:t>
      </w:r>
      <w:r w:rsidR="00B160AE" w:rsidRPr="00ED0B9C">
        <w:rPr>
          <w:rFonts w:ascii="Times New Roman" w:hAnsi="Times New Roman" w:cs="Times New Roman"/>
          <w:b/>
          <w:bCs/>
          <w:color w:val="000000" w:themeColor="text1"/>
          <w:sz w:val="24"/>
          <w:szCs w:val="24"/>
        </w:rPr>
        <w:t>S</w:t>
      </w:r>
      <w:r w:rsidRPr="00ED0B9C">
        <w:rPr>
          <w:rFonts w:ascii="Times New Roman" w:hAnsi="Times New Roman" w:cs="Times New Roman"/>
          <w:b/>
          <w:bCs/>
          <w:color w:val="000000" w:themeColor="text1"/>
          <w:sz w:val="24"/>
          <w:szCs w:val="24"/>
        </w:rPr>
        <w:t xml:space="preserve">4 Relationships between the fruit intake-associated gut microbiota alterations and T2D-related traits. </w:t>
      </w:r>
      <w:r w:rsidRPr="00ED0B9C">
        <w:rPr>
          <w:rFonts w:ascii="Times New Roman" w:hAnsi="Times New Roman" w:cs="Times New Roman"/>
          <w:bCs/>
          <w:color w:val="000000" w:themeColor="text1"/>
          <w:sz w:val="24"/>
          <w:szCs w:val="24"/>
        </w:rPr>
        <w:t xml:space="preserve">Associations of fruit-microbiota index (FMI) </w:t>
      </w:r>
      <w:r w:rsidRPr="00ED0B9C">
        <w:rPr>
          <w:rFonts w:ascii="Times New Roman" w:hAnsi="Times New Roman"/>
          <w:color w:val="000000" w:themeColor="text1"/>
          <w:sz w:val="24"/>
          <w:szCs w:val="24"/>
        </w:rPr>
        <w:t xml:space="preserve">(per standardized unit increase) </w:t>
      </w:r>
      <w:r w:rsidRPr="00ED0B9C">
        <w:rPr>
          <w:rFonts w:ascii="Times New Roman" w:hAnsi="Times New Roman" w:cs="Times New Roman"/>
          <w:bCs/>
          <w:color w:val="000000" w:themeColor="text1"/>
          <w:sz w:val="24"/>
          <w:szCs w:val="24"/>
        </w:rPr>
        <w:t xml:space="preserve">with T2D-related traits (fasting serum insulin, glucose, glycated hemoglobin (HbAlc), homeostasis model assessment of insulin resistance (HOMA-IR) and </w:t>
      </w:r>
      <w:r w:rsidRPr="00ED0B9C">
        <w:rPr>
          <w:rFonts w:ascii="Times New Roman" w:hAnsi="Times New Roman" w:cs="Times New Roman"/>
          <w:color w:val="000000" w:themeColor="text1"/>
          <w:sz w:val="24"/>
          <w:szCs w:val="24"/>
        </w:rPr>
        <w:t>β</w:t>
      </w:r>
      <w:r w:rsidRPr="00ED0B9C">
        <w:rPr>
          <w:rFonts w:ascii="Times New Roman" w:hAnsi="Times New Roman"/>
          <w:color w:val="000000" w:themeColor="text1"/>
          <w:sz w:val="24"/>
          <w:szCs w:val="24"/>
        </w:rPr>
        <w:t>-</w:t>
      </w:r>
      <w:r w:rsidRPr="00ED0B9C">
        <w:rPr>
          <w:rFonts w:ascii="Times New Roman" w:hAnsi="Times New Roman" w:hint="eastAsia"/>
          <w:color w:val="000000" w:themeColor="text1"/>
          <w:sz w:val="24"/>
          <w:szCs w:val="24"/>
        </w:rPr>
        <w:t>cell</w:t>
      </w:r>
      <w:r w:rsidRPr="00ED0B9C">
        <w:rPr>
          <w:rFonts w:ascii="Times New Roman" w:hAnsi="Times New Roman"/>
          <w:color w:val="000000" w:themeColor="text1"/>
          <w:sz w:val="24"/>
          <w:szCs w:val="24"/>
        </w:rPr>
        <w:t xml:space="preserve"> function</w:t>
      </w:r>
      <w:r w:rsidRPr="00ED0B9C">
        <w:rPr>
          <w:rFonts w:ascii="Times New Roman" w:hAnsi="Times New Roman" w:hint="eastAsia"/>
          <w:color w:val="000000" w:themeColor="text1"/>
          <w:sz w:val="24"/>
          <w:szCs w:val="24"/>
        </w:rPr>
        <w:t xml:space="preserve"> (</w:t>
      </w:r>
      <w:r w:rsidRPr="00ED0B9C">
        <w:rPr>
          <w:rFonts w:ascii="Times New Roman" w:hAnsi="Times New Roman" w:cs="Times New Roman"/>
          <w:bCs/>
          <w:color w:val="000000" w:themeColor="text1"/>
          <w:sz w:val="24"/>
          <w:szCs w:val="24"/>
        </w:rPr>
        <w:t>HOMA-β</w:t>
      </w:r>
      <w:r w:rsidRPr="00ED0B9C">
        <w:rPr>
          <w:rFonts w:ascii="Times New Roman" w:hAnsi="Times New Roman" w:cs="Times New Roman" w:hint="eastAsia"/>
          <w:bCs/>
          <w:color w:val="000000" w:themeColor="text1"/>
          <w:sz w:val="24"/>
          <w:szCs w:val="24"/>
        </w:rPr>
        <w:t xml:space="preserve">) </w:t>
      </w:r>
      <w:r w:rsidRPr="00ED0B9C">
        <w:rPr>
          <w:rFonts w:ascii="Times New Roman" w:hAnsi="Times New Roman"/>
          <w:color w:val="000000" w:themeColor="text1"/>
          <w:sz w:val="24"/>
          <w:szCs w:val="24"/>
        </w:rPr>
        <w:t>(per standardized unit)</w:t>
      </w:r>
      <w:r w:rsidRPr="00ED0B9C">
        <w:rPr>
          <w:rFonts w:ascii="Times New Roman" w:hAnsi="Times New Roman" w:cs="Times New Roman"/>
          <w:bCs/>
          <w:color w:val="000000" w:themeColor="text1"/>
          <w:sz w:val="24"/>
          <w:szCs w:val="24"/>
        </w:rPr>
        <w:t xml:space="preserve">) in the Guangzhou Nutrition and Health Study (GNHS), respectively, adjusted for Bristol stool score, sequencing run, sequencing depth, age, sex, BMI, smoking status, alcohol status, physical activity, education, income, T2D status, drug use (medications for hypertension, hyperlipidemia and T2D), total energy intake, vegetable intake, red and processed meat, fish and dairy products. </w:t>
      </w:r>
      <w:r w:rsidRPr="00ED0B9C">
        <w:rPr>
          <w:rFonts w:ascii="Times New Roman" w:hAnsi="Times New Roman" w:cs="Times New Roman"/>
          <w:bCs/>
          <w:i/>
          <w:iCs/>
          <w:color w:val="000000" w:themeColor="text1"/>
          <w:sz w:val="24"/>
          <w:szCs w:val="24"/>
        </w:rPr>
        <w:t>p</w:t>
      </w:r>
      <w:r w:rsidRPr="00ED0B9C">
        <w:rPr>
          <w:rFonts w:ascii="Times New Roman" w:hAnsi="Times New Roman" w:cs="Times New Roman"/>
          <w:bCs/>
          <w:color w:val="000000" w:themeColor="text1"/>
          <w:sz w:val="24"/>
          <w:szCs w:val="24"/>
        </w:rPr>
        <w:t xml:space="preserve"> </w:t>
      </w:r>
      <w:r w:rsidRPr="00ED0B9C">
        <w:rPr>
          <w:rFonts w:ascii="Times New Roman" w:hAnsi="Times New Roman" w:cs="Times New Roman" w:hint="eastAsia"/>
          <w:bCs/>
          <w:color w:val="000000" w:themeColor="text1"/>
          <w:sz w:val="24"/>
          <w:szCs w:val="24"/>
        </w:rPr>
        <w:t>value</w:t>
      </w:r>
      <w:r w:rsidRPr="00ED0B9C">
        <w:rPr>
          <w:rFonts w:ascii="Times New Roman" w:hAnsi="Times New Roman" w:cs="Times New Roman"/>
          <w:bCs/>
          <w:color w:val="000000" w:themeColor="text1"/>
          <w:sz w:val="24"/>
          <w:szCs w:val="24"/>
        </w:rPr>
        <w:t xml:space="preserve"> &lt; 0.05 is significantly different.</w:t>
      </w:r>
    </w:p>
    <w:p w14:paraId="0D62B10C" w14:textId="77777777" w:rsidR="00372E00" w:rsidRPr="00ED0B9C" w:rsidRDefault="00372E00">
      <w:pPr>
        <w:widowControl/>
        <w:spacing w:line="360" w:lineRule="auto"/>
        <w:jc w:val="left"/>
        <w:rPr>
          <w:rFonts w:ascii="Times New Roman" w:hAnsi="Times New Roman" w:cs="Times New Roman"/>
          <w:bCs/>
          <w:color w:val="000000" w:themeColor="text1"/>
          <w:sz w:val="24"/>
          <w:szCs w:val="24"/>
        </w:rPr>
      </w:pPr>
    </w:p>
    <w:p w14:paraId="1E2EE437" w14:textId="77777777" w:rsidR="00372E00" w:rsidRPr="00ED0B9C" w:rsidRDefault="00A77E06">
      <w:pPr>
        <w:widowControl/>
        <w:spacing w:line="360" w:lineRule="auto"/>
        <w:jc w:val="left"/>
        <w:rPr>
          <w:rFonts w:ascii="Times New Roman" w:hAnsi="Times New Roman"/>
          <w:color w:val="000000" w:themeColor="text1"/>
          <w:sz w:val="24"/>
          <w:szCs w:val="24"/>
        </w:rPr>
      </w:pPr>
      <w:r w:rsidRPr="00ED0B9C">
        <w:rPr>
          <w:rFonts w:ascii="Times New Roman" w:hAnsi="Times New Roman"/>
          <w:b/>
          <w:bCs/>
          <w:color w:val="000000" w:themeColor="text1"/>
          <w:sz w:val="24"/>
          <w:szCs w:val="24"/>
        </w:rPr>
        <w:t xml:space="preserve">Figure </w:t>
      </w:r>
      <w:r w:rsidR="00B160AE" w:rsidRPr="00ED0B9C">
        <w:rPr>
          <w:rFonts w:ascii="Times New Roman" w:hAnsi="Times New Roman"/>
          <w:b/>
          <w:bCs/>
          <w:color w:val="000000" w:themeColor="text1"/>
          <w:sz w:val="24"/>
          <w:szCs w:val="24"/>
        </w:rPr>
        <w:t>S</w:t>
      </w:r>
      <w:r w:rsidRPr="00ED0B9C">
        <w:rPr>
          <w:rFonts w:ascii="Times New Roman" w:hAnsi="Times New Roman"/>
          <w:b/>
          <w:bCs/>
          <w:color w:val="000000" w:themeColor="text1"/>
          <w:sz w:val="24"/>
          <w:szCs w:val="24"/>
        </w:rPr>
        <w:t xml:space="preserve">5 Associations of the vegetable/total fruit and vegetable intake-associated gut microbiota alterations with corresponding dietary intake and T2D. </w:t>
      </w:r>
      <w:r w:rsidRPr="00ED0B9C">
        <w:rPr>
          <w:rFonts w:ascii="Times New Roman" w:hAnsi="Times New Roman"/>
          <w:color w:val="000000" w:themeColor="text1"/>
          <w:sz w:val="24"/>
          <w:szCs w:val="24"/>
        </w:rPr>
        <w:t xml:space="preserve">Associations of vegetable-microbiota index (FMI) and total fruit and vegetable-microbiota index (TFAMI) with corresponding dietary intake (A) and T2D (B) in the Guangzhou Nutrition and Health Study (GNHS), respectively. </w:t>
      </w:r>
      <w:r w:rsidRPr="00ED0B9C">
        <w:rPr>
          <w:rFonts w:ascii="Times New Roman" w:hAnsi="Times New Roman"/>
          <w:i/>
          <w:iCs/>
          <w:color w:val="000000" w:themeColor="text1"/>
          <w:sz w:val="24"/>
          <w:szCs w:val="24"/>
        </w:rPr>
        <w:t>p</w:t>
      </w:r>
      <w:r w:rsidRPr="00ED0B9C">
        <w:rPr>
          <w:rFonts w:ascii="Times New Roman" w:hAnsi="Times New Roman"/>
          <w:color w:val="000000" w:themeColor="text1"/>
          <w:sz w:val="24"/>
          <w:szCs w:val="24"/>
        </w:rPr>
        <w:t xml:space="preserve"> value &lt; 0.05 is significantly different.</w:t>
      </w:r>
    </w:p>
    <w:p w14:paraId="07F5D711" w14:textId="77777777" w:rsidR="00372E00" w:rsidRPr="00ED0B9C" w:rsidRDefault="00372E00">
      <w:pPr>
        <w:widowControl/>
        <w:spacing w:line="360" w:lineRule="auto"/>
        <w:jc w:val="left"/>
        <w:rPr>
          <w:rFonts w:ascii="Times New Roman" w:hAnsi="Times New Roman"/>
          <w:color w:val="000000" w:themeColor="text1"/>
          <w:sz w:val="24"/>
          <w:szCs w:val="24"/>
        </w:rPr>
      </w:pPr>
    </w:p>
    <w:p w14:paraId="7D486CC8" w14:textId="77777777" w:rsidR="00372E00" w:rsidRPr="00ED0B9C" w:rsidRDefault="00A77E06">
      <w:pPr>
        <w:pStyle w:val="ab"/>
        <w:widowControl w:val="0"/>
        <w:spacing w:before="0" w:beforeAutospacing="0" w:after="0" w:afterAutospacing="0" w:line="360" w:lineRule="auto"/>
        <w:rPr>
          <w:rFonts w:ascii="Times New Roman" w:hAnsi="Times New Roman" w:cs="Calibri"/>
          <w:color w:val="000000" w:themeColor="text1"/>
          <w:kern w:val="2"/>
          <w:lang w:bidi="ar"/>
        </w:rPr>
      </w:pPr>
      <w:r w:rsidRPr="00ED0B9C">
        <w:rPr>
          <w:rFonts w:ascii="Times New Roman" w:hAnsi="Times New Roman"/>
          <w:b/>
          <w:bCs/>
          <w:color w:val="000000" w:themeColor="text1"/>
        </w:rPr>
        <w:t xml:space="preserve">Figure </w:t>
      </w:r>
      <w:r w:rsidR="00B160AE" w:rsidRPr="00ED0B9C">
        <w:rPr>
          <w:rFonts w:ascii="Times New Roman" w:hAnsi="Times New Roman"/>
          <w:b/>
          <w:bCs/>
          <w:color w:val="000000" w:themeColor="text1"/>
        </w:rPr>
        <w:t>S</w:t>
      </w:r>
      <w:r w:rsidRPr="00ED0B9C">
        <w:rPr>
          <w:rFonts w:ascii="Times New Roman" w:hAnsi="Times New Roman" w:hint="eastAsia"/>
          <w:b/>
          <w:bCs/>
          <w:color w:val="000000" w:themeColor="text1"/>
        </w:rPr>
        <w:t>6</w:t>
      </w:r>
      <w:r w:rsidRPr="00ED0B9C">
        <w:rPr>
          <w:rFonts w:ascii="Times New Roman" w:hAnsi="Times New Roman" w:cs="Calibri"/>
          <w:b/>
          <w:color w:val="000000" w:themeColor="text1"/>
          <w:kern w:val="2"/>
          <w:lang w:bidi="ar"/>
        </w:rPr>
        <w:t xml:space="preserve"> Association of the fruit-associated gut microbiota index and fecal metabolites. </w:t>
      </w:r>
      <w:r w:rsidRPr="00ED0B9C">
        <w:rPr>
          <w:rFonts w:ascii="Times New Roman" w:hAnsi="Times New Roman" w:cs="Calibri"/>
          <w:color w:val="000000" w:themeColor="text1"/>
          <w:kern w:val="2"/>
          <w:lang w:bidi="ar"/>
        </w:rPr>
        <w:t xml:space="preserve">Violin plot showing the association (partial correlation analysis) of the fruit-microbiota index (FMI) with fecal metabolic profiles, adjusted for age, sex and </w:t>
      </w:r>
      <w:r w:rsidRPr="00ED0B9C">
        <w:rPr>
          <w:rFonts w:ascii="Times New Roman" w:hAnsi="Times New Roman" w:cs="Calibri"/>
          <w:color w:val="000000" w:themeColor="text1"/>
          <w:kern w:val="2"/>
          <w:lang w:bidi="ar"/>
        </w:rPr>
        <w:lastRenderedPageBreak/>
        <w:t xml:space="preserve">BMI. The x axis shows the partial correlation rho values and the y axis indicates the -log (base 10) of the </w:t>
      </w:r>
      <w:r w:rsidRPr="00ED0B9C">
        <w:rPr>
          <w:rFonts w:ascii="Times New Roman" w:hAnsi="Times New Roman" w:cs="Calibri"/>
          <w:i/>
          <w:color w:val="000000" w:themeColor="text1"/>
          <w:kern w:val="2"/>
          <w:lang w:bidi="ar"/>
        </w:rPr>
        <w:t>p</w:t>
      </w:r>
      <w:r w:rsidRPr="00ED0B9C">
        <w:rPr>
          <w:rFonts w:ascii="Times New Roman" w:hAnsi="Times New Roman" w:cs="Calibri"/>
          <w:color w:val="000000" w:themeColor="text1"/>
          <w:kern w:val="2"/>
          <w:lang w:bidi="ar"/>
        </w:rPr>
        <w:t xml:space="preserve"> values. Points are coloured based on the significance of the obtained associations (red indicates positive associations with </w:t>
      </w:r>
      <w:r w:rsidRPr="00ED0B9C">
        <w:rPr>
          <w:rFonts w:ascii="Times New Roman" w:hAnsi="Times New Roman" w:cs="Calibri"/>
          <w:i/>
          <w:color w:val="000000" w:themeColor="text1"/>
          <w:kern w:val="2"/>
          <w:lang w:bidi="ar"/>
        </w:rPr>
        <w:t>p</w:t>
      </w:r>
      <w:r w:rsidRPr="00ED0B9C">
        <w:rPr>
          <w:rFonts w:ascii="Times New Roman" w:hAnsi="Times New Roman" w:cs="Calibri"/>
          <w:color w:val="000000" w:themeColor="text1"/>
          <w:kern w:val="2"/>
          <w:lang w:bidi="ar"/>
        </w:rPr>
        <w:t xml:space="preserve">&lt;0.05, green indicates negative associations with </w:t>
      </w:r>
      <w:r w:rsidRPr="00ED0B9C">
        <w:rPr>
          <w:rFonts w:ascii="Times New Roman" w:hAnsi="Times New Roman" w:cs="Calibri"/>
          <w:i/>
          <w:color w:val="000000" w:themeColor="text1"/>
          <w:kern w:val="2"/>
          <w:lang w:bidi="ar"/>
        </w:rPr>
        <w:t>p</w:t>
      </w:r>
      <w:r w:rsidRPr="00ED0B9C">
        <w:rPr>
          <w:rFonts w:ascii="Times New Roman" w:hAnsi="Times New Roman" w:cs="Calibri"/>
          <w:color w:val="000000" w:themeColor="text1"/>
          <w:kern w:val="2"/>
          <w:lang w:bidi="ar"/>
        </w:rPr>
        <w:t xml:space="preserve">&lt;0.05). </w:t>
      </w:r>
      <w:bookmarkStart w:id="3" w:name="_Hlk39306599"/>
      <w:r w:rsidRPr="00ED0B9C">
        <w:rPr>
          <w:rFonts w:ascii="Times New Roman" w:hAnsi="Times New Roman" w:cs="Calibri"/>
          <w:color w:val="000000" w:themeColor="text1"/>
          <w:kern w:val="2"/>
          <w:lang w:bidi="ar"/>
        </w:rPr>
        <w:t xml:space="preserve">The Benjamini-Hochberg method was used to adjust </w:t>
      </w:r>
      <w:r w:rsidRPr="00ED0B9C">
        <w:rPr>
          <w:rFonts w:ascii="Times New Roman" w:hAnsi="Times New Roman" w:cs="Calibri"/>
          <w:i/>
          <w:color w:val="000000" w:themeColor="text1"/>
          <w:kern w:val="2"/>
          <w:lang w:bidi="ar"/>
        </w:rPr>
        <w:t>p</w:t>
      </w:r>
      <w:r w:rsidRPr="00ED0B9C">
        <w:rPr>
          <w:rFonts w:ascii="Times New Roman" w:hAnsi="Times New Roman" w:cs="Calibri"/>
          <w:color w:val="000000" w:themeColor="text1"/>
          <w:kern w:val="2"/>
          <w:lang w:bidi="ar"/>
        </w:rPr>
        <w:t xml:space="preserve"> values for multiple testing</w:t>
      </w:r>
      <w:bookmarkEnd w:id="3"/>
      <w:r w:rsidRPr="00ED0B9C">
        <w:rPr>
          <w:rFonts w:ascii="Times New Roman" w:hAnsi="Times New Roman" w:cs="Calibri"/>
          <w:color w:val="000000" w:themeColor="text1"/>
          <w:kern w:val="2"/>
          <w:lang w:bidi="ar"/>
        </w:rPr>
        <w:t>.</w:t>
      </w:r>
    </w:p>
    <w:p w14:paraId="5E822B0B" w14:textId="77777777" w:rsidR="008A45DA" w:rsidRPr="00ED0B9C" w:rsidRDefault="008A45DA">
      <w:pPr>
        <w:pStyle w:val="ab"/>
        <w:widowControl w:val="0"/>
        <w:spacing w:before="0" w:beforeAutospacing="0" w:after="0" w:afterAutospacing="0" w:line="360" w:lineRule="auto"/>
        <w:rPr>
          <w:rFonts w:ascii="Times New Roman" w:hAnsi="Times New Roman" w:cs="Calibri"/>
          <w:color w:val="000000" w:themeColor="text1"/>
          <w:kern w:val="2"/>
          <w:lang w:bidi="ar"/>
        </w:rPr>
      </w:pPr>
    </w:p>
    <w:p w14:paraId="42BA1E89" w14:textId="77777777" w:rsidR="00372E00" w:rsidRPr="00ED0B9C" w:rsidRDefault="00A77E06">
      <w:pPr>
        <w:pStyle w:val="ab"/>
        <w:widowControl w:val="0"/>
        <w:spacing w:before="0" w:beforeAutospacing="0" w:after="0" w:afterAutospacing="0" w:line="360" w:lineRule="auto"/>
        <w:rPr>
          <w:rFonts w:ascii="Times New Roman" w:hAnsi="Times New Roman" w:cs="Calibri"/>
          <w:color w:val="000000" w:themeColor="text1"/>
          <w:kern w:val="2"/>
          <w:lang w:bidi="ar"/>
        </w:rPr>
      </w:pPr>
      <w:r w:rsidRPr="00ED0B9C">
        <w:rPr>
          <w:rFonts w:ascii="Times New Roman" w:hAnsi="Times New Roman" w:cs="Calibri"/>
          <w:b/>
          <w:color w:val="000000" w:themeColor="text1"/>
          <w:kern w:val="2"/>
          <w:lang w:bidi="ar"/>
        </w:rPr>
        <w:t xml:space="preserve">Figure </w:t>
      </w:r>
      <w:r w:rsidR="00B160AE" w:rsidRPr="00ED0B9C">
        <w:rPr>
          <w:rFonts w:ascii="Times New Roman" w:hAnsi="Times New Roman" w:cs="Calibri"/>
          <w:b/>
          <w:color w:val="000000" w:themeColor="text1"/>
          <w:kern w:val="2"/>
          <w:lang w:bidi="ar"/>
        </w:rPr>
        <w:t>S</w:t>
      </w:r>
      <w:r w:rsidRPr="00ED0B9C">
        <w:rPr>
          <w:rFonts w:ascii="Times New Roman" w:hAnsi="Times New Roman" w:cs="Calibri" w:hint="eastAsia"/>
          <w:b/>
          <w:color w:val="000000" w:themeColor="text1"/>
          <w:kern w:val="2"/>
          <w:lang w:bidi="ar"/>
        </w:rPr>
        <w:t>7</w:t>
      </w:r>
      <w:r w:rsidRPr="00ED0B9C">
        <w:rPr>
          <w:rFonts w:ascii="Times New Roman" w:hAnsi="Times New Roman" w:cs="Calibri"/>
          <w:b/>
          <w:color w:val="000000" w:themeColor="text1"/>
          <w:kern w:val="2"/>
          <w:lang w:bidi="ar"/>
        </w:rPr>
        <w:t xml:space="preserve"> Fruit intake-related gut microbiota, fecal metabolites and T2D. </w:t>
      </w:r>
      <w:r w:rsidRPr="00ED0B9C">
        <w:rPr>
          <w:rFonts w:ascii="Times New Roman" w:hAnsi="Times New Roman" w:cs="Calibri"/>
          <w:b/>
          <w:bCs/>
          <w:color w:val="000000" w:themeColor="text1"/>
          <w:kern w:val="2"/>
          <w:lang w:bidi="ar"/>
        </w:rPr>
        <w:t>(A)</w:t>
      </w:r>
      <w:r w:rsidRPr="00ED0B9C">
        <w:rPr>
          <w:rFonts w:ascii="Times New Roman" w:hAnsi="Times New Roman" w:cs="Calibri"/>
          <w:color w:val="000000" w:themeColor="text1"/>
          <w:kern w:val="2"/>
          <w:lang w:bidi="ar"/>
        </w:rPr>
        <w:t xml:space="preserve"> Heatmap showing the variation of the association patterns of the fruit-associated gut microbiome alterations and specific fecal metabolites</w:t>
      </w:r>
      <w:r w:rsidRPr="00ED0B9C">
        <w:rPr>
          <w:rFonts w:ascii="Calibri" w:hAnsi="Calibri" w:cs="Calibri"/>
          <w:color w:val="000000" w:themeColor="text1"/>
          <w:kern w:val="2"/>
          <w:sz w:val="20"/>
          <w:szCs w:val="22"/>
          <w:lang w:bidi="ar"/>
        </w:rPr>
        <w:t xml:space="preserve"> </w:t>
      </w:r>
      <w:r w:rsidRPr="00ED0B9C">
        <w:rPr>
          <w:rFonts w:ascii="Times New Roman" w:hAnsi="Times New Roman" w:cs="Calibri"/>
          <w:color w:val="000000" w:themeColor="text1"/>
          <w:kern w:val="2"/>
          <w:lang w:bidi="ar"/>
        </w:rPr>
        <w:t xml:space="preserve">based on </w:t>
      </w:r>
      <w:bookmarkStart w:id="4" w:name="_Hlk39308034"/>
      <w:r w:rsidRPr="00ED0B9C">
        <w:rPr>
          <w:rFonts w:ascii="Times New Roman" w:hAnsi="Times New Roman" w:cs="Calibri"/>
          <w:color w:val="000000" w:themeColor="text1"/>
          <w:kern w:val="2"/>
          <w:lang w:bidi="ar"/>
        </w:rPr>
        <w:t>partial correlation</w:t>
      </w:r>
      <w:bookmarkEnd w:id="4"/>
      <w:r w:rsidRPr="00ED0B9C">
        <w:rPr>
          <w:rFonts w:ascii="Times New Roman" w:hAnsi="Times New Roman" w:cs="Calibri"/>
          <w:color w:val="000000" w:themeColor="text1"/>
          <w:kern w:val="2"/>
          <w:lang w:bidi="ar"/>
        </w:rPr>
        <w:t xml:space="preserve"> analysis adjusted for age, sex and BMI. For each cell, colours indicate the partial correlation rho values (red indicates positive associations with </w:t>
      </w:r>
      <w:r w:rsidRPr="00ED0B9C">
        <w:rPr>
          <w:rFonts w:ascii="Times New Roman" w:hAnsi="Times New Roman" w:cs="Calibri"/>
          <w:i/>
          <w:color w:val="000000" w:themeColor="text1"/>
          <w:kern w:val="2"/>
          <w:lang w:bidi="ar"/>
        </w:rPr>
        <w:t>p</w:t>
      </w:r>
      <w:r w:rsidRPr="00ED0B9C">
        <w:rPr>
          <w:rFonts w:ascii="Times New Roman" w:hAnsi="Times New Roman" w:cs="Calibri"/>
          <w:color w:val="000000" w:themeColor="text1"/>
          <w:kern w:val="2"/>
          <w:lang w:bidi="ar"/>
        </w:rPr>
        <w:t xml:space="preserve">&lt;0.05, blue indicates negative associations with </w:t>
      </w:r>
      <w:r w:rsidRPr="00ED0B9C">
        <w:rPr>
          <w:rFonts w:ascii="Times New Roman" w:hAnsi="Times New Roman" w:cs="Calibri"/>
          <w:i/>
          <w:color w:val="000000" w:themeColor="text1"/>
          <w:kern w:val="2"/>
          <w:lang w:bidi="ar"/>
        </w:rPr>
        <w:t>p</w:t>
      </w:r>
      <w:r w:rsidRPr="00ED0B9C">
        <w:rPr>
          <w:rFonts w:ascii="Times New Roman" w:hAnsi="Times New Roman" w:cs="Calibri"/>
          <w:color w:val="000000" w:themeColor="text1"/>
          <w:kern w:val="2"/>
          <w:lang w:bidi="ar"/>
        </w:rPr>
        <w:t xml:space="preserve">&lt;0.05). The identified 76 fecal metabolites were clustered into three modules. The module 1 represent the metabolites showing significantly positive association with the fruit-associated gut microbiota. The module 2 and 3 showing the metabolites significantly negative association with the fruit-associated gut microbiota. </w:t>
      </w:r>
      <w:r w:rsidRPr="00ED0B9C">
        <w:rPr>
          <w:rFonts w:ascii="Times New Roman" w:hAnsi="Times New Roman" w:cs="Calibri"/>
          <w:b/>
          <w:color w:val="000000" w:themeColor="text1"/>
          <w:kern w:val="2"/>
          <w:lang w:bidi="ar"/>
        </w:rPr>
        <w:t>(B)</w:t>
      </w:r>
      <w:r w:rsidRPr="00ED0B9C">
        <w:rPr>
          <w:rFonts w:ascii="Times New Roman" w:hAnsi="Times New Roman" w:cs="Calibri"/>
          <w:color w:val="000000" w:themeColor="text1"/>
          <w:kern w:val="2"/>
          <w:lang w:bidi="ar"/>
        </w:rPr>
        <w:t xml:space="preserve"> Co-occurrence network between the fruit-associated gut microbiota and specific fecal metabolites. The network shows two distinct characteristics of the fruit-positive and fruit-negative gut microbiota on modulating the fecal metabolites</w:t>
      </w:r>
      <w:r w:rsidRPr="00ED0B9C">
        <w:rPr>
          <w:rFonts w:ascii="Calibri" w:hAnsi="Calibri" w:cs="Calibri"/>
          <w:color w:val="000000" w:themeColor="text1"/>
          <w:kern w:val="2"/>
          <w:sz w:val="20"/>
          <w:szCs w:val="22"/>
          <w:lang w:bidi="ar"/>
        </w:rPr>
        <w:t xml:space="preserve"> </w:t>
      </w:r>
      <w:r w:rsidRPr="00ED0B9C">
        <w:rPr>
          <w:rFonts w:ascii="Times New Roman" w:hAnsi="Times New Roman" w:cs="Calibri"/>
          <w:color w:val="000000" w:themeColor="text1"/>
          <w:kern w:val="2"/>
          <w:lang w:bidi="ar"/>
        </w:rPr>
        <w:t xml:space="preserve">(red circles indicate fruit-positive </w:t>
      </w:r>
      <w:bookmarkStart w:id="5" w:name="_Hlk39309871"/>
      <w:r w:rsidRPr="00ED0B9C">
        <w:rPr>
          <w:rFonts w:ascii="Times New Roman" w:hAnsi="Times New Roman" w:cs="Calibri"/>
          <w:color w:val="000000" w:themeColor="text1"/>
          <w:kern w:val="2"/>
          <w:lang w:bidi="ar"/>
        </w:rPr>
        <w:t>OTU</w:t>
      </w:r>
      <w:bookmarkEnd w:id="5"/>
      <w:r w:rsidRPr="00ED0B9C">
        <w:rPr>
          <w:rFonts w:ascii="Times New Roman" w:hAnsi="Times New Roman" w:cs="Calibri"/>
          <w:color w:val="000000" w:themeColor="text1"/>
          <w:kern w:val="2"/>
          <w:lang w:bidi="ar"/>
        </w:rPr>
        <w:t>s, green circles indicate fruit-negative OTUs, red lines indicate positive association, and green lines indicate negative association).</w:t>
      </w:r>
      <w:r w:rsidRPr="00ED0B9C">
        <w:rPr>
          <w:rFonts w:ascii="Calibri" w:hAnsi="Calibri" w:cs="Calibri"/>
          <w:color w:val="000000" w:themeColor="text1"/>
          <w:kern w:val="2"/>
          <w:sz w:val="20"/>
          <w:szCs w:val="22"/>
          <w:lang w:bidi="ar"/>
        </w:rPr>
        <w:t xml:space="preserve"> </w:t>
      </w:r>
      <w:r w:rsidRPr="00ED0B9C">
        <w:rPr>
          <w:rFonts w:ascii="Times New Roman" w:hAnsi="Times New Roman" w:cs="Calibri"/>
          <w:b/>
          <w:color w:val="000000" w:themeColor="text1"/>
          <w:kern w:val="2"/>
          <w:lang w:bidi="ar"/>
        </w:rPr>
        <w:t>(C)</w:t>
      </w:r>
      <w:r w:rsidRPr="00ED0B9C">
        <w:rPr>
          <w:rFonts w:ascii="Times New Roman" w:hAnsi="Times New Roman" w:cs="Calibri"/>
          <w:color w:val="000000" w:themeColor="text1"/>
          <w:kern w:val="2"/>
          <w:lang w:bidi="ar"/>
        </w:rPr>
        <w:t xml:space="preserve"> Inter-relationships among the fruit-related gut microbiota, fecal metabolites and T2D</w:t>
      </w:r>
      <w:r w:rsidRPr="00ED0B9C">
        <w:rPr>
          <w:rFonts w:ascii="Calibri" w:hAnsi="Calibri" w:cs="Calibri"/>
          <w:color w:val="000000" w:themeColor="text1"/>
          <w:kern w:val="2"/>
          <w:sz w:val="20"/>
          <w:szCs w:val="22"/>
          <w:lang w:bidi="ar"/>
        </w:rPr>
        <w:t xml:space="preserve"> </w:t>
      </w:r>
      <w:r w:rsidRPr="00ED0B9C">
        <w:rPr>
          <w:rFonts w:ascii="Times New Roman" w:hAnsi="Times New Roman" w:cs="Calibri"/>
          <w:color w:val="000000" w:themeColor="text1"/>
          <w:kern w:val="2"/>
          <w:lang w:bidi="ar"/>
        </w:rPr>
        <w:t>(red metabolite circles indicate T2D-positive metabolites, green metabolite circles indicate T2D-negative metabolites, green OTU circles indicate fruit-positive OTUs, red OTU circles indicate fruit-negative OTUs, red lines indicate positive association, and green lines indicate negative association).</w:t>
      </w:r>
    </w:p>
    <w:p w14:paraId="793249EE" w14:textId="77777777" w:rsidR="00372E00" w:rsidRPr="00ED0B9C" w:rsidRDefault="00372E00">
      <w:pPr>
        <w:pStyle w:val="ab"/>
        <w:widowControl w:val="0"/>
        <w:spacing w:before="0" w:beforeAutospacing="0" w:after="0" w:afterAutospacing="0" w:line="360" w:lineRule="auto"/>
        <w:rPr>
          <w:rFonts w:ascii="Times New Roman" w:hAnsi="Times New Roman" w:cs="Calibri"/>
          <w:color w:val="000000" w:themeColor="text1"/>
          <w:kern w:val="2"/>
          <w:lang w:bidi="ar"/>
        </w:rPr>
      </w:pPr>
    </w:p>
    <w:p w14:paraId="194B1956" w14:textId="77777777" w:rsidR="00372E00" w:rsidRPr="00ED0B9C" w:rsidRDefault="00A77E06">
      <w:pPr>
        <w:spacing w:line="360" w:lineRule="auto"/>
        <w:rPr>
          <w:rFonts w:ascii="Times New Roman" w:hAnsi="Times New Roman"/>
          <w:b/>
          <w:bCs/>
          <w:color w:val="000000" w:themeColor="text1"/>
          <w:sz w:val="24"/>
          <w:szCs w:val="24"/>
        </w:rPr>
      </w:pPr>
      <w:r w:rsidRPr="00ED0B9C">
        <w:rPr>
          <w:rFonts w:ascii="Times New Roman" w:hAnsi="Times New Roman"/>
          <w:b/>
          <w:bCs/>
          <w:color w:val="000000" w:themeColor="text1"/>
          <w:sz w:val="24"/>
          <w:szCs w:val="24"/>
        </w:rPr>
        <w:t xml:space="preserve">Figure </w:t>
      </w:r>
      <w:r w:rsidR="00B160AE" w:rsidRPr="00ED0B9C">
        <w:rPr>
          <w:rFonts w:ascii="Times New Roman" w:hAnsi="Times New Roman"/>
          <w:b/>
          <w:bCs/>
          <w:color w:val="000000" w:themeColor="text1"/>
          <w:sz w:val="24"/>
          <w:szCs w:val="24"/>
        </w:rPr>
        <w:t>S</w:t>
      </w:r>
      <w:r w:rsidRPr="00ED0B9C">
        <w:rPr>
          <w:rFonts w:ascii="Times New Roman" w:hAnsi="Times New Roman" w:hint="eastAsia"/>
          <w:b/>
          <w:bCs/>
          <w:color w:val="000000" w:themeColor="text1"/>
          <w:sz w:val="24"/>
          <w:szCs w:val="24"/>
        </w:rPr>
        <w:t>8</w:t>
      </w:r>
      <w:r w:rsidRPr="00ED0B9C">
        <w:rPr>
          <w:rFonts w:ascii="Times New Roman" w:hAnsi="Times New Roman"/>
          <w:b/>
          <w:bCs/>
          <w:color w:val="000000" w:themeColor="text1"/>
          <w:sz w:val="24"/>
          <w:szCs w:val="24"/>
        </w:rPr>
        <w:t xml:space="preserve"> Pathways enrichment analysis of the identified fecal metabolites associated with the fruit-related gut microbiota. </w:t>
      </w:r>
      <w:r w:rsidRPr="00ED0B9C">
        <w:rPr>
          <w:rFonts w:ascii="Times New Roman" w:hAnsi="Times New Roman"/>
          <w:color w:val="000000" w:themeColor="text1"/>
          <w:sz w:val="24"/>
          <w:szCs w:val="24"/>
        </w:rPr>
        <w:t>Pathways enrichment analyses of the identified fecal metabolites were performed by MetaboAnalyst 4.0.</w:t>
      </w:r>
      <w:r w:rsidRPr="00ED0B9C">
        <w:rPr>
          <w:color w:val="000000" w:themeColor="text1"/>
          <w:sz w:val="24"/>
          <w:szCs w:val="24"/>
        </w:rPr>
        <w:t xml:space="preserve"> </w:t>
      </w:r>
      <w:r w:rsidRPr="00ED0B9C">
        <w:rPr>
          <w:rFonts w:ascii="Times New Roman" w:hAnsi="Times New Roman"/>
          <w:color w:val="000000" w:themeColor="text1"/>
          <w:sz w:val="24"/>
          <w:szCs w:val="24"/>
        </w:rPr>
        <w:t>Points are coloured based on the significance of the obtained associations (red indicates FMI-</w:t>
      </w:r>
      <w:r w:rsidRPr="00ED0B9C">
        <w:rPr>
          <w:rFonts w:ascii="Times New Roman" w:hAnsi="Times New Roman"/>
          <w:color w:val="000000" w:themeColor="text1"/>
          <w:sz w:val="24"/>
          <w:szCs w:val="24"/>
        </w:rPr>
        <w:lastRenderedPageBreak/>
        <w:t xml:space="preserve">positive association with </w:t>
      </w:r>
      <w:r w:rsidRPr="00ED0B9C">
        <w:rPr>
          <w:rFonts w:ascii="Times New Roman" w:hAnsi="Times New Roman"/>
          <w:i/>
          <w:iCs/>
          <w:color w:val="000000" w:themeColor="text1"/>
          <w:sz w:val="24"/>
          <w:szCs w:val="24"/>
        </w:rPr>
        <w:t>p</w:t>
      </w:r>
      <w:r w:rsidRPr="00ED0B9C">
        <w:rPr>
          <w:rFonts w:ascii="Times New Roman" w:hAnsi="Times New Roman"/>
          <w:color w:val="000000" w:themeColor="text1"/>
          <w:sz w:val="24"/>
          <w:szCs w:val="24"/>
        </w:rPr>
        <w:t>&lt;0.05,</w:t>
      </w:r>
      <w:r w:rsidRPr="00ED0B9C">
        <w:rPr>
          <w:color w:val="000000" w:themeColor="text1"/>
          <w:sz w:val="24"/>
          <w:szCs w:val="24"/>
        </w:rPr>
        <w:t xml:space="preserve"> </w:t>
      </w:r>
      <w:r w:rsidRPr="00ED0B9C">
        <w:rPr>
          <w:rFonts w:ascii="Times New Roman" w:hAnsi="Times New Roman"/>
          <w:color w:val="000000" w:themeColor="text1"/>
          <w:sz w:val="24"/>
          <w:szCs w:val="24"/>
        </w:rPr>
        <w:t xml:space="preserve">green indicates FMI-negative association with </w:t>
      </w:r>
      <w:r w:rsidRPr="00ED0B9C">
        <w:rPr>
          <w:rFonts w:ascii="Times New Roman" w:hAnsi="Times New Roman"/>
          <w:i/>
          <w:iCs/>
          <w:color w:val="000000" w:themeColor="text1"/>
          <w:sz w:val="24"/>
          <w:szCs w:val="24"/>
        </w:rPr>
        <w:t>p</w:t>
      </w:r>
      <w:r w:rsidRPr="00ED0B9C">
        <w:rPr>
          <w:rFonts w:ascii="Times New Roman" w:hAnsi="Times New Roman"/>
          <w:color w:val="000000" w:themeColor="text1"/>
          <w:sz w:val="24"/>
          <w:szCs w:val="24"/>
        </w:rPr>
        <w:t>&lt;0.05).</w:t>
      </w:r>
      <w:r w:rsidRPr="00ED0B9C">
        <w:rPr>
          <w:rFonts w:ascii="Times New Roman" w:hAnsi="Times New Roman" w:hint="eastAsia"/>
          <w:color w:val="000000" w:themeColor="text1"/>
          <w:sz w:val="24"/>
          <w:szCs w:val="24"/>
        </w:rPr>
        <w:t xml:space="preserve"> </w:t>
      </w:r>
      <w:r w:rsidRPr="00ED0B9C">
        <w:rPr>
          <w:rFonts w:ascii="Times New Roman" w:hAnsi="Times New Roman"/>
          <w:color w:val="000000" w:themeColor="text1"/>
          <w:sz w:val="24"/>
          <w:szCs w:val="24"/>
        </w:rPr>
        <w:t>Partial correlation analysis</w:t>
      </w:r>
      <w:r w:rsidRPr="00ED0B9C">
        <w:rPr>
          <w:color w:val="000000" w:themeColor="text1"/>
          <w:sz w:val="24"/>
          <w:szCs w:val="24"/>
        </w:rPr>
        <w:t xml:space="preserve"> </w:t>
      </w:r>
      <w:r w:rsidRPr="00ED0B9C">
        <w:rPr>
          <w:rFonts w:ascii="Times New Roman" w:hAnsi="Times New Roman"/>
          <w:color w:val="000000" w:themeColor="text1"/>
          <w:sz w:val="24"/>
          <w:szCs w:val="24"/>
        </w:rPr>
        <w:t>was used to calculate</w:t>
      </w:r>
      <w:r w:rsidRPr="00ED0B9C">
        <w:rPr>
          <w:color w:val="000000" w:themeColor="text1"/>
          <w:sz w:val="24"/>
          <w:szCs w:val="24"/>
        </w:rPr>
        <w:t xml:space="preserve"> </w:t>
      </w:r>
      <w:r w:rsidRPr="00ED0B9C">
        <w:rPr>
          <w:rFonts w:ascii="Times New Roman" w:hAnsi="Times New Roman"/>
          <w:color w:val="000000" w:themeColor="text1"/>
          <w:sz w:val="24"/>
          <w:szCs w:val="24"/>
        </w:rPr>
        <w:t xml:space="preserve">the association of the fruit-microbiota index with fecal metabolites, adjusted for age, sex and BMI. </w:t>
      </w:r>
      <w:r w:rsidRPr="00ED0B9C">
        <w:rPr>
          <w:rFonts w:ascii="Times New Roman" w:hAnsi="Times New Roman"/>
          <w:i/>
          <w:iCs/>
          <w:color w:val="000000" w:themeColor="text1"/>
          <w:sz w:val="24"/>
          <w:szCs w:val="24"/>
        </w:rPr>
        <w:t>p</w:t>
      </w:r>
      <w:r w:rsidRPr="00ED0B9C">
        <w:rPr>
          <w:rFonts w:ascii="Times New Roman" w:hAnsi="Times New Roman"/>
          <w:color w:val="000000" w:themeColor="text1"/>
          <w:sz w:val="24"/>
          <w:szCs w:val="24"/>
        </w:rPr>
        <w:t xml:space="preserve"> value &lt; 0.05 is significantly different.</w:t>
      </w:r>
      <w:r w:rsidRPr="00ED0B9C">
        <w:rPr>
          <w:color w:val="000000" w:themeColor="text1"/>
          <w:sz w:val="24"/>
          <w:szCs w:val="24"/>
        </w:rPr>
        <w:t xml:space="preserve"> </w:t>
      </w:r>
      <w:r w:rsidRPr="00ED0B9C">
        <w:rPr>
          <w:rFonts w:ascii="Times New Roman" w:hAnsi="Times New Roman"/>
          <w:color w:val="000000" w:themeColor="text1"/>
          <w:sz w:val="24"/>
          <w:szCs w:val="24"/>
        </w:rPr>
        <w:t xml:space="preserve">The Benjamini-Hochberg method was used to adjust </w:t>
      </w:r>
      <w:r w:rsidRPr="00ED0B9C">
        <w:rPr>
          <w:rFonts w:ascii="Times New Roman" w:hAnsi="Times New Roman"/>
          <w:i/>
          <w:iCs/>
          <w:color w:val="000000" w:themeColor="text1"/>
          <w:sz w:val="24"/>
          <w:szCs w:val="24"/>
        </w:rPr>
        <w:t>p</w:t>
      </w:r>
      <w:r w:rsidRPr="00ED0B9C">
        <w:rPr>
          <w:rFonts w:ascii="Times New Roman" w:hAnsi="Times New Roman"/>
          <w:color w:val="000000" w:themeColor="text1"/>
          <w:sz w:val="24"/>
          <w:szCs w:val="24"/>
        </w:rPr>
        <w:t xml:space="preserve"> values for multiple testing.</w:t>
      </w:r>
      <w:bookmarkEnd w:id="1"/>
      <w:r w:rsidRPr="00ED0B9C">
        <w:rPr>
          <w:rFonts w:ascii="Times New Roman" w:hAnsi="Times New Roman"/>
          <w:color w:val="000000" w:themeColor="text1"/>
        </w:rPr>
        <w:br w:type="page"/>
      </w:r>
      <w:r w:rsidRPr="00ED0B9C">
        <w:rPr>
          <w:rFonts w:ascii="Times New Roman" w:hAnsi="Times New Roman"/>
          <w:b/>
          <w:bCs/>
          <w:color w:val="000000" w:themeColor="text1"/>
          <w:sz w:val="24"/>
          <w:szCs w:val="24"/>
        </w:rPr>
        <w:lastRenderedPageBreak/>
        <w:t>Supplemental Methods</w:t>
      </w:r>
    </w:p>
    <w:p w14:paraId="7117C50B" w14:textId="77777777" w:rsidR="00372E00" w:rsidRPr="00ED0B9C" w:rsidRDefault="00B160AE">
      <w:pPr>
        <w:spacing w:line="360" w:lineRule="auto"/>
        <w:jc w:val="left"/>
        <w:rPr>
          <w:rFonts w:ascii="Times New Roman" w:hAnsi="Times New Roman" w:cs="Times New Roman"/>
          <w:b/>
          <w:color w:val="000000" w:themeColor="text1"/>
          <w:sz w:val="24"/>
          <w:szCs w:val="24"/>
        </w:rPr>
      </w:pPr>
      <w:bookmarkStart w:id="6" w:name="_Hlk43714929"/>
      <w:r w:rsidRPr="00ED0B9C">
        <w:rPr>
          <w:rFonts w:ascii="Times New Roman" w:eastAsia="宋体" w:hAnsi="Times New Roman" w:cs="Times New Roman"/>
          <w:b/>
          <w:bCs/>
          <w:color w:val="000000" w:themeColor="text1"/>
          <w:sz w:val="24"/>
          <w:szCs w:val="24"/>
        </w:rPr>
        <w:t xml:space="preserve">Method S1 </w:t>
      </w:r>
      <w:r w:rsidR="00A77E06" w:rsidRPr="00ED0B9C">
        <w:rPr>
          <w:rFonts w:ascii="Times New Roman" w:eastAsia="宋体" w:hAnsi="Times New Roman" w:cs="Times New Roman"/>
          <w:b/>
          <w:bCs/>
          <w:color w:val="000000" w:themeColor="text1"/>
          <w:sz w:val="24"/>
          <w:szCs w:val="24"/>
        </w:rPr>
        <w:t xml:space="preserve">Fecal microbial </w:t>
      </w:r>
      <w:r w:rsidR="00A77E06" w:rsidRPr="00ED0B9C">
        <w:rPr>
          <w:rFonts w:ascii="Times New Roman" w:hAnsi="Times New Roman" w:cs="Times New Roman"/>
          <w:b/>
          <w:color w:val="000000" w:themeColor="text1"/>
          <w:sz w:val="24"/>
          <w:szCs w:val="24"/>
        </w:rPr>
        <w:t xml:space="preserve">DNA extraction and 16S rRNA </w:t>
      </w:r>
      <w:r w:rsidR="00A77E06" w:rsidRPr="00ED0B9C">
        <w:rPr>
          <w:rFonts w:ascii="Times New Roman" w:hAnsi="Times New Roman" w:cs="Times New Roman" w:hint="eastAsia"/>
          <w:b/>
          <w:color w:val="000000" w:themeColor="text1"/>
          <w:sz w:val="24"/>
          <w:szCs w:val="24"/>
        </w:rPr>
        <w:t>gene</w:t>
      </w:r>
      <w:r w:rsidR="00A77E06" w:rsidRPr="00ED0B9C">
        <w:rPr>
          <w:rFonts w:ascii="Times New Roman" w:hAnsi="Times New Roman" w:cs="Times New Roman"/>
          <w:b/>
          <w:color w:val="000000" w:themeColor="text1"/>
          <w:sz w:val="24"/>
          <w:szCs w:val="24"/>
        </w:rPr>
        <w:t xml:space="preserve"> sequenc</w:t>
      </w:r>
      <w:r w:rsidR="00A77E06" w:rsidRPr="00ED0B9C">
        <w:rPr>
          <w:rFonts w:ascii="Times New Roman" w:hAnsi="Times New Roman" w:cs="Times New Roman" w:hint="eastAsia"/>
          <w:b/>
          <w:color w:val="000000" w:themeColor="text1"/>
          <w:sz w:val="24"/>
          <w:szCs w:val="24"/>
        </w:rPr>
        <w:t>ing</w:t>
      </w:r>
      <w:r w:rsidR="00A77E06" w:rsidRPr="00ED0B9C">
        <w:rPr>
          <w:rFonts w:ascii="Times New Roman" w:hAnsi="Times New Roman" w:cs="Times New Roman"/>
          <w:b/>
          <w:color w:val="000000" w:themeColor="text1"/>
          <w:sz w:val="24"/>
          <w:szCs w:val="24"/>
        </w:rPr>
        <w:t xml:space="preserve"> in GNHS</w:t>
      </w:r>
      <w:bookmarkEnd w:id="6"/>
    </w:p>
    <w:p w14:paraId="37EF17CE" w14:textId="77777777" w:rsidR="00372E00" w:rsidRPr="00ED0B9C" w:rsidRDefault="00A77E06">
      <w:pPr>
        <w:spacing w:line="360" w:lineRule="auto"/>
        <w:jc w:val="left"/>
        <w:rPr>
          <w:rFonts w:ascii="Times New Roman" w:hAnsi="Times New Roman" w:cs="Times New Roman"/>
          <w:color w:val="000000" w:themeColor="text1"/>
          <w:sz w:val="24"/>
          <w:szCs w:val="24"/>
        </w:rPr>
      </w:pPr>
      <w:r w:rsidRPr="00ED0B9C">
        <w:rPr>
          <w:rFonts w:ascii="Times New Roman" w:hAnsi="Times New Roman" w:cs="Times New Roman"/>
          <w:color w:val="000000" w:themeColor="text1"/>
          <w:sz w:val="24"/>
          <w:szCs w:val="24"/>
        </w:rPr>
        <w:t>Fecal microbial DNA was extracted from each sample using the QIAamp® DNA Stool Mini Kit (Qiagen, Hilden, Germany) following the manufacturer’s instruction. DNA concentration and purity were monitored on 1% agarose gels. According to the concentration, DNA was diluted to 1 ng/</w:t>
      </w:r>
      <w:r w:rsidRPr="00ED0B9C">
        <w:rPr>
          <w:rFonts w:ascii="Times New Roman" w:eastAsia="宋体" w:hAnsi="Times New Roman" w:cs="Times New Roman"/>
          <w:color w:val="000000" w:themeColor="text1"/>
          <w:sz w:val="24"/>
          <w:szCs w:val="24"/>
        </w:rPr>
        <w:t>μ</w:t>
      </w:r>
      <w:r w:rsidRPr="00ED0B9C">
        <w:rPr>
          <w:rFonts w:ascii="Times New Roman" w:hAnsi="Times New Roman" w:cs="Times New Roman"/>
          <w:color w:val="000000" w:themeColor="text1"/>
          <w:sz w:val="24"/>
          <w:szCs w:val="24"/>
        </w:rPr>
        <w:t>L using sterile water.</w:t>
      </w:r>
      <w:r w:rsidRPr="00ED0B9C">
        <w:rPr>
          <w:rFonts w:ascii="Times New Roman" w:hAnsi="Times New Roman" w:cs="Times New Roman" w:hint="eastAsia"/>
          <w:color w:val="000000" w:themeColor="text1"/>
          <w:sz w:val="24"/>
          <w:szCs w:val="24"/>
        </w:rPr>
        <w:t xml:space="preserve"> </w:t>
      </w:r>
      <w:r w:rsidRPr="00ED0B9C">
        <w:rPr>
          <w:rFonts w:ascii="Times New Roman" w:hAnsi="Times New Roman" w:cs="Times New Roman"/>
          <w:color w:val="000000" w:themeColor="text1"/>
          <w:sz w:val="24"/>
          <w:szCs w:val="24"/>
        </w:rPr>
        <w:t xml:space="preserve">The 16S rRNA gene amplification procedure was divided into two PCR steps, in the first PCR reaction, the </w:t>
      </w:r>
      <w:bookmarkStart w:id="7" w:name="OLE_LINK10"/>
      <w:bookmarkStart w:id="8" w:name="OLE_LINK11"/>
      <w:r w:rsidRPr="00ED0B9C">
        <w:rPr>
          <w:rFonts w:ascii="Times New Roman" w:hAnsi="Times New Roman" w:cs="Times New Roman"/>
          <w:color w:val="000000" w:themeColor="text1"/>
          <w:sz w:val="24"/>
          <w:szCs w:val="24"/>
        </w:rPr>
        <w:t>V3-V4 hypervariable region</w:t>
      </w:r>
      <w:bookmarkEnd w:id="7"/>
      <w:bookmarkEnd w:id="8"/>
      <w:r w:rsidRPr="00ED0B9C">
        <w:rPr>
          <w:rFonts w:ascii="Times New Roman" w:hAnsi="Times New Roman" w:cs="Times New Roman"/>
          <w:color w:val="000000" w:themeColor="text1"/>
          <w:sz w:val="24"/>
          <w:szCs w:val="24"/>
        </w:rPr>
        <w:t xml:space="preserve"> of the 16S rRNA gene was amplified from genomic DNA using primers 341F(CCTACGGGNGGCWGCAG) and 805R(GACTACHVGGGTATCTAATCC).</w:t>
      </w:r>
      <w:r w:rsidRPr="00ED0B9C">
        <w:rPr>
          <w:rFonts w:ascii="Times New Roman" w:hAnsi="Times New Roman" w:cs="Times New Roman" w:hint="eastAsia"/>
          <w:color w:val="000000" w:themeColor="text1"/>
          <w:sz w:val="24"/>
          <w:szCs w:val="24"/>
        </w:rPr>
        <w:t xml:space="preserve"> </w:t>
      </w:r>
      <w:r w:rsidRPr="00ED0B9C">
        <w:rPr>
          <w:rFonts w:ascii="Times New Roman" w:hAnsi="Times New Roman" w:cs="Times New Roman"/>
          <w:color w:val="000000" w:themeColor="text1"/>
          <w:sz w:val="24"/>
          <w:szCs w:val="24"/>
        </w:rPr>
        <w:t xml:space="preserve">Amplification was performed in 96-well microtiter plates with a reaction mixture consisting of 1X KAPA HiFi Hot start Ready Mix, 0.1µM primer 341 F, 0.1 µM primer 805 R, and 12.5 ng template DNA, giving a total volume of 50 µL per sample. Reactions were run in a T100 PCR thermocycle (BIO-RAD) according to the following cycling program: 3 min of denaturation at 94 °C, followed by 18 cycles of 30 s at 94 °C (denaturing), 30 s at 55 °C (annealing), and 30 s at 72 °C (elongation), with a final extension at 72 °C for 5 min. Subsequently, the amplified products were checked by 2% agarose gel electrophoresis and ethidium bromide staining. Amplicons were quantified using the Qubit quantification system (Thermo Scientific, Wilmington, DE, US) following the manufacturers’ instructions. Sequencing primers and adaptors were added to the amplicon products in the second PCR step as follows 2 µL of the diluted amplicons were mixed with a reaction solution consisting of 1×KAPA HiFi Hotstart ReadyMix, 0.5µM fusion forward and 0.5µM fusion reverse primer, 30 ng Meta-gDNA(total volume 50 µL). The PCR was run according to the cycling program above except with cycling number of 12. The amplification products were purified with Agencourt AMPure XP Beads (Beckman Coulter Genomics, MA, USA) according to the manufacturer’s instructions and quantified as described above. Equimolar amounts of the amplification products were pooled together in a single tube. The concentration of the pooled libraries was determined by the Qubit quantification system. Amplicon sequencing was performed </w:t>
      </w:r>
      <w:r w:rsidRPr="00ED0B9C">
        <w:rPr>
          <w:rFonts w:ascii="Times New Roman" w:hAnsi="Times New Roman" w:cs="Times New Roman"/>
          <w:color w:val="000000" w:themeColor="text1"/>
          <w:sz w:val="24"/>
          <w:szCs w:val="24"/>
        </w:rPr>
        <w:lastRenderedPageBreak/>
        <w:t>on the Illuimina MiSeq System (Illumina Inc., CA, USA). The MiSeq Reagent Kits v2 (Illumina Inc.) was used. Automated cluster generation and 2 × 250 bp paired-end sequencing with dual-index reads were performed.</w:t>
      </w:r>
    </w:p>
    <w:p w14:paraId="6A710762" w14:textId="77777777" w:rsidR="00372E00" w:rsidRPr="00ED0B9C" w:rsidRDefault="00372E00">
      <w:pPr>
        <w:spacing w:line="360" w:lineRule="auto"/>
        <w:jc w:val="left"/>
        <w:rPr>
          <w:rFonts w:ascii="Times New Roman" w:hAnsi="Times New Roman" w:cs="Times New Roman"/>
          <w:color w:val="000000" w:themeColor="text1"/>
          <w:sz w:val="24"/>
          <w:szCs w:val="24"/>
        </w:rPr>
      </w:pPr>
    </w:p>
    <w:p w14:paraId="0D353ABB" w14:textId="77777777" w:rsidR="00372E00" w:rsidRPr="00ED0B9C" w:rsidRDefault="00B160AE">
      <w:pPr>
        <w:spacing w:line="360" w:lineRule="auto"/>
        <w:jc w:val="left"/>
        <w:rPr>
          <w:rFonts w:ascii="Times New Roman" w:hAnsi="Times New Roman"/>
          <w:b/>
          <w:color w:val="000000" w:themeColor="text1"/>
          <w:sz w:val="24"/>
          <w:szCs w:val="24"/>
        </w:rPr>
      </w:pPr>
      <w:r w:rsidRPr="00ED0B9C">
        <w:rPr>
          <w:rFonts w:ascii="Times New Roman" w:hAnsi="Times New Roman"/>
          <w:b/>
          <w:color w:val="000000" w:themeColor="text1"/>
          <w:sz w:val="24"/>
          <w:szCs w:val="24"/>
        </w:rPr>
        <w:t xml:space="preserve">Method S2 </w:t>
      </w:r>
      <w:r w:rsidR="00A77E06" w:rsidRPr="00ED0B9C">
        <w:rPr>
          <w:rFonts w:ascii="Times New Roman" w:hAnsi="Times New Roman"/>
          <w:b/>
          <w:color w:val="000000" w:themeColor="text1"/>
          <w:sz w:val="24"/>
          <w:szCs w:val="24"/>
        </w:rPr>
        <w:t xml:space="preserve">16S rRNA </w:t>
      </w:r>
      <w:r w:rsidR="00A77E06" w:rsidRPr="00ED0B9C">
        <w:rPr>
          <w:rFonts w:ascii="Times New Roman" w:hAnsi="Times New Roman" w:hint="eastAsia"/>
          <w:b/>
          <w:color w:val="000000" w:themeColor="text1"/>
          <w:sz w:val="24"/>
          <w:szCs w:val="24"/>
        </w:rPr>
        <w:t>gene</w:t>
      </w:r>
      <w:r w:rsidR="00A77E06" w:rsidRPr="00ED0B9C">
        <w:rPr>
          <w:rFonts w:ascii="Times New Roman" w:hAnsi="Times New Roman"/>
          <w:b/>
          <w:color w:val="000000" w:themeColor="text1"/>
          <w:sz w:val="24"/>
          <w:szCs w:val="24"/>
        </w:rPr>
        <w:t xml:space="preserve"> sequenc</w:t>
      </w:r>
      <w:r w:rsidR="00A77E06" w:rsidRPr="00ED0B9C">
        <w:rPr>
          <w:rFonts w:ascii="Times New Roman" w:hAnsi="Times New Roman" w:hint="eastAsia"/>
          <w:b/>
          <w:color w:val="000000" w:themeColor="text1"/>
          <w:sz w:val="24"/>
          <w:szCs w:val="24"/>
        </w:rPr>
        <w:t>ing</w:t>
      </w:r>
      <w:r w:rsidR="00A77E06" w:rsidRPr="00ED0B9C">
        <w:rPr>
          <w:rFonts w:ascii="Times New Roman" w:hAnsi="Times New Roman"/>
          <w:b/>
          <w:color w:val="000000" w:themeColor="text1"/>
          <w:sz w:val="24"/>
          <w:szCs w:val="24"/>
        </w:rPr>
        <w:t xml:space="preserve"> </w:t>
      </w:r>
      <w:r w:rsidR="00A77E06" w:rsidRPr="00ED0B9C">
        <w:rPr>
          <w:rFonts w:ascii="Times New Roman" w:hAnsi="Times New Roman" w:hint="eastAsia"/>
          <w:b/>
          <w:bCs/>
          <w:color w:val="000000" w:themeColor="text1"/>
          <w:sz w:val="24"/>
          <w:szCs w:val="24"/>
        </w:rPr>
        <w:t>b</w:t>
      </w:r>
      <w:r w:rsidR="00A77E06" w:rsidRPr="00ED0B9C">
        <w:rPr>
          <w:rFonts w:ascii="Times New Roman" w:hAnsi="Times New Roman"/>
          <w:b/>
          <w:bCs/>
          <w:color w:val="000000" w:themeColor="text1"/>
          <w:sz w:val="24"/>
          <w:szCs w:val="24"/>
        </w:rPr>
        <w:t>ioinformatic</w:t>
      </w:r>
      <w:r w:rsidR="00A77E06" w:rsidRPr="00ED0B9C">
        <w:rPr>
          <w:rFonts w:ascii="Times New Roman" w:hAnsi="Times New Roman"/>
          <w:b/>
          <w:color w:val="000000" w:themeColor="text1"/>
          <w:sz w:val="24"/>
          <w:szCs w:val="24"/>
        </w:rPr>
        <w:t>s in GNHS</w:t>
      </w:r>
    </w:p>
    <w:p w14:paraId="4E1AE2A3" w14:textId="77777777" w:rsidR="00372E00" w:rsidRPr="00ED0B9C" w:rsidRDefault="00A77E06">
      <w:pPr>
        <w:spacing w:line="360" w:lineRule="auto"/>
        <w:jc w:val="left"/>
        <w:rPr>
          <w:rFonts w:ascii="Times New Roman" w:hAnsi="Times New Roman" w:cs="Times New Roman"/>
          <w:color w:val="000000" w:themeColor="text1"/>
          <w:sz w:val="24"/>
          <w:szCs w:val="24"/>
        </w:rPr>
      </w:pPr>
      <w:bookmarkStart w:id="9" w:name="_Hlk27404756"/>
      <w:r w:rsidRPr="00ED0B9C">
        <w:rPr>
          <w:rFonts w:ascii="Times New Roman" w:hAnsi="Times New Roman" w:cs="Times New Roman"/>
          <w:color w:val="000000" w:themeColor="text1"/>
          <w:sz w:val="24"/>
          <w:szCs w:val="24"/>
        </w:rPr>
        <w:t xml:space="preserve">Fastq-files were demultiplexed by the MiSeq Controller Software (Illumina Inc.). The sequences were trimmed for amplification primers, diversity spacers, and sequencing adapters, merge-paired and quality filtered by USEARCH. UPARSE was used for operational taxonomic unit (OTU) clustering equaling or above 97%. Taxonomy of the OTUs was assigned and sequences were aligned with RDP classifier. A representative sequence was picked for each OTU and the Greengenes reference database was used to annotate taxonomic information for each representative sequence. The OTUs were analyzed by phylogenetic and </w:t>
      </w:r>
      <w:bookmarkStart w:id="10" w:name="_Hlk27404147"/>
      <w:r w:rsidRPr="00ED0B9C">
        <w:rPr>
          <w:rFonts w:ascii="Times New Roman" w:hAnsi="Times New Roman" w:cs="Times New Roman"/>
          <w:color w:val="000000" w:themeColor="text1"/>
          <w:sz w:val="24"/>
          <w:szCs w:val="24"/>
        </w:rPr>
        <w:t>operational taxonomic unit</w:t>
      </w:r>
      <w:bookmarkEnd w:id="10"/>
      <w:r w:rsidRPr="00ED0B9C">
        <w:rPr>
          <w:rFonts w:ascii="Times New Roman" w:hAnsi="Times New Roman" w:cs="Times New Roman"/>
          <w:color w:val="000000" w:themeColor="text1"/>
          <w:sz w:val="24"/>
          <w:szCs w:val="24"/>
        </w:rPr>
        <w:t xml:space="preserve"> methods in the Quantitative Insights into Microbial Ecology (QIIME) software version 1.9.0. α-diversity (Observed species, Shannon index, Chao1 index) and β-diversity (Bray-Curtis distance) measures were calculated based on the rarefied OTU counts. The OTU absolute abundance table was extracted from the pipeline and converted to relative abundances by normalizing to total OTU clustering for analyzing the composition of gut microbiota.</w:t>
      </w:r>
    </w:p>
    <w:p w14:paraId="787564B9" w14:textId="77777777" w:rsidR="00372E00" w:rsidRPr="00ED0B9C" w:rsidRDefault="00372E00">
      <w:pPr>
        <w:spacing w:line="360" w:lineRule="auto"/>
        <w:jc w:val="left"/>
        <w:rPr>
          <w:rFonts w:ascii="Times New Roman" w:hAnsi="Times New Roman" w:cs="Times New Roman"/>
          <w:color w:val="000000" w:themeColor="text1"/>
          <w:sz w:val="24"/>
          <w:szCs w:val="24"/>
        </w:rPr>
      </w:pPr>
    </w:p>
    <w:p w14:paraId="4AA6016C" w14:textId="77777777" w:rsidR="00372E00" w:rsidRPr="00ED0B9C" w:rsidRDefault="00A77E06">
      <w:pPr>
        <w:spacing w:line="360" w:lineRule="auto"/>
        <w:jc w:val="left"/>
        <w:rPr>
          <w:rFonts w:ascii="Times New Roman" w:hAnsi="Times New Roman" w:cs="Times New Roman"/>
          <w:color w:val="000000" w:themeColor="text1"/>
          <w:sz w:val="24"/>
          <w:szCs w:val="24"/>
        </w:rPr>
      </w:pPr>
      <w:bookmarkStart w:id="11" w:name="_Hlk27404395"/>
      <w:bookmarkEnd w:id="9"/>
      <w:r w:rsidRPr="00ED0B9C">
        <w:rPr>
          <w:rFonts w:ascii="Times New Roman" w:hAnsi="Times New Roman" w:cs="Times New Roman"/>
          <w:color w:val="000000" w:themeColor="text1"/>
          <w:sz w:val="24"/>
          <w:szCs w:val="24"/>
        </w:rPr>
        <w:t>Principal coordinate analysis (PCoA) based</w:t>
      </w:r>
      <w:r w:rsidRPr="00ED0B9C">
        <w:rPr>
          <w:rFonts w:ascii="Times New Roman" w:hAnsi="Times New Roman" w:cs="Times New Roman" w:hint="eastAsia"/>
          <w:color w:val="000000" w:themeColor="text1"/>
          <w:sz w:val="24"/>
          <w:szCs w:val="24"/>
        </w:rPr>
        <w:t xml:space="preserve"> </w:t>
      </w:r>
      <w:r w:rsidRPr="00ED0B9C">
        <w:rPr>
          <w:rFonts w:ascii="Times New Roman" w:hAnsi="Times New Roman" w:cs="Times New Roman"/>
          <w:color w:val="000000" w:themeColor="text1"/>
          <w:sz w:val="24"/>
          <w:szCs w:val="24"/>
        </w:rPr>
        <w:t>on Bray-Curtis distance and permutational multivariate analysis</w:t>
      </w:r>
      <w:r w:rsidRPr="00ED0B9C">
        <w:rPr>
          <w:rFonts w:ascii="Times New Roman" w:hAnsi="Times New Roman" w:cs="Times New Roman" w:hint="eastAsia"/>
          <w:color w:val="000000" w:themeColor="text1"/>
          <w:sz w:val="24"/>
          <w:szCs w:val="24"/>
        </w:rPr>
        <w:t xml:space="preserve"> </w:t>
      </w:r>
      <w:r w:rsidRPr="00ED0B9C">
        <w:rPr>
          <w:rFonts w:ascii="Times New Roman" w:hAnsi="Times New Roman" w:cs="Times New Roman"/>
          <w:color w:val="000000" w:themeColor="text1"/>
          <w:sz w:val="24"/>
          <w:szCs w:val="24"/>
        </w:rPr>
        <w:t>of variance (PERMANOVA) were performed to compare the</w:t>
      </w:r>
      <w:r w:rsidRPr="00ED0B9C">
        <w:rPr>
          <w:rFonts w:ascii="Times New Roman" w:hAnsi="Times New Roman" w:cs="Times New Roman" w:hint="eastAsia"/>
          <w:color w:val="000000" w:themeColor="text1"/>
          <w:sz w:val="24"/>
          <w:szCs w:val="24"/>
        </w:rPr>
        <w:t xml:space="preserve"> </w:t>
      </w:r>
      <w:r w:rsidRPr="00ED0B9C">
        <w:rPr>
          <w:rFonts w:ascii="Times New Roman" w:hAnsi="Times New Roman" w:cs="Times New Roman"/>
          <w:color w:val="000000" w:themeColor="text1"/>
          <w:sz w:val="24"/>
          <w:szCs w:val="24"/>
        </w:rPr>
        <w:t>dissimilarity</w:t>
      </w:r>
      <w:r w:rsidRPr="00ED0B9C">
        <w:rPr>
          <w:rFonts w:ascii="Times New Roman" w:hAnsi="Times New Roman" w:cs="Times New Roman" w:hint="eastAsia"/>
          <w:color w:val="000000" w:themeColor="text1"/>
          <w:sz w:val="24"/>
          <w:szCs w:val="24"/>
        </w:rPr>
        <w:t xml:space="preserve"> of </w:t>
      </w:r>
      <w:r w:rsidRPr="00ED0B9C">
        <w:rPr>
          <w:rFonts w:ascii="Times New Roman" w:hAnsi="Times New Roman" w:cs="Times New Roman"/>
          <w:color w:val="000000" w:themeColor="text1"/>
          <w:sz w:val="24"/>
          <w:szCs w:val="24"/>
        </w:rPr>
        <w:t>global</w:t>
      </w:r>
      <w:r w:rsidRPr="00ED0B9C">
        <w:rPr>
          <w:rFonts w:ascii="Times New Roman" w:hAnsi="Times New Roman" w:cs="Times New Roman" w:hint="eastAsia"/>
          <w:color w:val="000000" w:themeColor="text1"/>
          <w:sz w:val="24"/>
          <w:szCs w:val="24"/>
        </w:rPr>
        <w:t xml:space="preserve"> </w:t>
      </w:r>
      <w:r w:rsidRPr="00ED0B9C">
        <w:rPr>
          <w:rFonts w:ascii="Times New Roman" w:hAnsi="Times New Roman" w:cs="Times New Roman"/>
          <w:color w:val="000000" w:themeColor="text1"/>
          <w:sz w:val="24"/>
          <w:szCs w:val="24"/>
        </w:rPr>
        <w:t>microbiota composition.</w:t>
      </w:r>
      <w:r w:rsidRPr="00ED0B9C">
        <w:rPr>
          <w:rFonts w:ascii="Times New Roman" w:hAnsi="Times New Roman" w:cs="Times New Roman" w:hint="eastAsia"/>
          <w:color w:val="000000" w:themeColor="text1"/>
          <w:sz w:val="24"/>
          <w:szCs w:val="24"/>
        </w:rPr>
        <w:t xml:space="preserve"> </w:t>
      </w:r>
      <w:r w:rsidRPr="00ED0B9C">
        <w:rPr>
          <w:rFonts w:ascii="Times New Roman" w:hAnsi="Times New Roman" w:cs="Times New Roman"/>
          <w:color w:val="000000" w:themeColor="text1"/>
          <w:sz w:val="24"/>
          <w:szCs w:val="24"/>
        </w:rPr>
        <w:t>MaAsLin is a multivariate</w:t>
      </w:r>
      <w:r w:rsidRPr="00ED0B9C">
        <w:rPr>
          <w:rFonts w:ascii="Times New Roman" w:hAnsi="Times New Roman" w:cs="Times New Roman" w:hint="eastAsia"/>
          <w:color w:val="000000" w:themeColor="text1"/>
          <w:sz w:val="24"/>
          <w:szCs w:val="24"/>
        </w:rPr>
        <w:t xml:space="preserve"> </w:t>
      </w:r>
      <w:r w:rsidRPr="00ED0B9C">
        <w:rPr>
          <w:rFonts w:ascii="Times New Roman" w:hAnsi="Times New Roman" w:cs="Times New Roman"/>
          <w:color w:val="000000" w:themeColor="text1"/>
          <w:sz w:val="24"/>
          <w:szCs w:val="24"/>
        </w:rPr>
        <w:t>statistical framework that identifies associations between continuous and discrete</w:t>
      </w:r>
      <w:r w:rsidRPr="00ED0B9C">
        <w:rPr>
          <w:rFonts w:ascii="Times New Roman" w:hAnsi="Times New Roman" w:cs="Times New Roman" w:hint="eastAsia"/>
          <w:color w:val="000000" w:themeColor="text1"/>
          <w:sz w:val="24"/>
          <w:szCs w:val="24"/>
        </w:rPr>
        <w:t xml:space="preserve"> </w:t>
      </w:r>
      <w:r w:rsidRPr="00ED0B9C">
        <w:rPr>
          <w:rFonts w:ascii="Times New Roman" w:hAnsi="Times New Roman" w:cs="Times New Roman"/>
          <w:color w:val="000000" w:themeColor="text1"/>
          <w:sz w:val="24"/>
          <w:szCs w:val="24"/>
        </w:rPr>
        <w:t>clinical metadata and microbial community abundances.</w:t>
      </w:r>
      <w:r w:rsidRPr="00ED0B9C">
        <w:rPr>
          <w:rFonts w:ascii="Times New Roman" w:hAnsi="Times New Roman" w:cs="Times New Roman" w:hint="eastAsia"/>
          <w:color w:val="000000" w:themeColor="text1"/>
          <w:sz w:val="24"/>
          <w:szCs w:val="24"/>
        </w:rPr>
        <w:t xml:space="preserve"> </w:t>
      </w:r>
      <w:r w:rsidRPr="00ED0B9C">
        <w:rPr>
          <w:rFonts w:ascii="Times New Roman" w:hAnsi="Times New Roman" w:cs="Times New Roman"/>
          <w:color w:val="000000" w:themeColor="text1"/>
          <w:sz w:val="24"/>
          <w:szCs w:val="24"/>
        </w:rPr>
        <w:t>Microbiome-based</w:t>
      </w:r>
      <w:r w:rsidRPr="00ED0B9C">
        <w:rPr>
          <w:rFonts w:ascii="Times New Roman" w:hAnsi="Times New Roman" w:cs="Times New Roman" w:hint="eastAsia"/>
          <w:color w:val="000000" w:themeColor="text1"/>
          <w:sz w:val="24"/>
          <w:szCs w:val="24"/>
        </w:rPr>
        <w:t xml:space="preserve"> </w:t>
      </w:r>
      <w:r w:rsidRPr="00ED0B9C">
        <w:rPr>
          <w:rFonts w:ascii="Times New Roman" w:hAnsi="Times New Roman" w:cs="Times New Roman"/>
          <w:color w:val="000000" w:themeColor="text1"/>
          <w:sz w:val="24"/>
          <w:szCs w:val="24"/>
        </w:rPr>
        <w:t xml:space="preserve">biomarker discovery was performed with </w:t>
      </w:r>
      <w:r w:rsidRPr="00ED0B9C">
        <w:rPr>
          <w:rFonts w:ascii="Times New Roman" w:hAnsi="Times New Roman" w:cs="Times New Roman" w:hint="eastAsia"/>
          <w:color w:val="000000" w:themeColor="text1"/>
          <w:sz w:val="24"/>
          <w:szCs w:val="24"/>
        </w:rPr>
        <w:t>MaAsLin</w:t>
      </w:r>
      <w:r w:rsidRPr="00ED0B9C">
        <w:rPr>
          <w:rFonts w:ascii="Times New Roman" w:hAnsi="Times New Roman" w:cs="Times New Roman"/>
          <w:color w:val="000000" w:themeColor="text1"/>
          <w:sz w:val="24"/>
          <w:szCs w:val="24"/>
        </w:rPr>
        <w:t xml:space="preserve"> using the online galaxy server</w:t>
      </w:r>
      <w:r w:rsidRPr="00ED0B9C">
        <w:rPr>
          <w:rFonts w:ascii="Times New Roman" w:hAnsi="Times New Roman" w:cs="Times New Roman" w:hint="eastAsia"/>
          <w:color w:val="000000" w:themeColor="text1"/>
          <w:sz w:val="24"/>
          <w:szCs w:val="24"/>
        </w:rPr>
        <w:t xml:space="preserve"> </w:t>
      </w:r>
      <w:r w:rsidRPr="00ED0B9C">
        <w:rPr>
          <w:rFonts w:ascii="Times New Roman" w:hAnsi="Times New Roman" w:cs="Times New Roman"/>
          <w:color w:val="000000" w:themeColor="text1"/>
          <w:sz w:val="24"/>
          <w:szCs w:val="24"/>
        </w:rPr>
        <w:t>(</w:t>
      </w:r>
      <w:hyperlink r:id="rId8" w:history="1">
        <w:r w:rsidRPr="00ED0B9C">
          <w:rPr>
            <w:rStyle w:val="af0"/>
            <w:rFonts w:ascii="Times New Roman" w:hAnsi="Times New Roman" w:cs="Times New Roman"/>
            <w:color w:val="000000" w:themeColor="text1"/>
            <w:sz w:val="24"/>
            <w:szCs w:val="24"/>
          </w:rPr>
          <w:t>https://huttenhower.sph.harvard.edu/galaxy/</w:t>
        </w:r>
      </w:hyperlink>
      <w:r w:rsidRPr="00ED0B9C">
        <w:rPr>
          <w:rFonts w:ascii="Times New Roman" w:hAnsi="Times New Roman" w:cs="Times New Roman"/>
          <w:color w:val="000000" w:themeColor="text1"/>
          <w:sz w:val="24"/>
          <w:szCs w:val="24"/>
        </w:rPr>
        <w:t>). Briefly, the percentage</w:t>
      </w:r>
      <w:r w:rsidRPr="00ED0B9C">
        <w:rPr>
          <w:rFonts w:ascii="Times New Roman" w:hAnsi="Times New Roman" w:cs="Times New Roman" w:hint="eastAsia"/>
          <w:color w:val="000000" w:themeColor="text1"/>
          <w:sz w:val="24"/>
          <w:szCs w:val="24"/>
        </w:rPr>
        <w:t xml:space="preserve"> </w:t>
      </w:r>
      <w:r w:rsidRPr="00ED0B9C">
        <w:rPr>
          <w:rFonts w:ascii="Times New Roman" w:hAnsi="Times New Roman" w:cs="Times New Roman"/>
          <w:color w:val="000000" w:themeColor="text1"/>
          <w:sz w:val="24"/>
          <w:szCs w:val="24"/>
        </w:rPr>
        <w:t>of each OTU was arcsin-square-root-transformed. For each correlation between</w:t>
      </w:r>
      <w:r w:rsidRPr="00ED0B9C">
        <w:rPr>
          <w:rFonts w:ascii="Times New Roman" w:hAnsi="Times New Roman" w:cs="Times New Roman" w:hint="eastAsia"/>
          <w:color w:val="000000" w:themeColor="text1"/>
          <w:sz w:val="24"/>
          <w:szCs w:val="24"/>
        </w:rPr>
        <w:t xml:space="preserve"> </w:t>
      </w:r>
      <w:r w:rsidRPr="00ED0B9C">
        <w:rPr>
          <w:rFonts w:ascii="Times New Roman" w:hAnsi="Times New Roman" w:cs="Times New Roman"/>
          <w:color w:val="000000" w:themeColor="text1"/>
          <w:sz w:val="24"/>
          <w:szCs w:val="24"/>
        </w:rPr>
        <w:t>metadata (as predictors) and transformed OTU abundances (as response</w:t>
      </w:r>
      <w:r w:rsidRPr="00ED0B9C">
        <w:rPr>
          <w:rFonts w:ascii="Times New Roman" w:hAnsi="Times New Roman" w:cs="Times New Roman" w:hint="eastAsia"/>
          <w:color w:val="000000" w:themeColor="text1"/>
          <w:sz w:val="24"/>
          <w:szCs w:val="24"/>
        </w:rPr>
        <w:t xml:space="preserve"> </w:t>
      </w:r>
      <w:r w:rsidRPr="00ED0B9C">
        <w:rPr>
          <w:rFonts w:ascii="Times New Roman" w:hAnsi="Times New Roman" w:cs="Times New Roman"/>
          <w:color w:val="000000" w:themeColor="text1"/>
          <w:sz w:val="24"/>
          <w:szCs w:val="24"/>
        </w:rPr>
        <w:t xml:space="preserve">variables), we adjusted potential confounders including Bristol stool score, sequencing run, sequencing depth, </w:t>
      </w:r>
      <w:r w:rsidRPr="00ED0B9C">
        <w:rPr>
          <w:rFonts w:ascii="Times New Roman" w:hAnsi="Times New Roman" w:cs="Times New Roman"/>
          <w:color w:val="000000" w:themeColor="text1"/>
          <w:sz w:val="24"/>
          <w:szCs w:val="24"/>
        </w:rPr>
        <w:lastRenderedPageBreak/>
        <w:t>age, sex, BMI, smoking status, alcohol status, physical activity, education, income, T2D status, drug use (medications for hypertension, hyperlipidemia and T2D), total energy intake, dietary intake of vegetable /fruit (mutual adjustment for each other), red and processed meat, fish and dairy products. To further reduce the computational load,</w:t>
      </w:r>
      <w:r w:rsidRPr="00ED0B9C">
        <w:rPr>
          <w:rFonts w:ascii="Times New Roman" w:hAnsi="Times New Roman" w:cs="Times New Roman" w:hint="eastAsia"/>
          <w:color w:val="000000" w:themeColor="text1"/>
          <w:sz w:val="24"/>
          <w:szCs w:val="24"/>
        </w:rPr>
        <w:t xml:space="preserve"> </w:t>
      </w:r>
      <w:r w:rsidRPr="00ED0B9C">
        <w:rPr>
          <w:rFonts w:ascii="Times New Roman" w:hAnsi="Times New Roman" w:cs="Times New Roman"/>
          <w:color w:val="000000" w:themeColor="text1"/>
          <w:sz w:val="24"/>
          <w:szCs w:val="24"/>
        </w:rPr>
        <w:t>OTUs that were present in &lt; 10% of the population were excluded.</w:t>
      </w:r>
      <w:r w:rsidRPr="00ED0B9C">
        <w:rPr>
          <w:rFonts w:ascii="Times New Roman" w:hAnsi="Times New Roman" w:cs="Times New Roman" w:hint="eastAsia"/>
          <w:color w:val="000000" w:themeColor="text1"/>
          <w:sz w:val="24"/>
          <w:szCs w:val="24"/>
        </w:rPr>
        <w:t xml:space="preserve"> </w:t>
      </w:r>
      <w:r w:rsidRPr="00ED0B9C">
        <w:rPr>
          <w:rFonts w:ascii="Times New Roman" w:hAnsi="Times New Roman" w:cs="Times New Roman"/>
          <w:color w:val="000000" w:themeColor="text1"/>
          <w:sz w:val="24"/>
          <w:szCs w:val="24"/>
        </w:rPr>
        <w:t>The Benjamini</w:t>
      </w:r>
      <w:r w:rsidRPr="00ED0B9C">
        <w:rPr>
          <w:rFonts w:ascii="Times New Roman" w:hAnsi="Times New Roman" w:cs="Times New Roman" w:hint="eastAsia"/>
          <w:color w:val="000000" w:themeColor="text1"/>
          <w:sz w:val="24"/>
          <w:szCs w:val="24"/>
        </w:rPr>
        <w:t>-</w:t>
      </w:r>
      <w:r w:rsidRPr="00ED0B9C">
        <w:rPr>
          <w:rFonts w:ascii="Times New Roman" w:hAnsi="Times New Roman" w:cs="Times New Roman"/>
          <w:color w:val="000000" w:themeColor="text1"/>
          <w:sz w:val="24"/>
          <w:szCs w:val="24"/>
        </w:rPr>
        <w:t xml:space="preserve">Hochberg method was used to adjust </w:t>
      </w:r>
      <w:r w:rsidRPr="00ED0B9C">
        <w:rPr>
          <w:rFonts w:ascii="Times New Roman" w:hAnsi="Times New Roman" w:cs="Times New Roman" w:hint="eastAsia"/>
          <w:i/>
          <w:iCs/>
          <w:color w:val="000000" w:themeColor="text1"/>
          <w:sz w:val="24"/>
          <w:szCs w:val="24"/>
        </w:rPr>
        <w:t>p</w:t>
      </w:r>
      <w:r w:rsidRPr="00ED0B9C">
        <w:rPr>
          <w:rFonts w:ascii="Times New Roman" w:hAnsi="Times New Roman" w:cs="Times New Roman"/>
          <w:i/>
          <w:iCs/>
          <w:color w:val="000000" w:themeColor="text1"/>
          <w:sz w:val="24"/>
          <w:szCs w:val="24"/>
        </w:rPr>
        <w:t xml:space="preserve"> </w:t>
      </w:r>
      <w:r w:rsidRPr="00ED0B9C">
        <w:rPr>
          <w:rFonts w:ascii="Times New Roman" w:hAnsi="Times New Roman" w:cs="Times New Roman"/>
          <w:color w:val="000000" w:themeColor="text1"/>
          <w:sz w:val="24"/>
          <w:szCs w:val="24"/>
        </w:rPr>
        <w:t>values for multiple</w:t>
      </w:r>
      <w:r w:rsidRPr="00ED0B9C">
        <w:rPr>
          <w:rFonts w:ascii="Times New Roman" w:hAnsi="Times New Roman" w:cs="Times New Roman" w:hint="eastAsia"/>
          <w:color w:val="000000" w:themeColor="text1"/>
          <w:sz w:val="24"/>
          <w:szCs w:val="24"/>
        </w:rPr>
        <w:t xml:space="preserve"> </w:t>
      </w:r>
      <w:r w:rsidRPr="00ED0B9C">
        <w:rPr>
          <w:rFonts w:ascii="Times New Roman" w:hAnsi="Times New Roman" w:cs="Times New Roman"/>
          <w:color w:val="000000" w:themeColor="text1"/>
          <w:sz w:val="24"/>
          <w:szCs w:val="24"/>
        </w:rPr>
        <w:t>hypotheses.</w:t>
      </w:r>
    </w:p>
    <w:p w14:paraId="5D915B95" w14:textId="77777777" w:rsidR="00372E00" w:rsidRPr="00ED0B9C" w:rsidRDefault="00372E00">
      <w:pPr>
        <w:spacing w:line="360" w:lineRule="auto"/>
        <w:jc w:val="left"/>
        <w:rPr>
          <w:rFonts w:ascii="Times New Roman" w:hAnsi="Times New Roman" w:cs="Times New Roman"/>
          <w:color w:val="000000" w:themeColor="text1"/>
          <w:sz w:val="24"/>
          <w:szCs w:val="24"/>
        </w:rPr>
      </w:pPr>
    </w:p>
    <w:p w14:paraId="2C734AAE" w14:textId="77777777" w:rsidR="00372E00" w:rsidRPr="00ED0B9C" w:rsidRDefault="00B160AE">
      <w:pPr>
        <w:spacing w:line="360" w:lineRule="auto"/>
        <w:jc w:val="left"/>
        <w:rPr>
          <w:rFonts w:ascii="Times New Roman" w:hAnsi="Times New Roman" w:cs="Times New Roman"/>
          <w:b/>
          <w:color w:val="000000" w:themeColor="text1"/>
          <w:sz w:val="24"/>
          <w:szCs w:val="24"/>
        </w:rPr>
      </w:pPr>
      <w:r w:rsidRPr="00ED0B9C">
        <w:rPr>
          <w:rFonts w:ascii="Times New Roman" w:hAnsi="Times New Roman" w:cs="Times New Roman"/>
          <w:b/>
          <w:bCs/>
          <w:color w:val="000000" w:themeColor="text1"/>
          <w:sz w:val="24"/>
          <w:szCs w:val="24"/>
        </w:rPr>
        <w:t xml:space="preserve">Method S3 </w:t>
      </w:r>
      <w:r w:rsidR="00A77E06" w:rsidRPr="00ED0B9C">
        <w:rPr>
          <w:rFonts w:ascii="Times New Roman" w:hAnsi="Times New Roman" w:cs="Times New Roman"/>
          <w:b/>
          <w:bCs/>
          <w:color w:val="000000" w:themeColor="text1"/>
          <w:sz w:val="24"/>
          <w:szCs w:val="24"/>
        </w:rPr>
        <w:t xml:space="preserve">Targeted fecal metabolomics profiling in </w:t>
      </w:r>
      <w:r w:rsidR="00A77E06" w:rsidRPr="00ED0B9C">
        <w:rPr>
          <w:rFonts w:ascii="Times New Roman" w:hAnsi="Times New Roman" w:cs="Times New Roman"/>
          <w:b/>
          <w:color w:val="000000" w:themeColor="text1"/>
          <w:sz w:val="24"/>
          <w:szCs w:val="24"/>
        </w:rPr>
        <w:t>GNHS</w:t>
      </w:r>
    </w:p>
    <w:p w14:paraId="5E04D019" w14:textId="77777777" w:rsidR="00372E00" w:rsidRPr="00ED0B9C" w:rsidRDefault="00A77E06">
      <w:pPr>
        <w:spacing w:line="360" w:lineRule="auto"/>
        <w:jc w:val="left"/>
        <w:rPr>
          <w:rFonts w:ascii="Times New Roman" w:hAnsi="Times New Roman" w:cs="Times New Roman"/>
          <w:color w:val="000000" w:themeColor="text1"/>
          <w:sz w:val="24"/>
          <w:szCs w:val="24"/>
        </w:rPr>
      </w:pPr>
      <w:r w:rsidRPr="00ED0B9C">
        <w:rPr>
          <w:rFonts w:ascii="Times New Roman" w:hAnsi="Times New Roman" w:cs="Times New Roman"/>
          <w:color w:val="000000" w:themeColor="text1"/>
          <w:sz w:val="24"/>
          <w:szCs w:val="24"/>
        </w:rPr>
        <w:t>The targeted metabolomics profiling of fecal samples (n=1017) was performed by Metabo-Profile (Shanghai, China). The order of all test samples is randomly selected before the preparation. 10 mg lyophilized feces were homogenized with 25μL water and extracted with 185μL cold ACN-Methanol (8/2, v/v). After centrifugation, 30 μL supernatant was used to derivatization with 20 μL freshly prepared derivative reagents on a Biomek 4000 workstation (Biomek 4000, Beckman Coulter, Inc., Brea, California, USA), followed by mixing with internal standards. Subsequently, the derivatized samples and serial dilutions of derivatized stock standards were randomly analyzed and quantitated by an ultra-performance liquid chromatography coupled to tandem mass spectrometry (UPLC-MS/MS) system (ACQUITY UPLC-Xevo TQ-S, Waters Corp., Milford, MA, USA). 310 of standard substances including 12 subclasses were obtained from Sigma-Aldrich (St. Louis, MO, USA), Steraloids Inc. (Newport, RI, USA) and TRC Chemicals (Toronto, ON, Canada). Three types of quality control samples i.e., test mixtures, internal standards, and pooled biological samples are routinely used in metabolomics platform. The derivatized pooled quality control samples were injected every 14 test samples. Raw data generated by UPLC-MS/MS were processed using the QuanMET software (v2.0, Metabo-Profile, Shanghai, China) to perform peak integration, calibration, and quantification for each metabolite.</w:t>
      </w:r>
    </w:p>
    <w:p w14:paraId="79B03595" w14:textId="77777777" w:rsidR="00372E00" w:rsidRPr="00ED0B9C" w:rsidRDefault="00372E00">
      <w:pPr>
        <w:spacing w:line="360" w:lineRule="auto"/>
        <w:jc w:val="left"/>
        <w:rPr>
          <w:rFonts w:ascii="Times New Roman" w:hAnsi="Times New Roman" w:cs="Times New Roman"/>
          <w:color w:val="000000" w:themeColor="text1"/>
          <w:sz w:val="24"/>
          <w:szCs w:val="24"/>
        </w:rPr>
      </w:pPr>
    </w:p>
    <w:p w14:paraId="7804818C" w14:textId="77777777" w:rsidR="00372E00" w:rsidRPr="00ED0B9C" w:rsidRDefault="00B160AE">
      <w:pPr>
        <w:spacing w:line="360" w:lineRule="auto"/>
        <w:jc w:val="left"/>
        <w:rPr>
          <w:rFonts w:ascii="Times New Roman" w:hAnsi="Times New Roman" w:cs="Times New Roman"/>
          <w:b/>
          <w:bCs/>
          <w:color w:val="000000" w:themeColor="text1"/>
          <w:sz w:val="24"/>
          <w:szCs w:val="24"/>
        </w:rPr>
      </w:pPr>
      <w:r w:rsidRPr="00ED0B9C">
        <w:rPr>
          <w:rFonts w:ascii="Times New Roman" w:hAnsi="Times New Roman"/>
          <w:b/>
          <w:bCs/>
          <w:color w:val="000000" w:themeColor="text1"/>
          <w:sz w:val="24"/>
          <w:szCs w:val="24"/>
        </w:rPr>
        <w:t xml:space="preserve">Method S4 </w:t>
      </w:r>
      <w:r w:rsidR="00A77E06" w:rsidRPr="00ED0B9C">
        <w:rPr>
          <w:rFonts w:ascii="Times New Roman" w:hAnsi="Times New Roman"/>
          <w:b/>
          <w:bCs/>
          <w:color w:val="000000" w:themeColor="text1"/>
          <w:sz w:val="24"/>
          <w:szCs w:val="24"/>
        </w:rPr>
        <w:t>Fruit/vegetable-microbiota index calculation</w:t>
      </w:r>
    </w:p>
    <w:p w14:paraId="5FEAD1C4" w14:textId="77777777" w:rsidR="00372E00" w:rsidRPr="00ED0B9C" w:rsidRDefault="00A77E06">
      <w:pPr>
        <w:spacing w:line="360" w:lineRule="auto"/>
        <w:jc w:val="left"/>
        <w:rPr>
          <w:rFonts w:ascii="Times New Roman" w:hAnsi="Times New Roman"/>
          <w:color w:val="000000" w:themeColor="text1"/>
          <w:sz w:val="24"/>
          <w:szCs w:val="24"/>
        </w:rPr>
      </w:pPr>
      <w:r w:rsidRPr="00ED0B9C">
        <w:rPr>
          <w:rFonts w:ascii="Times New Roman" w:hAnsi="Times New Roman" w:hint="eastAsia"/>
          <w:color w:val="000000" w:themeColor="text1"/>
          <w:sz w:val="24"/>
          <w:szCs w:val="24"/>
        </w:rPr>
        <w:t>To</w:t>
      </w:r>
      <w:r w:rsidRPr="00ED0B9C">
        <w:rPr>
          <w:rFonts w:ascii="Times New Roman" w:hAnsi="Times New Roman"/>
          <w:color w:val="000000" w:themeColor="text1"/>
          <w:sz w:val="24"/>
          <w:szCs w:val="24"/>
        </w:rPr>
        <w:t xml:space="preserve"> </w:t>
      </w:r>
      <w:r w:rsidRPr="00ED0B9C">
        <w:rPr>
          <w:rFonts w:ascii="Times New Roman" w:hAnsi="Times New Roman" w:hint="eastAsia"/>
          <w:color w:val="000000" w:themeColor="text1"/>
          <w:sz w:val="24"/>
          <w:szCs w:val="24"/>
        </w:rPr>
        <w:t>sum</w:t>
      </w:r>
      <w:r w:rsidRPr="00ED0B9C">
        <w:rPr>
          <w:rFonts w:ascii="Times New Roman" w:hAnsi="Times New Roman"/>
          <w:color w:val="000000" w:themeColor="text1"/>
          <w:sz w:val="24"/>
          <w:szCs w:val="24"/>
        </w:rPr>
        <w:t xml:space="preserve">marize the association of fruit and vegetable on the gut microbes, we </w:t>
      </w:r>
      <w:r w:rsidRPr="00ED0B9C">
        <w:rPr>
          <w:rFonts w:ascii="Times New Roman" w:hAnsi="Times New Roman"/>
          <w:color w:val="000000" w:themeColor="text1"/>
          <w:sz w:val="24"/>
          <w:szCs w:val="24"/>
        </w:rPr>
        <w:lastRenderedPageBreak/>
        <w:t>calculated fruit-microbiota index (FMI), vegetable-microbiota index (VMI) and total fruit and vegetable-microbiota index (TFVMI) based on the identified OTUs for each of the three dietary variables, detailed in Supplemental methods.</w:t>
      </w:r>
    </w:p>
    <w:p w14:paraId="4E7E3A6C" w14:textId="77777777" w:rsidR="00372E00" w:rsidRPr="00ED0B9C" w:rsidRDefault="00A77E06">
      <w:pPr>
        <w:spacing w:line="360" w:lineRule="auto"/>
        <w:jc w:val="left"/>
        <w:rPr>
          <w:rFonts w:ascii="Times New Roman" w:hAnsi="Times New Roman"/>
          <w:color w:val="000000" w:themeColor="text1"/>
          <w:sz w:val="24"/>
          <w:szCs w:val="24"/>
          <w:lang w:val="en-GB"/>
        </w:rPr>
      </w:pPr>
      <w:bookmarkStart w:id="12" w:name="_Hlk29389102"/>
      <w:r w:rsidRPr="00ED0B9C">
        <w:rPr>
          <w:rFonts w:ascii="Times New Roman" w:hAnsi="Times New Roman"/>
          <w:color w:val="000000" w:themeColor="text1"/>
          <w:sz w:val="24"/>
          <w:szCs w:val="24"/>
          <w:lang w:val="en-GB"/>
        </w:rPr>
        <w:t>The indices were calculated</w:t>
      </w:r>
      <w:r w:rsidRPr="00ED0B9C">
        <w:rPr>
          <w:rFonts w:ascii="Times New Roman" w:hAnsi="Times New Roman"/>
          <w:color w:val="000000" w:themeColor="text1"/>
          <w:kern w:val="0"/>
          <w:sz w:val="24"/>
          <w:szCs w:val="24"/>
        </w:rPr>
        <w:t xml:space="preserve"> </w:t>
      </w:r>
      <w:r w:rsidRPr="00ED0B9C">
        <w:rPr>
          <w:rFonts w:ascii="Times New Roman" w:hAnsi="Times New Roman"/>
          <w:color w:val="000000" w:themeColor="text1"/>
          <w:sz w:val="24"/>
          <w:szCs w:val="24"/>
          <w:lang w:val="en-GB"/>
        </w:rPr>
        <w:t>as</w:t>
      </w:r>
      <w:bookmarkStart w:id="13" w:name="_Hlk29381022"/>
      <w:r w:rsidRPr="00ED0B9C">
        <w:rPr>
          <w:rFonts w:ascii="Times New Roman" w:hAnsi="Times New Roman"/>
          <w:color w:val="000000" w:themeColor="text1"/>
          <w:sz w:val="24"/>
          <w:szCs w:val="24"/>
          <w:lang w:val="en-GB"/>
        </w:rPr>
        <w:t xml:space="preserve"> the formula below</w:t>
      </w:r>
      <w:bookmarkEnd w:id="12"/>
      <w:r w:rsidRPr="00ED0B9C">
        <w:rPr>
          <w:rFonts w:ascii="Times New Roman" w:hAnsi="Times New Roman"/>
          <w:color w:val="000000" w:themeColor="text1"/>
          <w:sz w:val="24"/>
          <w:szCs w:val="24"/>
          <w:lang w:val="en-GB"/>
        </w:rPr>
        <w:t>:</w:t>
      </w:r>
      <w:bookmarkEnd w:id="13"/>
    </w:p>
    <w:p w14:paraId="5B94227D" w14:textId="77777777" w:rsidR="00372E00" w:rsidRPr="00ED0B9C" w:rsidRDefault="00062BAB">
      <w:pPr>
        <w:spacing w:line="360" w:lineRule="auto"/>
        <w:ind w:firstLineChars="200" w:firstLine="480"/>
        <w:jc w:val="left"/>
        <w:rPr>
          <w:rFonts w:ascii="Times New Roman" w:hAnsi="Times New Roman"/>
          <w:color w:val="000000" w:themeColor="text1"/>
          <w:sz w:val="24"/>
          <w:szCs w:val="24"/>
          <w:lang w:val="en-GB"/>
        </w:rPr>
      </w:pPr>
      <m:oMath>
        <m:sSubSup>
          <m:sSubSupPr>
            <m:ctrlPr>
              <w:rPr>
                <w:rFonts w:ascii="Cambria Math" w:hAnsi="Cambria Math"/>
                <w:i/>
                <w:color w:val="000000" w:themeColor="text1"/>
                <w:sz w:val="24"/>
                <w:szCs w:val="24"/>
                <w:lang w:val="en-GB"/>
              </w:rPr>
            </m:ctrlPr>
          </m:sSubSupPr>
          <m:e>
            <w:bookmarkStart w:id="14" w:name="_Hlk29380172"/>
            <m:r>
              <w:rPr>
                <w:rFonts w:ascii="Cambria Math" w:hAnsi="Cambria Math"/>
                <w:color w:val="000000" w:themeColor="text1"/>
                <w:sz w:val="24"/>
                <w:szCs w:val="24"/>
                <w:lang w:val="en-GB"/>
              </w:rPr>
              <m:t>I</m:t>
            </m:r>
          </m:e>
          <m:sub>
            <m:r>
              <w:rPr>
                <w:rFonts w:ascii="Cambria Math" w:hAnsi="Cambria Math"/>
                <w:color w:val="000000" w:themeColor="text1"/>
                <w:sz w:val="24"/>
                <w:szCs w:val="24"/>
                <w:lang w:val="en-GB"/>
              </w:rPr>
              <m:t>i</m:t>
            </m:r>
          </m:sub>
          <m:sup>
            <m:r>
              <w:rPr>
                <w:rFonts w:ascii="Cambria Math" w:hAnsi="Cambria Math"/>
                <w:color w:val="000000" w:themeColor="text1"/>
                <w:sz w:val="24"/>
                <w:szCs w:val="24"/>
                <w:lang w:val="en-GB"/>
              </w:rPr>
              <m:t>P</m:t>
            </m:r>
            <w:bookmarkEnd w:id="14"/>
          </m:sup>
        </m:sSubSup>
        <m:r>
          <m:rPr>
            <m:sty m:val="p"/>
          </m:rPr>
          <w:rPr>
            <w:rFonts w:ascii="Cambria Math" w:hAnsi="Cambria Math"/>
            <w:color w:val="000000" w:themeColor="text1"/>
            <w:sz w:val="24"/>
            <w:szCs w:val="24"/>
            <w:lang w:val="en-GB"/>
          </w:rPr>
          <m:t>=</m:t>
        </m:r>
        <m:nary>
          <m:naryPr>
            <m:chr m:val="∑"/>
            <m:grow m:val="1"/>
            <m:ctrlPr>
              <w:rPr>
                <w:rFonts w:ascii="Cambria Math" w:hAnsi="Cambria Math"/>
                <w:color w:val="000000" w:themeColor="text1"/>
                <w:sz w:val="24"/>
                <w:szCs w:val="24"/>
                <w:lang w:val="en-GB"/>
              </w:rPr>
            </m:ctrlPr>
          </m:naryPr>
          <m:sub>
            <m:r>
              <w:rPr>
                <w:rFonts w:ascii="Cambria Math" w:hAnsi="Cambria Math"/>
                <w:color w:val="000000" w:themeColor="text1"/>
                <w:sz w:val="24"/>
                <w:szCs w:val="24"/>
                <w:lang w:val="en-GB"/>
              </w:rPr>
              <m:t>j=1</m:t>
            </m:r>
          </m:sub>
          <m:sup>
            <m:r>
              <w:rPr>
                <w:rFonts w:ascii="Cambria Math" w:hAnsi="Cambria Math"/>
                <w:color w:val="000000" w:themeColor="text1"/>
                <w:sz w:val="24"/>
                <w:szCs w:val="24"/>
                <w:lang w:val="en-GB"/>
              </w:rPr>
              <m:t>n</m:t>
            </m:r>
          </m:sup>
          <m:e>
            <m:sSub>
              <m:sSubPr>
                <m:ctrlPr>
                  <w:rPr>
                    <w:rFonts w:ascii="Cambria Math" w:hAnsi="Cambria Math"/>
                    <w:i/>
                    <w:color w:val="000000" w:themeColor="text1"/>
                    <w:sz w:val="24"/>
                    <w:szCs w:val="24"/>
                    <w:lang w:val="en-GB"/>
                  </w:rPr>
                </m:ctrlPr>
              </m:sSubPr>
              <m:e>
                <m:r>
                  <w:rPr>
                    <w:rFonts w:ascii="Cambria Math" w:hAnsi="Cambria Math"/>
                    <w:color w:val="000000" w:themeColor="text1"/>
                    <w:sz w:val="24"/>
                    <w:szCs w:val="24"/>
                    <w:lang w:val="en-GB"/>
                  </w:rPr>
                  <m:t>A</m:t>
                </m:r>
              </m:e>
              <m:sub>
                <m:r>
                  <w:rPr>
                    <w:rFonts w:ascii="Cambria Math" w:hAnsi="Cambria Math"/>
                    <w:color w:val="000000" w:themeColor="text1"/>
                    <w:sz w:val="24"/>
                    <w:szCs w:val="24"/>
                    <w:lang w:val="en-GB"/>
                  </w:rPr>
                  <m:t>ij</m:t>
                </m:r>
              </m:sub>
            </m:sSub>
          </m:e>
        </m:nary>
      </m:oMath>
      <w:r w:rsidR="00A77E06" w:rsidRPr="00ED0B9C">
        <w:rPr>
          <w:rFonts w:ascii="Cambria Math" w:hAnsi="Cambria Math" w:hint="eastAsia"/>
          <w:color w:val="000000" w:themeColor="text1"/>
          <w:sz w:val="24"/>
          <w:szCs w:val="24"/>
        </w:rPr>
        <w:t xml:space="preserve">       </w:t>
      </w:r>
      <m:oMath>
        <m:sSubSup>
          <m:sSubSupPr>
            <m:ctrlPr>
              <w:rPr>
                <w:rFonts w:ascii="Cambria Math" w:hAnsi="Cambria Math"/>
                <w:i/>
                <w:color w:val="000000" w:themeColor="text1"/>
                <w:sz w:val="24"/>
                <w:szCs w:val="24"/>
                <w:lang w:val="en-GB"/>
              </w:rPr>
            </m:ctrlPr>
          </m:sSubSupPr>
          <m:e>
            <w:bookmarkStart w:id="15" w:name="_Hlk29388835"/>
            <m:r>
              <w:rPr>
                <w:rFonts w:ascii="Cambria Math" w:hAnsi="Cambria Math"/>
                <w:color w:val="000000" w:themeColor="text1"/>
                <w:sz w:val="24"/>
                <w:szCs w:val="24"/>
                <w:lang w:val="en-GB"/>
              </w:rPr>
              <m:t>I</m:t>
            </m:r>
          </m:e>
          <m:sub>
            <m:r>
              <w:rPr>
                <w:rFonts w:ascii="Cambria Math" w:hAnsi="Cambria Math"/>
                <w:color w:val="000000" w:themeColor="text1"/>
                <w:sz w:val="24"/>
                <w:szCs w:val="24"/>
                <w:lang w:val="en-GB"/>
              </w:rPr>
              <m:t>i</m:t>
            </m:r>
          </m:sub>
          <m:sup>
            <m:r>
              <w:rPr>
                <w:rFonts w:ascii="Cambria Math" w:hAnsi="Cambria Math"/>
                <w:color w:val="000000" w:themeColor="text1"/>
                <w:sz w:val="24"/>
                <w:szCs w:val="24"/>
                <w:lang w:val="en-GB"/>
              </w:rPr>
              <m:t>N</m:t>
            </m:r>
            <w:bookmarkEnd w:id="15"/>
          </m:sup>
        </m:sSubSup>
        <w:bookmarkStart w:id="16" w:name="_Hlk29388816"/>
        <m:r>
          <m:rPr>
            <m:sty m:val="p"/>
          </m:rPr>
          <w:rPr>
            <w:rFonts w:ascii="Cambria Math" w:hAnsi="Cambria Math"/>
            <w:color w:val="000000" w:themeColor="text1"/>
            <w:sz w:val="24"/>
            <w:szCs w:val="24"/>
            <w:lang w:val="en-GB"/>
          </w:rPr>
          <m:t>=</m:t>
        </m:r>
        <m:nary>
          <m:naryPr>
            <m:chr m:val="∑"/>
            <m:grow m:val="1"/>
            <m:ctrlPr>
              <w:rPr>
                <w:rFonts w:ascii="Cambria Math" w:hAnsi="Cambria Math"/>
                <w:color w:val="000000" w:themeColor="text1"/>
                <w:sz w:val="24"/>
                <w:szCs w:val="24"/>
                <w:lang w:val="en-GB"/>
              </w:rPr>
            </m:ctrlPr>
          </m:naryPr>
          <m:sub>
            <m:r>
              <w:rPr>
                <w:rFonts w:ascii="Cambria Math" w:hAnsi="Cambria Math"/>
                <w:color w:val="000000" w:themeColor="text1"/>
                <w:sz w:val="24"/>
                <w:szCs w:val="24"/>
                <w:lang w:val="en-GB"/>
              </w:rPr>
              <m:t>j=1</m:t>
            </m:r>
          </m:sub>
          <m:sup>
            <m:r>
              <w:rPr>
                <w:rFonts w:ascii="Cambria Math" w:hAnsi="Cambria Math"/>
                <w:color w:val="000000" w:themeColor="text1"/>
                <w:sz w:val="24"/>
                <w:szCs w:val="24"/>
                <w:lang w:val="en-GB"/>
              </w:rPr>
              <m:t>m</m:t>
            </m:r>
          </m:sup>
          <m:e>
            <m:sSub>
              <m:sSubPr>
                <m:ctrlPr>
                  <w:rPr>
                    <w:rFonts w:ascii="Cambria Math" w:hAnsi="Cambria Math"/>
                    <w:i/>
                    <w:color w:val="000000" w:themeColor="text1"/>
                    <w:sz w:val="24"/>
                    <w:szCs w:val="24"/>
                    <w:lang w:val="en-GB"/>
                  </w:rPr>
                </m:ctrlPr>
              </m:sSubPr>
              <m:e>
                <w:bookmarkStart w:id="17" w:name="_Hlk29380322"/>
                <m:r>
                  <w:rPr>
                    <w:rFonts w:ascii="Cambria Math" w:hAnsi="Cambria Math"/>
                    <w:color w:val="000000" w:themeColor="text1"/>
                    <w:sz w:val="24"/>
                    <w:szCs w:val="24"/>
                    <w:lang w:val="en-GB"/>
                  </w:rPr>
                  <m:t>A</m:t>
                </m:r>
              </m:e>
              <m:sub>
                <m:r>
                  <w:rPr>
                    <w:rFonts w:ascii="Cambria Math" w:hAnsi="Cambria Math"/>
                    <w:color w:val="000000" w:themeColor="text1"/>
                    <w:sz w:val="24"/>
                    <w:szCs w:val="24"/>
                    <w:lang w:val="en-GB"/>
                  </w:rPr>
                  <m:t>ij</m:t>
                </m:r>
                <w:bookmarkEnd w:id="17"/>
              </m:sub>
            </m:sSub>
          </m:e>
        </m:nary>
      </m:oMath>
      <w:bookmarkEnd w:id="16"/>
      <w:r w:rsidR="00A77E06" w:rsidRPr="00ED0B9C">
        <w:rPr>
          <w:rFonts w:ascii="Cambria Math" w:hAnsi="Cambria Math" w:hint="eastAsia"/>
          <w:color w:val="000000" w:themeColor="text1"/>
          <w:sz w:val="24"/>
          <w:szCs w:val="24"/>
        </w:rPr>
        <w:t xml:space="preserve">       </w:t>
      </w:r>
      <m:oMath>
        <m:sSub>
          <m:sSubPr>
            <m:ctrlPr>
              <w:rPr>
                <w:rFonts w:ascii="Cambria Math" w:hAnsi="Cambria Math"/>
                <w:i/>
                <w:color w:val="000000" w:themeColor="text1"/>
                <w:sz w:val="24"/>
                <w:szCs w:val="24"/>
                <w:lang w:val="en-GB"/>
              </w:rPr>
            </m:ctrlPr>
          </m:sSubPr>
          <m:e>
            <m:r>
              <w:rPr>
                <w:rFonts w:ascii="Cambria Math" w:hAnsi="Cambria Math"/>
                <w:color w:val="000000" w:themeColor="text1"/>
                <w:sz w:val="24"/>
                <w:szCs w:val="24"/>
                <w:lang w:val="en-GB"/>
              </w:rPr>
              <m:t>X</m:t>
            </m:r>
          </m:e>
          <m:sub>
            <m:r>
              <w:rPr>
                <w:rFonts w:ascii="Cambria Math" w:hAnsi="Cambria Math"/>
                <w:color w:val="000000" w:themeColor="text1"/>
                <w:sz w:val="24"/>
                <w:szCs w:val="24"/>
                <w:lang w:val="en-GB"/>
              </w:rPr>
              <m:t>i</m:t>
            </m:r>
          </m:sub>
        </m:sSub>
        <m:r>
          <m:rPr>
            <m:sty m:val="p"/>
          </m:rPr>
          <w:rPr>
            <w:rFonts w:ascii="Cambria Math" w:hAnsi="Cambria Math"/>
            <w:color w:val="000000" w:themeColor="text1"/>
            <w:sz w:val="24"/>
            <w:szCs w:val="24"/>
            <w:lang w:val="en-GB"/>
          </w:rPr>
          <m:t>=</m:t>
        </m:r>
        <m:d>
          <m:dPr>
            <m:ctrlPr>
              <w:rPr>
                <w:rFonts w:ascii="Cambria Math" w:hAnsi="Cambria Math"/>
                <w:color w:val="000000" w:themeColor="text1"/>
                <w:sz w:val="24"/>
                <w:szCs w:val="24"/>
                <w:lang w:val="en-GB"/>
              </w:rPr>
            </m:ctrlPr>
          </m:dPr>
          <m:e>
            <m:f>
              <m:fPr>
                <m:ctrlPr>
                  <w:rPr>
                    <w:rFonts w:ascii="Cambria Math" w:hAnsi="Cambria Math"/>
                    <w:i/>
                    <w:color w:val="000000" w:themeColor="text1"/>
                    <w:sz w:val="24"/>
                    <w:szCs w:val="24"/>
                    <w:lang w:val="en-GB"/>
                  </w:rPr>
                </m:ctrlPr>
              </m:fPr>
              <m:num>
                <m:sSubSup>
                  <m:sSubSupPr>
                    <m:ctrlPr>
                      <w:rPr>
                        <w:rFonts w:ascii="Cambria Math" w:hAnsi="Cambria Math"/>
                        <w:i/>
                        <w:color w:val="000000" w:themeColor="text1"/>
                        <w:sz w:val="24"/>
                        <w:szCs w:val="24"/>
                        <w:lang w:val="en-GB"/>
                      </w:rPr>
                    </m:ctrlPr>
                  </m:sSubSupPr>
                  <m:e>
                    <m:r>
                      <w:rPr>
                        <w:rFonts w:ascii="Cambria Math" w:hAnsi="Cambria Math"/>
                        <w:color w:val="000000" w:themeColor="text1"/>
                        <w:sz w:val="24"/>
                        <w:szCs w:val="24"/>
                        <w:lang w:val="en-GB"/>
                      </w:rPr>
                      <m:t>I</m:t>
                    </m:r>
                  </m:e>
                  <m:sub>
                    <m:r>
                      <w:rPr>
                        <w:rFonts w:ascii="Cambria Math" w:hAnsi="Cambria Math"/>
                        <w:color w:val="000000" w:themeColor="text1"/>
                        <w:sz w:val="24"/>
                        <w:szCs w:val="24"/>
                        <w:lang w:val="en-GB"/>
                      </w:rPr>
                      <m:t>i</m:t>
                    </m:r>
                  </m:sub>
                  <m:sup>
                    <m:r>
                      <w:rPr>
                        <w:rFonts w:ascii="Cambria Math" w:hAnsi="Cambria Math"/>
                        <w:color w:val="000000" w:themeColor="text1"/>
                        <w:sz w:val="24"/>
                        <w:szCs w:val="24"/>
                        <w:lang w:val="en-GB"/>
                      </w:rPr>
                      <m:t>P</m:t>
                    </m:r>
                  </m:sup>
                </m:sSubSup>
                <m:ctrlPr>
                  <w:rPr>
                    <w:rFonts w:ascii="Cambria Math" w:hAnsi="Cambria Math"/>
                    <w:color w:val="000000" w:themeColor="text1"/>
                    <w:sz w:val="24"/>
                    <w:szCs w:val="24"/>
                    <w:lang w:val="en-GB"/>
                  </w:rPr>
                </m:ctrlPr>
              </m:num>
              <m:den>
                <m:r>
                  <w:rPr>
                    <w:rFonts w:ascii="Cambria Math" w:hAnsi="Cambria Math"/>
                    <w:color w:val="000000" w:themeColor="text1"/>
                    <w:sz w:val="24"/>
                    <w:szCs w:val="24"/>
                    <w:lang w:val="en-GB"/>
                  </w:rPr>
                  <m:t>n</m:t>
                </m:r>
              </m:den>
            </m:f>
            <m:r>
              <w:rPr>
                <w:rFonts w:ascii="Cambria Math" w:hAnsi="Cambria Math"/>
                <w:color w:val="000000" w:themeColor="text1"/>
                <w:sz w:val="24"/>
                <w:szCs w:val="24"/>
                <w:lang w:val="en-GB"/>
              </w:rPr>
              <m:t>-</m:t>
            </m:r>
            <m:f>
              <m:fPr>
                <m:ctrlPr>
                  <w:rPr>
                    <w:rFonts w:ascii="Cambria Math" w:hAnsi="Cambria Math"/>
                    <w:i/>
                    <w:color w:val="000000" w:themeColor="text1"/>
                    <w:sz w:val="24"/>
                    <w:szCs w:val="24"/>
                    <w:lang w:val="en-GB"/>
                  </w:rPr>
                </m:ctrlPr>
              </m:fPr>
              <m:num>
                <m:sSubSup>
                  <m:sSubSupPr>
                    <m:ctrlPr>
                      <w:rPr>
                        <w:rFonts w:ascii="Cambria Math" w:hAnsi="Cambria Math"/>
                        <w:i/>
                        <w:color w:val="000000" w:themeColor="text1"/>
                        <w:sz w:val="24"/>
                        <w:szCs w:val="24"/>
                        <w:lang w:val="en-GB"/>
                      </w:rPr>
                    </m:ctrlPr>
                  </m:sSubSupPr>
                  <m:e>
                    <m:r>
                      <w:rPr>
                        <w:rFonts w:ascii="Cambria Math" w:hAnsi="Cambria Math"/>
                        <w:color w:val="000000" w:themeColor="text1"/>
                        <w:sz w:val="24"/>
                        <w:szCs w:val="24"/>
                        <w:lang w:val="en-GB"/>
                      </w:rPr>
                      <m:t>I</m:t>
                    </m:r>
                  </m:e>
                  <m:sub>
                    <m:r>
                      <w:rPr>
                        <w:rFonts w:ascii="Cambria Math" w:hAnsi="Cambria Math"/>
                        <w:color w:val="000000" w:themeColor="text1"/>
                        <w:sz w:val="24"/>
                        <w:szCs w:val="24"/>
                        <w:lang w:val="en-GB"/>
                      </w:rPr>
                      <m:t>i</m:t>
                    </m:r>
                  </m:sub>
                  <m:sup>
                    <m:r>
                      <w:rPr>
                        <w:rFonts w:ascii="Cambria Math" w:hAnsi="Cambria Math"/>
                        <w:color w:val="000000" w:themeColor="text1"/>
                        <w:sz w:val="24"/>
                        <w:szCs w:val="24"/>
                        <w:lang w:val="en-GB"/>
                      </w:rPr>
                      <m:t>N</m:t>
                    </m:r>
                  </m:sup>
                </m:sSubSup>
                <m:ctrlPr>
                  <w:rPr>
                    <w:rFonts w:ascii="Cambria Math" w:hAnsi="Cambria Math"/>
                    <w:color w:val="000000" w:themeColor="text1"/>
                    <w:sz w:val="24"/>
                    <w:szCs w:val="24"/>
                    <w:lang w:val="en-GB"/>
                  </w:rPr>
                </m:ctrlPr>
              </m:num>
              <m:den>
                <m:r>
                  <w:rPr>
                    <w:rFonts w:ascii="Cambria Math" w:hAnsi="Cambria Math"/>
                    <w:color w:val="000000" w:themeColor="text1"/>
                    <w:sz w:val="24"/>
                    <w:szCs w:val="24"/>
                    <w:lang w:val="en-GB"/>
                  </w:rPr>
                  <m:t>m</m:t>
                </m:r>
              </m:den>
            </m:f>
            <m:ctrlPr>
              <w:rPr>
                <w:rFonts w:ascii="Cambria Math" w:hAnsi="Cambria Math"/>
                <w:i/>
                <w:color w:val="000000" w:themeColor="text1"/>
                <w:sz w:val="24"/>
                <w:szCs w:val="24"/>
                <w:lang w:val="en-GB"/>
              </w:rPr>
            </m:ctrlPr>
          </m:e>
        </m:d>
        <m:r>
          <w:rPr>
            <w:rFonts w:ascii="Cambria Math" w:hAnsi="Cambria Math"/>
            <w:color w:val="000000" w:themeColor="text1"/>
            <w:sz w:val="24"/>
            <w:szCs w:val="24"/>
            <w:lang w:val="en-GB"/>
          </w:rPr>
          <m:t>×10000</m:t>
        </m:r>
      </m:oMath>
    </w:p>
    <w:p w14:paraId="5CFC0CC5" w14:textId="77777777" w:rsidR="00372E00" w:rsidRPr="00ED0B9C" w:rsidRDefault="00A77E06">
      <w:pPr>
        <w:spacing w:line="360" w:lineRule="auto"/>
        <w:jc w:val="left"/>
        <w:rPr>
          <w:rFonts w:ascii="Times New Roman" w:hAnsi="Times New Roman"/>
          <w:color w:val="000000" w:themeColor="text1"/>
          <w:sz w:val="24"/>
          <w:szCs w:val="24"/>
          <w:lang w:val="en-GB"/>
        </w:rPr>
      </w:pPr>
      <m:oMathPara>
        <m:oMath>
          <m:r>
            <m:rPr>
              <m:sty m:val="p"/>
            </m:rPr>
            <w:rPr>
              <w:rFonts w:ascii="Cambria Math" w:hAnsi="Cambria Math"/>
              <w:color w:val="000000" w:themeColor="text1"/>
              <w:sz w:val="24"/>
              <w:szCs w:val="24"/>
              <w:lang w:val="en-GB"/>
            </w:rPr>
            <m:t>FMI/VMI/TFVMI=</m:t>
          </m:r>
          <m:f>
            <m:fPr>
              <m:ctrlPr>
                <w:rPr>
                  <w:rFonts w:ascii="Cambria Math" w:eastAsia="Cambria Math" w:hAnsi="Cambria Math"/>
                  <w:color w:val="000000" w:themeColor="text1"/>
                  <w:sz w:val="24"/>
                  <w:szCs w:val="24"/>
                  <w:lang w:val="en-GB"/>
                </w:rPr>
              </m:ctrlPr>
            </m:fPr>
            <m:num>
              <m:sSub>
                <m:sSubPr>
                  <m:ctrlPr>
                    <w:rPr>
                      <w:rFonts w:ascii="Cambria Math" w:hAnsi="Cambria Math"/>
                      <w:i/>
                      <w:color w:val="000000" w:themeColor="text1"/>
                      <w:sz w:val="24"/>
                      <w:szCs w:val="24"/>
                      <w:lang w:val="en-GB"/>
                    </w:rPr>
                  </m:ctrlPr>
                </m:sSubPr>
                <m:e>
                  <m:r>
                    <w:rPr>
                      <w:rFonts w:ascii="Cambria Math" w:hAnsi="Cambria Math"/>
                      <w:color w:val="000000" w:themeColor="text1"/>
                      <w:sz w:val="24"/>
                      <w:szCs w:val="24"/>
                      <w:lang w:val="en-GB"/>
                    </w:rPr>
                    <m:t>X</m:t>
                  </m:r>
                </m:e>
                <m:sub>
                  <m:r>
                    <w:rPr>
                      <w:rFonts w:ascii="Cambria Math" w:hAnsi="Cambria Math"/>
                      <w:color w:val="000000" w:themeColor="text1"/>
                      <w:sz w:val="24"/>
                      <w:szCs w:val="24"/>
                      <w:lang w:val="en-GB"/>
                    </w:rPr>
                    <m:t>i</m:t>
                  </m:r>
                </m:sub>
              </m:sSub>
              <m:r>
                <m:rPr>
                  <m:sty m:val="p"/>
                </m:rPr>
                <w:rPr>
                  <w:rFonts w:ascii="Cambria Math" w:eastAsia="Cambria Math" w:hAnsi="Cambria Math" w:cs="Cambria Math"/>
                  <w:color w:val="000000" w:themeColor="text1"/>
                  <w:sz w:val="24"/>
                  <w:szCs w:val="24"/>
                  <w:lang w:val="en-GB"/>
                </w:rPr>
                <m:t>-</m:t>
              </m:r>
              <m:acc>
                <m:accPr>
                  <m:chr m:val="̅"/>
                  <m:ctrlPr>
                    <w:rPr>
                      <w:rFonts w:ascii="Cambria Math" w:eastAsia="Cambria Math" w:hAnsi="Cambria Math" w:cs="Cambria Math"/>
                      <w:color w:val="000000" w:themeColor="text1"/>
                      <w:sz w:val="24"/>
                      <w:szCs w:val="24"/>
                      <w:lang w:val="en-GB"/>
                    </w:rPr>
                  </m:ctrlPr>
                </m:accPr>
                <m:e>
                  <m:r>
                    <w:rPr>
                      <w:rFonts w:ascii="Cambria Math" w:eastAsia="Cambria Math" w:hAnsi="Cambria Math" w:cs="Cambria Math"/>
                      <w:color w:val="000000" w:themeColor="text1"/>
                      <w:sz w:val="24"/>
                      <w:szCs w:val="24"/>
                      <w:lang w:val="en-GB"/>
                    </w:rPr>
                    <m:t>X</m:t>
                  </m:r>
                </m:e>
              </m:acc>
            </m:num>
            <m:den>
              <m:r>
                <m:rPr>
                  <m:sty m:val="p"/>
                </m:rPr>
                <w:rPr>
                  <w:rFonts w:ascii="Cambria Math" w:eastAsia="Cambria Math" w:hAnsi="Cambria Math" w:cs="Cambria Math"/>
                  <w:color w:val="000000" w:themeColor="text1"/>
                  <w:sz w:val="24"/>
                  <w:szCs w:val="24"/>
                  <w:lang w:val="en-GB"/>
                </w:rPr>
                <m:t>SD</m:t>
              </m:r>
            </m:den>
          </m:f>
        </m:oMath>
      </m:oMathPara>
    </w:p>
    <w:p w14:paraId="4C82C8F8" w14:textId="77777777" w:rsidR="00372E00" w:rsidRPr="00ED0B9C" w:rsidRDefault="00A77E06">
      <w:pPr>
        <w:spacing w:line="360" w:lineRule="auto"/>
        <w:jc w:val="left"/>
        <w:rPr>
          <w:rFonts w:ascii="Times New Roman" w:hAnsi="Times New Roman" w:cs="Times New Roman"/>
          <w:color w:val="000000" w:themeColor="text1"/>
          <w:sz w:val="24"/>
          <w:szCs w:val="24"/>
        </w:rPr>
      </w:pPr>
      <w:r w:rsidRPr="00ED0B9C">
        <w:rPr>
          <w:rFonts w:ascii="Times New Roman" w:hAnsi="Times New Roman"/>
          <w:color w:val="000000" w:themeColor="text1"/>
          <w:sz w:val="24"/>
          <w:szCs w:val="24"/>
          <w:lang w:val="en-GB"/>
        </w:rPr>
        <w:t xml:space="preserve">where </w:t>
      </w:r>
      <m:oMath>
        <m:sSub>
          <m:sSubPr>
            <m:ctrlPr>
              <w:rPr>
                <w:rFonts w:ascii="Cambria Math" w:hAnsi="Cambria Math"/>
                <w:i/>
                <w:color w:val="000000" w:themeColor="text1"/>
                <w:sz w:val="24"/>
                <w:szCs w:val="24"/>
                <w:lang w:val="en-GB"/>
              </w:rPr>
            </m:ctrlPr>
          </m:sSubPr>
          <m:e>
            <m:r>
              <w:rPr>
                <w:rFonts w:ascii="Cambria Math" w:hAnsi="Cambria Math"/>
                <w:color w:val="000000" w:themeColor="text1"/>
                <w:sz w:val="24"/>
                <w:szCs w:val="24"/>
                <w:lang w:val="en-GB"/>
              </w:rPr>
              <m:t>A</m:t>
            </m:r>
          </m:e>
          <m:sub>
            <m:r>
              <w:rPr>
                <w:rFonts w:ascii="Cambria Math" w:hAnsi="Cambria Math"/>
                <w:color w:val="000000" w:themeColor="text1"/>
                <w:sz w:val="24"/>
                <w:szCs w:val="24"/>
                <w:lang w:val="en-GB"/>
              </w:rPr>
              <m:t>ij</m:t>
            </m:r>
          </m:sub>
        </m:sSub>
        <m:r>
          <w:rPr>
            <w:rFonts w:ascii="Cambria Math" w:hAnsi="Cambria Math"/>
            <w:color w:val="000000" w:themeColor="text1"/>
            <w:sz w:val="24"/>
            <w:szCs w:val="24"/>
            <w:lang w:val="en-GB"/>
          </w:rPr>
          <m:t xml:space="preserve"> </m:t>
        </m:r>
      </m:oMath>
      <w:r w:rsidRPr="00ED0B9C">
        <w:rPr>
          <w:rFonts w:ascii="Times New Roman" w:hAnsi="Times New Roman"/>
          <w:color w:val="000000" w:themeColor="text1"/>
          <w:sz w:val="24"/>
          <w:szCs w:val="24"/>
          <w:lang w:val="en-GB"/>
        </w:rPr>
        <w:t xml:space="preserve">is the relative abundance of an OUT </w:t>
      </w:r>
      <m:oMath>
        <m:r>
          <w:rPr>
            <w:rFonts w:ascii="Cambria Math" w:hAnsi="Cambria Math"/>
            <w:color w:val="000000" w:themeColor="text1"/>
            <w:sz w:val="24"/>
            <w:szCs w:val="24"/>
            <w:lang w:val="en-GB"/>
          </w:rPr>
          <m:t>j</m:t>
        </m:r>
      </m:oMath>
      <w:r w:rsidRPr="00ED0B9C">
        <w:rPr>
          <w:rFonts w:ascii="Times New Roman" w:hAnsi="Times New Roman"/>
          <w:color w:val="000000" w:themeColor="text1"/>
          <w:sz w:val="24"/>
          <w:szCs w:val="24"/>
          <w:lang w:val="en-GB"/>
        </w:rPr>
        <w:t xml:space="preserve"> (identified from MaAsLin for the individual </w:t>
      </w:r>
      <m:oMath>
        <m:r>
          <w:rPr>
            <w:rFonts w:ascii="Cambria Math" w:hAnsi="Cambria Math"/>
            <w:color w:val="000000" w:themeColor="text1"/>
            <w:sz w:val="24"/>
            <w:szCs w:val="24"/>
            <w:lang w:val="en-GB"/>
          </w:rPr>
          <m:t>i</m:t>
        </m:r>
      </m:oMath>
      <w:r w:rsidRPr="00ED0B9C">
        <w:rPr>
          <w:rFonts w:ascii="Times New Roman" w:hAnsi="Times New Roman"/>
          <w:color w:val="000000" w:themeColor="text1"/>
          <w:sz w:val="24"/>
          <w:szCs w:val="24"/>
          <w:lang w:val="en-GB"/>
        </w:rPr>
        <w:t xml:space="preserve">, </w:t>
      </w:r>
      <w:r w:rsidRPr="00ED0B9C">
        <w:rPr>
          <w:rFonts w:ascii="Times New Roman" w:hAnsi="Times New Roman"/>
          <w:bCs/>
          <w:color w:val="000000" w:themeColor="text1"/>
          <w:sz w:val="24"/>
          <w:szCs w:val="24"/>
          <w:lang w:val="en-GB"/>
        </w:rPr>
        <w:t>Supplementary Table 3, 4 and 5)</w:t>
      </w:r>
      <w:r w:rsidRPr="00ED0B9C">
        <w:rPr>
          <w:rFonts w:ascii="Times New Roman" w:hAnsi="Times New Roman"/>
          <w:color w:val="000000" w:themeColor="text1"/>
          <w:sz w:val="24"/>
          <w:szCs w:val="24"/>
          <w:lang w:val="en-GB"/>
        </w:rPr>
        <w:t xml:space="preserve">. </w:t>
      </w:r>
      <w:bookmarkStart w:id="18" w:name="_Hlk29380762"/>
      <w:r w:rsidRPr="00ED0B9C">
        <w:rPr>
          <w:rFonts w:ascii="Times New Roman" w:hAnsi="Times New Roman"/>
          <w:i/>
          <w:iCs/>
          <w:color w:val="000000" w:themeColor="text1"/>
          <w:sz w:val="24"/>
          <w:szCs w:val="24"/>
          <w:lang w:val="en-GB"/>
        </w:rPr>
        <w:t>P</w:t>
      </w:r>
      <w:r w:rsidRPr="00ED0B9C">
        <w:rPr>
          <w:rFonts w:ascii="Times New Roman" w:hAnsi="Times New Roman"/>
          <w:color w:val="000000" w:themeColor="text1"/>
          <w:sz w:val="24"/>
          <w:szCs w:val="24"/>
          <w:lang w:val="en-GB"/>
        </w:rPr>
        <w:t xml:space="preserve"> is a subset of all positively correlated OUT biomarkers in these gut microbiota.</w:t>
      </w:r>
      <w:bookmarkEnd w:id="18"/>
      <w:r w:rsidRPr="00ED0B9C">
        <w:rPr>
          <w:rFonts w:ascii="Times New Roman" w:hAnsi="Times New Roman"/>
          <w:color w:val="000000" w:themeColor="text1"/>
          <w:sz w:val="24"/>
          <w:szCs w:val="24"/>
          <w:lang w:val="en-GB"/>
        </w:rPr>
        <w:t xml:space="preserve"> </w:t>
      </w:r>
      <w:r w:rsidRPr="00ED0B9C">
        <w:rPr>
          <w:rFonts w:ascii="Times New Roman" w:hAnsi="Times New Roman"/>
          <w:i/>
          <w:iCs/>
          <w:color w:val="000000" w:themeColor="text1"/>
          <w:sz w:val="24"/>
          <w:szCs w:val="24"/>
          <w:lang w:val="en-GB"/>
        </w:rPr>
        <w:t>N</w:t>
      </w:r>
      <w:r w:rsidRPr="00ED0B9C">
        <w:rPr>
          <w:rFonts w:ascii="Times New Roman" w:hAnsi="Times New Roman"/>
          <w:color w:val="000000" w:themeColor="text1"/>
          <w:sz w:val="24"/>
          <w:szCs w:val="24"/>
          <w:lang w:val="en-GB"/>
        </w:rPr>
        <w:t xml:space="preserve"> is a subset of all negatively correlated OUT biomarkers in these gut microbiota. </w:t>
      </w:r>
      <m:oMath>
        <m:acc>
          <m:accPr>
            <m:chr m:val="̅"/>
            <m:ctrlPr>
              <w:rPr>
                <w:rFonts w:ascii="Cambria Math" w:eastAsia="Cambria Math" w:hAnsi="Cambria Math" w:cs="Cambria Math"/>
                <w:color w:val="000000" w:themeColor="text1"/>
                <w:sz w:val="24"/>
                <w:szCs w:val="24"/>
                <w:lang w:val="en-GB"/>
              </w:rPr>
            </m:ctrlPr>
          </m:accPr>
          <m:e>
            <m:r>
              <w:rPr>
                <w:rFonts w:ascii="Cambria Math" w:eastAsia="Cambria Math" w:hAnsi="Cambria Math" w:cs="Cambria Math"/>
                <w:color w:val="000000" w:themeColor="text1"/>
                <w:sz w:val="24"/>
                <w:szCs w:val="24"/>
                <w:lang w:val="en-GB"/>
              </w:rPr>
              <m:t>X</m:t>
            </m:r>
          </m:e>
        </m:acc>
      </m:oMath>
      <w:r w:rsidRPr="00ED0B9C">
        <w:rPr>
          <w:rFonts w:ascii="Times New Roman" w:hAnsi="Times New Roman"/>
          <w:color w:val="000000" w:themeColor="text1"/>
          <w:sz w:val="24"/>
          <w:szCs w:val="24"/>
          <w:lang w:val="en-GB"/>
        </w:rPr>
        <w:t xml:space="preserve"> is the mean value of </w:t>
      </w:r>
      <m:oMath>
        <m:sSub>
          <m:sSubPr>
            <m:ctrlPr>
              <w:rPr>
                <w:rFonts w:ascii="Cambria Math" w:hAnsi="Cambria Math"/>
                <w:i/>
                <w:color w:val="000000" w:themeColor="text1"/>
                <w:sz w:val="24"/>
                <w:szCs w:val="24"/>
                <w:lang w:val="en-GB"/>
              </w:rPr>
            </m:ctrlPr>
          </m:sSubPr>
          <m:e>
            <m:r>
              <w:rPr>
                <w:rFonts w:ascii="Cambria Math" w:hAnsi="Cambria Math"/>
                <w:color w:val="000000" w:themeColor="text1"/>
                <w:sz w:val="24"/>
                <w:szCs w:val="24"/>
                <w:lang w:val="en-GB"/>
              </w:rPr>
              <m:t>X</m:t>
            </m:r>
          </m:e>
          <m:sub>
            <m:r>
              <w:rPr>
                <w:rFonts w:ascii="Cambria Math" w:hAnsi="Cambria Math"/>
                <w:color w:val="000000" w:themeColor="text1"/>
                <w:sz w:val="24"/>
                <w:szCs w:val="24"/>
                <w:lang w:val="en-GB"/>
              </w:rPr>
              <m:t>i</m:t>
            </m:r>
          </m:sub>
        </m:sSub>
      </m:oMath>
      <w:r w:rsidRPr="00ED0B9C">
        <w:rPr>
          <w:rFonts w:ascii="Times New Roman" w:hAnsi="Times New Roman"/>
          <w:color w:val="000000" w:themeColor="text1"/>
          <w:sz w:val="24"/>
          <w:szCs w:val="24"/>
          <w:lang w:val="en-GB"/>
        </w:rPr>
        <w:t xml:space="preserve">. SD is the is the standard deviation of </w:t>
      </w:r>
      <m:oMath>
        <m:sSub>
          <m:sSubPr>
            <m:ctrlPr>
              <w:rPr>
                <w:rFonts w:ascii="Cambria Math" w:hAnsi="Cambria Math"/>
                <w:i/>
                <w:color w:val="000000" w:themeColor="text1"/>
                <w:sz w:val="24"/>
                <w:szCs w:val="24"/>
                <w:lang w:val="en-GB"/>
              </w:rPr>
            </m:ctrlPr>
          </m:sSubPr>
          <m:e>
            <m:r>
              <w:rPr>
                <w:rFonts w:ascii="Cambria Math" w:hAnsi="Cambria Math"/>
                <w:color w:val="000000" w:themeColor="text1"/>
                <w:sz w:val="24"/>
                <w:szCs w:val="24"/>
                <w:lang w:val="en-GB"/>
              </w:rPr>
              <m:t>X</m:t>
            </m:r>
          </m:e>
          <m:sub>
            <m:r>
              <w:rPr>
                <w:rFonts w:ascii="Cambria Math" w:hAnsi="Cambria Math"/>
                <w:color w:val="000000" w:themeColor="text1"/>
                <w:sz w:val="24"/>
                <w:szCs w:val="24"/>
                <w:lang w:val="en-GB"/>
              </w:rPr>
              <m:t>i</m:t>
            </m:r>
          </m:sub>
        </m:sSub>
        <m:r>
          <w:rPr>
            <w:rFonts w:ascii="Cambria Math" w:hAnsi="Cambria Math"/>
            <w:color w:val="000000" w:themeColor="text1"/>
            <w:sz w:val="24"/>
            <w:szCs w:val="24"/>
            <w:lang w:val="en-GB"/>
          </w:rPr>
          <m:t xml:space="preserve">. </m:t>
        </m:r>
      </m:oMath>
      <w:r w:rsidRPr="00ED0B9C">
        <w:rPr>
          <w:rFonts w:ascii="Times New Roman" w:hAnsi="Times New Roman"/>
          <w:color w:val="000000" w:themeColor="text1"/>
          <w:sz w:val="24"/>
          <w:szCs w:val="24"/>
          <w:lang w:val="en-GB"/>
        </w:rPr>
        <w:t xml:space="preserve">Only those OTUs that were significantly </w:t>
      </w:r>
      <w:bookmarkStart w:id="19" w:name="_Hlk29380674"/>
      <w:r w:rsidRPr="00ED0B9C">
        <w:rPr>
          <w:rFonts w:ascii="Times New Roman" w:hAnsi="Times New Roman"/>
          <w:color w:val="000000" w:themeColor="text1"/>
          <w:sz w:val="24"/>
          <w:szCs w:val="24"/>
          <w:lang w:val="en-GB"/>
        </w:rPr>
        <w:t>correlated</w:t>
      </w:r>
      <w:bookmarkEnd w:id="19"/>
      <w:r w:rsidRPr="00ED0B9C">
        <w:rPr>
          <w:rFonts w:ascii="Times New Roman" w:hAnsi="Times New Roman"/>
          <w:color w:val="000000" w:themeColor="text1"/>
          <w:sz w:val="24"/>
          <w:szCs w:val="24"/>
          <w:lang w:val="en-GB"/>
        </w:rPr>
        <w:t xml:space="preserve"> with fruit intake, </w:t>
      </w:r>
      <w:bookmarkStart w:id="20" w:name="_Hlk39151656"/>
      <w:r w:rsidRPr="00ED0B9C">
        <w:rPr>
          <w:rFonts w:ascii="Times New Roman" w:hAnsi="Times New Roman"/>
          <w:color w:val="000000" w:themeColor="text1"/>
          <w:sz w:val="24"/>
          <w:szCs w:val="24"/>
          <w:lang w:val="en-GB"/>
        </w:rPr>
        <w:t>vegetable intake or total fruit and vegetable intake</w:t>
      </w:r>
      <w:bookmarkEnd w:id="20"/>
      <w:r w:rsidRPr="00ED0B9C">
        <w:rPr>
          <w:rFonts w:ascii="Times New Roman" w:hAnsi="Times New Roman"/>
          <w:color w:val="000000" w:themeColor="text1"/>
          <w:sz w:val="24"/>
          <w:szCs w:val="24"/>
          <w:lang w:val="en-GB"/>
        </w:rPr>
        <w:t xml:space="preserve"> were used in the calculation. </w:t>
      </w:r>
      <w:r w:rsidRPr="00ED0B9C">
        <w:rPr>
          <w:rFonts w:ascii="Times New Roman" w:hAnsi="Times New Roman" w:cs="Times New Roman"/>
          <w:color w:val="000000" w:themeColor="text1"/>
          <w:sz w:val="24"/>
          <w:szCs w:val="24"/>
        </w:rPr>
        <w:br w:type="page"/>
      </w:r>
    </w:p>
    <w:p w14:paraId="50649F0B" w14:textId="77777777" w:rsidR="00372E00" w:rsidRPr="00ED0B9C" w:rsidRDefault="00A77E06">
      <w:pPr>
        <w:spacing w:line="360" w:lineRule="auto"/>
        <w:rPr>
          <w:rFonts w:ascii="Times New Roman" w:hAnsi="Times New Roman" w:cs="Times New Roman"/>
          <w:b/>
          <w:bCs/>
          <w:color w:val="000000" w:themeColor="text1"/>
          <w:sz w:val="24"/>
          <w:szCs w:val="24"/>
        </w:rPr>
      </w:pPr>
      <w:bookmarkStart w:id="21" w:name="_Hlk29892867"/>
      <w:r w:rsidRPr="00ED0B9C">
        <w:rPr>
          <w:rFonts w:ascii="Times New Roman" w:hAnsi="Times New Roman" w:cs="Times New Roman" w:hint="eastAsia"/>
          <w:b/>
          <w:color w:val="000000" w:themeColor="text1"/>
          <w:sz w:val="24"/>
          <w:szCs w:val="24"/>
        </w:rPr>
        <w:lastRenderedPageBreak/>
        <w:t>S</w:t>
      </w:r>
      <w:r w:rsidRPr="00ED0B9C">
        <w:rPr>
          <w:rFonts w:ascii="Times New Roman" w:hAnsi="Times New Roman" w:cs="Times New Roman"/>
          <w:b/>
          <w:color w:val="000000" w:themeColor="text1"/>
          <w:sz w:val="24"/>
          <w:szCs w:val="24"/>
        </w:rPr>
        <w:t>upplementary</w:t>
      </w:r>
      <w:bookmarkEnd w:id="21"/>
      <w:r w:rsidRPr="00ED0B9C">
        <w:rPr>
          <w:rFonts w:ascii="Times New Roman" w:hAnsi="Times New Roman" w:cs="Times New Roman" w:hint="eastAsia"/>
          <w:b/>
          <w:color w:val="000000" w:themeColor="text1"/>
          <w:sz w:val="24"/>
          <w:szCs w:val="24"/>
        </w:rPr>
        <w:t xml:space="preserve"> </w:t>
      </w:r>
      <w:r w:rsidRPr="00ED0B9C">
        <w:rPr>
          <w:rFonts w:ascii="Times New Roman" w:hAnsi="Times New Roman" w:cs="Times New Roman"/>
          <w:b/>
          <w:bCs/>
          <w:color w:val="000000" w:themeColor="text1"/>
          <w:sz w:val="24"/>
          <w:szCs w:val="24"/>
        </w:rPr>
        <w:t>Tables</w:t>
      </w:r>
    </w:p>
    <w:p w14:paraId="3F3657BE" w14:textId="77777777" w:rsidR="00372E00" w:rsidRPr="00ED0B9C" w:rsidRDefault="00A77E06">
      <w:pPr>
        <w:widowControl/>
        <w:spacing w:line="360" w:lineRule="auto"/>
        <w:jc w:val="left"/>
        <w:rPr>
          <w:rFonts w:ascii="宋体" w:eastAsia="宋体" w:hAnsi="宋体" w:cs="宋体"/>
          <w:color w:val="000000" w:themeColor="text1"/>
          <w:kern w:val="0"/>
          <w:sz w:val="20"/>
          <w:szCs w:val="20"/>
        </w:rPr>
      </w:pPr>
      <w:r w:rsidRPr="00ED0B9C">
        <w:rPr>
          <w:rFonts w:ascii="Times New Roman" w:hAnsi="Times New Roman" w:cs="Times New Roman"/>
          <w:b/>
          <w:bCs/>
          <w:color w:val="000000" w:themeColor="text1"/>
          <w:kern w:val="24"/>
          <w:sz w:val="24"/>
          <w:szCs w:val="24"/>
        </w:rPr>
        <w:t xml:space="preserve">Table </w:t>
      </w:r>
      <w:r w:rsidR="00B160AE" w:rsidRPr="00ED0B9C">
        <w:rPr>
          <w:rFonts w:ascii="Times New Roman" w:hAnsi="Times New Roman" w:cs="Times New Roman"/>
          <w:b/>
          <w:bCs/>
          <w:color w:val="000000" w:themeColor="text1"/>
          <w:kern w:val="24"/>
          <w:sz w:val="24"/>
          <w:szCs w:val="24"/>
        </w:rPr>
        <w:t>S</w:t>
      </w:r>
      <w:r w:rsidRPr="00ED0B9C">
        <w:rPr>
          <w:rFonts w:ascii="Times New Roman" w:hAnsi="Times New Roman" w:cs="Times New Roman"/>
          <w:b/>
          <w:bCs/>
          <w:color w:val="000000" w:themeColor="text1"/>
          <w:kern w:val="24"/>
          <w:sz w:val="24"/>
          <w:szCs w:val="24"/>
        </w:rPr>
        <w:t xml:space="preserve">1 Characteristics of study participants </w:t>
      </w:r>
      <w:r w:rsidRPr="00ED0B9C">
        <w:rPr>
          <w:rFonts w:ascii="Times New Roman" w:hAnsi="Times New Roman" w:cs="Times New Roman"/>
          <w:b/>
          <w:color w:val="000000" w:themeColor="text1"/>
          <w:sz w:val="24"/>
          <w:szCs w:val="24"/>
        </w:rPr>
        <w:t>from the GGMP</w:t>
      </w:r>
      <w:r w:rsidRPr="00ED0B9C">
        <w:rPr>
          <w:rFonts w:ascii="Times New Roman" w:hAnsi="Times New Roman" w:cs="Times New Roman"/>
          <w:b/>
          <w:bCs/>
          <w:color w:val="000000" w:themeColor="text1"/>
          <w:kern w:val="24"/>
          <w:sz w:val="24"/>
          <w:szCs w:val="24"/>
        </w:rPr>
        <w:t>*</w:t>
      </w:r>
    </w:p>
    <w:tbl>
      <w:tblPr>
        <w:tblW w:w="5000" w:type="pct"/>
        <w:jc w:val="center"/>
        <w:tblCellMar>
          <w:left w:w="0" w:type="dxa"/>
          <w:right w:w="0" w:type="dxa"/>
        </w:tblCellMar>
        <w:tblLook w:val="04A0" w:firstRow="1" w:lastRow="0" w:firstColumn="1" w:lastColumn="0" w:noHBand="0" w:noVBand="1"/>
      </w:tblPr>
      <w:tblGrid>
        <w:gridCol w:w="3402"/>
        <w:gridCol w:w="4904"/>
      </w:tblGrid>
      <w:tr w:rsidR="00ED0B9C" w:rsidRPr="00ED0B9C" w14:paraId="2D01225A" w14:textId="77777777">
        <w:trPr>
          <w:trHeight w:val="288"/>
          <w:jc w:val="center"/>
        </w:trPr>
        <w:tc>
          <w:tcPr>
            <w:tcW w:w="2048" w:type="pct"/>
            <w:tcBorders>
              <w:top w:val="single" w:sz="12" w:space="0" w:color="000000"/>
              <w:left w:val="nil"/>
              <w:bottom w:val="single" w:sz="12" w:space="0" w:color="000000"/>
              <w:right w:val="nil"/>
            </w:tcBorders>
            <w:vAlign w:val="center"/>
          </w:tcPr>
          <w:p w14:paraId="22D0D956"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Characteristics</w:t>
            </w:r>
          </w:p>
        </w:tc>
        <w:tc>
          <w:tcPr>
            <w:tcW w:w="2952" w:type="pct"/>
            <w:tcBorders>
              <w:top w:val="single" w:sz="12" w:space="0" w:color="000000"/>
              <w:left w:val="nil"/>
              <w:bottom w:val="single" w:sz="12" w:space="0" w:color="000000"/>
              <w:right w:val="nil"/>
            </w:tcBorders>
            <w:shd w:val="clear" w:color="auto" w:fill="FFFFFF"/>
            <w:tcMar>
              <w:top w:w="15" w:type="dxa"/>
              <w:left w:w="33" w:type="dxa"/>
              <w:bottom w:w="0" w:type="dxa"/>
              <w:right w:w="33" w:type="dxa"/>
            </w:tcMar>
            <w:vAlign w:val="center"/>
          </w:tcPr>
          <w:p w14:paraId="412E6C64"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Total population</w:t>
            </w:r>
          </w:p>
        </w:tc>
      </w:tr>
      <w:tr w:rsidR="00ED0B9C" w:rsidRPr="00ED0B9C" w14:paraId="5338DA3D" w14:textId="77777777">
        <w:trPr>
          <w:trHeight w:val="288"/>
          <w:jc w:val="center"/>
        </w:trPr>
        <w:tc>
          <w:tcPr>
            <w:tcW w:w="2048" w:type="pct"/>
            <w:tcBorders>
              <w:top w:val="single" w:sz="12" w:space="0" w:color="000000"/>
              <w:left w:val="nil"/>
              <w:bottom w:val="nil"/>
              <w:right w:val="nil"/>
            </w:tcBorders>
            <w:shd w:val="clear" w:color="auto" w:fill="FFFFFF"/>
            <w:tcMar>
              <w:top w:w="15" w:type="dxa"/>
              <w:left w:w="33" w:type="dxa"/>
              <w:bottom w:w="0" w:type="dxa"/>
              <w:right w:w="33" w:type="dxa"/>
            </w:tcMar>
            <w:vAlign w:val="center"/>
          </w:tcPr>
          <w:p w14:paraId="1F8FB15C"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n</w:t>
            </w:r>
          </w:p>
        </w:tc>
        <w:tc>
          <w:tcPr>
            <w:tcW w:w="2952" w:type="pct"/>
            <w:tcBorders>
              <w:top w:val="single" w:sz="12" w:space="0" w:color="000000"/>
              <w:left w:val="nil"/>
              <w:bottom w:val="nil"/>
              <w:right w:val="nil"/>
            </w:tcBorders>
            <w:shd w:val="clear" w:color="auto" w:fill="FFFFFF"/>
            <w:tcMar>
              <w:top w:w="15" w:type="dxa"/>
              <w:left w:w="33" w:type="dxa"/>
              <w:bottom w:w="0" w:type="dxa"/>
              <w:right w:w="33" w:type="dxa"/>
            </w:tcMar>
            <w:vAlign w:val="center"/>
          </w:tcPr>
          <w:p w14:paraId="6693E804"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6626</w:t>
            </w:r>
          </w:p>
        </w:tc>
      </w:tr>
      <w:tr w:rsidR="00ED0B9C" w:rsidRPr="00ED0B9C" w14:paraId="7D89DFCE" w14:textId="77777777">
        <w:trPr>
          <w:trHeight w:val="288"/>
          <w:jc w:val="center"/>
        </w:trPr>
        <w:tc>
          <w:tcPr>
            <w:tcW w:w="2048" w:type="pct"/>
            <w:tcBorders>
              <w:top w:val="nil"/>
              <w:left w:val="nil"/>
              <w:bottom w:val="nil"/>
              <w:right w:val="nil"/>
            </w:tcBorders>
            <w:shd w:val="clear" w:color="auto" w:fill="FFFFFF"/>
            <w:tcMar>
              <w:top w:w="15" w:type="dxa"/>
              <w:left w:w="33" w:type="dxa"/>
              <w:bottom w:w="0" w:type="dxa"/>
              <w:right w:w="33" w:type="dxa"/>
            </w:tcMar>
            <w:vAlign w:val="center"/>
          </w:tcPr>
          <w:p w14:paraId="47192882"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Age, y</w:t>
            </w:r>
          </w:p>
        </w:tc>
        <w:tc>
          <w:tcPr>
            <w:tcW w:w="2952" w:type="pct"/>
            <w:tcBorders>
              <w:top w:val="nil"/>
              <w:left w:val="nil"/>
              <w:bottom w:val="nil"/>
              <w:right w:val="nil"/>
            </w:tcBorders>
            <w:shd w:val="clear" w:color="auto" w:fill="FFFFFF"/>
            <w:tcMar>
              <w:top w:w="15" w:type="dxa"/>
              <w:left w:w="33" w:type="dxa"/>
              <w:bottom w:w="0" w:type="dxa"/>
              <w:right w:w="33" w:type="dxa"/>
            </w:tcMar>
            <w:vAlign w:val="center"/>
          </w:tcPr>
          <w:p w14:paraId="2B33CE9B"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52.8 (14.7)</w:t>
            </w:r>
          </w:p>
        </w:tc>
      </w:tr>
      <w:tr w:rsidR="00ED0B9C" w:rsidRPr="00ED0B9C" w14:paraId="06FB425D" w14:textId="77777777">
        <w:trPr>
          <w:trHeight w:val="310"/>
          <w:jc w:val="center"/>
        </w:trPr>
        <w:tc>
          <w:tcPr>
            <w:tcW w:w="2048" w:type="pct"/>
            <w:tcBorders>
              <w:top w:val="nil"/>
              <w:left w:val="nil"/>
              <w:bottom w:val="nil"/>
              <w:right w:val="nil"/>
            </w:tcBorders>
            <w:shd w:val="clear" w:color="auto" w:fill="FFFFFF"/>
            <w:tcMar>
              <w:top w:w="15" w:type="dxa"/>
              <w:left w:w="33" w:type="dxa"/>
              <w:bottom w:w="0" w:type="dxa"/>
              <w:right w:w="33" w:type="dxa"/>
            </w:tcMar>
            <w:vAlign w:val="center"/>
          </w:tcPr>
          <w:p w14:paraId="2D5BD753"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Sex, n (% of women)</w:t>
            </w:r>
          </w:p>
        </w:tc>
        <w:tc>
          <w:tcPr>
            <w:tcW w:w="2952" w:type="pct"/>
            <w:tcBorders>
              <w:top w:val="nil"/>
              <w:left w:val="nil"/>
              <w:bottom w:val="nil"/>
              <w:right w:val="nil"/>
            </w:tcBorders>
            <w:shd w:val="clear" w:color="auto" w:fill="FFFFFF"/>
            <w:tcMar>
              <w:top w:w="15" w:type="dxa"/>
              <w:left w:w="33" w:type="dxa"/>
              <w:bottom w:w="0" w:type="dxa"/>
              <w:right w:w="33" w:type="dxa"/>
            </w:tcMar>
            <w:vAlign w:val="center"/>
          </w:tcPr>
          <w:p w14:paraId="37605DCD"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3657 (55.2)</w:t>
            </w:r>
          </w:p>
        </w:tc>
      </w:tr>
      <w:tr w:rsidR="00ED0B9C" w:rsidRPr="00ED0B9C" w14:paraId="111830A5" w14:textId="77777777">
        <w:trPr>
          <w:trHeight w:val="426"/>
          <w:jc w:val="center"/>
        </w:trPr>
        <w:tc>
          <w:tcPr>
            <w:tcW w:w="2048" w:type="pct"/>
            <w:tcBorders>
              <w:top w:val="nil"/>
              <w:left w:val="nil"/>
              <w:bottom w:val="nil"/>
              <w:right w:val="nil"/>
            </w:tcBorders>
            <w:shd w:val="clear" w:color="auto" w:fill="FFFFFF"/>
            <w:tcMar>
              <w:top w:w="15" w:type="dxa"/>
              <w:left w:w="33" w:type="dxa"/>
              <w:bottom w:w="0" w:type="dxa"/>
              <w:right w:w="33" w:type="dxa"/>
            </w:tcMar>
            <w:vAlign w:val="center"/>
          </w:tcPr>
          <w:p w14:paraId="702DA8CC"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BMI, kg/m</w:t>
            </w:r>
            <w:r w:rsidRPr="00ED0B9C">
              <w:rPr>
                <w:rFonts w:ascii="Times New Roman" w:eastAsia="宋体" w:hAnsi="Times New Roman" w:cs="Times New Roman"/>
                <w:color w:val="000000" w:themeColor="text1"/>
                <w:sz w:val="20"/>
                <w:szCs w:val="20"/>
                <w:vertAlign w:val="superscript"/>
              </w:rPr>
              <w:t>2</w:t>
            </w:r>
          </w:p>
        </w:tc>
        <w:tc>
          <w:tcPr>
            <w:tcW w:w="2952" w:type="pct"/>
            <w:tcBorders>
              <w:top w:val="nil"/>
              <w:left w:val="nil"/>
              <w:bottom w:val="nil"/>
              <w:right w:val="nil"/>
            </w:tcBorders>
            <w:shd w:val="clear" w:color="auto" w:fill="FFFFFF"/>
            <w:tcMar>
              <w:top w:w="15" w:type="dxa"/>
              <w:left w:w="33" w:type="dxa"/>
              <w:bottom w:w="0" w:type="dxa"/>
              <w:right w:w="33" w:type="dxa"/>
            </w:tcMar>
            <w:vAlign w:val="center"/>
          </w:tcPr>
          <w:p w14:paraId="22B19119"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23.4 (3.5)</w:t>
            </w:r>
          </w:p>
        </w:tc>
      </w:tr>
      <w:tr w:rsidR="00ED0B9C" w:rsidRPr="00ED0B9C" w14:paraId="2B21FFA0" w14:textId="77777777">
        <w:trPr>
          <w:trHeight w:val="569"/>
          <w:jc w:val="center"/>
        </w:trPr>
        <w:tc>
          <w:tcPr>
            <w:tcW w:w="2048" w:type="pct"/>
            <w:tcBorders>
              <w:top w:val="nil"/>
              <w:left w:val="nil"/>
              <w:bottom w:val="nil"/>
              <w:right w:val="nil"/>
            </w:tcBorders>
            <w:shd w:val="clear" w:color="auto" w:fill="FFFFFF"/>
            <w:tcMar>
              <w:top w:w="15" w:type="dxa"/>
              <w:left w:w="33" w:type="dxa"/>
              <w:bottom w:w="0" w:type="dxa"/>
              <w:right w:w="33" w:type="dxa"/>
            </w:tcMar>
            <w:vAlign w:val="center"/>
          </w:tcPr>
          <w:p w14:paraId="680EE522"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Vegetable intake, g/d</w:t>
            </w:r>
          </w:p>
        </w:tc>
        <w:tc>
          <w:tcPr>
            <w:tcW w:w="2952" w:type="pct"/>
            <w:tcBorders>
              <w:top w:val="nil"/>
              <w:left w:val="nil"/>
              <w:bottom w:val="nil"/>
              <w:right w:val="nil"/>
            </w:tcBorders>
            <w:shd w:val="clear" w:color="auto" w:fill="FFFFFF"/>
            <w:tcMar>
              <w:top w:w="15" w:type="dxa"/>
              <w:left w:w="33" w:type="dxa"/>
              <w:bottom w:w="0" w:type="dxa"/>
              <w:right w:w="33" w:type="dxa"/>
            </w:tcMar>
            <w:vAlign w:val="center"/>
          </w:tcPr>
          <w:p w14:paraId="1E79363A"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337 (230)</w:t>
            </w:r>
          </w:p>
        </w:tc>
      </w:tr>
      <w:tr w:rsidR="00ED0B9C" w:rsidRPr="00ED0B9C" w14:paraId="6898706D" w14:textId="77777777">
        <w:trPr>
          <w:trHeight w:val="569"/>
          <w:jc w:val="center"/>
        </w:trPr>
        <w:tc>
          <w:tcPr>
            <w:tcW w:w="2048" w:type="pct"/>
            <w:tcBorders>
              <w:top w:val="nil"/>
              <w:left w:val="nil"/>
              <w:bottom w:val="nil"/>
              <w:right w:val="nil"/>
            </w:tcBorders>
            <w:shd w:val="clear" w:color="auto" w:fill="FFFFFF"/>
            <w:tcMar>
              <w:top w:w="15" w:type="dxa"/>
              <w:left w:w="33" w:type="dxa"/>
              <w:bottom w:w="0" w:type="dxa"/>
              <w:right w:w="33" w:type="dxa"/>
            </w:tcMar>
            <w:vAlign w:val="center"/>
          </w:tcPr>
          <w:p w14:paraId="52586B93"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Fruit intake</w:t>
            </w:r>
            <w:bookmarkStart w:id="22" w:name="OLE_LINK12"/>
            <w:r w:rsidRPr="00ED0B9C">
              <w:rPr>
                <w:rFonts w:ascii="Times New Roman" w:eastAsia="宋体" w:hAnsi="Times New Roman" w:cs="Times New Roman"/>
                <w:color w:val="000000" w:themeColor="text1"/>
                <w:sz w:val="20"/>
                <w:szCs w:val="20"/>
              </w:rPr>
              <w:t>, g/d</w:t>
            </w:r>
            <w:bookmarkEnd w:id="22"/>
          </w:p>
        </w:tc>
        <w:tc>
          <w:tcPr>
            <w:tcW w:w="2952" w:type="pct"/>
            <w:tcBorders>
              <w:top w:val="nil"/>
              <w:left w:val="nil"/>
              <w:bottom w:val="nil"/>
              <w:right w:val="nil"/>
            </w:tcBorders>
            <w:shd w:val="clear" w:color="auto" w:fill="FFFFFF"/>
            <w:tcMar>
              <w:top w:w="15" w:type="dxa"/>
              <w:left w:w="33" w:type="dxa"/>
              <w:bottom w:w="0" w:type="dxa"/>
              <w:right w:w="33" w:type="dxa"/>
            </w:tcMar>
            <w:vAlign w:val="center"/>
          </w:tcPr>
          <w:p w14:paraId="2523C710"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79 (117)</w:t>
            </w:r>
          </w:p>
        </w:tc>
      </w:tr>
      <w:tr w:rsidR="00ED0B9C" w:rsidRPr="00ED0B9C" w14:paraId="26C9C1E5" w14:textId="77777777">
        <w:trPr>
          <w:trHeight w:val="569"/>
          <w:jc w:val="center"/>
        </w:trPr>
        <w:tc>
          <w:tcPr>
            <w:tcW w:w="2048" w:type="pct"/>
            <w:tcBorders>
              <w:top w:val="nil"/>
              <w:left w:val="nil"/>
              <w:bottom w:val="nil"/>
              <w:right w:val="nil"/>
            </w:tcBorders>
            <w:shd w:val="clear" w:color="auto" w:fill="FFFFFF"/>
            <w:tcMar>
              <w:top w:w="15" w:type="dxa"/>
              <w:left w:w="33" w:type="dxa"/>
              <w:bottom w:w="0" w:type="dxa"/>
              <w:right w:w="33" w:type="dxa"/>
            </w:tcMar>
            <w:vAlign w:val="center"/>
          </w:tcPr>
          <w:p w14:paraId="3B1DE79B"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Total fruit and vegetable intake, g/d</w:t>
            </w:r>
          </w:p>
        </w:tc>
        <w:tc>
          <w:tcPr>
            <w:tcW w:w="2952" w:type="pct"/>
            <w:tcBorders>
              <w:top w:val="nil"/>
              <w:left w:val="nil"/>
              <w:bottom w:val="nil"/>
              <w:right w:val="nil"/>
            </w:tcBorders>
            <w:shd w:val="clear" w:color="auto" w:fill="FFFFFF"/>
            <w:tcMar>
              <w:top w:w="15" w:type="dxa"/>
              <w:left w:w="33" w:type="dxa"/>
              <w:bottom w:w="0" w:type="dxa"/>
              <w:right w:w="33" w:type="dxa"/>
            </w:tcMar>
            <w:vAlign w:val="center"/>
          </w:tcPr>
          <w:p w14:paraId="054AEF44" w14:textId="77777777" w:rsidR="00372E00" w:rsidRPr="00ED0B9C" w:rsidRDefault="00A77E06">
            <w:pPr>
              <w:jc w:val="center"/>
              <w:rPr>
                <w:rFonts w:ascii="Times New Roman" w:hAnsi="Times New Roman" w:cs="Times New Roman"/>
                <w:color w:val="000000" w:themeColor="text1"/>
                <w:sz w:val="20"/>
                <w:szCs w:val="20"/>
              </w:rPr>
            </w:pPr>
            <w:r w:rsidRPr="00ED0B9C">
              <w:rPr>
                <w:rFonts w:ascii="Times New Roman" w:hAnsi="Times New Roman" w:cs="Times New Roman" w:hint="eastAsia"/>
                <w:color w:val="000000" w:themeColor="text1"/>
                <w:sz w:val="20"/>
                <w:szCs w:val="20"/>
              </w:rPr>
              <w:t>4</w:t>
            </w:r>
            <w:r w:rsidRPr="00ED0B9C">
              <w:rPr>
                <w:rFonts w:ascii="Times New Roman" w:hAnsi="Times New Roman" w:cs="Times New Roman"/>
                <w:color w:val="000000" w:themeColor="text1"/>
                <w:sz w:val="20"/>
                <w:szCs w:val="20"/>
              </w:rPr>
              <w:t>16 (272)</w:t>
            </w:r>
          </w:p>
        </w:tc>
      </w:tr>
      <w:tr w:rsidR="00ED0B9C" w:rsidRPr="00ED0B9C" w14:paraId="29C48C7F" w14:textId="77777777">
        <w:trPr>
          <w:trHeight w:val="620"/>
          <w:jc w:val="center"/>
        </w:trPr>
        <w:tc>
          <w:tcPr>
            <w:tcW w:w="2048" w:type="pct"/>
            <w:tcBorders>
              <w:top w:val="nil"/>
              <w:left w:val="nil"/>
              <w:bottom w:val="nil"/>
              <w:right w:val="nil"/>
            </w:tcBorders>
            <w:shd w:val="clear" w:color="auto" w:fill="FFFFFF"/>
            <w:tcMar>
              <w:top w:w="15" w:type="dxa"/>
              <w:left w:w="33" w:type="dxa"/>
              <w:bottom w:w="0" w:type="dxa"/>
              <w:right w:w="33" w:type="dxa"/>
            </w:tcMar>
            <w:vAlign w:val="center"/>
          </w:tcPr>
          <w:p w14:paraId="25203EE4"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hint="eastAsia"/>
                <w:color w:val="000000" w:themeColor="text1"/>
                <w:sz w:val="20"/>
                <w:szCs w:val="20"/>
              </w:rPr>
              <w:t>R</w:t>
            </w:r>
            <w:r w:rsidRPr="00ED0B9C">
              <w:rPr>
                <w:rFonts w:ascii="Times New Roman" w:eastAsia="宋体" w:hAnsi="Times New Roman" w:cs="Times New Roman"/>
                <w:color w:val="000000" w:themeColor="text1"/>
                <w:sz w:val="20"/>
                <w:szCs w:val="20"/>
              </w:rPr>
              <w:t xml:space="preserve">ed and </w:t>
            </w:r>
            <w:r w:rsidRPr="00ED0B9C">
              <w:rPr>
                <w:rFonts w:ascii="Times New Roman" w:eastAsia="宋体" w:hAnsi="Times New Roman" w:cs="Times New Roman"/>
                <w:bCs/>
                <w:color w:val="000000" w:themeColor="text1"/>
                <w:sz w:val="20"/>
                <w:szCs w:val="20"/>
              </w:rPr>
              <w:t>processed meat intake</w:t>
            </w:r>
            <w:r w:rsidRPr="00ED0B9C">
              <w:rPr>
                <w:rFonts w:ascii="Times New Roman" w:eastAsia="宋体" w:hAnsi="Times New Roman" w:cs="Times New Roman"/>
                <w:color w:val="000000" w:themeColor="text1"/>
                <w:sz w:val="20"/>
                <w:szCs w:val="20"/>
              </w:rPr>
              <w:t xml:space="preserve">, g/d </w:t>
            </w:r>
          </w:p>
        </w:tc>
        <w:tc>
          <w:tcPr>
            <w:tcW w:w="2952" w:type="pct"/>
            <w:tcBorders>
              <w:top w:val="nil"/>
              <w:left w:val="nil"/>
              <w:bottom w:val="nil"/>
              <w:right w:val="nil"/>
            </w:tcBorders>
            <w:shd w:val="clear" w:color="auto" w:fill="FFFFFF"/>
            <w:tcMar>
              <w:top w:w="15" w:type="dxa"/>
              <w:left w:w="33" w:type="dxa"/>
              <w:bottom w:w="0" w:type="dxa"/>
              <w:right w:w="33" w:type="dxa"/>
            </w:tcMar>
            <w:vAlign w:val="center"/>
          </w:tcPr>
          <w:p w14:paraId="61197C5B"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131 (134)</w:t>
            </w:r>
          </w:p>
        </w:tc>
      </w:tr>
      <w:tr w:rsidR="00ED0B9C" w:rsidRPr="00ED0B9C" w14:paraId="6DD8A1E6" w14:textId="77777777">
        <w:trPr>
          <w:trHeight w:val="620"/>
          <w:jc w:val="center"/>
        </w:trPr>
        <w:tc>
          <w:tcPr>
            <w:tcW w:w="2048" w:type="pct"/>
            <w:tcBorders>
              <w:top w:val="nil"/>
              <w:left w:val="nil"/>
              <w:bottom w:val="nil"/>
              <w:right w:val="nil"/>
            </w:tcBorders>
            <w:shd w:val="clear" w:color="auto" w:fill="FFFFFF"/>
            <w:tcMar>
              <w:top w:w="15" w:type="dxa"/>
              <w:left w:w="33" w:type="dxa"/>
              <w:bottom w:w="0" w:type="dxa"/>
              <w:right w:w="33" w:type="dxa"/>
            </w:tcMar>
            <w:vAlign w:val="center"/>
          </w:tcPr>
          <w:p w14:paraId="744EAB04"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Current alcohol drinker, n (%)</w:t>
            </w:r>
          </w:p>
        </w:tc>
        <w:tc>
          <w:tcPr>
            <w:tcW w:w="2952" w:type="pct"/>
            <w:tcBorders>
              <w:top w:val="nil"/>
              <w:left w:val="nil"/>
              <w:bottom w:val="nil"/>
              <w:right w:val="nil"/>
            </w:tcBorders>
            <w:shd w:val="clear" w:color="auto" w:fill="FFFFFF"/>
            <w:tcMar>
              <w:top w:w="15" w:type="dxa"/>
              <w:left w:w="33" w:type="dxa"/>
              <w:bottom w:w="0" w:type="dxa"/>
              <w:right w:w="33" w:type="dxa"/>
            </w:tcMar>
            <w:vAlign w:val="center"/>
          </w:tcPr>
          <w:p w14:paraId="0903B237"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2606 (39.3)</w:t>
            </w:r>
          </w:p>
        </w:tc>
      </w:tr>
      <w:tr w:rsidR="00ED0B9C" w:rsidRPr="00ED0B9C" w14:paraId="6DED9E52" w14:textId="77777777">
        <w:trPr>
          <w:trHeight w:val="465"/>
          <w:jc w:val="center"/>
        </w:trPr>
        <w:tc>
          <w:tcPr>
            <w:tcW w:w="2048" w:type="pct"/>
            <w:tcBorders>
              <w:top w:val="nil"/>
              <w:left w:val="nil"/>
              <w:bottom w:val="nil"/>
              <w:right w:val="nil"/>
            </w:tcBorders>
            <w:shd w:val="clear" w:color="auto" w:fill="FFFFFF"/>
            <w:tcMar>
              <w:top w:w="15" w:type="dxa"/>
              <w:left w:w="33" w:type="dxa"/>
              <w:bottom w:w="0" w:type="dxa"/>
              <w:right w:w="33" w:type="dxa"/>
            </w:tcMar>
            <w:vAlign w:val="center"/>
          </w:tcPr>
          <w:p w14:paraId="2AC7DE0E"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Current smok</w:t>
            </w:r>
            <w:r w:rsidRPr="00ED0B9C">
              <w:rPr>
                <w:rFonts w:ascii="Times New Roman" w:eastAsia="宋体" w:hAnsi="Times New Roman" w:cs="Times New Roman" w:hint="eastAsia"/>
                <w:color w:val="000000" w:themeColor="text1"/>
                <w:sz w:val="20"/>
                <w:szCs w:val="20"/>
              </w:rPr>
              <w:t>er</w:t>
            </w:r>
            <w:r w:rsidRPr="00ED0B9C">
              <w:rPr>
                <w:rFonts w:ascii="Times New Roman" w:eastAsia="宋体" w:hAnsi="Times New Roman" w:cs="Times New Roman"/>
                <w:color w:val="000000" w:themeColor="text1"/>
                <w:sz w:val="20"/>
                <w:szCs w:val="20"/>
              </w:rPr>
              <w:t>, n (%)</w:t>
            </w:r>
          </w:p>
        </w:tc>
        <w:tc>
          <w:tcPr>
            <w:tcW w:w="2952" w:type="pct"/>
            <w:tcBorders>
              <w:top w:val="nil"/>
              <w:left w:val="nil"/>
              <w:bottom w:val="nil"/>
              <w:right w:val="nil"/>
            </w:tcBorders>
            <w:shd w:val="clear" w:color="auto" w:fill="FFFFFF"/>
            <w:tcMar>
              <w:top w:w="15" w:type="dxa"/>
              <w:left w:w="33" w:type="dxa"/>
              <w:bottom w:w="0" w:type="dxa"/>
              <w:right w:w="33" w:type="dxa"/>
            </w:tcMar>
            <w:vAlign w:val="center"/>
          </w:tcPr>
          <w:p w14:paraId="509E8F55"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1715 (25.9)</w:t>
            </w:r>
          </w:p>
        </w:tc>
      </w:tr>
      <w:tr w:rsidR="00ED0B9C" w:rsidRPr="00ED0B9C" w14:paraId="3D0DB3D3" w14:textId="77777777">
        <w:trPr>
          <w:trHeight w:val="465"/>
          <w:jc w:val="center"/>
        </w:trPr>
        <w:tc>
          <w:tcPr>
            <w:tcW w:w="2048" w:type="pct"/>
            <w:tcBorders>
              <w:top w:val="nil"/>
              <w:left w:val="nil"/>
              <w:bottom w:val="nil"/>
              <w:right w:val="nil"/>
            </w:tcBorders>
            <w:shd w:val="clear" w:color="auto" w:fill="FFFFFF"/>
            <w:tcMar>
              <w:top w:w="15" w:type="dxa"/>
              <w:left w:w="33" w:type="dxa"/>
              <w:bottom w:w="0" w:type="dxa"/>
              <w:right w:w="33" w:type="dxa"/>
            </w:tcMar>
            <w:vAlign w:val="center"/>
          </w:tcPr>
          <w:p w14:paraId="4FDFA5F3"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Education, n (%)</w:t>
            </w:r>
          </w:p>
        </w:tc>
        <w:tc>
          <w:tcPr>
            <w:tcW w:w="2952" w:type="pct"/>
            <w:tcBorders>
              <w:top w:val="nil"/>
              <w:left w:val="nil"/>
              <w:bottom w:val="nil"/>
              <w:right w:val="nil"/>
            </w:tcBorders>
            <w:shd w:val="clear" w:color="auto" w:fill="FFFFFF"/>
            <w:tcMar>
              <w:top w:w="15" w:type="dxa"/>
              <w:left w:w="33" w:type="dxa"/>
              <w:bottom w:w="0" w:type="dxa"/>
              <w:right w:w="33" w:type="dxa"/>
            </w:tcMar>
            <w:vAlign w:val="center"/>
          </w:tcPr>
          <w:p w14:paraId="51EE4659" w14:textId="77777777" w:rsidR="00372E00" w:rsidRPr="00ED0B9C" w:rsidRDefault="00372E00">
            <w:pPr>
              <w:jc w:val="center"/>
              <w:rPr>
                <w:rFonts w:ascii="Times New Roman" w:hAnsi="Times New Roman" w:cs="Times New Roman"/>
                <w:color w:val="000000" w:themeColor="text1"/>
                <w:sz w:val="20"/>
                <w:szCs w:val="20"/>
              </w:rPr>
            </w:pPr>
          </w:p>
        </w:tc>
      </w:tr>
      <w:tr w:rsidR="00ED0B9C" w:rsidRPr="00ED0B9C" w14:paraId="526E3D0F" w14:textId="77777777">
        <w:trPr>
          <w:trHeight w:val="465"/>
          <w:jc w:val="center"/>
        </w:trPr>
        <w:tc>
          <w:tcPr>
            <w:tcW w:w="2048" w:type="pct"/>
            <w:tcBorders>
              <w:top w:val="nil"/>
              <w:left w:val="nil"/>
              <w:bottom w:val="nil"/>
              <w:right w:val="nil"/>
            </w:tcBorders>
            <w:shd w:val="clear" w:color="auto" w:fill="FFFFFF"/>
            <w:tcMar>
              <w:top w:w="15" w:type="dxa"/>
              <w:left w:w="33" w:type="dxa"/>
              <w:bottom w:w="0" w:type="dxa"/>
              <w:right w:w="33" w:type="dxa"/>
            </w:tcMar>
            <w:vAlign w:val="center"/>
          </w:tcPr>
          <w:p w14:paraId="51B88A48"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Middle school or lower</w:t>
            </w:r>
          </w:p>
        </w:tc>
        <w:tc>
          <w:tcPr>
            <w:tcW w:w="2952" w:type="pct"/>
            <w:tcBorders>
              <w:top w:val="nil"/>
              <w:left w:val="nil"/>
              <w:bottom w:val="nil"/>
              <w:right w:val="nil"/>
            </w:tcBorders>
            <w:shd w:val="clear" w:color="auto" w:fill="FFFFFF"/>
            <w:tcMar>
              <w:top w:w="15" w:type="dxa"/>
              <w:left w:w="33" w:type="dxa"/>
              <w:bottom w:w="0" w:type="dxa"/>
              <w:right w:w="33" w:type="dxa"/>
            </w:tcMar>
            <w:vAlign w:val="center"/>
          </w:tcPr>
          <w:p w14:paraId="2F9DC3D3"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5036 (76.0)</w:t>
            </w:r>
          </w:p>
        </w:tc>
      </w:tr>
      <w:tr w:rsidR="00ED0B9C" w:rsidRPr="00ED0B9C" w14:paraId="61F4272E" w14:textId="77777777">
        <w:trPr>
          <w:trHeight w:val="620"/>
          <w:jc w:val="center"/>
        </w:trPr>
        <w:tc>
          <w:tcPr>
            <w:tcW w:w="2048" w:type="pct"/>
            <w:tcBorders>
              <w:top w:val="nil"/>
              <w:left w:val="nil"/>
              <w:bottom w:val="nil"/>
              <w:right w:val="nil"/>
            </w:tcBorders>
            <w:shd w:val="clear" w:color="auto" w:fill="FFFFFF"/>
            <w:tcMar>
              <w:top w:w="15" w:type="dxa"/>
              <w:left w:w="33" w:type="dxa"/>
              <w:bottom w:w="0" w:type="dxa"/>
              <w:right w:w="33" w:type="dxa"/>
            </w:tcMar>
            <w:vAlign w:val="center"/>
          </w:tcPr>
          <w:p w14:paraId="6A294642"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High school or professional college</w:t>
            </w:r>
          </w:p>
        </w:tc>
        <w:tc>
          <w:tcPr>
            <w:tcW w:w="2952" w:type="pct"/>
            <w:tcBorders>
              <w:top w:val="nil"/>
              <w:left w:val="nil"/>
              <w:bottom w:val="nil"/>
              <w:right w:val="nil"/>
            </w:tcBorders>
            <w:shd w:val="clear" w:color="auto" w:fill="FFFFFF"/>
            <w:tcMar>
              <w:top w:w="15" w:type="dxa"/>
              <w:left w:w="33" w:type="dxa"/>
              <w:bottom w:w="0" w:type="dxa"/>
              <w:right w:w="33" w:type="dxa"/>
            </w:tcMar>
            <w:vAlign w:val="center"/>
          </w:tcPr>
          <w:p w14:paraId="4C793BB3"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1316 (19.9)</w:t>
            </w:r>
          </w:p>
        </w:tc>
      </w:tr>
      <w:tr w:rsidR="00ED0B9C" w:rsidRPr="00ED0B9C" w14:paraId="47B4858E" w14:textId="77777777">
        <w:trPr>
          <w:trHeight w:val="386"/>
          <w:jc w:val="center"/>
        </w:trPr>
        <w:tc>
          <w:tcPr>
            <w:tcW w:w="2048" w:type="pct"/>
            <w:tcBorders>
              <w:top w:val="nil"/>
              <w:left w:val="nil"/>
              <w:bottom w:val="single" w:sz="12" w:space="0" w:color="000000"/>
              <w:right w:val="nil"/>
            </w:tcBorders>
            <w:shd w:val="clear" w:color="auto" w:fill="FFFFFF"/>
            <w:tcMar>
              <w:top w:w="15" w:type="dxa"/>
              <w:left w:w="33" w:type="dxa"/>
              <w:bottom w:w="0" w:type="dxa"/>
              <w:right w:w="33" w:type="dxa"/>
            </w:tcMar>
            <w:vAlign w:val="center"/>
          </w:tcPr>
          <w:p w14:paraId="6E8FF1CA"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University</w:t>
            </w:r>
          </w:p>
        </w:tc>
        <w:tc>
          <w:tcPr>
            <w:tcW w:w="2952" w:type="pct"/>
            <w:tcBorders>
              <w:top w:val="nil"/>
              <w:left w:val="nil"/>
              <w:bottom w:val="single" w:sz="12" w:space="0" w:color="000000"/>
              <w:right w:val="nil"/>
            </w:tcBorders>
            <w:shd w:val="clear" w:color="auto" w:fill="FFFFFF"/>
            <w:tcMar>
              <w:top w:w="15" w:type="dxa"/>
              <w:left w:w="33" w:type="dxa"/>
              <w:bottom w:w="0" w:type="dxa"/>
              <w:right w:w="33" w:type="dxa"/>
            </w:tcMar>
            <w:vAlign w:val="center"/>
          </w:tcPr>
          <w:p w14:paraId="233BC9AC"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274 (4.1)</w:t>
            </w:r>
          </w:p>
        </w:tc>
      </w:tr>
    </w:tbl>
    <w:p w14:paraId="737469A8" w14:textId="77777777" w:rsidR="00372E00" w:rsidRPr="00ED0B9C" w:rsidRDefault="00A77E06">
      <w:pPr>
        <w:rPr>
          <w:rFonts w:ascii="Calibri" w:eastAsia="宋体" w:hAnsi="Calibri" w:cs="Times New Roman"/>
          <w:color w:val="000000" w:themeColor="text1"/>
          <w:szCs w:val="21"/>
        </w:rPr>
      </w:pPr>
      <w:r w:rsidRPr="00ED0B9C">
        <w:rPr>
          <w:rFonts w:ascii="Times New Roman" w:eastAsia="宋体" w:hAnsi="Times New Roman" w:cs="Times New Roman"/>
          <w:b/>
          <w:bCs/>
          <w:color w:val="000000" w:themeColor="text1"/>
          <w:sz w:val="20"/>
          <w:szCs w:val="20"/>
        </w:rPr>
        <w:t>*</w:t>
      </w:r>
      <w:r w:rsidRPr="00ED0B9C">
        <w:rPr>
          <w:rFonts w:ascii="Times New Roman" w:eastAsia="微软雅黑" w:hAnsi="Times New Roman"/>
          <w:color w:val="000000" w:themeColor="text1"/>
          <w:kern w:val="24"/>
          <w:sz w:val="20"/>
          <w:szCs w:val="20"/>
        </w:rPr>
        <w:t>Data are expressed as mean (SD)</w:t>
      </w:r>
      <w:r w:rsidRPr="00ED0B9C">
        <w:rPr>
          <w:rFonts w:ascii="Times New Roman" w:eastAsia="微软雅黑" w:hAnsi="Times New Roman" w:cs="Times New Roman" w:hint="eastAsia"/>
          <w:color w:val="000000" w:themeColor="text1"/>
          <w:kern w:val="24"/>
          <w:sz w:val="20"/>
          <w:szCs w:val="20"/>
        </w:rPr>
        <w:t xml:space="preserve"> </w:t>
      </w:r>
      <w:r w:rsidRPr="00ED0B9C">
        <w:rPr>
          <w:rFonts w:ascii="Times New Roman" w:eastAsia="微软雅黑" w:hAnsi="Times New Roman" w:cs="Times New Roman"/>
          <w:color w:val="000000" w:themeColor="text1"/>
          <w:kern w:val="24"/>
          <w:sz w:val="20"/>
          <w:szCs w:val="20"/>
        </w:rPr>
        <w:t>for continuous variables and n (%) for categorical variables</w:t>
      </w:r>
      <w:r w:rsidRPr="00ED0B9C">
        <w:rPr>
          <w:rFonts w:ascii="Times New Roman" w:eastAsia="微软雅黑" w:hAnsi="Times New Roman"/>
          <w:color w:val="000000" w:themeColor="text1"/>
          <w:kern w:val="24"/>
          <w:sz w:val="20"/>
          <w:szCs w:val="20"/>
        </w:rPr>
        <w:t>.</w:t>
      </w:r>
    </w:p>
    <w:p w14:paraId="54064066" w14:textId="77777777" w:rsidR="00372E00" w:rsidRPr="00ED0B9C" w:rsidRDefault="00A77E06">
      <w:pPr>
        <w:spacing w:line="360" w:lineRule="auto"/>
        <w:jc w:val="left"/>
        <w:rPr>
          <w:rFonts w:ascii="Times New Roman" w:hAnsi="Times New Roman" w:cs="Times New Roman"/>
          <w:b/>
          <w:bCs/>
          <w:color w:val="000000" w:themeColor="text1"/>
          <w:sz w:val="24"/>
          <w:szCs w:val="24"/>
        </w:rPr>
      </w:pPr>
      <w:r w:rsidRPr="00ED0B9C">
        <w:rPr>
          <w:rFonts w:ascii="Times New Roman" w:eastAsia="微软雅黑" w:hAnsi="Times New Roman"/>
          <w:color w:val="000000" w:themeColor="text1"/>
          <w:kern w:val="24"/>
          <w:sz w:val="20"/>
          <w:szCs w:val="20"/>
        </w:rPr>
        <w:br w:type="page"/>
      </w:r>
      <w:r w:rsidRPr="00ED0B9C">
        <w:rPr>
          <w:rFonts w:ascii="Times New Roman" w:hAnsi="Times New Roman" w:cs="Times New Roman"/>
          <w:b/>
          <w:bCs/>
          <w:color w:val="000000" w:themeColor="text1"/>
          <w:sz w:val="24"/>
          <w:szCs w:val="24"/>
        </w:rPr>
        <w:lastRenderedPageBreak/>
        <w:t xml:space="preserve">Table </w:t>
      </w:r>
      <w:r w:rsidR="00B160AE" w:rsidRPr="00ED0B9C">
        <w:rPr>
          <w:rFonts w:ascii="Times New Roman" w:hAnsi="Times New Roman" w:cs="Times New Roman"/>
          <w:b/>
          <w:bCs/>
          <w:color w:val="000000" w:themeColor="text1"/>
          <w:sz w:val="24"/>
          <w:szCs w:val="24"/>
        </w:rPr>
        <w:t>S</w:t>
      </w:r>
      <w:r w:rsidRPr="00ED0B9C">
        <w:rPr>
          <w:rFonts w:ascii="Times New Roman" w:hAnsi="Times New Roman" w:cs="Times New Roman"/>
          <w:b/>
          <w:bCs/>
          <w:color w:val="000000" w:themeColor="text1"/>
          <w:sz w:val="24"/>
          <w:szCs w:val="24"/>
        </w:rPr>
        <w:t>2 The detailed items in the fruit and vegetable categories</w:t>
      </w:r>
    </w:p>
    <w:tbl>
      <w:tblPr>
        <w:tblStyle w:val="ae"/>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663"/>
        <w:gridCol w:w="3595"/>
        <w:gridCol w:w="553"/>
        <w:gridCol w:w="3495"/>
      </w:tblGrid>
      <w:tr w:rsidR="00ED0B9C" w:rsidRPr="00ED0B9C" w14:paraId="23F3AA0F" w14:textId="77777777">
        <w:tc>
          <w:tcPr>
            <w:tcW w:w="673" w:type="dxa"/>
            <w:tcBorders>
              <w:top w:val="single" w:sz="12" w:space="0" w:color="auto"/>
              <w:bottom w:val="single" w:sz="12" w:space="0" w:color="auto"/>
            </w:tcBorders>
          </w:tcPr>
          <w:p w14:paraId="0EE17854" w14:textId="77777777" w:rsidR="00372E00" w:rsidRPr="00ED0B9C" w:rsidRDefault="00372E00">
            <w:pPr>
              <w:jc w:val="left"/>
              <w:rPr>
                <w:rFonts w:ascii="Times New Roman" w:hAnsi="Times New Roman" w:cs="Times New Roman"/>
                <w:color w:val="000000" w:themeColor="text1"/>
                <w:sz w:val="20"/>
                <w:szCs w:val="20"/>
              </w:rPr>
            </w:pPr>
          </w:p>
        </w:tc>
        <w:tc>
          <w:tcPr>
            <w:tcW w:w="3696" w:type="dxa"/>
            <w:tcBorders>
              <w:top w:val="single" w:sz="12" w:space="0" w:color="auto"/>
              <w:bottom w:val="single" w:sz="12" w:space="0" w:color="auto"/>
            </w:tcBorders>
          </w:tcPr>
          <w:p w14:paraId="7AD1D7DF"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Fruit items</w:t>
            </w:r>
            <w:r w:rsidRPr="00ED0B9C">
              <w:rPr>
                <w:color w:val="000000" w:themeColor="text1"/>
              </w:rPr>
              <w:t xml:space="preserve"> </w:t>
            </w:r>
          </w:p>
        </w:tc>
        <w:tc>
          <w:tcPr>
            <w:tcW w:w="559" w:type="dxa"/>
            <w:tcBorders>
              <w:top w:val="single" w:sz="12" w:space="0" w:color="auto"/>
              <w:bottom w:val="single" w:sz="12" w:space="0" w:color="auto"/>
            </w:tcBorders>
          </w:tcPr>
          <w:p w14:paraId="5F539067" w14:textId="77777777" w:rsidR="00372E00" w:rsidRPr="00ED0B9C" w:rsidRDefault="00372E00">
            <w:pPr>
              <w:jc w:val="left"/>
              <w:rPr>
                <w:rFonts w:ascii="Times New Roman" w:hAnsi="Times New Roman" w:cs="Times New Roman"/>
                <w:color w:val="000000" w:themeColor="text1"/>
                <w:sz w:val="20"/>
                <w:szCs w:val="20"/>
              </w:rPr>
            </w:pPr>
          </w:p>
        </w:tc>
        <w:tc>
          <w:tcPr>
            <w:tcW w:w="3594" w:type="dxa"/>
            <w:tcBorders>
              <w:top w:val="single" w:sz="12" w:space="0" w:color="auto"/>
              <w:bottom w:val="single" w:sz="12" w:space="0" w:color="auto"/>
            </w:tcBorders>
          </w:tcPr>
          <w:p w14:paraId="23D7AC24"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Vegetable</w:t>
            </w:r>
            <w:r w:rsidRPr="00ED0B9C">
              <w:rPr>
                <w:color w:val="000000" w:themeColor="text1"/>
              </w:rPr>
              <w:t xml:space="preserve"> </w:t>
            </w:r>
            <w:r w:rsidRPr="00ED0B9C">
              <w:rPr>
                <w:rFonts w:ascii="Times New Roman" w:hAnsi="Times New Roman" w:cs="Times New Roman"/>
                <w:color w:val="000000" w:themeColor="text1"/>
                <w:sz w:val="20"/>
                <w:szCs w:val="20"/>
              </w:rPr>
              <w:t>items</w:t>
            </w:r>
          </w:p>
        </w:tc>
      </w:tr>
      <w:tr w:rsidR="00ED0B9C" w:rsidRPr="00ED0B9C" w14:paraId="381DC69D" w14:textId="77777777">
        <w:tc>
          <w:tcPr>
            <w:tcW w:w="673" w:type="dxa"/>
            <w:tcBorders>
              <w:top w:val="single" w:sz="12" w:space="0" w:color="auto"/>
            </w:tcBorders>
          </w:tcPr>
          <w:p w14:paraId="55CFD824"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1</w:t>
            </w:r>
          </w:p>
        </w:tc>
        <w:tc>
          <w:tcPr>
            <w:tcW w:w="3696" w:type="dxa"/>
            <w:tcBorders>
              <w:top w:val="single" w:sz="12" w:space="0" w:color="auto"/>
            </w:tcBorders>
          </w:tcPr>
          <w:p w14:paraId="21A3BCFD"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Oranges, tangerines, pomelos, oranges, etc</w:t>
            </w:r>
          </w:p>
        </w:tc>
        <w:tc>
          <w:tcPr>
            <w:tcW w:w="559" w:type="dxa"/>
            <w:tcBorders>
              <w:top w:val="single" w:sz="12" w:space="0" w:color="auto"/>
            </w:tcBorders>
          </w:tcPr>
          <w:p w14:paraId="2195FC92"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1</w:t>
            </w:r>
          </w:p>
        </w:tc>
        <w:tc>
          <w:tcPr>
            <w:tcW w:w="3594" w:type="dxa"/>
            <w:tcBorders>
              <w:top w:val="single" w:sz="12" w:space="0" w:color="auto"/>
            </w:tcBorders>
          </w:tcPr>
          <w:p w14:paraId="12072B88"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Flowering cabbage, mustard and broccoli</w:t>
            </w:r>
          </w:p>
        </w:tc>
      </w:tr>
      <w:tr w:rsidR="00ED0B9C" w:rsidRPr="00ED0B9C" w14:paraId="7A6ECBD7" w14:textId="77777777">
        <w:tc>
          <w:tcPr>
            <w:tcW w:w="673" w:type="dxa"/>
          </w:tcPr>
          <w:p w14:paraId="69595671"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2</w:t>
            </w:r>
          </w:p>
        </w:tc>
        <w:tc>
          <w:tcPr>
            <w:tcW w:w="3696" w:type="dxa"/>
          </w:tcPr>
          <w:p w14:paraId="23560BFD"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Apple, pear, peach, plum, pineapple, etc</w:t>
            </w:r>
          </w:p>
        </w:tc>
        <w:tc>
          <w:tcPr>
            <w:tcW w:w="559" w:type="dxa"/>
          </w:tcPr>
          <w:p w14:paraId="3716A1B5"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2</w:t>
            </w:r>
          </w:p>
        </w:tc>
        <w:tc>
          <w:tcPr>
            <w:tcW w:w="3594" w:type="dxa"/>
          </w:tcPr>
          <w:p w14:paraId="7A466A74"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Pakchoi cabbage, lettuces and lettuce</w:t>
            </w:r>
          </w:p>
        </w:tc>
      </w:tr>
      <w:tr w:rsidR="00ED0B9C" w:rsidRPr="00ED0B9C" w14:paraId="3A32D458" w14:textId="77777777">
        <w:tc>
          <w:tcPr>
            <w:tcW w:w="673" w:type="dxa"/>
          </w:tcPr>
          <w:p w14:paraId="078EDFEF"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3</w:t>
            </w:r>
          </w:p>
        </w:tc>
        <w:tc>
          <w:tcPr>
            <w:tcW w:w="3696" w:type="dxa"/>
          </w:tcPr>
          <w:p w14:paraId="0F318BCD"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Bananas</w:t>
            </w:r>
          </w:p>
        </w:tc>
        <w:tc>
          <w:tcPr>
            <w:tcW w:w="559" w:type="dxa"/>
          </w:tcPr>
          <w:p w14:paraId="7ACCDEE2"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3</w:t>
            </w:r>
          </w:p>
        </w:tc>
        <w:tc>
          <w:tcPr>
            <w:tcW w:w="3594" w:type="dxa"/>
          </w:tcPr>
          <w:p w14:paraId="208F72C6"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Spinach, amaranth and</w:t>
            </w:r>
            <w:r w:rsidRPr="00ED0B9C">
              <w:rPr>
                <w:color w:val="000000" w:themeColor="text1"/>
              </w:rPr>
              <w:t xml:space="preserve"> </w:t>
            </w:r>
            <w:r w:rsidRPr="00ED0B9C">
              <w:rPr>
                <w:rFonts w:ascii="Times New Roman" w:hAnsi="Times New Roman" w:cs="Times New Roman"/>
                <w:color w:val="000000" w:themeColor="text1"/>
                <w:sz w:val="20"/>
                <w:szCs w:val="20"/>
              </w:rPr>
              <w:t>water spinach</w:t>
            </w:r>
          </w:p>
        </w:tc>
      </w:tr>
      <w:tr w:rsidR="00ED0B9C" w:rsidRPr="00ED0B9C" w14:paraId="214AF2A1" w14:textId="77777777">
        <w:tc>
          <w:tcPr>
            <w:tcW w:w="673" w:type="dxa"/>
          </w:tcPr>
          <w:p w14:paraId="4B091992"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4</w:t>
            </w:r>
          </w:p>
        </w:tc>
        <w:tc>
          <w:tcPr>
            <w:tcW w:w="3696" w:type="dxa"/>
          </w:tcPr>
          <w:p w14:paraId="3726DB91"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Grapes and raisins</w:t>
            </w:r>
          </w:p>
        </w:tc>
        <w:tc>
          <w:tcPr>
            <w:tcW w:w="559" w:type="dxa"/>
          </w:tcPr>
          <w:p w14:paraId="68C2283C"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4</w:t>
            </w:r>
          </w:p>
        </w:tc>
        <w:tc>
          <w:tcPr>
            <w:tcW w:w="3594" w:type="dxa"/>
          </w:tcPr>
          <w:p w14:paraId="7B8E6879"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Other dark green vegetables: leeks, garlic leaves, asparagus, etc</w:t>
            </w:r>
          </w:p>
        </w:tc>
      </w:tr>
      <w:tr w:rsidR="00ED0B9C" w:rsidRPr="00ED0B9C" w14:paraId="39B14143" w14:textId="77777777">
        <w:tc>
          <w:tcPr>
            <w:tcW w:w="673" w:type="dxa"/>
          </w:tcPr>
          <w:p w14:paraId="534AC9F4"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5</w:t>
            </w:r>
          </w:p>
        </w:tc>
        <w:tc>
          <w:tcPr>
            <w:tcW w:w="3696" w:type="dxa"/>
          </w:tcPr>
          <w:p w14:paraId="773269B5"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Lychee and longan</w:t>
            </w:r>
          </w:p>
        </w:tc>
        <w:tc>
          <w:tcPr>
            <w:tcW w:w="559" w:type="dxa"/>
          </w:tcPr>
          <w:p w14:paraId="640E3D50"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5</w:t>
            </w:r>
          </w:p>
        </w:tc>
        <w:tc>
          <w:tcPr>
            <w:tcW w:w="3594" w:type="dxa"/>
          </w:tcPr>
          <w:p w14:paraId="115309F2"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Chinese cabbage, white Cabbage, cauliflower and celery</w:t>
            </w:r>
          </w:p>
        </w:tc>
      </w:tr>
      <w:tr w:rsidR="00ED0B9C" w:rsidRPr="00ED0B9C" w14:paraId="40BC2A5F" w14:textId="77777777">
        <w:tc>
          <w:tcPr>
            <w:tcW w:w="673" w:type="dxa"/>
          </w:tcPr>
          <w:p w14:paraId="60217198"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6</w:t>
            </w:r>
          </w:p>
        </w:tc>
        <w:tc>
          <w:tcPr>
            <w:tcW w:w="3696" w:type="dxa"/>
          </w:tcPr>
          <w:p w14:paraId="7E0FAE47"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Mango and persimmon</w:t>
            </w:r>
          </w:p>
        </w:tc>
        <w:tc>
          <w:tcPr>
            <w:tcW w:w="559" w:type="dxa"/>
          </w:tcPr>
          <w:p w14:paraId="3A9DE6BC"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6</w:t>
            </w:r>
          </w:p>
        </w:tc>
        <w:tc>
          <w:tcPr>
            <w:tcW w:w="3594" w:type="dxa"/>
          </w:tcPr>
          <w:p w14:paraId="56A98766"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Onions, scallions and garlic</w:t>
            </w:r>
          </w:p>
        </w:tc>
      </w:tr>
      <w:tr w:rsidR="00ED0B9C" w:rsidRPr="00ED0B9C" w14:paraId="09265569" w14:textId="77777777">
        <w:tc>
          <w:tcPr>
            <w:tcW w:w="673" w:type="dxa"/>
          </w:tcPr>
          <w:p w14:paraId="0DB261F2"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7</w:t>
            </w:r>
          </w:p>
        </w:tc>
        <w:tc>
          <w:tcPr>
            <w:tcW w:w="3696" w:type="dxa"/>
          </w:tcPr>
          <w:p w14:paraId="0F6435D1"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pawpaw</w:t>
            </w:r>
          </w:p>
        </w:tc>
        <w:tc>
          <w:tcPr>
            <w:tcW w:w="559" w:type="dxa"/>
          </w:tcPr>
          <w:p w14:paraId="12714F8C"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7</w:t>
            </w:r>
          </w:p>
        </w:tc>
        <w:tc>
          <w:tcPr>
            <w:tcW w:w="3594" w:type="dxa"/>
          </w:tcPr>
          <w:p w14:paraId="20055F50"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White gourd, cucumber, towel gourd, eggplant, pumpkin, balsam pear, white radish and green radish</w:t>
            </w:r>
          </w:p>
        </w:tc>
      </w:tr>
      <w:tr w:rsidR="00ED0B9C" w:rsidRPr="00ED0B9C" w14:paraId="49ED2579" w14:textId="77777777">
        <w:tc>
          <w:tcPr>
            <w:tcW w:w="673" w:type="dxa"/>
          </w:tcPr>
          <w:p w14:paraId="1EA74C5A"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8</w:t>
            </w:r>
          </w:p>
        </w:tc>
        <w:tc>
          <w:tcPr>
            <w:tcW w:w="3696" w:type="dxa"/>
          </w:tcPr>
          <w:p w14:paraId="1328DCCF"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Cantaloupe, watermelon and melon</w:t>
            </w:r>
          </w:p>
        </w:tc>
        <w:tc>
          <w:tcPr>
            <w:tcW w:w="559" w:type="dxa"/>
          </w:tcPr>
          <w:p w14:paraId="21ABA8F3"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8</w:t>
            </w:r>
          </w:p>
        </w:tc>
        <w:tc>
          <w:tcPr>
            <w:tcW w:w="3594" w:type="dxa"/>
          </w:tcPr>
          <w:p w14:paraId="517D2B26"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Tomato</w:t>
            </w:r>
          </w:p>
        </w:tc>
      </w:tr>
      <w:tr w:rsidR="00ED0B9C" w:rsidRPr="00ED0B9C" w14:paraId="56D39337" w14:textId="77777777">
        <w:tc>
          <w:tcPr>
            <w:tcW w:w="673" w:type="dxa"/>
          </w:tcPr>
          <w:p w14:paraId="29C3768A"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9</w:t>
            </w:r>
          </w:p>
        </w:tc>
        <w:tc>
          <w:tcPr>
            <w:tcW w:w="3696" w:type="dxa"/>
          </w:tcPr>
          <w:p w14:paraId="4AA74EF8"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Durian</w:t>
            </w:r>
          </w:p>
        </w:tc>
        <w:tc>
          <w:tcPr>
            <w:tcW w:w="559" w:type="dxa"/>
          </w:tcPr>
          <w:p w14:paraId="0F8D5AD6"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9</w:t>
            </w:r>
          </w:p>
        </w:tc>
        <w:tc>
          <w:tcPr>
            <w:tcW w:w="3594" w:type="dxa"/>
          </w:tcPr>
          <w:p w14:paraId="3CE275F2"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Green, red, and bell peppers</w:t>
            </w:r>
          </w:p>
        </w:tc>
      </w:tr>
      <w:tr w:rsidR="00ED0B9C" w:rsidRPr="00ED0B9C" w14:paraId="02856A18" w14:textId="77777777">
        <w:tc>
          <w:tcPr>
            <w:tcW w:w="673" w:type="dxa"/>
          </w:tcPr>
          <w:p w14:paraId="0DC377B4"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10</w:t>
            </w:r>
          </w:p>
        </w:tc>
        <w:tc>
          <w:tcPr>
            <w:tcW w:w="3696" w:type="dxa"/>
          </w:tcPr>
          <w:p w14:paraId="1ED3FC40"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The other fruits</w:t>
            </w:r>
          </w:p>
        </w:tc>
        <w:tc>
          <w:tcPr>
            <w:tcW w:w="559" w:type="dxa"/>
          </w:tcPr>
          <w:p w14:paraId="4580DE25"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10</w:t>
            </w:r>
          </w:p>
        </w:tc>
        <w:tc>
          <w:tcPr>
            <w:tcW w:w="3594" w:type="dxa"/>
          </w:tcPr>
          <w:p w14:paraId="7BD70270"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Carrots</w:t>
            </w:r>
          </w:p>
        </w:tc>
      </w:tr>
      <w:tr w:rsidR="00ED0B9C" w:rsidRPr="00ED0B9C" w14:paraId="3C460C8F" w14:textId="77777777">
        <w:tc>
          <w:tcPr>
            <w:tcW w:w="673" w:type="dxa"/>
          </w:tcPr>
          <w:p w14:paraId="5343C14E" w14:textId="77777777" w:rsidR="00372E00" w:rsidRPr="00ED0B9C" w:rsidRDefault="00372E00">
            <w:pPr>
              <w:jc w:val="left"/>
              <w:rPr>
                <w:rFonts w:ascii="Times New Roman" w:hAnsi="Times New Roman" w:cs="Times New Roman"/>
                <w:color w:val="000000" w:themeColor="text1"/>
                <w:sz w:val="20"/>
                <w:szCs w:val="20"/>
              </w:rPr>
            </w:pPr>
          </w:p>
        </w:tc>
        <w:tc>
          <w:tcPr>
            <w:tcW w:w="3696" w:type="dxa"/>
          </w:tcPr>
          <w:p w14:paraId="695BBC15" w14:textId="77777777" w:rsidR="00372E00" w:rsidRPr="00ED0B9C" w:rsidRDefault="00372E00">
            <w:pPr>
              <w:jc w:val="left"/>
              <w:rPr>
                <w:rFonts w:ascii="Times New Roman" w:hAnsi="Times New Roman" w:cs="Times New Roman"/>
                <w:color w:val="000000" w:themeColor="text1"/>
                <w:sz w:val="20"/>
                <w:szCs w:val="20"/>
              </w:rPr>
            </w:pPr>
          </w:p>
        </w:tc>
        <w:tc>
          <w:tcPr>
            <w:tcW w:w="559" w:type="dxa"/>
          </w:tcPr>
          <w:p w14:paraId="7F4B4DF0"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11</w:t>
            </w:r>
          </w:p>
        </w:tc>
        <w:tc>
          <w:tcPr>
            <w:tcW w:w="3594" w:type="dxa"/>
          </w:tcPr>
          <w:p w14:paraId="06F9E800"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Starchy vegetables: potato, sweet potato, taro, lotus root, water chestnut, kudzu, etc</w:t>
            </w:r>
          </w:p>
        </w:tc>
      </w:tr>
      <w:tr w:rsidR="00ED0B9C" w:rsidRPr="00ED0B9C" w14:paraId="70D2F39E" w14:textId="77777777">
        <w:tc>
          <w:tcPr>
            <w:tcW w:w="673" w:type="dxa"/>
          </w:tcPr>
          <w:p w14:paraId="665CAB81" w14:textId="77777777" w:rsidR="00372E00" w:rsidRPr="00ED0B9C" w:rsidRDefault="00372E00">
            <w:pPr>
              <w:jc w:val="left"/>
              <w:rPr>
                <w:rFonts w:ascii="Times New Roman" w:hAnsi="Times New Roman" w:cs="Times New Roman"/>
                <w:color w:val="000000" w:themeColor="text1"/>
                <w:sz w:val="20"/>
                <w:szCs w:val="20"/>
              </w:rPr>
            </w:pPr>
          </w:p>
        </w:tc>
        <w:tc>
          <w:tcPr>
            <w:tcW w:w="3696" w:type="dxa"/>
          </w:tcPr>
          <w:p w14:paraId="0C2C60BD" w14:textId="77777777" w:rsidR="00372E00" w:rsidRPr="00ED0B9C" w:rsidRDefault="00372E00">
            <w:pPr>
              <w:jc w:val="left"/>
              <w:rPr>
                <w:rFonts w:ascii="Times New Roman" w:hAnsi="Times New Roman" w:cs="Times New Roman"/>
                <w:color w:val="000000" w:themeColor="text1"/>
                <w:sz w:val="20"/>
                <w:szCs w:val="20"/>
              </w:rPr>
            </w:pPr>
          </w:p>
        </w:tc>
        <w:tc>
          <w:tcPr>
            <w:tcW w:w="559" w:type="dxa"/>
          </w:tcPr>
          <w:p w14:paraId="1D87E337"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12</w:t>
            </w:r>
          </w:p>
        </w:tc>
        <w:tc>
          <w:tcPr>
            <w:tcW w:w="3594" w:type="dxa"/>
          </w:tcPr>
          <w:p w14:paraId="0124836F"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Millet and corn</w:t>
            </w:r>
          </w:p>
        </w:tc>
      </w:tr>
      <w:tr w:rsidR="00ED0B9C" w:rsidRPr="00ED0B9C" w14:paraId="726C12B4" w14:textId="77777777">
        <w:tc>
          <w:tcPr>
            <w:tcW w:w="673" w:type="dxa"/>
          </w:tcPr>
          <w:p w14:paraId="67D8DA60" w14:textId="77777777" w:rsidR="00372E00" w:rsidRPr="00ED0B9C" w:rsidRDefault="00372E00">
            <w:pPr>
              <w:jc w:val="left"/>
              <w:rPr>
                <w:rFonts w:ascii="Times New Roman" w:hAnsi="Times New Roman" w:cs="Times New Roman"/>
                <w:color w:val="000000" w:themeColor="text1"/>
                <w:sz w:val="20"/>
                <w:szCs w:val="20"/>
              </w:rPr>
            </w:pPr>
          </w:p>
        </w:tc>
        <w:tc>
          <w:tcPr>
            <w:tcW w:w="3696" w:type="dxa"/>
          </w:tcPr>
          <w:p w14:paraId="053E8280" w14:textId="77777777" w:rsidR="00372E00" w:rsidRPr="00ED0B9C" w:rsidRDefault="00372E00">
            <w:pPr>
              <w:jc w:val="left"/>
              <w:rPr>
                <w:rFonts w:ascii="Times New Roman" w:hAnsi="Times New Roman" w:cs="Times New Roman"/>
                <w:color w:val="000000" w:themeColor="text1"/>
                <w:sz w:val="20"/>
                <w:szCs w:val="20"/>
              </w:rPr>
            </w:pPr>
          </w:p>
        </w:tc>
        <w:tc>
          <w:tcPr>
            <w:tcW w:w="559" w:type="dxa"/>
          </w:tcPr>
          <w:p w14:paraId="4A211203"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13</w:t>
            </w:r>
          </w:p>
        </w:tc>
        <w:tc>
          <w:tcPr>
            <w:tcW w:w="3594" w:type="dxa"/>
          </w:tcPr>
          <w:p w14:paraId="71BCC8B1" w14:textId="77777777" w:rsidR="00372E00" w:rsidRPr="00ED0B9C" w:rsidRDefault="00A77E06">
            <w:pPr>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Sauerkraut, pickles, pickled mustard, preserved vegetable, etc</w:t>
            </w:r>
          </w:p>
        </w:tc>
      </w:tr>
    </w:tbl>
    <w:p w14:paraId="37166C84" w14:textId="77777777" w:rsidR="00372E00" w:rsidRPr="00ED0B9C" w:rsidRDefault="00A77E06">
      <w:pPr>
        <w:spacing w:line="360" w:lineRule="auto"/>
        <w:jc w:val="left"/>
        <w:rPr>
          <w:rFonts w:ascii="宋体" w:eastAsia="宋体" w:hAnsi="宋体" w:cs="Times New Roman"/>
          <w:color w:val="000000" w:themeColor="text1"/>
          <w:kern w:val="0"/>
          <w:sz w:val="20"/>
          <w:szCs w:val="20"/>
        </w:rPr>
      </w:pPr>
      <w:r w:rsidRPr="00ED0B9C">
        <w:rPr>
          <w:rFonts w:ascii="Times New Roman" w:eastAsia="微软雅黑" w:hAnsi="Times New Roman"/>
          <w:color w:val="000000" w:themeColor="text1"/>
          <w:kern w:val="24"/>
          <w:sz w:val="16"/>
          <w:szCs w:val="16"/>
        </w:rPr>
        <w:br w:type="page"/>
      </w:r>
      <w:r w:rsidRPr="00ED0B9C">
        <w:rPr>
          <w:rFonts w:ascii="Times New Roman" w:hAnsi="Times New Roman" w:cs="Times New Roman"/>
          <w:b/>
          <w:bCs/>
          <w:color w:val="000000" w:themeColor="text1"/>
          <w:kern w:val="24"/>
          <w:sz w:val="24"/>
          <w:szCs w:val="24"/>
        </w:rPr>
        <w:lastRenderedPageBreak/>
        <w:t xml:space="preserve">Table </w:t>
      </w:r>
      <w:r w:rsidR="00B160AE" w:rsidRPr="00ED0B9C">
        <w:rPr>
          <w:rFonts w:ascii="Times New Roman" w:hAnsi="Times New Roman" w:cs="Times New Roman"/>
          <w:b/>
          <w:bCs/>
          <w:color w:val="000000" w:themeColor="text1"/>
          <w:kern w:val="24"/>
          <w:sz w:val="24"/>
          <w:szCs w:val="24"/>
        </w:rPr>
        <w:t>S</w:t>
      </w:r>
      <w:r w:rsidRPr="00ED0B9C">
        <w:rPr>
          <w:rFonts w:ascii="Times New Roman" w:hAnsi="Times New Roman" w:cs="Times New Roman"/>
          <w:b/>
          <w:bCs/>
          <w:color w:val="000000" w:themeColor="text1"/>
          <w:kern w:val="24"/>
          <w:sz w:val="24"/>
          <w:szCs w:val="24"/>
        </w:rPr>
        <w:t>3 Characteristics of study participants by</w:t>
      </w:r>
      <w:r w:rsidRPr="00ED0B9C">
        <w:rPr>
          <w:rFonts w:ascii="Times New Roman" w:hAnsi="Times New Roman" w:cs="Times New Roman"/>
          <w:b/>
          <w:bCs/>
          <w:color w:val="000000" w:themeColor="text1"/>
          <w:sz w:val="16"/>
          <w:szCs w:val="16"/>
        </w:rPr>
        <w:t xml:space="preserve"> </w:t>
      </w:r>
      <w:r w:rsidRPr="00ED0B9C">
        <w:rPr>
          <w:rFonts w:ascii="Times New Roman" w:hAnsi="Times New Roman" w:cs="Times New Roman"/>
          <w:b/>
          <w:color w:val="000000" w:themeColor="text1"/>
          <w:sz w:val="24"/>
          <w:szCs w:val="24"/>
        </w:rPr>
        <w:t>total fruit and vegetable intake from the GNHS</w:t>
      </w:r>
      <w:r w:rsidRPr="00ED0B9C">
        <w:rPr>
          <w:rFonts w:ascii="Times New Roman" w:hAnsi="Times New Roman" w:cs="Times New Roman"/>
          <w:b/>
          <w:bCs/>
          <w:color w:val="000000" w:themeColor="text1"/>
          <w:kern w:val="24"/>
          <w:sz w:val="24"/>
          <w:szCs w:val="24"/>
        </w:rPr>
        <w:t>*</w:t>
      </w:r>
    </w:p>
    <w:tbl>
      <w:tblPr>
        <w:tblW w:w="5000" w:type="pct"/>
        <w:jc w:val="center"/>
        <w:tblCellMar>
          <w:left w:w="0" w:type="dxa"/>
          <w:right w:w="0" w:type="dxa"/>
        </w:tblCellMar>
        <w:tblLook w:val="04A0" w:firstRow="1" w:lastRow="0" w:firstColumn="1" w:lastColumn="0" w:noHBand="0" w:noVBand="1"/>
      </w:tblPr>
      <w:tblGrid>
        <w:gridCol w:w="3110"/>
        <w:gridCol w:w="1143"/>
        <w:gridCol w:w="965"/>
        <w:gridCol w:w="130"/>
        <w:gridCol w:w="1126"/>
        <w:gridCol w:w="1181"/>
        <w:gridCol w:w="651"/>
      </w:tblGrid>
      <w:tr w:rsidR="00ED0B9C" w:rsidRPr="00ED0B9C" w14:paraId="0D2A7929" w14:textId="77777777">
        <w:trPr>
          <w:trHeight w:val="288"/>
          <w:jc w:val="center"/>
        </w:trPr>
        <w:tc>
          <w:tcPr>
            <w:tcW w:w="1872" w:type="pct"/>
            <w:vMerge w:val="restart"/>
            <w:tcBorders>
              <w:top w:val="single" w:sz="12" w:space="0" w:color="000000"/>
              <w:left w:val="nil"/>
              <w:bottom w:val="single" w:sz="12" w:space="0" w:color="000000"/>
              <w:right w:val="nil"/>
            </w:tcBorders>
            <w:shd w:val="clear" w:color="auto" w:fill="FFFFFF"/>
            <w:tcMar>
              <w:top w:w="15" w:type="dxa"/>
              <w:left w:w="33" w:type="dxa"/>
              <w:bottom w:w="0" w:type="dxa"/>
              <w:right w:w="33" w:type="dxa"/>
            </w:tcMar>
            <w:vAlign w:val="center"/>
          </w:tcPr>
          <w:p w14:paraId="724DD7CC"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Characteristics</w:t>
            </w:r>
          </w:p>
        </w:tc>
        <w:tc>
          <w:tcPr>
            <w:tcW w:w="3128" w:type="pct"/>
            <w:gridSpan w:val="6"/>
            <w:tcBorders>
              <w:top w:val="single" w:sz="12" w:space="0" w:color="000000"/>
              <w:left w:val="nil"/>
              <w:bottom w:val="single" w:sz="12" w:space="0" w:color="000000"/>
              <w:right w:val="nil"/>
            </w:tcBorders>
            <w:shd w:val="clear" w:color="auto" w:fill="FFFFFF"/>
            <w:tcMar>
              <w:top w:w="15" w:type="dxa"/>
              <w:left w:w="33" w:type="dxa"/>
              <w:bottom w:w="0" w:type="dxa"/>
              <w:right w:w="33" w:type="dxa"/>
            </w:tcMar>
            <w:vAlign w:val="center"/>
          </w:tcPr>
          <w:p w14:paraId="2F5C90C4"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Total fruit and vegetable intake</w:t>
            </w:r>
          </w:p>
        </w:tc>
      </w:tr>
      <w:tr w:rsidR="00ED0B9C" w:rsidRPr="00ED0B9C" w14:paraId="2E3C9C9D" w14:textId="77777777">
        <w:trPr>
          <w:trHeight w:val="288"/>
          <w:jc w:val="center"/>
        </w:trPr>
        <w:tc>
          <w:tcPr>
            <w:tcW w:w="0" w:type="auto"/>
            <w:vMerge/>
            <w:tcBorders>
              <w:top w:val="single" w:sz="12" w:space="0" w:color="000000"/>
              <w:left w:val="nil"/>
              <w:bottom w:val="single" w:sz="12" w:space="0" w:color="000000"/>
              <w:right w:val="nil"/>
            </w:tcBorders>
            <w:vAlign w:val="center"/>
          </w:tcPr>
          <w:p w14:paraId="3176D816" w14:textId="77777777" w:rsidR="00372E00" w:rsidRPr="00ED0B9C" w:rsidRDefault="00372E00">
            <w:pPr>
              <w:widowControl/>
              <w:jc w:val="left"/>
              <w:rPr>
                <w:rFonts w:ascii="Times New Roman" w:eastAsia="宋体" w:hAnsi="Times New Roman" w:cs="Times New Roman"/>
                <w:color w:val="000000" w:themeColor="text1"/>
                <w:sz w:val="20"/>
                <w:szCs w:val="20"/>
              </w:rPr>
            </w:pPr>
          </w:p>
        </w:tc>
        <w:tc>
          <w:tcPr>
            <w:tcW w:w="688" w:type="pct"/>
            <w:tcBorders>
              <w:top w:val="single" w:sz="12" w:space="0" w:color="000000"/>
              <w:left w:val="nil"/>
              <w:bottom w:val="single" w:sz="12" w:space="0" w:color="000000"/>
              <w:right w:val="nil"/>
            </w:tcBorders>
            <w:shd w:val="clear" w:color="auto" w:fill="FFFFFF"/>
            <w:tcMar>
              <w:top w:w="15" w:type="dxa"/>
              <w:left w:w="33" w:type="dxa"/>
              <w:bottom w:w="0" w:type="dxa"/>
              <w:right w:w="33" w:type="dxa"/>
            </w:tcMar>
            <w:vAlign w:val="center"/>
          </w:tcPr>
          <w:p w14:paraId="374C94B1"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Q1</w:t>
            </w:r>
          </w:p>
        </w:tc>
        <w:tc>
          <w:tcPr>
            <w:tcW w:w="659" w:type="pct"/>
            <w:gridSpan w:val="2"/>
            <w:tcBorders>
              <w:top w:val="single" w:sz="12" w:space="0" w:color="000000"/>
              <w:left w:val="nil"/>
              <w:bottom w:val="single" w:sz="12" w:space="0" w:color="000000"/>
              <w:right w:val="nil"/>
            </w:tcBorders>
            <w:shd w:val="clear" w:color="auto" w:fill="FFFFFF"/>
            <w:tcMar>
              <w:top w:w="15" w:type="dxa"/>
              <w:left w:w="33" w:type="dxa"/>
              <w:bottom w:w="0" w:type="dxa"/>
              <w:right w:w="33" w:type="dxa"/>
            </w:tcMar>
            <w:vAlign w:val="center"/>
          </w:tcPr>
          <w:p w14:paraId="0FF115D5"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Q2</w:t>
            </w:r>
          </w:p>
        </w:tc>
        <w:tc>
          <w:tcPr>
            <w:tcW w:w="678" w:type="pct"/>
            <w:tcBorders>
              <w:top w:val="single" w:sz="12" w:space="0" w:color="000000"/>
              <w:left w:val="nil"/>
              <w:bottom w:val="single" w:sz="12" w:space="0" w:color="000000"/>
              <w:right w:val="nil"/>
            </w:tcBorders>
            <w:shd w:val="clear" w:color="auto" w:fill="FFFFFF"/>
            <w:tcMar>
              <w:top w:w="15" w:type="dxa"/>
              <w:left w:w="33" w:type="dxa"/>
              <w:bottom w:w="0" w:type="dxa"/>
              <w:right w:w="33" w:type="dxa"/>
            </w:tcMar>
            <w:vAlign w:val="center"/>
          </w:tcPr>
          <w:p w14:paraId="2EDF4374"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Q3</w:t>
            </w:r>
          </w:p>
        </w:tc>
        <w:tc>
          <w:tcPr>
            <w:tcW w:w="711" w:type="pct"/>
            <w:tcBorders>
              <w:top w:val="single" w:sz="12" w:space="0" w:color="000000"/>
              <w:left w:val="nil"/>
              <w:bottom w:val="single" w:sz="12" w:space="0" w:color="000000"/>
              <w:right w:val="nil"/>
            </w:tcBorders>
            <w:shd w:val="clear" w:color="auto" w:fill="FFFFFF"/>
            <w:tcMar>
              <w:top w:w="15" w:type="dxa"/>
              <w:left w:w="33" w:type="dxa"/>
              <w:bottom w:w="0" w:type="dxa"/>
              <w:right w:w="33" w:type="dxa"/>
            </w:tcMar>
            <w:vAlign w:val="center"/>
          </w:tcPr>
          <w:p w14:paraId="462B8006"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Q4</w:t>
            </w:r>
          </w:p>
        </w:tc>
        <w:tc>
          <w:tcPr>
            <w:tcW w:w="392" w:type="pct"/>
            <w:tcBorders>
              <w:top w:val="single" w:sz="12" w:space="0" w:color="000000"/>
              <w:left w:val="nil"/>
              <w:bottom w:val="single" w:sz="12" w:space="0" w:color="000000"/>
              <w:right w:val="nil"/>
            </w:tcBorders>
            <w:shd w:val="clear" w:color="auto" w:fill="FFFFFF"/>
          </w:tcPr>
          <w:p w14:paraId="0DDB3994"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i/>
                <w:iCs/>
                <w:color w:val="000000" w:themeColor="text1"/>
                <w:sz w:val="20"/>
                <w:szCs w:val="20"/>
              </w:rPr>
              <w:t>p</w:t>
            </w:r>
            <w:r w:rsidRPr="00ED0B9C">
              <w:rPr>
                <w:rFonts w:ascii="Times New Roman" w:eastAsia="宋体" w:hAnsi="Times New Roman" w:cs="Times New Roman"/>
                <w:color w:val="000000" w:themeColor="text1"/>
                <w:sz w:val="20"/>
                <w:szCs w:val="20"/>
              </w:rPr>
              <w:t>-trend</w:t>
            </w:r>
          </w:p>
        </w:tc>
      </w:tr>
      <w:tr w:rsidR="00ED0B9C" w:rsidRPr="00ED0B9C" w14:paraId="507A0CF4" w14:textId="77777777">
        <w:trPr>
          <w:trHeight w:val="288"/>
          <w:jc w:val="center"/>
        </w:trPr>
        <w:tc>
          <w:tcPr>
            <w:tcW w:w="1872" w:type="pct"/>
            <w:tcBorders>
              <w:top w:val="single" w:sz="12" w:space="0" w:color="000000"/>
              <w:left w:val="nil"/>
              <w:bottom w:val="nil"/>
              <w:right w:val="nil"/>
            </w:tcBorders>
            <w:shd w:val="clear" w:color="auto" w:fill="FFFFFF"/>
            <w:tcMar>
              <w:top w:w="15" w:type="dxa"/>
              <w:left w:w="33" w:type="dxa"/>
              <w:bottom w:w="0" w:type="dxa"/>
              <w:right w:w="33" w:type="dxa"/>
            </w:tcMar>
            <w:vAlign w:val="center"/>
          </w:tcPr>
          <w:p w14:paraId="6650EF33"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n</w:t>
            </w:r>
          </w:p>
        </w:tc>
        <w:tc>
          <w:tcPr>
            <w:tcW w:w="688" w:type="pct"/>
            <w:tcBorders>
              <w:top w:val="single" w:sz="12" w:space="0" w:color="000000"/>
              <w:left w:val="nil"/>
              <w:bottom w:val="nil"/>
              <w:right w:val="nil"/>
            </w:tcBorders>
            <w:shd w:val="clear" w:color="auto" w:fill="FFFFFF"/>
            <w:tcMar>
              <w:top w:w="15" w:type="dxa"/>
              <w:left w:w="33" w:type="dxa"/>
              <w:bottom w:w="0" w:type="dxa"/>
              <w:right w:w="33" w:type="dxa"/>
            </w:tcMar>
            <w:vAlign w:val="center"/>
          </w:tcPr>
          <w:p w14:paraId="49F57242"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470</w:t>
            </w:r>
          </w:p>
        </w:tc>
        <w:tc>
          <w:tcPr>
            <w:tcW w:w="659" w:type="pct"/>
            <w:gridSpan w:val="2"/>
            <w:tcBorders>
              <w:top w:val="single" w:sz="12" w:space="0" w:color="000000"/>
              <w:left w:val="nil"/>
              <w:bottom w:val="nil"/>
              <w:right w:val="nil"/>
            </w:tcBorders>
            <w:shd w:val="clear" w:color="auto" w:fill="FFFFFF"/>
            <w:tcMar>
              <w:top w:w="15" w:type="dxa"/>
              <w:left w:w="33" w:type="dxa"/>
              <w:bottom w:w="0" w:type="dxa"/>
              <w:right w:w="33" w:type="dxa"/>
            </w:tcMar>
            <w:vAlign w:val="center"/>
          </w:tcPr>
          <w:p w14:paraId="682D3C0B"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470</w:t>
            </w:r>
          </w:p>
        </w:tc>
        <w:tc>
          <w:tcPr>
            <w:tcW w:w="678" w:type="pct"/>
            <w:tcBorders>
              <w:top w:val="single" w:sz="12" w:space="0" w:color="000000"/>
              <w:left w:val="nil"/>
              <w:bottom w:val="nil"/>
              <w:right w:val="nil"/>
            </w:tcBorders>
            <w:shd w:val="clear" w:color="auto" w:fill="FFFFFF"/>
            <w:tcMar>
              <w:top w:w="15" w:type="dxa"/>
              <w:left w:w="33" w:type="dxa"/>
              <w:bottom w:w="0" w:type="dxa"/>
              <w:right w:w="33" w:type="dxa"/>
            </w:tcMar>
            <w:vAlign w:val="center"/>
          </w:tcPr>
          <w:p w14:paraId="2A656BAE"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470</w:t>
            </w:r>
          </w:p>
        </w:tc>
        <w:tc>
          <w:tcPr>
            <w:tcW w:w="711" w:type="pct"/>
            <w:tcBorders>
              <w:top w:val="single" w:sz="12" w:space="0" w:color="000000"/>
              <w:left w:val="nil"/>
              <w:bottom w:val="nil"/>
              <w:right w:val="nil"/>
            </w:tcBorders>
            <w:shd w:val="clear" w:color="auto" w:fill="FFFFFF"/>
            <w:tcMar>
              <w:top w:w="15" w:type="dxa"/>
              <w:left w:w="33" w:type="dxa"/>
              <w:bottom w:w="0" w:type="dxa"/>
              <w:right w:w="33" w:type="dxa"/>
            </w:tcMar>
            <w:vAlign w:val="center"/>
          </w:tcPr>
          <w:p w14:paraId="0FE0CB74"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469</w:t>
            </w:r>
          </w:p>
        </w:tc>
        <w:tc>
          <w:tcPr>
            <w:tcW w:w="392" w:type="pct"/>
            <w:tcBorders>
              <w:top w:val="single" w:sz="12" w:space="0" w:color="000000"/>
              <w:left w:val="nil"/>
              <w:bottom w:val="nil"/>
              <w:right w:val="nil"/>
            </w:tcBorders>
            <w:shd w:val="clear" w:color="auto" w:fill="FFFFFF"/>
          </w:tcPr>
          <w:p w14:paraId="3DE9E16E" w14:textId="77777777" w:rsidR="00372E00" w:rsidRPr="00ED0B9C" w:rsidRDefault="00372E00">
            <w:pPr>
              <w:jc w:val="center"/>
              <w:rPr>
                <w:rFonts w:ascii="Times New Roman" w:eastAsia="宋体" w:hAnsi="Times New Roman" w:cs="Times New Roman"/>
                <w:color w:val="000000" w:themeColor="text1"/>
                <w:sz w:val="20"/>
                <w:szCs w:val="20"/>
              </w:rPr>
            </w:pPr>
          </w:p>
        </w:tc>
      </w:tr>
      <w:tr w:rsidR="00ED0B9C" w:rsidRPr="00ED0B9C" w14:paraId="031B2298" w14:textId="77777777">
        <w:trPr>
          <w:trHeight w:val="288"/>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754FDE3B"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Age, y</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140D655D"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59.0 (7.1)</w:t>
            </w:r>
          </w:p>
        </w:tc>
        <w:tc>
          <w:tcPr>
            <w:tcW w:w="581" w:type="pct"/>
            <w:tcBorders>
              <w:top w:val="nil"/>
              <w:left w:val="nil"/>
              <w:bottom w:val="nil"/>
              <w:right w:val="nil"/>
            </w:tcBorders>
            <w:shd w:val="clear" w:color="auto" w:fill="FFFFFF"/>
            <w:tcMar>
              <w:top w:w="15" w:type="dxa"/>
              <w:left w:w="33" w:type="dxa"/>
              <w:bottom w:w="0" w:type="dxa"/>
              <w:right w:w="33" w:type="dxa"/>
            </w:tcMar>
            <w:vAlign w:val="center"/>
          </w:tcPr>
          <w:p w14:paraId="60F651DD"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58.9 (5.9)</w:t>
            </w:r>
          </w:p>
        </w:tc>
        <w:tc>
          <w:tcPr>
            <w:tcW w:w="756" w:type="pct"/>
            <w:gridSpan w:val="2"/>
            <w:tcBorders>
              <w:top w:val="nil"/>
              <w:left w:val="nil"/>
              <w:bottom w:val="nil"/>
              <w:right w:val="nil"/>
            </w:tcBorders>
            <w:shd w:val="clear" w:color="auto" w:fill="FFFFFF"/>
            <w:tcMar>
              <w:top w:w="15" w:type="dxa"/>
              <w:left w:w="33" w:type="dxa"/>
              <w:bottom w:w="0" w:type="dxa"/>
              <w:right w:w="33" w:type="dxa"/>
            </w:tcMar>
            <w:vAlign w:val="center"/>
          </w:tcPr>
          <w:p w14:paraId="64AF6426"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58.4 (5.7)</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37A1EFFB"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58.1 (5.5)</w:t>
            </w:r>
          </w:p>
        </w:tc>
        <w:tc>
          <w:tcPr>
            <w:tcW w:w="392" w:type="pct"/>
            <w:tcBorders>
              <w:top w:val="nil"/>
              <w:left w:val="nil"/>
              <w:bottom w:val="nil"/>
              <w:right w:val="nil"/>
            </w:tcBorders>
            <w:shd w:val="clear" w:color="auto" w:fill="FFFFFF"/>
          </w:tcPr>
          <w:p w14:paraId="5A80326B"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0.009</w:t>
            </w:r>
          </w:p>
        </w:tc>
      </w:tr>
      <w:tr w:rsidR="00ED0B9C" w:rsidRPr="00ED0B9C" w14:paraId="05D7E62B"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430ACE07"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Sex, n (% of women)</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108EADDA"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276 (58.7)</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4CB03D5D"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303 (64.5)</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202F0954"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338 (71.9)</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4785AE9C"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347 (74.0)</w:t>
            </w:r>
          </w:p>
        </w:tc>
        <w:tc>
          <w:tcPr>
            <w:tcW w:w="392" w:type="pct"/>
            <w:tcBorders>
              <w:top w:val="nil"/>
              <w:left w:val="nil"/>
              <w:bottom w:val="nil"/>
              <w:right w:val="nil"/>
            </w:tcBorders>
            <w:shd w:val="clear" w:color="auto" w:fill="FFFFFF"/>
          </w:tcPr>
          <w:p w14:paraId="6E88815E"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&lt;0.001</w:t>
            </w:r>
          </w:p>
        </w:tc>
      </w:tr>
      <w:tr w:rsidR="00ED0B9C" w:rsidRPr="00ED0B9C" w14:paraId="700DC779"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46A5AC34"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BMI, kg/m</w:t>
            </w:r>
            <w:r w:rsidRPr="00ED0B9C">
              <w:rPr>
                <w:rFonts w:ascii="Times New Roman" w:eastAsia="宋体" w:hAnsi="Times New Roman" w:cs="Times New Roman"/>
                <w:color w:val="000000" w:themeColor="text1"/>
                <w:sz w:val="20"/>
                <w:szCs w:val="20"/>
                <w:vertAlign w:val="superscript"/>
              </w:rPr>
              <w:t>2</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5CCC23A7"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23.3 (3.2)</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1E809290"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23.2 (2.9)</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4583706F"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23.1 (2.8)</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5E7D2F29"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23.3 (3.1)</w:t>
            </w:r>
          </w:p>
        </w:tc>
        <w:tc>
          <w:tcPr>
            <w:tcW w:w="392" w:type="pct"/>
            <w:tcBorders>
              <w:top w:val="nil"/>
              <w:left w:val="nil"/>
              <w:bottom w:val="nil"/>
              <w:right w:val="nil"/>
            </w:tcBorders>
            <w:shd w:val="clear" w:color="auto" w:fill="FFFFFF"/>
          </w:tcPr>
          <w:p w14:paraId="038713C3"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0.557</w:t>
            </w:r>
          </w:p>
        </w:tc>
      </w:tr>
      <w:tr w:rsidR="00ED0B9C" w:rsidRPr="00ED0B9C" w14:paraId="1D1BC834"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5BAA7088"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Total energy intake, kcal/d</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34ABE9BF"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1494 (425)</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42332425"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1654 (431)</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3EFE7E87"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1830 (451)</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4448C7C6"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1992 (494)</w:t>
            </w:r>
          </w:p>
        </w:tc>
        <w:tc>
          <w:tcPr>
            <w:tcW w:w="392" w:type="pct"/>
            <w:tcBorders>
              <w:top w:val="nil"/>
              <w:left w:val="nil"/>
              <w:bottom w:val="nil"/>
              <w:right w:val="nil"/>
            </w:tcBorders>
            <w:shd w:val="clear" w:color="auto" w:fill="FFFFFF"/>
          </w:tcPr>
          <w:p w14:paraId="3724E2C1"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&lt;0.001</w:t>
            </w:r>
          </w:p>
        </w:tc>
      </w:tr>
      <w:tr w:rsidR="00ED0B9C" w:rsidRPr="00ED0B9C" w14:paraId="72ECB7CB"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4DDC2E4F"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Physical activity, MET hours/d</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12E9681D"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38.8 (12.9)</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1F4BEB17"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39.2 (13.8)</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3E86A0EE"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41.1 (14.0)</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4DD8A08E"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43.3 (15.1)</w:t>
            </w:r>
          </w:p>
        </w:tc>
        <w:tc>
          <w:tcPr>
            <w:tcW w:w="392" w:type="pct"/>
            <w:tcBorders>
              <w:top w:val="nil"/>
              <w:left w:val="nil"/>
              <w:bottom w:val="nil"/>
              <w:right w:val="nil"/>
            </w:tcBorders>
            <w:shd w:val="clear" w:color="auto" w:fill="FFFFFF"/>
          </w:tcPr>
          <w:p w14:paraId="0A94361D"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&lt;0.001</w:t>
            </w:r>
          </w:p>
        </w:tc>
      </w:tr>
      <w:tr w:rsidR="00ED0B9C" w:rsidRPr="00ED0B9C" w14:paraId="5A4F03E3"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7E53EEF6"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Vegetable intake, g/d</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75035C42"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205 (56)</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1CF74AC9"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314 (62)</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55FCCFC5"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416 (79)</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5EBB8EBB"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600 (186)</w:t>
            </w:r>
          </w:p>
        </w:tc>
        <w:tc>
          <w:tcPr>
            <w:tcW w:w="392" w:type="pct"/>
            <w:tcBorders>
              <w:top w:val="nil"/>
              <w:left w:val="nil"/>
              <w:bottom w:val="nil"/>
              <w:right w:val="nil"/>
            </w:tcBorders>
            <w:shd w:val="clear" w:color="auto" w:fill="FFFFFF"/>
          </w:tcPr>
          <w:p w14:paraId="5C5F97CA"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Calibri"/>
                <w:color w:val="000000" w:themeColor="text1"/>
                <w:sz w:val="20"/>
                <w:szCs w:val="20"/>
              </w:rPr>
              <w:t>&lt;0.001</w:t>
            </w:r>
          </w:p>
        </w:tc>
      </w:tr>
      <w:tr w:rsidR="00ED0B9C" w:rsidRPr="00ED0B9C" w14:paraId="3554BE71"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2454FDB3"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Fruit intake, g/d</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6B957485"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66 (41)</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5FA410DE"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112 (57)</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34280CE9"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157 (76)</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7F840E92"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248 (136)</w:t>
            </w:r>
          </w:p>
        </w:tc>
        <w:tc>
          <w:tcPr>
            <w:tcW w:w="392" w:type="pct"/>
            <w:tcBorders>
              <w:top w:val="nil"/>
              <w:left w:val="nil"/>
              <w:bottom w:val="nil"/>
              <w:right w:val="nil"/>
            </w:tcBorders>
            <w:shd w:val="clear" w:color="auto" w:fill="FFFFFF"/>
          </w:tcPr>
          <w:p w14:paraId="083005A2"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Calibri"/>
                <w:color w:val="000000" w:themeColor="text1"/>
                <w:sz w:val="20"/>
                <w:szCs w:val="20"/>
              </w:rPr>
              <w:t>&lt;0.001</w:t>
            </w:r>
          </w:p>
        </w:tc>
      </w:tr>
      <w:tr w:rsidR="00ED0B9C" w:rsidRPr="00ED0B9C" w14:paraId="0262026B"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0F1ABD6F"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Total fruit and vegetable intake, g/d</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0FE210A3"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271 (59)</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6EA4F15D"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426 (42)</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48CC66CF"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573 (47)</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6490EDEF"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848 (202)</w:t>
            </w:r>
          </w:p>
        </w:tc>
        <w:tc>
          <w:tcPr>
            <w:tcW w:w="392" w:type="pct"/>
            <w:tcBorders>
              <w:top w:val="nil"/>
              <w:left w:val="nil"/>
              <w:bottom w:val="nil"/>
              <w:right w:val="nil"/>
            </w:tcBorders>
            <w:shd w:val="clear" w:color="auto" w:fill="FFFFFF"/>
          </w:tcPr>
          <w:p w14:paraId="2704E8C1"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Calibri"/>
                <w:color w:val="000000" w:themeColor="text1"/>
                <w:sz w:val="20"/>
                <w:szCs w:val="20"/>
              </w:rPr>
              <w:t>&lt;0.001</w:t>
            </w:r>
          </w:p>
        </w:tc>
      </w:tr>
      <w:tr w:rsidR="00ED0B9C" w:rsidRPr="00ED0B9C" w14:paraId="473FDFA4"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05036F3C"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Red and processed meat intake, g/d</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6FCEF24A"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90 (55)</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7131F921"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100 (57)</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252F6C70"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109 (60)</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275FCB7F"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117 (69)</w:t>
            </w:r>
          </w:p>
        </w:tc>
        <w:tc>
          <w:tcPr>
            <w:tcW w:w="392" w:type="pct"/>
            <w:tcBorders>
              <w:top w:val="nil"/>
              <w:left w:val="nil"/>
              <w:bottom w:val="nil"/>
              <w:right w:val="nil"/>
            </w:tcBorders>
            <w:shd w:val="clear" w:color="auto" w:fill="FFFFFF"/>
          </w:tcPr>
          <w:p w14:paraId="210E9391"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Calibri"/>
                <w:color w:val="000000" w:themeColor="text1"/>
                <w:sz w:val="20"/>
                <w:szCs w:val="20"/>
              </w:rPr>
              <w:t>&lt;0.001</w:t>
            </w:r>
          </w:p>
        </w:tc>
      </w:tr>
      <w:tr w:rsidR="00ED0B9C" w:rsidRPr="00ED0B9C" w14:paraId="32BC647C"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787378BB"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Fish intake, g/d</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00EB9C31"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37 (55)</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69D3B9D2"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45 (43)</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7A8CAC11"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55 (59)</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01B1FA5F"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64 (43)</w:t>
            </w:r>
          </w:p>
        </w:tc>
        <w:tc>
          <w:tcPr>
            <w:tcW w:w="392" w:type="pct"/>
            <w:tcBorders>
              <w:top w:val="nil"/>
              <w:left w:val="nil"/>
              <w:bottom w:val="nil"/>
              <w:right w:val="nil"/>
            </w:tcBorders>
            <w:shd w:val="clear" w:color="auto" w:fill="FFFFFF"/>
          </w:tcPr>
          <w:p w14:paraId="23DEBB19"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Calibri"/>
                <w:color w:val="000000" w:themeColor="text1"/>
                <w:sz w:val="20"/>
                <w:szCs w:val="20"/>
              </w:rPr>
              <w:t>&lt;0.001</w:t>
            </w:r>
          </w:p>
        </w:tc>
      </w:tr>
      <w:tr w:rsidR="00ED0B9C" w:rsidRPr="00ED0B9C" w14:paraId="56813D7C"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0067AE96"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Dairy products intake, g/d</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24A15330"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90 (102)</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5C010FBC"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105 (101)</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2FC58979"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128 (117)</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4837A932"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138 (129)</w:t>
            </w:r>
          </w:p>
        </w:tc>
        <w:tc>
          <w:tcPr>
            <w:tcW w:w="392" w:type="pct"/>
            <w:tcBorders>
              <w:top w:val="nil"/>
              <w:left w:val="nil"/>
              <w:bottom w:val="nil"/>
              <w:right w:val="nil"/>
            </w:tcBorders>
            <w:shd w:val="clear" w:color="auto" w:fill="FFFFFF"/>
          </w:tcPr>
          <w:p w14:paraId="1A62AC85"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Calibri"/>
                <w:color w:val="000000" w:themeColor="text1"/>
                <w:sz w:val="20"/>
                <w:szCs w:val="20"/>
              </w:rPr>
              <w:t>&lt;0.001</w:t>
            </w:r>
          </w:p>
        </w:tc>
      </w:tr>
      <w:tr w:rsidR="00ED0B9C" w:rsidRPr="00ED0B9C" w14:paraId="2BB2B8A0"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3720AFB7"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Current alcohol drinker, n (%)</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7C01C802"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45 (9.6)</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6B62EE55"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37 (7.9)</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4D5E2B97"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26 (5.5)</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30BB0B4F"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29 (6.2)</w:t>
            </w:r>
          </w:p>
        </w:tc>
        <w:tc>
          <w:tcPr>
            <w:tcW w:w="392" w:type="pct"/>
            <w:tcBorders>
              <w:top w:val="nil"/>
              <w:left w:val="nil"/>
              <w:bottom w:val="nil"/>
              <w:right w:val="nil"/>
            </w:tcBorders>
            <w:shd w:val="clear" w:color="auto" w:fill="FFFFFF"/>
          </w:tcPr>
          <w:p w14:paraId="12ADAC2B"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0.020</w:t>
            </w:r>
          </w:p>
        </w:tc>
      </w:tr>
      <w:tr w:rsidR="00ED0B9C" w:rsidRPr="00ED0B9C" w14:paraId="25D8B3C4"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0261A526"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Current smoker, n (%)</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7709602B"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107 (22.8)</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3DBB48C3"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72 (15.3)</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54E3240D"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58 (12.3)</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28EADDF1"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55 (11.7)</w:t>
            </w:r>
          </w:p>
        </w:tc>
        <w:tc>
          <w:tcPr>
            <w:tcW w:w="392" w:type="pct"/>
            <w:tcBorders>
              <w:top w:val="nil"/>
              <w:left w:val="nil"/>
              <w:bottom w:val="nil"/>
              <w:right w:val="nil"/>
            </w:tcBorders>
            <w:shd w:val="clear" w:color="auto" w:fill="FFFFFF"/>
          </w:tcPr>
          <w:p w14:paraId="55512A83"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Calibri"/>
                <w:color w:val="000000" w:themeColor="text1"/>
                <w:sz w:val="20"/>
                <w:szCs w:val="20"/>
              </w:rPr>
              <w:t>&lt;0.001</w:t>
            </w:r>
          </w:p>
        </w:tc>
      </w:tr>
      <w:tr w:rsidR="00ED0B9C" w:rsidRPr="00ED0B9C" w14:paraId="079C7498" w14:textId="77777777">
        <w:trPr>
          <w:trHeight w:val="216"/>
          <w:jc w:val="center"/>
        </w:trPr>
        <w:tc>
          <w:tcPr>
            <w:tcW w:w="4608" w:type="pct"/>
            <w:gridSpan w:val="6"/>
            <w:tcBorders>
              <w:top w:val="nil"/>
              <w:left w:val="nil"/>
              <w:bottom w:val="nil"/>
              <w:right w:val="nil"/>
            </w:tcBorders>
            <w:shd w:val="clear" w:color="auto" w:fill="FFFFFF"/>
            <w:tcMar>
              <w:top w:w="15" w:type="dxa"/>
              <w:left w:w="33" w:type="dxa"/>
              <w:bottom w:w="0" w:type="dxa"/>
              <w:right w:w="33" w:type="dxa"/>
            </w:tcMar>
            <w:vAlign w:val="center"/>
          </w:tcPr>
          <w:p w14:paraId="05752752"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Income level, n (%)</w:t>
            </w:r>
          </w:p>
        </w:tc>
        <w:tc>
          <w:tcPr>
            <w:tcW w:w="392" w:type="pct"/>
            <w:tcBorders>
              <w:top w:val="nil"/>
              <w:left w:val="nil"/>
              <w:bottom w:val="nil"/>
              <w:right w:val="nil"/>
            </w:tcBorders>
            <w:shd w:val="clear" w:color="auto" w:fill="FFFFFF"/>
          </w:tcPr>
          <w:p w14:paraId="7A722258" w14:textId="77777777" w:rsidR="00372E00" w:rsidRPr="00ED0B9C" w:rsidRDefault="00A77E06">
            <w:pPr>
              <w:jc w:val="center"/>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0.109</w:t>
            </w:r>
          </w:p>
        </w:tc>
      </w:tr>
      <w:tr w:rsidR="00ED0B9C" w:rsidRPr="00ED0B9C" w14:paraId="73DD4D50"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1831B0FB"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 xml:space="preserve">≤ </w:t>
            </w:r>
            <w:r w:rsidRPr="00ED0B9C">
              <w:rPr>
                <w:rFonts w:ascii="Times New Roman" w:eastAsia="宋体" w:hAnsi="Times New Roman" w:cs="Times New Roman"/>
                <w:color w:val="000000" w:themeColor="text1"/>
                <w:sz w:val="20"/>
                <w:szCs w:val="20"/>
              </w:rPr>
              <w:t>500 ¥/mo</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455F44C8"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6 (1.3)</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72DE7DF3"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6 (1.3)</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5C92D68D"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10 (2.1)</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083DC20F"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6 (1.3)</w:t>
            </w:r>
          </w:p>
        </w:tc>
        <w:tc>
          <w:tcPr>
            <w:tcW w:w="392" w:type="pct"/>
            <w:tcBorders>
              <w:top w:val="nil"/>
              <w:left w:val="nil"/>
              <w:bottom w:val="nil"/>
              <w:right w:val="nil"/>
            </w:tcBorders>
            <w:shd w:val="clear" w:color="auto" w:fill="FFFFFF"/>
          </w:tcPr>
          <w:p w14:paraId="444A5CF7" w14:textId="77777777" w:rsidR="00372E00" w:rsidRPr="00ED0B9C" w:rsidRDefault="00372E00">
            <w:pPr>
              <w:jc w:val="center"/>
              <w:rPr>
                <w:rFonts w:ascii="Times New Roman" w:eastAsia="宋体" w:hAnsi="Times New Roman" w:cs="Calibri"/>
                <w:color w:val="000000" w:themeColor="text1"/>
                <w:sz w:val="20"/>
                <w:szCs w:val="20"/>
              </w:rPr>
            </w:pPr>
          </w:p>
        </w:tc>
      </w:tr>
      <w:tr w:rsidR="00ED0B9C" w:rsidRPr="00ED0B9C" w14:paraId="7F73AAF1"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0BEBF140" w14:textId="77777777" w:rsidR="00372E00" w:rsidRPr="00ED0B9C" w:rsidRDefault="00A77E06">
            <w:pPr>
              <w:jc w:val="left"/>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 xml:space="preserve">501-1500 </w:t>
            </w:r>
            <w:r w:rsidRPr="00ED0B9C">
              <w:rPr>
                <w:rFonts w:ascii="Times New Roman" w:eastAsia="宋体" w:hAnsi="Times New Roman" w:cs="Times New Roman"/>
                <w:color w:val="000000" w:themeColor="text1"/>
                <w:sz w:val="20"/>
                <w:szCs w:val="20"/>
              </w:rPr>
              <w:t>¥/mo</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7592C909"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91 (19.4)</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1B376598"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101 (21.5)</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37412D7E"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112 (23.8)</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5A7B1A3B"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99 (21.1)</w:t>
            </w:r>
          </w:p>
        </w:tc>
        <w:tc>
          <w:tcPr>
            <w:tcW w:w="392" w:type="pct"/>
            <w:tcBorders>
              <w:top w:val="nil"/>
              <w:left w:val="nil"/>
              <w:bottom w:val="nil"/>
              <w:right w:val="nil"/>
            </w:tcBorders>
            <w:shd w:val="clear" w:color="auto" w:fill="FFFFFF"/>
          </w:tcPr>
          <w:p w14:paraId="3FAA3302" w14:textId="77777777" w:rsidR="00372E00" w:rsidRPr="00ED0B9C" w:rsidRDefault="00372E00">
            <w:pPr>
              <w:jc w:val="center"/>
              <w:rPr>
                <w:rFonts w:ascii="Times New Roman" w:eastAsia="宋体" w:hAnsi="Times New Roman" w:cs="Calibri"/>
                <w:color w:val="000000" w:themeColor="text1"/>
                <w:sz w:val="20"/>
                <w:szCs w:val="20"/>
              </w:rPr>
            </w:pPr>
          </w:p>
        </w:tc>
      </w:tr>
      <w:tr w:rsidR="00ED0B9C" w:rsidRPr="00ED0B9C" w14:paraId="07BEC7E7"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1371C9E1" w14:textId="77777777" w:rsidR="00372E00" w:rsidRPr="00ED0B9C" w:rsidRDefault="00A77E06">
            <w:pPr>
              <w:jc w:val="left"/>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 xml:space="preserve">1501-3000 </w:t>
            </w:r>
            <w:r w:rsidRPr="00ED0B9C">
              <w:rPr>
                <w:rFonts w:ascii="Times New Roman" w:eastAsia="宋体" w:hAnsi="Times New Roman" w:cs="Times New Roman"/>
                <w:color w:val="000000" w:themeColor="text1"/>
                <w:sz w:val="20"/>
                <w:szCs w:val="20"/>
              </w:rPr>
              <w:t>¥/mo</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0F5A66A0"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336 (71.5)</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1A1FD035"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302 (64.3)</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5183510D"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275 (58.5)</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35C94AB9"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284 (60.6)</w:t>
            </w:r>
          </w:p>
        </w:tc>
        <w:tc>
          <w:tcPr>
            <w:tcW w:w="392" w:type="pct"/>
            <w:tcBorders>
              <w:top w:val="nil"/>
              <w:left w:val="nil"/>
              <w:bottom w:val="nil"/>
              <w:right w:val="nil"/>
            </w:tcBorders>
            <w:shd w:val="clear" w:color="auto" w:fill="FFFFFF"/>
          </w:tcPr>
          <w:p w14:paraId="06445D5F" w14:textId="77777777" w:rsidR="00372E00" w:rsidRPr="00ED0B9C" w:rsidRDefault="00372E00">
            <w:pPr>
              <w:jc w:val="center"/>
              <w:rPr>
                <w:rFonts w:ascii="Times New Roman" w:eastAsia="宋体" w:hAnsi="Times New Roman" w:cs="Calibri"/>
                <w:color w:val="000000" w:themeColor="text1"/>
                <w:sz w:val="20"/>
                <w:szCs w:val="20"/>
              </w:rPr>
            </w:pPr>
          </w:p>
        </w:tc>
      </w:tr>
      <w:tr w:rsidR="00ED0B9C" w:rsidRPr="00ED0B9C" w14:paraId="345AD8DC"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3D0799D9"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&gt; 3000 ¥/mo</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67A5E4C2"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37 (7.9)</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6245D8E4"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61 (13.0)</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2C9E8AAE"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73 (15.5)</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593B059C"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80 (17.1)</w:t>
            </w:r>
          </w:p>
        </w:tc>
        <w:tc>
          <w:tcPr>
            <w:tcW w:w="392" w:type="pct"/>
            <w:tcBorders>
              <w:top w:val="nil"/>
              <w:left w:val="nil"/>
              <w:bottom w:val="nil"/>
              <w:right w:val="nil"/>
            </w:tcBorders>
            <w:shd w:val="clear" w:color="auto" w:fill="FFFFFF"/>
          </w:tcPr>
          <w:p w14:paraId="485307B0" w14:textId="77777777" w:rsidR="00372E00" w:rsidRPr="00ED0B9C" w:rsidRDefault="00372E00">
            <w:pPr>
              <w:jc w:val="center"/>
              <w:rPr>
                <w:rFonts w:ascii="Times New Roman" w:eastAsia="宋体" w:hAnsi="Times New Roman" w:cs="Calibri"/>
                <w:color w:val="000000" w:themeColor="text1"/>
                <w:sz w:val="20"/>
                <w:szCs w:val="20"/>
              </w:rPr>
            </w:pPr>
          </w:p>
        </w:tc>
      </w:tr>
      <w:tr w:rsidR="00ED0B9C" w:rsidRPr="00ED0B9C" w14:paraId="3D9781D4" w14:textId="77777777">
        <w:trPr>
          <w:trHeight w:val="216"/>
          <w:jc w:val="center"/>
        </w:trPr>
        <w:tc>
          <w:tcPr>
            <w:tcW w:w="4608" w:type="pct"/>
            <w:gridSpan w:val="6"/>
            <w:tcBorders>
              <w:top w:val="nil"/>
              <w:left w:val="nil"/>
              <w:bottom w:val="nil"/>
              <w:right w:val="nil"/>
            </w:tcBorders>
            <w:shd w:val="clear" w:color="auto" w:fill="FFFFFF"/>
            <w:tcMar>
              <w:top w:w="15" w:type="dxa"/>
              <w:left w:w="33" w:type="dxa"/>
              <w:bottom w:w="0" w:type="dxa"/>
              <w:right w:w="33" w:type="dxa"/>
            </w:tcMar>
            <w:vAlign w:val="center"/>
          </w:tcPr>
          <w:p w14:paraId="1C3E354F"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Education, n (%)</w:t>
            </w:r>
          </w:p>
        </w:tc>
        <w:tc>
          <w:tcPr>
            <w:tcW w:w="392" w:type="pct"/>
            <w:tcBorders>
              <w:top w:val="nil"/>
              <w:left w:val="nil"/>
              <w:bottom w:val="nil"/>
              <w:right w:val="nil"/>
            </w:tcBorders>
            <w:shd w:val="clear" w:color="auto" w:fill="FFFFFF"/>
            <w:vAlign w:val="center"/>
          </w:tcPr>
          <w:p w14:paraId="198FD2D2" w14:textId="77777777" w:rsidR="00372E00" w:rsidRPr="00ED0B9C" w:rsidRDefault="00A77E06">
            <w:pPr>
              <w:ind w:firstLineChars="50" w:firstLine="100"/>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0.790</w:t>
            </w:r>
          </w:p>
        </w:tc>
      </w:tr>
      <w:tr w:rsidR="00ED0B9C" w:rsidRPr="00ED0B9C" w14:paraId="2CD4A1B7"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785C7D0D"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Middle school or lower</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0F36502A"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133 (28.3)</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31AE193A"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125 (26.6)</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7F0A81DC"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134 (28.5)</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5124D32D"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118 (25.2)</w:t>
            </w:r>
          </w:p>
        </w:tc>
        <w:tc>
          <w:tcPr>
            <w:tcW w:w="392" w:type="pct"/>
            <w:tcBorders>
              <w:top w:val="nil"/>
              <w:left w:val="nil"/>
              <w:bottom w:val="nil"/>
              <w:right w:val="nil"/>
            </w:tcBorders>
            <w:shd w:val="clear" w:color="auto" w:fill="FFFFFF"/>
          </w:tcPr>
          <w:p w14:paraId="0CC641BD" w14:textId="77777777" w:rsidR="00372E00" w:rsidRPr="00ED0B9C" w:rsidRDefault="00372E00">
            <w:pPr>
              <w:jc w:val="center"/>
              <w:rPr>
                <w:rFonts w:ascii="Times New Roman" w:eastAsia="宋体" w:hAnsi="Times New Roman" w:cs="Times New Roman"/>
                <w:color w:val="000000" w:themeColor="text1"/>
                <w:sz w:val="20"/>
                <w:szCs w:val="20"/>
              </w:rPr>
            </w:pPr>
          </w:p>
        </w:tc>
      </w:tr>
      <w:tr w:rsidR="00ED0B9C" w:rsidRPr="00ED0B9C" w14:paraId="4D51357A"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744CA9D7"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High school or professional college</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3C1C9E6F"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206 (43.8)</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30F6CF95"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208 (44.3)</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07865702"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218 (46.4)</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47C48CF7"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232 (49.4)</w:t>
            </w:r>
          </w:p>
        </w:tc>
        <w:tc>
          <w:tcPr>
            <w:tcW w:w="392" w:type="pct"/>
            <w:tcBorders>
              <w:top w:val="nil"/>
              <w:left w:val="nil"/>
              <w:bottom w:val="nil"/>
              <w:right w:val="nil"/>
            </w:tcBorders>
            <w:shd w:val="clear" w:color="auto" w:fill="FFFFFF"/>
          </w:tcPr>
          <w:p w14:paraId="5A60C422" w14:textId="77777777" w:rsidR="00372E00" w:rsidRPr="00ED0B9C" w:rsidRDefault="00372E00">
            <w:pPr>
              <w:jc w:val="center"/>
              <w:rPr>
                <w:rFonts w:ascii="Times New Roman" w:eastAsia="宋体" w:hAnsi="Times New Roman" w:cs="Times New Roman"/>
                <w:color w:val="000000" w:themeColor="text1"/>
                <w:sz w:val="20"/>
                <w:szCs w:val="20"/>
              </w:rPr>
            </w:pPr>
          </w:p>
        </w:tc>
      </w:tr>
      <w:tr w:rsidR="00ED0B9C" w:rsidRPr="00ED0B9C" w14:paraId="7E5F3ABC"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3F7D5D17"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University</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4769180B"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131 (27.9)</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25CC2BEC"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137 (29.1)</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24BDD2FB"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118 (25.1)</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21539D49"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119 (25.4)</w:t>
            </w:r>
          </w:p>
        </w:tc>
        <w:tc>
          <w:tcPr>
            <w:tcW w:w="392" w:type="pct"/>
            <w:tcBorders>
              <w:top w:val="nil"/>
              <w:left w:val="nil"/>
              <w:bottom w:val="nil"/>
              <w:right w:val="nil"/>
            </w:tcBorders>
            <w:shd w:val="clear" w:color="auto" w:fill="FFFFFF"/>
          </w:tcPr>
          <w:p w14:paraId="1FC5B28B" w14:textId="77777777" w:rsidR="00372E00" w:rsidRPr="00ED0B9C" w:rsidRDefault="00372E00">
            <w:pPr>
              <w:jc w:val="center"/>
              <w:rPr>
                <w:rFonts w:ascii="Times New Roman" w:eastAsia="宋体" w:hAnsi="Times New Roman" w:cs="Times New Roman"/>
                <w:color w:val="000000" w:themeColor="text1"/>
                <w:sz w:val="20"/>
                <w:szCs w:val="20"/>
              </w:rPr>
            </w:pPr>
          </w:p>
        </w:tc>
      </w:tr>
      <w:tr w:rsidR="00ED0B9C" w:rsidRPr="00ED0B9C" w14:paraId="0C3B68BF"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265D4000" w14:textId="77777777" w:rsidR="00372E00" w:rsidRPr="00ED0B9C" w:rsidRDefault="00A77E06">
            <w:pPr>
              <w:jc w:val="left"/>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Glucose,</w:t>
            </w:r>
            <w:r w:rsidRPr="00ED0B9C">
              <w:rPr>
                <w:rFonts w:ascii="Calibri" w:eastAsia="宋体" w:hAnsi="Calibri" w:cs="Times New Roman"/>
                <w:color w:val="000000" w:themeColor="text1"/>
                <w:szCs w:val="21"/>
              </w:rPr>
              <w:t> </w:t>
            </w:r>
            <w:r w:rsidRPr="00ED0B9C">
              <w:rPr>
                <w:rFonts w:ascii="Times New Roman" w:eastAsia="宋体" w:hAnsi="Times New Roman" w:cs="Calibri"/>
                <w:color w:val="000000" w:themeColor="text1"/>
                <w:sz w:val="20"/>
                <w:szCs w:val="20"/>
              </w:rPr>
              <w:t xml:space="preserve">mmol/L </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626D03A9"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5.49 (1.27)</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0B324510"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5.47 (1.37)</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2290220C"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5.50 (1.42)</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0E76F8C9"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5.46 (1.20)</w:t>
            </w:r>
          </w:p>
        </w:tc>
        <w:tc>
          <w:tcPr>
            <w:tcW w:w="392" w:type="pct"/>
            <w:tcBorders>
              <w:top w:val="nil"/>
              <w:left w:val="nil"/>
              <w:bottom w:val="nil"/>
              <w:right w:val="nil"/>
            </w:tcBorders>
            <w:shd w:val="clear" w:color="auto" w:fill="FFFFFF"/>
          </w:tcPr>
          <w:p w14:paraId="0532E302"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0.796</w:t>
            </w:r>
          </w:p>
        </w:tc>
      </w:tr>
      <w:tr w:rsidR="00ED0B9C" w:rsidRPr="00ED0B9C" w14:paraId="0BCB8263"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5E2E1085" w14:textId="77777777" w:rsidR="00372E00" w:rsidRPr="00ED0B9C" w:rsidRDefault="00A77E06">
            <w:pPr>
              <w:wordWrap w:val="0"/>
              <w:jc w:val="left"/>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Insulin,</w:t>
            </w:r>
            <w:r w:rsidRPr="00ED0B9C">
              <w:rPr>
                <w:rFonts w:ascii="Calibri" w:eastAsia="宋体" w:hAnsi="Calibri" w:cs="Times New Roman"/>
                <w:color w:val="000000" w:themeColor="text1"/>
                <w:szCs w:val="21"/>
              </w:rPr>
              <w:t> </w:t>
            </w:r>
            <w:r w:rsidRPr="00ED0B9C">
              <w:rPr>
                <w:rFonts w:ascii="Times New Roman" w:eastAsia="宋体" w:hAnsi="Times New Roman" w:cs="Times New Roman"/>
                <w:color w:val="000000" w:themeColor="text1"/>
                <w:szCs w:val="21"/>
              </w:rPr>
              <w:t>μ</w:t>
            </w:r>
            <w:r w:rsidRPr="00ED0B9C">
              <w:rPr>
                <w:rFonts w:ascii="Times New Roman" w:eastAsia="宋体" w:hAnsi="Times New Roman" w:cs="Calibri"/>
                <w:color w:val="000000" w:themeColor="text1"/>
                <w:sz w:val="20"/>
                <w:szCs w:val="20"/>
              </w:rPr>
              <w:t xml:space="preserve">U/mL </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283CB3CE"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7.58 (4.42)</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3BCAB87C"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7.37 (4.13)</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6B142DEF"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7.19 (3.84)</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00330F35"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7.03 (3.49)</w:t>
            </w:r>
          </w:p>
        </w:tc>
        <w:tc>
          <w:tcPr>
            <w:tcW w:w="392" w:type="pct"/>
            <w:tcBorders>
              <w:top w:val="nil"/>
              <w:left w:val="nil"/>
              <w:bottom w:val="nil"/>
              <w:right w:val="nil"/>
            </w:tcBorders>
            <w:shd w:val="clear" w:color="auto" w:fill="FFFFFF"/>
          </w:tcPr>
          <w:p w14:paraId="41DB0E97"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0.045</w:t>
            </w:r>
          </w:p>
        </w:tc>
      </w:tr>
      <w:tr w:rsidR="00ED0B9C" w:rsidRPr="00ED0B9C" w14:paraId="4D28135A"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1955D56D" w14:textId="77777777" w:rsidR="00372E00" w:rsidRPr="00ED0B9C" w:rsidRDefault="00A77E06">
            <w:pPr>
              <w:wordWrap w:val="0"/>
              <w:jc w:val="left"/>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 xml:space="preserve">HbAlc, % </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0CE978B0"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7.12 (4.00)</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73C7B35A"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7.15 (4.50)</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4F388578"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7.41 (4.21)</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46653D83"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7.28 (4.16)</w:t>
            </w:r>
          </w:p>
        </w:tc>
        <w:tc>
          <w:tcPr>
            <w:tcW w:w="392" w:type="pct"/>
            <w:tcBorders>
              <w:top w:val="nil"/>
              <w:left w:val="nil"/>
              <w:bottom w:val="nil"/>
              <w:right w:val="nil"/>
            </w:tcBorders>
            <w:shd w:val="clear" w:color="auto" w:fill="FFFFFF"/>
          </w:tcPr>
          <w:p w14:paraId="34F59A2A"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0.407</w:t>
            </w:r>
          </w:p>
        </w:tc>
      </w:tr>
      <w:tr w:rsidR="00ED0B9C" w:rsidRPr="00ED0B9C" w14:paraId="71CB034C"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157B3239" w14:textId="77777777" w:rsidR="00372E00" w:rsidRPr="00ED0B9C" w:rsidRDefault="00A77E06">
            <w:pPr>
              <w:wordWrap w:val="0"/>
              <w:jc w:val="left"/>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HOMA-IR</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324275F9"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1.90 (1.34)</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3AB48CF3"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1.83 (1.25)</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3B9028A9"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1.81 (1.19)</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2474A1D4"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1.77 (1.10)</w:t>
            </w:r>
          </w:p>
        </w:tc>
        <w:tc>
          <w:tcPr>
            <w:tcW w:w="392" w:type="pct"/>
            <w:tcBorders>
              <w:top w:val="nil"/>
              <w:left w:val="nil"/>
              <w:bottom w:val="nil"/>
              <w:right w:val="nil"/>
            </w:tcBorders>
            <w:shd w:val="clear" w:color="auto" w:fill="FFFFFF"/>
          </w:tcPr>
          <w:p w14:paraId="297111F7"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0.136</w:t>
            </w:r>
          </w:p>
        </w:tc>
      </w:tr>
      <w:tr w:rsidR="00ED0B9C" w:rsidRPr="00ED0B9C" w14:paraId="489A2082"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144A8142" w14:textId="77777777" w:rsidR="00372E00" w:rsidRPr="00ED0B9C" w:rsidRDefault="00A77E06">
            <w:pPr>
              <w:jc w:val="left"/>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HOMA-</w:t>
            </w:r>
            <w:r w:rsidRPr="00ED0B9C">
              <w:rPr>
                <w:rFonts w:ascii="Times New Roman" w:eastAsia="宋体" w:hAnsi="Times New Roman" w:cs="Times New Roman"/>
                <w:color w:val="000000" w:themeColor="text1"/>
                <w:sz w:val="20"/>
                <w:szCs w:val="20"/>
              </w:rPr>
              <w:t>β, %</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094D8431"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89.2 (60.7)</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7DD4FCA7"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88.1 (59.5)</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6EED7CFD"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81.4 (47.8)</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27E0EC86"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81.5 (45.8)</w:t>
            </w:r>
          </w:p>
        </w:tc>
        <w:tc>
          <w:tcPr>
            <w:tcW w:w="392" w:type="pct"/>
            <w:tcBorders>
              <w:top w:val="nil"/>
              <w:left w:val="nil"/>
              <w:bottom w:val="nil"/>
              <w:right w:val="nil"/>
            </w:tcBorders>
            <w:shd w:val="clear" w:color="auto" w:fill="FFFFFF"/>
          </w:tcPr>
          <w:p w14:paraId="7ADE98D5"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0.017</w:t>
            </w:r>
          </w:p>
        </w:tc>
      </w:tr>
      <w:tr w:rsidR="00ED0B9C" w:rsidRPr="00ED0B9C" w14:paraId="521F50FA" w14:textId="77777777">
        <w:trPr>
          <w:trHeight w:val="216"/>
          <w:jc w:val="center"/>
        </w:trPr>
        <w:tc>
          <w:tcPr>
            <w:tcW w:w="4608" w:type="pct"/>
            <w:gridSpan w:val="6"/>
            <w:tcBorders>
              <w:top w:val="nil"/>
              <w:left w:val="nil"/>
              <w:bottom w:val="nil"/>
              <w:right w:val="nil"/>
            </w:tcBorders>
            <w:shd w:val="clear" w:color="auto" w:fill="FFFFFF"/>
            <w:tcMar>
              <w:top w:w="15" w:type="dxa"/>
              <w:left w:w="33" w:type="dxa"/>
              <w:bottom w:w="0" w:type="dxa"/>
              <w:right w:w="33" w:type="dxa"/>
            </w:tcMar>
            <w:vAlign w:val="center"/>
          </w:tcPr>
          <w:p w14:paraId="5BDE0240"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Calibri"/>
                <w:color w:val="000000" w:themeColor="text1"/>
                <w:sz w:val="20"/>
                <w:szCs w:val="20"/>
              </w:rPr>
              <w:t>Medication use, n (%)</w:t>
            </w:r>
          </w:p>
        </w:tc>
        <w:tc>
          <w:tcPr>
            <w:tcW w:w="392" w:type="pct"/>
            <w:tcBorders>
              <w:top w:val="nil"/>
              <w:left w:val="nil"/>
              <w:bottom w:val="nil"/>
              <w:right w:val="nil"/>
            </w:tcBorders>
            <w:shd w:val="clear" w:color="auto" w:fill="FFFFFF"/>
          </w:tcPr>
          <w:p w14:paraId="6F094815"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0.262</w:t>
            </w:r>
          </w:p>
        </w:tc>
      </w:tr>
      <w:tr w:rsidR="00ED0B9C" w:rsidRPr="00ED0B9C" w14:paraId="146AF5C3"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167270B2" w14:textId="77777777" w:rsidR="00372E00" w:rsidRPr="00ED0B9C" w:rsidRDefault="00A77E06">
            <w:pPr>
              <w:jc w:val="left"/>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Hypertension</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3F5A2964"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19 (4.0)</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00F2BB2C"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27 (5.7)</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7B03324A"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19 (4.0)</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44AD40A3"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35 (7.5)</w:t>
            </w:r>
          </w:p>
        </w:tc>
        <w:tc>
          <w:tcPr>
            <w:tcW w:w="392" w:type="pct"/>
            <w:tcBorders>
              <w:top w:val="nil"/>
              <w:left w:val="nil"/>
              <w:bottom w:val="nil"/>
              <w:right w:val="nil"/>
            </w:tcBorders>
            <w:shd w:val="clear" w:color="auto" w:fill="FFFFFF"/>
          </w:tcPr>
          <w:p w14:paraId="4595870E" w14:textId="77777777" w:rsidR="00372E00" w:rsidRPr="00ED0B9C" w:rsidRDefault="00372E00">
            <w:pPr>
              <w:jc w:val="center"/>
              <w:rPr>
                <w:rFonts w:ascii="Times New Roman" w:eastAsia="宋体" w:hAnsi="Times New Roman" w:cs="Times New Roman"/>
                <w:color w:val="000000" w:themeColor="text1"/>
                <w:sz w:val="20"/>
                <w:szCs w:val="20"/>
              </w:rPr>
            </w:pPr>
          </w:p>
        </w:tc>
      </w:tr>
      <w:tr w:rsidR="00ED0B9C" w:rsidRPr="00ED0B9C" w14:paraId="0438942D" w14:textId="77777777">
        <w:trPr>
          <w:trHeight w:val="216"/>
          <w:jc w:val="center"/>
        </w:trPr>
        <w:tc>
          <w:tcPr>
            <w:tcW w:w="1872" w:type="pct"/>
            <w:tcBorders>
              <w:top w:val="nil"/>
              <w:left w:val="nil"/>
              <w:bottom w:val="nil"/>
              <w:right w:val="nil"/>
            </w:tcBorders>
            <w:shd w:val="clear" w:color="auto" w:fill="FFFFFF"/>
            <w:tcMar>
              <w:top w:w="15" w:type="dxa"/>
              <w:left w:w="33" w:type="dxa"/>
              <w:bottom w:w="0" w:type="dxa"/>
              <w:right w:w="33" w:type="dxa"/>
            </w:tcMar>
            <w:vAlign w:val="center"/>
          </w:tcPr>
          <w:p w14:paraId="6662ECDD" w14:textId="77777777" w:rsidR="00372E00" w:rsidRPr="00ED0B9C" w:rsidRDefault="00A77E06">
            <w:pPr>
              <w:jc w:val="left"/>
              <w:rPr>
                <w:rFonts w:ascii="Times New Roman" w:eastAsia="宋体" w:hAnsi="Times New Roman" w:cs="Calibri"/>
                <w:color w:val="000000" w:themeColor="text1"/>
                <w:sz w:val="20"/>
                <w:szCs w:val="20"/>
              </w:rPr>
            </w:pPr>
            <w:r w:rsidRPr="00ED0B9C">
              <w:rPr>
                <w:rFonts w:ascii="Times New Roman" w:eastAsia="宋体" w:hAnsi="Times New Roman" w:cs="Times New Roman"/>
                <w:color w:val="000000" w:themeColor="text1"/>
                <w:sz w:val="20"/>
                <w:szCs w:val="20"/>
              </w:rPr>
              <w:t>Hyperlipidaemia</w:t>
            </w:r>
          </w:p>
        </w:tc>
        <w:tc>
          <w:tcPr>
            <w:tcW w:w="688" w:type="pct"/>
            <w:tcBorders>
              <w:top w:val="nil"/>
              <w:left w:val="nil"/>
              <w:bottom w:val="nil"/>
              <w:right w:val="nil"/>
            </w:tcBorders>
            <w:shd w:val="clear" w:color="auto" w:fill="FFFFFF"/>
            <w:tcMar>
              <w:top w:w="15" w:type="dxa"/>
              <w:left w:w="33" w:type="dxa"/>
              <w:bottom w:w="0" w:type="dxa"/>
              <w:right w:w="33" w:type="dxa"/>
            </w:tcMar>
            <w:vAlign w:val="center"/>
          </w:tcPr>
          <w:p w14:paraId="7C25CEDF"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39 (8.3)</w:t>
            </w:r>
          </w:p>
        </w:tc>
        <w:tc>
          <w:tcPr>
            <w:tcW w:w="659" w:type="pct"/>
            <w:gridSpan w:val="2"/>
            <w:tcBorders>
              <w:top w:val="nil"/>
              <w:left w:val="nil"/>
              <w:bottom w:val="nil"/>
              <w:right w:val="nil"/>
            </w:tcBorders>
            <w:shd w:val="clear" w:color="auto" w:fill="FFFFFF"/>
            <w:tcMar>
              <w:top w:w="15" w:type="dxa"/>
              <w:left w:w="33" w:type="dxa"/>
              <w:bottom w:w="0" w:type="dxa"/>
              <w:right w:w="33" w:type="dxa"/>
            </w:tcMar>
            <w:vAlign w:val="center"/>
          </w:tcPr>
          <w:p w14:paraId="517E3320"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23 (4.9)</w:t>
            </w:r>
          </w:p>
        </w:tc>
        <w:tc>
          <w:tcPr>
            <w:tcW w:w="678" w:type="pct"/>
            <w:tcBorders>
              <w:top w:val="nil"/>
              <w:left w:val="nil"/>
              <w:bottom w:val="nil"/>
              <w:right w:val="nil"/>
            </w:tcBorders>
            <w:shd w:val="clear" w:color="auto" w:fill="FFFFFF"/>
            <w:tcMar>
              <w:top w:w="15" w:type="dxa"/>
              <w:left w:w="33" w:type="dxa"/>
              <w:bottom w:w="0" w:type="dxa"/>
              <w:right w:w="33" w:type="dxa"/>
            </w:tcMar>
            <w:vAlign w:val="center"/>
          </w:tcPr>
          <w:p w14:paraId="717C450A"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27 (5.7)</w:t>
            </w:r>
          </w:p>
        </w:tc>
        <w:tc>
          <w:tcPr>
            <w:tcW w:w="711" w:type="pct"/>
            <w:tcBorders>
              <w:top w:val="nil"/>
              <w:left w:val="nil"/>
              <w:bottom w:val="nil"/>
              <w:right w:val="nil"/>
            </w:tcBorders>
            <w:shd w:val="clear" w:color="auto" w:fill="FFFFFF"/>
            <w:tcMar>
              <w:top w:w="15" w:type="dxa"/>
              <w:left w:w="33" w:type="dxa"/>
              <w:bottom w:w="0" w:type="dxa"/>
              <w:right w:w="33" w:type="dxa"/>
            </w:tcMar>
            <w:vAlign w:val="center"/>
          </w:tcPr>
          <w:p w14:paraId="4771787C"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22 (4.7)</w:t>
            </w:r>
          </w:p>
        </w:tc>
        <w:tc>
          <w:tcPr>
            <w:tcW w:w="392" w:type="pct"/>
            <w:tcBorders>
              <w:top w:val="nil"/>
              <w:left w:val="nil"/>
              <w:bottom w:val="nil"/>
              <w:right w:val="nil"/>
            </w:tcBorders>
            <w:shd w:val="clear" w:color="auto" w:fill="FFFFFF"/>
          </w:tcPr>
          <w:p w14:paraId="6727FD98" w14:textId="77777777" w:rsidR="00372E00" w:rsidRPr="00ED0B9C" w:rsidRDefault="00372E00">
            <w:pPr>
              <w:jc w:val="center"/>
              <w:rPr>
                <w:rFonts w:ascii="Times New Roman" w:eastAsia="宋体" w:hAnsi="Times New Roman" w:cs="Times New Roman"/>
                <w:color w:val="000000" w:themeColor="text1"/>
                <w:sz w:val="20"/>
                <w:szCs w:val="20"/>
              </w:rPr>
            </w:pPr>
          </w:p>
        </w:tc>
      </w:tr>
      <w:tr w:rsidR="00ED0B9C" w:rsidRPr="00ED0B9C" w14:paraId="28F26943" w14:textId="77777777">
        <w:trPr>
          <w:trHeight w:val="216"/>
          <w:jc w:val="center"/>
        </w:trPr>
        <w:tc>
          <w:tcPr>
            <w:tcW w:w="1872" w:type="pct"/>
            <w:tcBorders>
              <w:top w:val="nil"/>
              <w:left w:val="nil"/>
              <w:bottom w:val="single" w:sz="12" w:space="0" w:color="000000"/>
              <w:right w:val="nil"/>
            </w:tcBorders>
            <w:shd w:val="clear" w:color="auto" w:fill="FFFFFF"/>
            <w:tcMar>
              <w:top w:w="15" w:type="dxa"/>
              <w:left w:w="33" w:type="dxa"/>
              <w:bottom w:w="0" w:type="dxa"/>
              <w:right w:w="33" w:type="dxa"/>
            </w:tcMar>
            <w:vAlign w:val="center"/>
          </w:tcPr>
          <w:p w14:paraId="099941AA" w14:textId="77777777" w:rsidR="00372E00" w:rsidRPr="00ED0B9C" w:rsidRDefault="00A77E06">
            <w:pPr>
              <w:jc w:val="left"/>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T2D</w:t>
            </w:r>
          </w:p>
        </w:tc>
        <w:tc>
          <w:tcPr>
            <w:tcW w:w="688" w:type="pct"/>
            <w:tcBorders>
              <w:top w:val="nil"/>
              <w:left w:val="nil"/>
              <w:bottom w:val="single" w:sz="12" w:space="0" w:color="auto"/>
              <w:right w:val="nil"/>
            </w:tcBorders>
            <w:shd w:val="clear" w:color="auto" w:fill="FFFFFF"/>
            <w:tcMar>
              <w:top w:w="15" w:type="dxa"/>
              <w:left w:w="33" w:type="dxa"/>
              <w:bottom w:w="0" w:type="dxa"/>
              <w:right w:w="33" w:type="dxa"/>
            </w:tcMar>
            <w:vAlign w:val="center"/>
          </w:tcPr>
          <w:p w14:paraId="5778DCE4"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21 (4.5)</w:t>
            </w:r>
          </w:p>
        </w:tc>
        <w:tc>
          <w:tcPr>
            <w:tcW w:w="659" w:type="pct"/>
            <w:gridSpan w:val="2"/>
            <w:tcBorders>
              <w:top w:val="nil"/>
              <w:left w:val="nil"/>
              <w:bottom w:val="single" w:sz="12" w:space="0" w:color="auto"/>
              <w:right w:val="nil"/>
            </w:tcBorders>
            <w:shd w:val="clear" w:color="auto" w:fill="FFFFFF"/>
            <w:tcMar>
              <w:top w:w="15" w:type="dxa"/>
              <w:left w:w="33" w:type="dxa"/>
              <w:bottom w:w="0" w:type="dxa"/>
              <w:right w:w="33" w:type="dxa"/>
            </w:tcMar>
            <w:vAlign w:val="center"/>
          </w:tcPr>
          <w:p w14:paraId="52BEF144"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15 (3.2)</w:t>
            </w:r>
          </w:p>
        </w:tc>
        <w:tc>
          <w:tcPr>
            <w:tcW w:w="678" w:type="pct"/>
            <w:tcBorders>
              <w:top w:val="nil"/>
              <w:left w:val="nil"/>
              <w:bottom w:val="single" w:sz="12" w:space="0" w:color="auto"/>
              <w:right w:val="nil"/>
            </w:tcBorders>
            <w:shd w:val="clear" w:color="auto" w:fill="FFFFFF"/>
            <w:tcMar>
              <w:top w:w="15" w:type="dxa"/>
              <w:left w:w="33" w:type="dxa"/>
              <w:bottom w:w="0" w:type="dxa"/>
              <w:right w:w="33" w:type="dxa"/>
            </w:tcMar>
            <w:vAlign w:val="center"/>
          </w:tcPr>
          <w:p w14:paraId="023AA0C3"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11 (2.3)</w:t>
            </w:r>
          </w:p>
        </w:tc>
        <w:tc>
          <w:tcPr>
            <w:tcW w:w="711" w:type="pct"/>
            <w:tcBorders>
              <w:top w:val="nil"/>
              <w:left w:val="nil"/>
              <w:bottom w:val="single" w:sz="12" w:space="0" w:color="auto"/>
              <w:right w:val="nil"/>
            </w:tcBorders>
            <w:shd w:val="clear" w:color="auto" w:fill="FFFFFF"/>
            <w:tcMar>
              <w:top w:w="15" w:type="dxa"/>
              <w:left w:w="33" w:type="dxa"/>
              <w:bottom w:w="0" w:type="dxa"/>
              <w:right w:w="33" w:type="dxa"/>
            </w:tcMar>
            <w:vAlign w:val="center"/>
          </w:tcPr>
          <w:p w14:paraId="1E361143"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11 (2.3)</w:t>
            </w:r>
          </w:p>
        </w:tc>
        <w:tc>
          <w:tcPr>
            <w:tcW w:w="392" w:type="pct"/>
            <w:tcBorders>
              <w:top w:val="nil"/>
              <w:left w:val="nil"/>
              <w:bottom w:val="single" w:sz="12" w:space="0" w:color="auto"/>
              <w:right w:val="nil"/>
            </w:tcBorders>
            <w:shd w:val="clear" w:color="auto" w:fill="FFFFFF"/>
          </w:tcPr>
          <w:p w14:paraId="1B410891" w14:textId="77777777" w:rsidR="00372E00" w:rsidRPr="00ED0B9C" w:rsidRDefault="00372E00">
            <w:pPr>
              <w:jc w:val="center"/>
              <w:rPr>
                <w:rFonts w:ascii="Times New Roman" w:eastAsia="宋体" w:hAnsi="Times New Roman" w:cs="Times New Roman"/>
                <w:color w:val="000000" w:themeColor="text1"/>
                <w:sz w:val="20"/>
                <w:szCs w:val="20"/>
              </w:rPr>
            </w:pPr>
          </w:p>
        </w:tc>
      </w:tr>
    </w:tbl>
    <w:p w14:paraId="76BCE6DC" w14:textId="77777777" w:rsidR="00372E00" w:rsidRPr="00ED0B9C" w:rsidRDefault="00A77E06">
      <w:pPr>
        <w:widowControl/>
        <w:rPr>
          <w:rFonts w:ascii="Times New Roman" w:eastAsia="宋体" w:hAnsi="Times New Roman" w:cs="宋体"/>
          <w:color w:val="000000" w:themeColor="text1"/>
          <w:kern w:val="0"/>
          <w:sz w:val="20"/>
          <w:szCs w:val="20"/>
        </w:rPr>
      </w:pPr>
      <w:r w:rsidRPr="00ED0B9C">
        <w:rPr>
          <w:rFonts w:ascii="Times New Roman" w:eastAsia="宋体" w:hAnsi="Times New Roman" w:cs="Times New Roman"/>
          <w:b/>
          <w:bCs/>
          <w:color w:val="000000" w:themeColor="text1"/>
          <w:sz w:val="20"/>
          <w:szCs w:val="20"/>
        </w:rPr>
        <w:t>*</w:t>
      </w:r>
      <w:r w:rsidRPr="00ED0B9C">
        <w:rPr>
          <w:rFonts w:ascii="Times New Roman" w:eastAsia="微软雅黑" w:hAnsi="Times New Roman" w:cs="宋体"/>
          <w:color w:val="000000" w:themeColor="text1"/>
          <w:kern w:val="24"/>
          <w:sz w:val="20"/>
          <w:szCs w:val="20"/>
        </w:rPr>
        <w:t>Data are expressed as mean (SD) for continuous variables and n (%) for categorical variables;</w:t>
      </w:r>
      <w:r w:rsidRPr="00ED0B9C">
        <w:rPr>
          <w:rFonts w:ascii="等线" w:eastAsia="宋体" w:hAnsi="等线" w:cs="宋体"/>
          <w:color w:val="000000" w:themeColor="text1"/>
          <w:szCs w:val="21"/>
        </w:rPr>
        <w:t xml:space="preserve"> </w:t>
      </w:r>
      <w:r w:rsidRPr="00ED0B9C">
        <w:rPr>
          <w:rFonts w:ascii="Times New Roman" w:eastAsia="微软雅黑" w:hAnsi="Times New Roman" w:cs="宋体"/>
          <w:color w:val="000000" w:themeColor="text1"/>
          <w:kern w:val="24"/>
          <w:sz w:val="20"/>
          <w:szCs w:val="20"/>
        </w:rPr>
        <w:t>Q1: quartile 1, Q2: quartile 2, Q3: quartile 3 and Q4: quartile 4; Q1 indicates the quartile with the lowest intake;</w:t>
      </w:r>
      <w:r w:rsidRPr="00ED0B9C">
        <w:rPr>
          <w:rFonts w:ascii="Times New Roman" w:eastAsia="宋体" w:hAnsi="Times New Roman" w:cs="宋体"/>
          <w:i/>
          <w:iCs/>
          <w:color w:val="000000" w:themeColor="text1"/>
          <w:kern w:val="0"/>
          <w:sz w:val="20"/>
          <w:szCs w:val="20"/>
        </w:rPr>
        <w:t xml:space="preserve"> p</w:t>
      </w:r>
      <w:r w:rsidRPr="00ED0B9C">
        <w:rPr>
          <w:rFonts w:ascii="Times New Roman" w:eastAsia="宋体" w:hAnsi="Times New Roman" w:cs="宋体"/>
          <w:color w:val="000000" w:themeColor="text1"/>
          <w:kern w:val="0"/>
          <w:sz w:val="20"/>
          <w:szCs w:val="20"/>
        </w:rPr>
        <w:t>-trend represents the comparison among quartiles using linear regression;</w:t>
      </w:r>
      <w:r w:rsidRPr="00ED0B9C">
        <w:rPr>
          <w:rFonts w:ascii="Times New Roman" w:hAnsi="Times New Roman" w:cs="Times New Roman"/>
          <w:color w:val="000000" w:themeColor="text1"/>
          <w:sz w:val="20"/>
          <w:szCs w:val="20"/>
        </w:rPr>
        <w:t xml:space="preserve"> HbAlc: glycated hemoglobin, HOMA-IR: homeostasis model assessment of insulin resistance, HOMA-β: homeostasis model assessment of β-cell function, T2D: type 2 diabetes</w:t>
      </w:r>
      <w:r w:rsidRPr="00ED0B9C">
        <w:rPr>
          <w:rFonts w:ascii="Times New Roman" w:eastAsia="宋体" w:hAnsi="Times New Roman" w:cs="宋体"/>
          <w:color w:val="000000" w:themeColor="text1"/>
          <w:kern w:val="0"/>
          <w:sz w:val="20"/>
          <w:szCs w:val="20"/>
        </w:rPr>
        <w:t>.</w:t>
      </w:r>
      <w:r w:rsidRPr="00ED0B9C">
        <w:rPr>
          <w:rFonts w:ascii="Times New Roman" w:eastAsia="宋体" w:hAnsi="Times New Roman" w:cs="宋体"/>
          <w:color w:val="000000" w:themeColor="text1"/>
          <w:kern w:val="0"/>
          <w:sz w:val="20"/>
          <w:szCs w:val="20"/>
        </w:rPr>
        <w:br w:type="page"/>
      </w:r>
    </w:p>
    <w:p w14:paraId="47F1769D" w14:textId="77777777" w:rsidR="00372E00" w:rsidRPr="00ED0B9C" w:rsidRDefault="00A77E06">
      <w:pPr>
        <w:widowControl/>
        <w:spacing w:line="360" w:lineRule="auto"/>
        <w:jc w:val="left"/>
        <w:rPr>
          <w:rFonts w:ascii="宋体" w:eastAsia="宋体" w:hAnsi="宋体" w:cs="Times New Roman"/>
          <w:color w:val="000000" w:themeColor="text1"/>
          <w:kern w:val="0"/>
          <w:sz w:val="20"/>
          <w:szCs w:val="20"/>
        </w:rPr>
      </w:pPr>
      <w:bookmarkStart w:id="23" w:name="_Hlk48904828"/>
      <w:r w:rsidRPr="00ED0B9C">
        <w:rPr>
          <w:rFonts w:ascii="Times New Roman" w:eastAsia="宋体" w:hAnsi="Times New Roman" w:cs="Times New Roman"/>
          <w:b/>
          <w:bCs/>
          <w:color w:val="000000" w:themeColor="text1"/>
          <w:kern w:val="24"/>
          <w:sz w:val="24"/>
          <w:szCs w:val="24"/>
        </w:rPr>
        <w:lastRenderedPageBreak/>
        <w:t xml:space="preserve">Table </w:t>
      </w:r>
      <w:r w:rsidR="00B160AE" w:rsidRPr="00ED0B9C">
        <w:rPr>
          <w:rFonts w:ascii="Times New Roman" w:eastAsia="宋体" w:hAnsi="Times New Roman" w:cs="Times New Roman"/>
          <w:b/>
          <w:bCs/>
          <w:color w:val="000000" w:themeColor="text1"/>
          <w:kern w:val="24"/>
          <w:sz w:val="24"/>
          <w:szCs w:val="24"/>
        </w:rPr>
        <w:t>S</w:t>
      </w:r>
      <w:r w:rsidRPr="00ED0B9C">
        <w:rPr>
          <w:rFonts w:ascii="Times New Roman" w:eastAsia="宋体" w:hAnsi="Times New Roman" w:cs="Times New Roman"/>
          <w:b/>
          <w:bCs/>
          <w:color w:val="000000" w:themeColor="text1"/>
          <w:kern w:val="24"/>
          <w:sz w:val="24"/>
          <w:szCs w:val="24"/>
        </w:rPr>
        <w:t>4 Characteristics of study participants by</w:t>
      </w:r>
      <w:r w:rsidRPr="00ED0B9C">
        <w:rPr>
          <w:rFonts w:ascii="Times New Roman" w:eastAsia="宋体" w:hAnsi="Times New Roman" w:cs="Times New Roman"/>
          <w:b/>
          <w:bCs/>
          <w:color w:val="000000" w:themeColor="text1"/>
          <w:sz w:val="16"/>
          <w:szCs w:val="16"/>
        </w:rPr>
        <w:t xml:space="preserve"> </w:t>
      </w:r>
      <w:r w:rsidRPr="00ED0B9C">
        <w:rPr>
          <w:rFonts w:ascii="Times New Roman" w:eastAsia="宋体" w:hAnsi="Times New Roman" w:cs="Times New Roman"/>
          <w:b/>
          <w:bCs/>
          <w:color w:val="000000" w:themeColor="text1"/>
          <w:sz w:val="24"/>
          <w:szCs w:val="24"/>
        </w:rPr>
        <w:t>sex from the GNHS</w:t>
      </w:r>
      <w:bookmarkEnd w:id="23"/>
      <w:r w:rsidRPr="00ED0B9C">
        <w:rPr>
          <w:rFonts w:ascii="Times New Roman" w:eastAsia="宋体" w:hAnsi="Times New Roman" w:cs="Times New Roman"/>
          <w:b/>
          <w:bCs/>
          <w:color w:val="000000" w:themeColor="text1"/>
          <w:kern w:val="24"/>
          <w:sz w:val="24"/>
          <w:szCs w:val="24"/>
        </w:rPr>
        <w:t>*</w:t>
      </w:r>
    </w:p>
    <w:tbl>
      <w:tblPr>
        <w:tblW w:w="5000" w:type="pct"/>
        <w:jc w:val="center"/>
        <w:tblCellMar>
          <w:left w:w="0" w:type="dxa"/>
          <w:right w:w="0" w:type="dxa"/>
        </w:tblCellMar>
        <w:tblLook w:val="04A0" w:firstRow="1" w:lastRow="0" w:firstColumn="1" w:lastColumn="0" w:noHBand="0" w:noVBand="1"/>
      </w:tblPr>
      <w:tblGrid>
        <w:gridCol w:w="4473"/>
        <w:gridCol w:w="1457"/>
        <w:gridCol w:w="1457"/>
        <w:gridCol w:w="919"/>
      </w:tblGrid>
      <w:tr w:rsidR="00ED0B9C" w:rsidRPr="00ED0B9C" w14:paraId="15848700" w14:textId="77777777">
        <w:trPr>
          <w:trHeight w:val="288"/>
          <w:jc w:val="center"/>
        </w:trPr>
        <w:tc>
          <w:tcPr>
            <w:tcW w:w="2693" w:type="pct"/>
            <w:tcBorders>
              <w:top w:val="single" w:sz="12" w:space="0" w:color="000000"/>
              <w:left w:val="nil"/>
              <w:bottom w:val="nil"/>
              <w:right w:val="nil"/>
            </w:tcBorders>
            <w:shd w:val="clear" w:color="auto" w:fill="FFFFFF"/>
            <w:tcMar>
              <w:top w:w="15" w:type="dxa"/>
              <w:left w:w="33" w:type="dxa"/>
              <w:bottom w:w="0" w:type="dxa"/>
              <w:right w:w="33" w:type="dxa"/>
            </w:tcMar>
            <w:vAlign w:val="center"/>
          </w:tcPr>
          <w:p w14:paraId="15604612"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Characteristics</w:t>
            </w:r>
          </w:p>
        </w:tc>
        <w:tc>
          <w:tcPr>
            <w:tcW w:w="877" w:type="pct"/>
            <w:tcBorders>
              <w:top w:val="single" w:sz="12" w:space="0" w:color="000000"/>
              <w:left w:val="nil"/>
              <w:bottom w:val="nil"/>
              <w:right w:val="nil"/>
            </w:tcBorders>
            <w:shd w:val="clear" w:color="auto" w:fill="FFFFFF"/>
            <w:tcMar>
              <w:top w:w="15" w:type="dxa"/>
              <w:left w:w="33" w:type="dxa"/>
              <w:bottom w:w="0" w:type="dxa"/>
              <w:right w:w="33" w:type="dxa"/>
            </w:tcMar>
            <w:vAlign w:val="center"/>
          </w:tcPr>
          <w:p w14:paraId="296CDCA2"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Men</w:t>
            </w:r>
          </w:p>
        </w:tc>
        <w:tc>
          <w:tcPr>
            <w:tcW w:w="877" w:type="pct"/>
            <w:tcBorders>
              <w:top w:val="single" w:sz="12" w:space="0" w:color="000000"/>
              <w:left w:val="nil"/>
              <w:bottom w:val="nil"/>
              <w:right w:val="nil"/>
            </w:tcBorders>
            <w:shd w:val="clear" w:color="auto" w:fill="FFFFFF"/>
            <w:tcMar>
              <w:top w:w="15" w:type="dxa"/>
              <w:left w:w="33" w:type="dxa"/>
              <w:bottom w:w="0" w:type="dxa"/>
              <w:right w:w="33" w:type="dxa"/>
            </w:tcMar>
            <w:vAlign w:val="center"/>
          </w:tcPr>
          <w:p w14:paraId="50590040"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Women</w:t>
            </w:r>
          </w:p>
        </w:tc>
        <w:tc>
          <w:tcPr>
            <w:tcW w:w="553" w:type="pct"/>
            <w:tcBorders>
              <w:top w:val="single" w:sz="12" w:space="0" w:color="000000"/>
              <w:left w:val="nil"/>
              <w:bottom w:val="nil"/>
              <w:right w:val="nil"/>
            </w:tcBorders>
            <w:shd w:val="clear" w:color="auto" w:fill="FFFFFF"/>
          </w:tcPr>
          <w:p w14:paraId="016B8972"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i/>
                <w:iCs/>
                <w:color w:val="000000" w:themeColor="text1"/>
                <w:sz w:val="20"/>
                <w:szCs w:val="20"/>
              </w:rPr>
              <w:t>p</w:t>
            </w:r>
            <w:r w:rsidRPr="00ED0B9C">
              <w:rPr>
                <w:rFonts w:ascii="Times New Roman" w:eastAsia="宋体" w:hAnsi="Times New Roman" w:cs="Times New Roman"/>
                <w:color w:val="000000" w:themeColor="text1"/>
                <w:sz w:val="20"/>
                <w:szCs w:val="20"/>
              </w:rPr>
              <w:t>-value</w:t>
            </w:r>
          </w:p>
        </w:tc>
      </w:tr>
      <w:tr w:rsidR="00ED0B9C" w:rsidRPr="00ED0B9C" w14:paraId="2BBF5CE2" w14:textId="77777777">
        <w:trPr>
          <w:trHeight w:val="288"/>
          <w:jc w:val="center"/>
        </w:trPr>
        <w:tc>
          <w:tcPr>
            <w:tcW w:w="2693" w:type="pct"/>
            <w:tcBorders>
              <w:top w:val="single" w:sz="12" w:space="0" w:color="000000"/>
              <w:left w:val="nil"/>
              <w:bottom w:val="nil"/>
              <w:right w:val="nil"/>
            </w:tcBorders>
            <w:shd w:val="clear" w:color="auto" w:fill="FFFFFF"/>
            <w:tcMar>
              <w:top w:w="15" w:type="dxa"/>
              <w:left w:w="33" w:type="dxa"/>
              <w:bottom w:w="0" w:type="dxa"/>
              <w:right w:w="33" w:type="dxa"/>
            </w:tcMar>
            <w:vAlign w:val="center"/>
          </w:tcPr>
          <w:p w14:paraId="183BC167"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n</w:t>
            </w:r>
          </w:p>
        </w:tc>
        <w:tc>
          <w:tcPr>
            <w:tcW w:w="877" w:type="pct"/>
            <w:tcBorders>
              <w:top w:val="single" w:sz="12" w:space="0" w:color="000000"/>
              <w:left w:val="nil"/>
              <w:bottom w:val="nil"/>
              <w:right w:val="nil"/>
            </w:tcBorders>
            <w:shd w:val="clear" w:color="auto" w:fill="FFFFFF"/>
            <w:tcMar>
              <w:top w:w="15" w:type="dxa"/>
              <w:left w:w="33" w:type="dxa"/>
              <w:bottom w:w="0" w:type="dxa"/>
              <w:right w:w="33" w:type="dxa"/>
            </w:tcMar>
            <w:vAlign w:val="center"/>
          </w:tcPr>
          <w:p w14:paraId="47774673"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615</w:t>
            </w:r>
          </w:p>
        </w:tc>
        <w:tc>
          <w:tcPr>
            <w:tcW w:w="877" w:type="pct"/>
            <w:tcBorders>
              <w:top w:val="single" w:sz="12" w:space="0" w:color="000000"/>
              <w:left w:val="nil"/>
              <w:bottom w:val="nil"/>
              <w:right w:val="nil"/>
            </w:tcBorders>
            <w:shd w:val="clear" w:color="auto" w:fill="FFFFFF"/>
            <w:tcMar>
              <w:top w:w="15" w:type="dxa"/>
              <w:left w:w="33" w:type="dxa"/>
              <w:bottom w:w="0" w:type="dxa"/>
              <w:right w:w="33" w:type="dxa"/>
            </w:tcMar>
            <w:vAlign w:val="center"/>
          </w:tcPr>
          <w:p w14:paraId="45D68A8C"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1264</w:t>
            </w:r>
          </w:p>
        </w:tc>
        <w:tc>
          <w:tcPr>
            <w:tcW w:w="553" w:type="pct"/>
            <w:tcBorders>
              <w:top w:val="single" w:sz="12" w:space="0" w:color="000000"/>
              <w:left w:val="nil"/>
              <w:bottom w:val="nil"/>
              <w:right w:val="nil"/>
            </w:tcBorders>
            <w:shd w:val="clear" w:color="auto" w:fill="FFFFFF"/>
          </w:tcPr>
          <w:p w14:paraId="528DFA12" w14:textId="77777777" w:rsidR="00372E00" w:rsidRPr="00ED0B9C" w:rsidRDefault="00372E00">
            <w:pPr>
              <w:jc w:val="center"/>
              <w:rPr>
                <w:rFonts w:ascii="Times New Roman" w:eastAsia="宋体" w:hAnsi="Times New Roman" w:cs="Times New Roman"/>
                <w:color w:val="000000" w:themeColor="text1"/>
                <w:sz w:val="20"/>
                <w:szCs w:val="20"/>
              </w:rPr>
            </w:pPr>
          </w:p>
        </w:tc>
      </w:tr>
      <w:tr w:rsidR="00ED0B9C" w:rsidRPr="00ED0B9C" w14:paraId="05C656AE"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675B037F"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Age, y</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29A1FE39"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60.4 (6.6)</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46A29770"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57.7 (5.6)</w:t>
            </w:r>
          </w:p>
        </w:tc>
        <w:tc>
          <w:tcPr>
            <w:tcW w:w="553" w:type="pct"/>
            <w:tcBorders>
              <w:top w:val="nil"/>
              <w:left w:val="nil"/>
              <w:bottom w:val="nil"/>
              <w:right w:val="nil"/>
            </w:tcBorders>
            <w:shd w:val="clear" w:color="auto" w:fill="FFFFFF"/>
          </w:tcPr>
          <w:p w14:paraId="66988F82"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&lt;0.001</w:t>
            </w:r>
          </w:p>
        </w:tc>
      </w:tr>
      <w:tr w:rsidR="00ED0B9C" w:rsidRPr="00ED0B9C" w14:paraId="454C1F80"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24F80CA2"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BMI, kg/m</w:t>
            </w:r>
            <w:r w:rsidRPr="00ED0B9C">
              <w:rPr>
                <w:rFonts w:ascii="Times New Roman" w:eastAsia="宋体" w:hAnsi="Times New Roman" w:cs="Times New Roman"/>
                <w:color w:val="000000" w:themeColor="text1"/>
                <w:sz w:val="20"/>
                <w:szCs w:val="20"/>
                <w:vertAlign w:val="superscript"/>
              </w:rPr>
              <w:t>2</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5B0957E6"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23.7 (2.7)</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107E037A"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23.0 (3.1)</w:t>
            </w:r>
          </w:p>
        </w:tc>
        <w:tc>
          <w:tcPr>
            <w:tcW w:w="553" w:type="pct"/>
            <w:tcBorders>
              <w:top w:val="nil"/>
              <w:left w:val="nil"/>
              <w:bottom w:val="nil"/>
              <w:right w:val="nil"/>
            </w:tcBorders>
            <w:shd w:val="clear" w:color="auto" w:fill="FFFFFF"/>
          </w:tcPr>
          <w:p w14:paraId="4D580888"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&lt;0.001</w:t>
            </w:r>
          </w:p>
        </w:tc>
      </w:tr>
      <w:tr w:rsidR="00ED0B9C" w:rsidRPr="00ED0B9C" w14:paraId="3E9988C0"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14614007"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Total energy intake, kcal/d</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71E20DCE"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1898 (530)</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083879B2"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1667 (447)</w:t>
            </w:r>
          </w:p>
        </w:tc>
        <w:tc>
          <w:tcPr>
            <w:tcW w:w="553" w:type="pct"/>
            <w:tcBorders>
              <w:top w:val="nil"/>
              <w:left w:val="nil"/>
              <w:bottom w:val="nil"/>
              <w:right w:val="nil"/>
            </w:tcBorders>
            <w:shd w:val="clear" w:color="auto" w:fill="FFFFFF"/>
          </w:tcPr>
          <w:p w14:paraId="79A15DD4"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&lt;0.001</w:t>
            </w:r>
          </w:p>
        </w:tc>
      </w:tr>
      <w:tr w:rsidR="00ED0B9C" w:rsidRPr="00ED0B9C" w14:paraId="601E596A"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231FF59C"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Physical activity, MET hours/d</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1C1E1C91"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39.6 (13.8)</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4A3AB7AC"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41.1 (14.2)</w:t>
            </w:r>
          </w:p>
        </w:tc>
        <w:tc>
          <w:tcPr>
            <w:tcW w:w="553" w:type="pct"/>
            <w:tcBorders>
              <w:top w:val="nil"/>
              <w:left w:val="nil"/>
              <w:bottom w:val="nil"/>
              <w:right w:val="nil"/>
            </w:tcBorders>
            <w:shd w:val="clear" w:color="auto" w:fill="FFFFFF"/>
          </w:tcPr>
          <w:p w14:paraId="49A528E3"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0.033</w:t>
            </w:r>
          </w:p>
        </w:tc>
      </w:tr>
      <w:tr w:rsidR="00ED0B9C" w:rsidRPr="00ED0B9C" w14:paraId="5EF1164F"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07592641"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Vegetable intake, g/d</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021D50ED"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370 (192)</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39B64840"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390 (177)</w:t>
            </w:r>
          </w:p>
        </w:tc>
        <w:tc>
          <w:tcPr>
            <w:tcW w:w="553" w:type="pct"/>
            <w:tcBorders>
              <w:top w:val="nil"/>
              <w:left w:val="nil"/>
              <w:bottom w:val="nil"/>
              <w:right w:val="nil"/>
            </w:tcBorders>
            <w:shd w:val="clear" w:color="auto" w:fill="FFFFFF"/>
          </w:tcPr>
          <w:p w14:paraId="20FE82EA"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Calibri"/>
                <w:color w:val="000000" w:themeColor="text1"/>
                <w:sz w:val="20"/>
                <w:szCs w:val="20"/>
              </w:rPr>
              <w:t>0.025</w:t>
            </w:r>
          </w:p>
        </w:tc>
      </w:tr>
      <w:tr w:rsidR="00ED0B9C" w:rsidRPr="00ED0B9C" w14:paraId="20A9BA0D"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61F1C397"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Fruit intake, g/d</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12E97178"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123 (92)</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20B2B481"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157 (115)</w:t>
            </w:r>
          </w:p>
        </w:tc>
        <w:tc>
          <w:tcPr>
            <w:tcW w:w="553" w:type="pct"/>
            <w:tcBorders>
              <w:top w:val="nil"/>
              <w:left w:val="nil"/>
              <w:bottom w:val="nil"/>
              <w:right w:val="nil"/>
            </w:tcBorders>
            <w:shd w:val="clear" w:color="auto" w:fill="FFFFFF"/>
          </w:tcPr>
          <w:p w14:paraId="02C37D47"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&lt;0.001</w:t>
            </w:r>
          </w:p>
        </w:tc>
      </w:tr>
      <w:tr w:rsidR="00ED0B9C" w:rsidRPr="00ED0B9C" w14:paraId="72F81DE5"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2A53537A"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Total fruit and vegetable intake, g/d</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59B63620"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493 (238)</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3E475C6A"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547 (248)</w:t>
            </w:r>
          </w:p>
        </w:tc>
        <w:tc>
          <w:tcPr>
            <w:tcW w:w="553" w:type="pct"/>
            <w:tcBorders>
              <w:top w:val="nil"/>
              <w:left w:val="nil"/>
              <w:bottom w:val="nil"/>
              <w:right w:val="nil"/>
            </w:tcBorders>
            <w:shd w:val="clear" w:color="auto" w:fill="FFFFFF"/>
          </w:tcPr>
          <w:p w14:paraId="52B132D6" w14:textId="77777777" w:rsidR="00372E00" w:rsidRPr="00ED0B9C" w:rsidRDefault="00A77E06">
            <w:pPr>
              <w:jc w:val="center"/>
              <w:rPr>
                <w:rFonts w:ascii="Times New Roman" w:eastAsia="宋体" w:hAnsi="Times New Roman" w:cs="Times New Roman"/>
                <w:color w:val="000000" w:themeColor="text1"/>
                <w:sz w:val="20"/>
                <w:szCs w:val="20"/>
              </w:rPr>
            </w:pPr>
            <w:bookmarkStart w:id="24" w:name="_Hlk48906137"/>
            <w:r w:rsidRPr="00ED0B9C">
              <w:rPr>
                <w:rFonts w:ascii="Times New Roman" w:eastAsia="宋体" w:hAnsi="Times New Roman" w:cs="Times New Roman"/>
                <w:color w:val="000000" w:themeColor="text1"/>
                <w:sz w:val="20"/>
                <w:szCs w:val="20"/>
              </w:rPr>
              <w:t>&lt;0.001</w:t>
            </w:r>
            <w:bookmarkEnd w:id="24"/>
          </w:p>
        </w:tc>
      </w:tr>
      <w:tr w:rsidR="00ED0B9C" w:rsidRPr="00ED0B9C" w14:paraId="64CAAEC3"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339FD872"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Red and processed meat intake, g/d</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163F69CE"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112 (63)</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19CAB5E4"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101 (60)</w:t>
            </w:r>
          </w:p>
        </w:tc>
        <w:tc>
          <w:tcPr>
            <w:tcW w:w="553" w:type="pct"/>
            <w:tcBorders>
              <w:top w:val="nil"/>
              <w:left w:val="nil"/>
              <w:bottom w:val="nil"/>
              <w:right w:val="nil"/>
            </w:tcBorders>
            <w:shd w:val="clear" w:color="auto" w:fill="FFFFFF"/>
          </w:tcPr>
          <w:p w14:paraId="10B0AC32"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Calibri"/>
                <w:color w:val="000000" w:themeColor="text1"/>
                <w:sz w:val="20"/>
                <w:szCs w:val="20"/>
              </w:rPr>
              <w:t>&lt;0.001</w:t>
            </w:r>
          </w:p>
        </w:tc>
      </w:tr>
      <w:tr w:rsidR="00ED0B9C" w:rsidRPr="00ED0B9C" w14:paraId="6BF9116D"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4E9F5C4F"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Fish intake, g/d</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52A52B00"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50 (37)</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256F72D9"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50 (57)</w:t>
            </w:r>
          </w:p>
        </w:tc>
        <w:tc>
          <w:tcPr>
            <w:tcW w:w="553" w:type="pct"/>
            <w:tcBorders>
              <w:top w:val="nil"/>
              <w:left w:val="nil"/>
              <w:bottom w:val="nil"/>
              <w:right w:val="nil"/>
            </w:tcBorders>
            <w:shd w:val="clear" w:color="auto" w:fill="FFFFFF"/>
          </w:tcPr>
          <w:p w14:paraId="3F95AC20"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Calibri"/>
                <w:color w:val="000000" w:themeColor="text1"/>
                <w:sz w:val="20"/>
                <w:szCs w:val="20"/>
              </w:rPr>
              <w:t>0.980</w:t>
            </w:r>
          </w:p>
        </w:tc>
      </w:tr>
      <w:tr w:rsidR="00ED0B9C" w:rsidRPr="00ED0B9C" w14:paraId="37F96645"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4D1E7F94"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Dairy products intake, g/d</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261129B5"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90 (102)</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7B79CF87"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128 (117)</w:t>
            </w:r>
          </w:p>
        </w:tc>
        <w:tc>
          <w:tcPr>
            <w:tcW w:w="553" w:type="pct"/>
            <w:tcBorders>
              <w:top w:val="nil"/>
              <w:left w:val="nil"/>
              <w:bottom w:val="nil"/>
              <w:right w:val="nil"/>
            </w:tcBorders>
            <w:shd w:val="clear" w:color="auto" w:fill="FFFFFF"/>
          </w:tcPr>
          <w:p w14:paraId="0B1B78E3"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Calibri"/>
                <w:color w:val="000000" w:themeColor="text1"/>
                <w:sz w:val="20"/>
                <w:szCs w:val="20"/>
              </w:rPr>
              <w:t>&lt;0.001</w:t>
            </w:r>
          </w:p>
        </w:tc>
      </w:tr>
      <w:tr w:rsidR="00ED0B9C" w:rsidRPr="00ED0B9C" w14:paraId="01FE3F22"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75D53BAE"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Current alcohol drinker, n (%)</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105F8184"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103 (16.7)</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3AF86FCF"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34 (2.7)</w:t>
            </w:r>
          </w:p>
        </w:tc>
        <w:tc>
          <w:tcPr>
            <w:tcW w:w="553" w:type="pct"/>
            <w:tcBorders>
              <w:top w:val="nil"/>
              <w:left w:val="nil"/>
              <w:bottom w:val="nil"/>
              <w:right w:val="nil"/>
            </w:tcBorders>
            <w:shd w:val="clear" w:color="auto" w:fill="FFFFFF"/>
          </w:tcPr>
          <w:p w14:paraId="67E61D48"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Calibri"/>
                <w:color w:val="000000" w:themeColor="text1"/>
                <w:sz w:val="20"/>
                <w:szCs w:val="20"/>
              </w:rPr>
              <w:t>&lt;0.001</w:t>
            </w:r>
          </w:p>
        </w:tc>
      </w:tr>
      <w:tr w:rsidR="00ED0B9C" w:rsidRPr="00ED0B9C" w14:paraId="62251CDF"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11C8A504"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Current smoker, n (%)</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596F3DA1"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287 (46.7)</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1B9C3CA8"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 (0.4)</w:t>
            </w:r>
          </w:p>
        </w:tc>
        <w:tc>
          <w:tcPr>
            <w:tcW w:w="553" w:type="pct"/>
            <w:tcBorders>
              <w:top w:val="nil"/>
              <w:left w:val="nil"/>
              <w:bottom w:val="nil"/>
              <w:right w:val="nil"/>
            </w:tcBorders>
            <w:shd w:val="clear" w:color="auto" w:fill="FFFFFF"/>
          </w:tcPr>
          <w:p w14:paraId="53CFB379"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Calibri"/>
                <w:color w:val="000000" w:themeColor="text1"/>
                <w:sz w:val="20"/>
                <w:szCs w:val="20"/>
              </w:rPr>
              <w:t>&lt;0.001</w:t>
            </w:r>
          </w:p>
        </w:tc>
      </w:tr>
      <w:tr w:rsidR="00ED0B9C" w:rsidRPr="00ED0B9C" w14:paraId="04F6B027" w14:textId="77777777">
        <w:trPr>
          <w:trHeight w:val="216"/>
          <w:jc w:val="center"/>
        </w:trPr>
        <w:tc>
          <w:tcPr>
            <w:tcW w:w="4447" w:type="pct"/>
            <w:gridSpan w:val="3"/>
            <w:tcBorders>
              <w:top w:val="nil"/>
              <w:left w:val="nil"/>
              <w:bottom w:val="nil"/>
              <w:right w:val="nil"/>
            </w:tcBorders>
            <w:shd w:val="clear" w:color="auto" w:fill="FFFFFF"/>
            <w:tcMar>
              <w:top w:w="15" w:type="dxa"/>
              <w:left w:w="33" w:type="dxa"/>
              <w:bottom w:w="0" w:type="dxa"/>
              <w:right w:w="33" w:type="dxa"/>
            </w:tcMar>
            <w:vAlign w:val="center"/>
          </w:tcPr>
          <w:p w14:paraId="44D170C7"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Income level, n (%)</w:t>
            </w:r>
          </w:p>
        </w:tc>
        <w:tc>
          <w:tcPr>
            <w:tcW w:w="553" w:type="pct"/>
            <w:tcBorders>
              <w:top w:val="nil"/>
              <w:left w:val="nil"/>
              <w:bottom w:val="nil"/>
              <w:right w:val="nil"/>
            </w:tcBorders>
            <w:shd w:val="clear" w:color="auto" w:fill="FFFFFF"/>
            <w:vAlign w:val="center"/>
          </w:tcPr>
          <w:p w14:paraId="31E04CFF"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0.026</w:t>
            </w:r>
          </w:p>
        </w:tc>
      </w:tr>
      <w:tr w:rsidR="00ED0B9C" w:rsidRPr="00ED0B9C" w14:paraId="2CE2085E"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06D06FA9"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 xml:space="preserve">≤ </w:t>
            </w:r>
            <w:r w:rsidRPr="00ED0B9C">
              <w:rPr>
                <w:rFonts w:ascii="Times New Roman" w:eastAsia="宋体" w:hAnsi="Times New Roman" w:cs="Times New Roman"/>
                <w:color w:val="000000" w:themeColor="text1"/>
                <w:sz w:val="20"/>
                <w:szCs w:val="20"/>
              </w:rPr>
              <w:t>500 ¥/mo</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05584F4F"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11 (1.8)</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27E743EC"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17 (1.3)</w:t>
            </w:r>
          </w:p>
        </w:tc>
        <w:tc>
          <w:tcPr>
            <w:tcW w:w="553" w:type="pct"/>
            <w:tcBorders>
              <w:top w:val="nil"/>
              <w:left w:val="nil"/>
              <w:bottom w:val="nil"/>
              <w:right w:val="nil"/>
            </w:tcBorders>
            <w:shd w:val="clear" w:color="auto" w:fill="FFFFFF"/>
          </w:tcPr>
          <w:p w14:paraId="6E256D61" w14:textId="77777777" w:rsidR="00372E00" w:rsidRPr="00ED0B9C" w:rsidRDefault="00372E00">
            <w:pPr>
              <w:jc w:val="center"/>
              <w:rPr>
                <w:rFonts w:ascii="Times New Roman" w:eastAsia="宋体" w:hAnsi="Times New Roman" w:cs="Calibri"/>
                <w:color w:val="000000" w:themeColor="text1"/>
                <w:sz w:val="20"/>
                <w:szCs w:val="20"/>
              </w:rPr>
            </w:pPr>
          </w:p>
        </w:tc>
      </w:tr>
      <w:tr w:rsidR="00ED0B9C" w:rsidRPr="00ED0B9C" w14:paraId="0DF98B55"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7667C7CD" w14:textId="77777777" w:rsidR="00372E00" w:rsidRPr="00ED0B9C" w:rsidRDefault="00A77E06">
            <w:pPr>
              <w:jc w:val="left"/>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 xml:space="preserve">501-1500 </w:t>
            </w:r>
            <w:r w:rsidRPr="00ED0B9C">
              <w:rPr>
                <w:rFonts w:ascii="Times New Roman" w:eastAsia="宋体" w:hAnsi="Times New Roman" w:cs="Times New Roman"/>
                <w:color w:val="000000" w:themeColor="text1"/>
                <w:sz w:val="20"/>
                <w:szCs w:val="20"/>
              </w:rPr>
              <w:t>¥/mo</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0668F285"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110 (17.9)</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032C934A"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293 (23.2)</w:t>
            </w:r>
          </w:p>
        </w:tc>
        <w:tc>
          <w:tcPr>
            <w:tcW w:w="553" w:type="pct"/>
            <w:tcBorders>
              <w:top w:val="nil"/>
              <w:left w:val="nil"/>
              <w:bottom w:val="nil"/>
              <w:right w:val="nil"/>
            </w:tcBorders>
            <w:shd w:val="clear" w:color="auto" w:fill="FFFFFF"/>
          </w:tcPr>
          <w:p w14:paraId="601B2F7C" w14:textId="77777777" w:rsidR="00372E00" w:rsidRPr="00ED0B9C" w:rsidRDefault="00372E00">
            <w:pPr>
              <w:jc w:val="center"/>
              <w:rPr>
                <w:rFonts w:ascii="Times New Roman" w:eastAsia="宋体" w:hAnsi="Times New Roman" w:cs="Calibri"/>
                <w:color w:val="000000" w:themeColor="text1"/>
                <w:sz w:val="20"/>
                <w:szCs w:val="20"/>
              </w:rPr>
            </w:pPr>
          </w:p>
        </w:tc>
      </w:tr>
      <w:tr w:rsidR="00ED0B9C" w:rsidRPr="00ED0B9C" w14:paraId="093D1CA7"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3962F9D8" w14:textId="77777777" w:rsidR="00372E00" w:rsidRPr="00ED0B9C" w:rsidRDefault="00A77E06">
            <w:pPr>
              <w:jc w:val="left"/>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 xml:space="preserve">1501-3000 </w:t>
            </w:r>
            <w:r w:rsidRPr="00ED0B9C">
              <w:rPr>
                <w:rFonts w:ascii="Times New Roman" w:eastAsia="宋体" w:hAnsi="Times New Roman" w:cs="Times New Roman"/>
                <w:color w:val="000000" w:themeColor="text1"/>
                <w:sz w:val="20"/>
                <w:szCs w:val="20"/>
              </w:rPr>
              <w:t>¥/mo</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2517B5A0"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418 (68.0)</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199F9305"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779 (61.6)</w:t>
            </w:r>
          </w:p>
        </w:tc>
        <w:tc>
          <w:tcPr>
            <w:tcW w:w="553" w:type="pct"/>
            <w:tcBorders>
              <w:top w:val="nil"/>
              <w:left w:val="nil"/>
              <w:bottom w:val="nil"/>
              <w:right w:val="nil"/>
            </w:tcBorders>
            <w:shd w:val="clear" w:color="auto" w:fill="FFFFFF"/>
          </w:tcPr>
          <w:p w14:paraId="19D7DCC4" w14:textId="77777777" w:rsidR="00372E00" w:rsidRPr="00ED0B9C" w:rsidRDefault="00372E00">
            <w:pPr>
              <w:jc w:val="center"/>
              <w:rPr>
                <w:rFonts w:ascii="Times New Roman" w:eastAsia="宋体" w:hAnsi="Times New Roman" w:cs="Calibri"/>
                <w:color w:val="000000" w:themeColor="text1"/>
                <w:sz w:val="20"/>
                <w:szCs w:val="20"/>
              </w:rPr>
            </w:pPr>
          </w:p>
        </w:tc>
      </w:tr>
      <w:tr w:rsidR="00ED0B9C" w:rsidRPr="00ED0B9C" w14:paraId="1DE80EAB"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0880F728"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&gt; 3000 ¥/mo</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56966DC1"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76 (12.4)</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63FD761A"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175 (13.8)</w:t>
            </w:r>
          </w:p>
        </w:tc>
        <w:tc>
          <w:tcPr>
            <w:tcW w:w="553" w:type="pct"/>
            <w:tcBorders>
              <w:top w:val="nil"/>
              <w:left w:val="nil"/>
              <w:bottom w:val="nil"/>
              <w:right w:val="nil"/>
            </w:tcBorders>
            <w:shd w:val="clear" w:color="auto" w:fill="FFFFFF"/>
          </w:tcPr>
          <w:p w14:paraId="0DA8C05B" w14:textId="77777777" w:rsidR="00372E00" w:rsidRPr="00ED0B9C" w:rsidRDefault="00372E00">
            <w:pPr>
              <w:jc w:val="center"/>
              <w:rPr>
                <w:rFonts w:ascii="Times New Roman" w:eastAsia="宋体" w:hAnsi="Times New Roman" w:cs="Calibri"/>
                <w:color w:val="000000" w:themeColor="text1"/>
                <w:sz w:val="20"/>
                <w:szCs w:val="20"/>
              </w:rPr>
            </w:pPr>
          </w:p>
        </w:tc>
      </w:tr>
      <w:tr w:rsidR="00ED0B9C" w:rsidRPr="00ED0B9C" w14:paraId="61EECEFC" w14:textId="77777777">
        <w:trPr>
          <w:trHeight w:val="216"/>
          <w:jc w:val="center"/>
        </w:trPr>
        <w:tc>
          <w:tcPr>
            <w:tcW w:w="4447" w:type="pct"/>
            <w:gridSpan w:val="3"/>
            <w:tcBorders>
              <w:top w:val="nil"/>
              <w:left w:val="nil"/>
              <w:bottom w:val="nil"/>
              <w:right w:val="nil"/>
            </w:tcBorders>
            <w:shd w:val="clear" w:color="auto" w:fill="FFFFFF"/>
            <w:tcMar>
              <w:top w:w="15" w:type="dxa"/>
              <w:left w:w="33" w:type="dxa"/>
              <w:bottom w:w="0" w:type="dxa"/>
              <w:right w:w="33" w:type="dxa"/>
            </w:tcMar>
            <w:vAlign w:val="center"/>
          </w:tcPr>
          <w:p w14:paraId="6A878505"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Education, n (%)</w:t>
            </w:r>
          </w:p>
        </w:tc>
        <w:tc>
          <w:tcPr>
            <w:tcW w:w="553" w:type="pct"/>
            <w:tcBorders>
              <w:top w:val="nil"/>
              <w:left w:val="nil"/>
              <w:bottom w:val="nil"/>
              <w:right w:val="nil"/>
            </w:tcBorders>
            <w:shd w:val="clear" w:color="auto" w:fill="FFFFFF"/>
          </w:tcPr>
          <w:p w14:paraId="6C06F4EB" w14:textId="77777777" w:rsidR="00372E00" w:rsidRPr="00ED0B9C" w:rsidRDefault="00A77E06">
            <w:pPr>
              <w:jc w:val="center"/>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&lt;0.001</w:t>
            </w:r>
          </w:p>
        </w:tc>
      </w:tr>
      <w:tr w:rsidR="00ED0B9C" w:rsidRPr="00ED0B9C" w14:paraId="052C1F2F"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21877DE1"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Middle school or lower</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65F4DC87"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151 (24.6)</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7DBD254B"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359 (28.4)</w:t>
            </w:r>
          </w:p>
        </w:tc>
        <w:tc>
          <w:tcPr>
            <w:tcW w:w="553" w:type="pct"/>
            <w:tcBorders>
              <w:top w:val="nil"/>
              <w:left w:val="nil"/>
              <w:bottom w:val="nil"/>
              <w:right w:val="nil"/>
            </w:tcBorders>
            <w:shd w:val="clear" w:color="auto" w:fill="FFFFFF"/>
          </w:tcPr>
          <w:p w14:paraId="5C4CB0EB" w14:textId="77777777" w:rsidR="00372E00" w:rsidRPr="00ED0B9C" w:rsidRDefault="00372E00">
            <w:pPr>
              <w:jc w:val="center"/>
              <w:rPr>
                <w:rFonts w:ascii="Times New Roman" w:eastAsia="宋体" w:hAnsi="Times New Roman" w:cs="Times New Roman"/>
                <w:color w:val="000000" w:themeColor="text1"/>
                <w:sz w:val="20"/>
                <w:szCs w:val="20"/>
              </w:rPr>
            </w:pPr>
          </w:p>
        </w:tc>
      </w:tr>
      <w:tr w:rsidR="00ED0B9C" w:rsidRPr="00ED0B9C" w14:paraId="207946A6"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08B51290"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High school or professional college</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2595D28A"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237 (38.5)</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7FBAC2C2"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627 (49.6)</w:t>
            </w:r>
          </w:p>
        </w:tc>
        <w:tc>
          <w:tcPr>
            <w:tcW w:w="553" w:type="pct"/>
            <w:tcBorders>
              <w:top w:val="nil"/>
              <w:left w:val="nil"/>
              <w:bottom w:val="nil"/>
              <w:right w:val="nil"/>
            </w:tcBorders>
            <w:shd w:val="clear" w:color="auto" w:fill="FFFFFF"/>
          </w:tcPr>
          <w:p w14:paraId="3ACE8962" w14:textId="77777777" w:rsidR="00372E00" w:rsidRPr="00ED0B9C" w:rsidRDefault="00372E00">
            <w:pPr>
              <w:jc w:val="center"/>
              <w:rPr>
                <w:rFonts w:ascii="Times New Roman" w:eastAsia="宋体" w:hAnsi="Times New Roman" w:cs="Times New Roman"/>
                <w:color w:val="000000" w:themeColor="text1"/>
                <w:sz w:val="20"/>
                <w:szCs w:val="20"/>
              </w:rPr>
            </w:pPr>
          </w:p>
        </w:tc>
      </w:tr>
      <w:tr w:rsidR="00ED0B9C" w:rsidRPr="00ED0B9C" w14:paraId="1B87615A"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6798242C"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University</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52B08BF7"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227 (36.9)</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59F676B8"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278 (22.0)</w:t>
            </w:r>
          </w:p>
        </w:tc>
        <w:tc>
          <w:tcPr>
            <w:tcW w:w="553" w:type="pct"/>
            <w:tcBorders>
              <w:top w:val="nil"/>
              <w:left w:val="nil"/>
              <w:bottom w:val="nil"/>
              <w:right w:val="nil"/>
            </w:tcBorders>
            <w:shd w:val="clear" w:color="auto" w:fill="FFFFFF"/>
          </w:tcPr>
          <w:p w14:paraId="5F355193" w14:textId="77777777" w:rsidR="00372E00" w:rsidRPr="00ED0B9C" w:rsidRDefault="00372E00">
            <w:pPr>
              <w:jc w:val="center"/>
              <w:rPr>
                <w:rFonts w:ascii="Times New Roman" w:eastAsia="宋体" w:hAnsi="Times New Roman" w:cs="Times New Roman"/>
                <w:color w:val="000000" w:themeColor="text1"/>
                <w:sz w:val="20"/>
                <w:szCs w:val="20"/>
              </w:rPr>
            </w:pPr>
          </w:p>
        </w:tc>
      </w:tr>
      <w:tr w:rsidR="00ED0B9C" w:rsidRPr="00ED0B9C" w14:paraId="4115918C"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33AE7138" w14:textId="77777777" w:rsidR="00372E00" w:rsidRPr="00ED0B9C" w:rsidRDefault="00A77E06">
            <w:pPr>
              <w:jc w:val="left"/>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Glucose,</w:t>
            </w:r>
            <w:r w:rsidRPr="00ED0B9C">
              <w:rPr>
                <w:rFonts w:ascii="Calibri" w:eastAsia="宋体" w:hAnsi="Calibri" w:cs="Times New Roman"/>
                <w:color w:val="000000" w:themeColor="text1"/>
                <w:szCs w:val="21"/>
              </w:rPr>
              <w:t> </w:t>
            </w:r>
            <w:r w:rsidRPr="00ED0B9C">
              <w:rPr>
                <w:rFonts w:ascii="Times New Roman" w:eastAsia="宋体" w:hAnsi="Times New Roman" w:cs="Calibri"/>
                <w:color w:val="000000" w:themeColor="text1"/>
                <w:sz w:val="20"/>
                <w:szCs w:val="20"/>
              </w:rPr>
              <w:t xml:space="preserve">mmol/L </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463A3BAC"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5.56 (1.38)</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43101684"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5.44 (1.28)</w:t>
            </w:r>
          </w:p>
        </w:tc>
        <w:tc>
          <w:tcPr>
            <w:tcW w:w="553" w:type="pct"/>
            <w:tcBorders>
              <w:top w:val="nil"/>
              <w:left w:val="nil"/>
              <w:bottom w:val="nil"/>
              <w:right w:val="nil"/>
            </w:tcBorders>
            <w:shd w:val="clear" w:color="auto" w:fill="FFFFFF"/>
          </w:tcPr>
          <w:p w14:paraId="5B3CA868"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0.054</w:t>
            </w:r>
          </w:p>
        </w:tc>
      </w:tr>
      <w:tr w:rsidR="00ED0B9C" w:rsidRPr="00ED0B9C" w14:paraId="57A34EB9"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737D73AF" w14:textId="77777777" w:rsidR="00372E00" w:rsidRPr="00ED0B9C" w:rsidRDefault="00A77E06">
            <w:pPr>
              <w:wordWrap w:val="0"/>
              <w:jc w:val="left"/>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Insulin,</w:t>
            </w:r>
            <w:r w:rsidRPr="00ED0B9C">
              <w:rPr>
                <w:rFonts w:ascii="Calibri" w:eastAsia="宋体" w:hAnsi="Calibri" w:cs="Times New Roman"/>
                <w:color w:val="000000" w:themeColor="text1"/>
                <w:szCs w:val="21"/>
              </w:rPr>
              <w:t> </w:t>
            </w:r>
            <w:r w:rsidRPr="00ED0B9C">
              <w:rPr>
                <w:rFonts w:ascii="Times New Roman" w:eastAsia="宋体" w:hAnsi="Times New Roman" w:cs="Times New Roman"/>
                <w:color w:val="000000" w:themeColor="text1"/>
                <w:szCs w:val="21"/>
              </w:rPr>
              <w:t>μ</w:t>
            </w:r>
            <w:r w:rsidRPr="00ED0B9C">
              <w:rPr>
                <w:rFonts w:ascii="Times New Roman" w:eastAsia="宋体" w:hAnsi="Times New Roman" w:cs="Calibri"/>
                <w:color w:val="000000" w:themeColor="text1"/>
                <w:sz w:val="20"/>
                <w:szCs w:val="20"/>
              </w:rPr>
              <w:t xml:space="preserve">U/mL </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2ECBF9E2"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6.89 (3.47)</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623E2FF0"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7.51 (4.24)</w:t>
            </w:r>
          </w:p>
        </w:tc>
        <w:tc>
          <w:tcPr>
            <w:tcW w:w="553" w:type="pct"/>
            <w:tcBorders>
              <w:top w:val="nil"/>
              <w:left w:val="nil"/>
              <w:bottom w:val="nil"/>
              <w:right w:val="nil"/>
            </w:tcBorders>
            <w:shd w:val="clear" w:color="auto" w:fill="FFFFFF"/>
          </w:tcPr>
          <w:p w14:paraId="06C1E60E"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0.003</w:t>
            </w:r>
          </w:p>
        </w:tc>
      </w:tr>
      <w:tr w:rsidR="00ED0B9C" w:rsidRPr="00ED0B9C" w14:paraId="64DB4119"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2F0FEC6B" w14:textId="77777777" w:rsidR="00372E00" w:rsidRPr="00ED0B9C" w:rsidRDefault="00A77E06">
            <w:pPr>
              <w:wordWrap w:val="0"/>
              <w:jc w:val="left"/>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 xml:space="preserve">HbAlc, % </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10ED9D37"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7.00 (3.30)</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06B50061"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7.35 (4.60)</w:t>
            </w:r>
          </w:p>
        </w:tc>
        <w:tc>
          <w:tcPr>
            <w:tcW w:w="553" w:type="pct"/>
            <w:tcBorders>
              <w:top w:val="nil"/>
              <w:left w:val="nil"/>
              <w:bottom w:val="nil"/>
              <w:right w:val="nil"/>
            </w:tcBorders>
            <w:shd w:val="clear" w:color="auto" w:fill="FFFFFF"/>
          </w:tcPr>
          <w:p w14:paraId="68DC41F5"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0.105</w:t>
            </w:r>
          </w:p>
        </w:tc>
      </w:tr>
      <w:tr w:rsidR="00ED0B9C" w:rsidRPr="00ED0B9C" w14:paraId="616C10CC"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4A5D47E7" w14:textId="77777777" w:rsidR="00372E00" w:rsidRPr="00ED0B9C" w:rsidRDefault="00A77E06">
            <w:pPr>
              <w:wordWrap w:val="0"/>
              <w:jc w:val="left"/>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HOMA-IR</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779C515D"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1.74 (1.06)</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42EA64EE"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1.88 (1.31)</w:t>
            </w:r>
          </w:p>
        </w:tc>
        <w:tc>
          <w:tcPr>
            <w:tcW w:w="553" w:type="pct"/>
            <w:tcBorders>
              <w:top w:val="nil"/>
              <w:left w:val="nil"/>
              <w:bottom w:val="nil"/>
              <w:right w:val="nil"/>
            </w:tcBorders>
            <w:shd w:val="clear" w:color="auto" w:fill="FFFFFF"/>
          </w:tcPr>
          <w:p w14:paraId="352ED9F3"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0.031</w:t>
            </w:r>
          </w:p>
        </w:tc>
      </w:tr>
      <w:tr w:rsidR="00ED0B9C" w:rsidRPr="00ED0B9C" w14:paraId="3CEE3B2A"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09CD53EE" w14:textId="77777777" w:rsidR="00372E00" w:rsidRPr="00ED0B9C" w:rsidRDefault="00A77E06">
            <w:pPr>
              <w:jc w:val="left"/>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HOMA-</w:t>
            </w:r>
            <w:r w:rsidRPr="00ED0B9C">
              <w:rPr>
                <w:rFonts w:ascii="Times New Roman" w:eastAsia="宋体" w:hAnsi="Times New Roman" w:cs="Times New Roman"/>
                <w:color w:val="000000" w:themeColor="text1"/>
                <w:sz w:val="20"/>
                <w:szCs w:val="20"/>
              </w:rPr>
              <w:t>β, %</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25198191"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81.1 (54.7)</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5E8C62AD"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87.4 (54.0)</w:t>
            </w:r>
          </w:p>
        </w:tc>
        <w:tc>
          <w:tcPr>
            <w:tcW w:w="553" w:type="pct"/>
            <w:tcBorders>
              <w:top w:val="nil"/>
              <w:left w:val="nil"/>
              <w:bottom w:val="nil"/>
              <w:right w:val="nil"/>
            </w:tcBorders>
            <w:shd w:val="clear" w:color="auto" w:fill="FFFFFF"/>
          </w:tcPr>
          <w:p w14:paraId="4AB2803B"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0.032</w:t>
            </w:r>
          </w:p>
        </w:tc>
      </w:tr>
      <w:tr w:rsidR="00ED0B9C" w:rsidRPr="00ED0B9C" w14:paraId="355E3CBC" w14:textId="77777777">
        <w:trPr>
          <w:trHeight w:val="216"/>
          <w:jc w:val="center"/>
        </w:trPr>
        <w:tc>
          <w:tcPr>
            <w:tcW w:w="4447" w:type="pct"/>
            <w:gridSpan w:val="3"/>
            <w:tcBorders>
              <w:top w:val="nil"/>
              <w:left w:val="nil"/>
              <w:bottom w:val="nil"/>
              <w:right w:val="nil"/>
            </w:tcBorders>
            <w:shd w:val="clear" w:color="auto" w:fill="FFFFFF"/>
            <w:tcMar>
              <w:top w:w="15" w:type="dxa"/>
              <w:left w:w="33" w:type="dxa"/>
              <w:bottom w:w="0" w:type="dxa"/>
              <w:right w:w="33" w:type="dxa"/>
            </w:tcMar>
            <w:vAlign w:val="center"/>
          </w:tcPr>
          <w:p w14:paraId="1A608B08" w14:textId="77777777" w:rsidR="00372E00" w:rsidRPr="00ED0B9C" w:rsidRDefault="00A77E06">
            <w:pPr>
              <w:jc w:val="left"/>
              <w:rPr>
                <w:rFonts w:ascii="Times New Roman" w:eastAsia="宋体" w:hAnsi="Times New Roman" w:cs="Times New Roman"/>
                <w:color w:val="000000" w:themeColor="text1"/>
                <w:sz w:val="20"/>
                <w:szCs w:val="20"/>
              </w:rPr>
            </w:pPr>
            <w:r w:rsidRPr="00ED0B9C">
              <w:rPr>
                <w:rFonts w:ascii="Times New Roman" w:eastAsia="宋体" w:hAnsi="Times New Roman" w:cs="Calibri"/>
                <w:color w:val="000000" w:themeColor="text1"/>
                <w:sz w:val="20"/>
                <w:szCs w:val="20"/>
              </w:rPr>
              <w:t>Medication use, n (%)</w:t>
            </w:r>
          </w:p>
        </w:tc>
        <w:tc>
          <w:tcPr>
            <w:tcW w:w="553" w:type="pct"/>
            <w:tcBorders>
              <w:top w:val="nil"/>
              <w:left w:val="nil"/>
              <w:bottom w:val="nil"/>
              <w:right w:val="nil"/>
            </w:tcBorders>
            <w:shd w:val="clear" w:color="auto" w:fill="FFFFFF"/>
          </w:tcPr>
          <w:p w14:paraId="04C28468"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0.152</w:t>
            </w:r>
          </w:p>
        </w:tc>
      </w:tr>
      <w:tr w:rsidR="00ED0B9C" w:rsidRPr="00ED0B9C" w14:paraId="413422B1"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7B4CBF8D" w14:textId="77777777" w:rsidR="00372E00" w:rsidRPr="00ED0B9C" w:rsidRDefault="00A77E06">
            <w:pPr>
              <w:jc w:val="left"/>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Hypertension</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4A5D7A76"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35 (5.7)</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7F2FCC9E"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65 (5.1)</w:t>
            </w:r>
          </w:p>
        </w:tc>
        <w:tc>
          <w:tcPr>
            <w:tcW w:w="553" w:type="pct"/>
            <w:tcBorders>
              <w:top w:val="nil"/>
              <w:left w:val="nil"/>
              <w:bottom w:val="nil"/>
              <w:right w:val="nil"/>
            </w:tcBorders>
            <w:shd w:val="clear" w:color="auto" w:fill="FFFFFF"/>
          </w:tcPr>
          <w:p w14:paraId="67C9BBBD" w14:textId="77777777" w:rsidR="00372E00" w:rsidRPr="00ED0B9C" w:rsidRDefault="00372E00">
            <w:pPr>
              <w:jc w:val="center"/>
              <w:rPr>
                <w:rFonts w:ascii="Times New Roman" w:eastAsia="宋体" w:hAnsi="Times New Roman" w:cs="Times New Roman"/>
                <w:color w:val="000000" w:themeColor="text1"/>
                <w:sz w:val="20"/>
                <w:szCs w:val="20"/>
              </w:rPr>
            </w:pPr>
          </w:p>
        </w:tc>
      </w:tr>
      <w:tr w:rsidR="00ED0B9C" w:rsidRPr="00ED0B9C" w14:paraId="56248186" w14:textId="77777777">
        <w:trPr>
          <w:trHeight w:val="216"/>
          <w:jc w:val="center"/>
        </w:trPr>
        <w:tc>
          <w:tcPr>
            <w:tcW w:w="2693" w:type="pct"/>
            <w:tcBorders>
              <w:top w:val="nil"/>
              <w:left w:val="nil"/>
              <w:bottom w:val="nil"/>
              <w:right w:val="nil"/>
            </w:tcBorders>
            <w:shd w:val="clear" w:color="auto" w:fill="FFFFFF"/>
            <w:tcMar>
              <w:top w:w="15" w:type="dxa"/>
              <w:left w:w="33" w:type="dxa"/>
              <w:bottom w:w="0" w:type="dxa"/>
              <w:right w:w="33" w:type="dxa"/>
            </w:tcMar>
            <w:vAlign w:val="center"/>
          </w:tcPr>
          <w:p w14:paraId="0823C2C3" w14:textId="77777777" w:rsidR="00372E00" w:rsidRPr="00ED0B9C" w:rsidRDefault="00A77E06">
            <w:pPr>
              <w:jc w:val="left"/>
              <w:rPr>
                <w:rFonts w:ascii="Times New Roman" w:eastAsia="宋体" w:hAnsi="Times New Roman" w:cs="Calibri"/>
                <w:color w:val="000000" w:themeColor="text1"/>
                <w:sz w:val="20"/>
                <w:szCs w:val="20"/>
              </w:rPr>
            </w:pPr>
            <w:r w:rsidRPr="00ED0B9C">
              <w:rPr>
                <w:rFonts w:ascii="Times New Roman" w:eastAsia="宋体" w:hAnsi="Times New Roman" w:cs="Times New Roman"/>
                <w:color w:val="000000" w:themeColor="text1"/>
                <w:sz w:val="20"/>
                <w:szCs w:val="20"/>
              </w:rPr>
              <w:t>Hyperlipidaemia</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5EF359E0"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38 (6.2)</w:t>
            </w:r>
          </w:p>
        </w:tc>
        <w:tc>
          <w:tcPr>
            <w:tcW w:w="877" w:type="pct"/>
            <w:tcBorders>
              <w:top w:val="nil"/>
              <w:left w:val="nil"/>
              <w:bottom w:val="nil"/>
              <w:right w:val="nil"/>
            </w:tcBorders>
            <w:shd w:val="clear" w:color="auto" w:fill="FFFFFF"/>
            <w:tcMar>
              <w:top w:w="15" w:type="dxa"/>
              <w:left w:w="33" w:type="dxa"/>
              <w:bottom w:w="0" w:type="dxa"/>
              <w:right w:w="33" w:type="dxa"/>
            </w:tcMar>
            <w:vAlign w:val="center"/>
          </w:tcPr>
          <w:p w14:paraId="38CBD891"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73 (5.8)</w:t>
            </w:r>
          </w:p>
        </w:tc>
        <w:tc>
          <w:tcPr>
            <w:tcW w:w="553" w:type="pct"/>
            <w:tcBorders>
              <w:top w:val="nil"/>
              <w:left w:val="nil"/>
              <w:bottom w:val="nil"/>
              <w:right w:val="nil"/>
            </w:tcBorders>
            <w:shd w:val="clear" w:color="auto" w:fill="FFFFFF"/>
          </w:tcPr>
          <w:p w14:paraId="7F40059E" w14:textId="77777777" w:rsidR="00372E00" w:rsidRPr="00ED0B9C" w:rsidRDefault="00372E00">
            <w:pPr>
              <w:jc w:val="center"/>
              <w:rPr>
                <w:rFonts w:ascii="Times New Roman" w:eastAsia="宋体" w:hAnsi="Times New Roman" w:cs="Times New Roman"/>
                <w:color w:val="000000" w:themeColor="text1"/>
                <w:sz w:val="20"/>
                <w:szCs w:val="20"/>
              </w:rPr>
            </w:pPr>
          </w:p>
        </w:tc>
      </w:tr>
      <w:tr w:rsidR="00ED0B9C" w:rsidRPr="00ED0B9C" w14:paraId="25A021AB" w14:textId="77777777">
        <w:trPr>
          <w:trHeight w:val="216"/>
          <w:jc w:val="center"/>
        </w:trPr>
        <w:tc>
          <w:tcPr>
            <w:tcW w:w="2693" w:type="pct"/>
            <w:tcBorders>
              <w:top w:val="nil"/>
              <w:left w:val="nil"/>
              <w:bottom w:val="single" w:sz="12" w:space="0" w:color="000000"/>
              <w:right w:val="nil"/>
            </w:tcBorders>
            <w:shd w:val="clear" w:color="auto" w:fill="FFFFFF"/>
            <w:tcMar>
              <w:top w:w="15" w:type="dxa"/>
              <w:left w:w="33" w:type="dxa"/>
              <w:bottom w:w="0" w:type="dxa"/>
              <w:right w:w="33" w:type="dxa"/>
            </w:tcMar>
            <w:vAlign w:val="center"/>
          </w:tcPr>
          <w:p w14:paraId="5189C6B9" w14:textId="77777777" w:rsidR="00372E00" w:rsidRPr="00ED0B9C" w:rsidRDefault="00A77E06">
            <w:pPr>
              <w:jc w:val="left"/>
              <w:rPr>
                <w:rFonts w:ascii="Times New Roman" w:eastAsia="宋体" w:hAnsi="Times New Roman" w:cs="Calibri"/>
                <w:color w:val="000000" w:themeColor="text1"/>
                <w:sz w:val="20"/>
                <w:szCs w:val="20"/>
              </w:rPr>
            </w:pPr>
            <w:r w:rsidRPr="00ED0B9C">
              <w:rPr>
                <w:rFonts w:ascii="Times New Roman" w:eastAsia="宋体" w:hAnsi="Times New Roman" w:cs="Calibri"/>
                <w:color w:val="000000" w:themeColor="text1"/>
                <w:sz w:val="20"/>
                <w:szCs w:val="20"/>
              </w:rPr>
              <w:t>T2D</w:t>
            </w:r>
          </w:p>
        </w:tc>
        <w:tc>
          <w:tcPr>
            <w:tcW w:w="877" w:type="pct"/>
            <w:tcBorders>
              <w:top w:val="nil"/>
              <w:left w:val="nil"/>
              <w:bottom w:val="single" w:sz="12" w:space="0" w:color="auto"/>
              <w:right w:val="nil"/>
            </w:tcBorders>
            <w:shd w:val="clear" w:color="auto" w:fill="FFFFFF"/>
            <w:tcMar>
              <w:top w:w="15" w:type="dxa"/>
              <w:left w:w="33" w:type="dxa"/>
              <w:bottom w:w="0" w:type="dxa"/>
              <w:right w:w="33" w:type="dxa"/>
            </w:tcMar>
            <w:vAlign w:val="center"/>
          </w:tcPr>
          <w:p w14:paraId="2D998744"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24 (3.9)</w:t>
            </w:r>
          </w:p>
        </w:tc>
        <w:tc>
          <w:tcPr>
            <w:tcW w:w="877" w:type="pct"/>
            <w:tcBorders>
              <w:top w:val="nil"/>
              <w:left w:val="nil"/>
              <w:bottom w:val="single" w:sz="12" w:space="0" w:color="auto"/>
              <w:right w:val="nil"/>
            </w:tcBorders>
            <w:shd w:val="clear" w:color="auto" w:fill="FFFFFF"/>
            <w:tcMar>
              <w:top w:w="15" w:type="dxa"/>
              <w:left w:w="33" w:type="dxa"/>
              <w:bottom w:w="0" w:type="dxa"/>
              <w:right w:w="33" w:type="dxa"/>
            </w:tcMar>
            <w:vAlign w:val="center"/>
          </w:tcPr>
          <w:p w14:paraId="75E7104B"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34 (2.7)</w:t>
            </w:r>
          </w:p>
        </w:tc>
        <w:tc>
          <w:tcPr>
            <w:tcW w:w="553" w:type="pct"/>
            <w:tcBorders>
              <w:top w:val="nil"/>
              <w:left w:val="nil"/>
              <w:bottom w:val="single" w:sz="12" w:space="0" w:color="auto"/>
              <w:right w:val="nil"/>
            </w:tcBorders>
            <w:shd w:val="clear" w:color="auto" w:fill="FFFFFF"/>
          </w:tcPr>
          <w:p w14:paraId="3C691039" w14:textId="77777777" w:rsidR="00372E00" w:rsidRPr="00ED0B9C" w:rsidRDefault="00372E00">
            <w:pPr>
              <w:jc w:val="center"/>
              <w:rPr>
                <w:rFonts w:ascii="Times New Roman" w:eastAsia="宋体" w:hAnsi="Times New Roman" w:cs="Times New Roman"/>
                <w:color w:val="000000" w:themeColor="text1"/>
                <w:sz w:val="20"/>
                <w:szCs w:val="20"/>
              </w:rPr>
            </w:pPr>
          </w:p>
        </w:tc>
      </w:tr>
    </w:tbl>
    <w:p w14:paraId="0B385120" w14:textId="77777777" w:rsidR="00372E00" w:rsidRPr="00ED0B9C" w:rsidRDefault="00A77E06">
      <w:pPr>
        <w:widowControl/>
        <w:rPr>
          <w:rFonts w:ascii="Times New Roman" w:eastAsia="宋体" w:hAnsi="Times New Roman" w:cs="宋体"/>
          <w:color w:val="000000" w:themeColor="text1"/>
          <w:kern w:val="0"/>
          <w:sz w:val="20"/>
          <w:szCs w:val="20"/>
        </w:rPr>
      </w:pPr>
      <w:r w:rsidRPr="00ED0B9C">
        <w:rPr>
          <w:rFonts w:ascii="Times New Roman" w:eastAsia="宋体" w:hAnsi="Times New Roman" w:cs="Times New Roman"/>
          <w:b/>
          <w:bCs/>
          <w:color w:val="000000" w:themeColor="text1"/>
          <w:sz w:val="20"/>
          <w:szCs w:val="20"/>
        </w:rPr>
        <w:t>*</w:t>
      </w:r>
      <w:r w:rsidRPr="00ED0B9C">
        <w:rPr>
          <w:rFonts w:ascii="Times New Roman" w:eastAsia="微软雅黑" w:hAnsi="Times New Roman" w:cs="宋体"/>
          <w:color w:val="000000" w:themeColor="text1"/>
          <w:kern w:val="24"/>
          <w:sz w:val="20"/>
          <w:szCs w:val="20"/>
        </w:rPr>
        <w:t>Data are expressed as mean (SD) for continuous variables and n (%) for categorical variables;</w:t>
      </w:r>
      <w:r w:rsidRPr="00ED0B9C">
        <w:rPr>
          <w:rFonts w:ascii="Times New Roman" w:eastAsia="宋体" w:hAnsi="Times New Roman" w:cs="宋体"/>
          <w:i/>
          <w:iCs/>
          <w:color w:val="000000" w:themeColor="text1"/>
          <w:kern w:val="0"/>
          <w:sz w:val="20"/>
          <w:szCs w:val="20"/>
        </w:rPr>
        <w:t xml:space="preserve"> p-</w:t>
      </w:r>
      <w:r w:rsidRPr="00ED0B9C">
        <w:rPr>
          <w:rFonts w:ascii="Times New Roman" w:eastAsia="宋体" w:hAnsi="Times New Roman" w:cs="宋体"/>
          <w:color w:val="000000" w:themeColor="text1"/>
          <w:kern w:val="0"/>
          <w:sz w:val="20"/>
          <w:szCs w:val="20"/>
        </w:rPr>
        <w:t>value represents the comparison between sex using independent t-test or chi square;</w:t>
      </w:r>
      <w:r w:rsidRPr="00ED0B9C">
        <w:rPr>
          <w:rFonts w:ascii="Times New Roman" w:hAnsi="Times New Roman" w:cs="Times New Roman"/>
          <w:color w:val="000000" w:themeColor="text1"/>
          <w:sz w:val="20"/>
          <w:szCs w:val="20"/>
        </w:rPr>
        <w:t xml:space="preserve"> HbAlc: glycated hemoglobin, HOMA-IR: homeostasis model assessment of insulin resistance, HOMA-β: homeostasis model assessment of β-cell function, T2D: type 2 diabetes</w:t>
      </w:r>
      <w:r w:rsidRPr="00ED0B9C">
        <w:rPr>
          <w:rFonts w:ascii="Times New Roman" w:eastAsia="宋体" w:hAnsi="Times New Roman" w:cs="宋体"/>
          <w:color w:val="000000" w:themeColor="text1"/>
          <w:kern w:val="0"/>
          <w:sz w:val="20"/>
          <w:szCs w:val="20"/>
        </w:rPr>
        <w:t>.</w:t>
      </w:r>
    </w:p>
    <w:p w14:paraId="0A8CEE5A" w14:textId="77777777" w:rsidR="00372E00" w:rsidRPr="00ED0B9C" w:rsidRDefault="00A77E06">
      <w:pPr>
        <w:widowControl/>
        <w:spacing w:line="360" w:lineRule="auto"/>
        <w:jc w:val="left"/>
        <w:rPr>
          <w:rFonts w:ascii="Times New Roman" w:hAnsi="Times New Roman" w:cs="Times New Roman"/>
          <w:b/>
          <w:color w:val="000000" w:themeColor="text1"/>
          <w:sz w:val="24"/>
          <w:szCs w:val="24"/>
        </w:rPr>
      </w:pPr>
      <w:r w:rsidRPr="00ED0B9C">
        <w:rPr>
          <w:rFonts w:ascii="Times New Roman" w:eastAsia="微软雅黑" w:hAnsi="Times New Roman"/>
          <w:color w:val="000000" w:themeColor="text1"/>
          <w:kern w:val="24"/>
          <w:sz w:val="20"/>
          <w:szCs w:val="20"/>
        </w:rPr>
        <w:br w:type="page"/>
      </w:r>
      <w:r w:rsidRPr="00ED0B9C">
        <w:rPr>
          <w:rFonts w:ascii="Times New Roman" w:hAnsi="Times New Roman" w:cs="Times New Roman"/>
          <w:b/>
          <w:color w:val="000000" w:themeColor="text1"/>
          <w:sz w:val="24"/>
          <w:szCs w:val="24"/>
        </w:rPr>
        <w:lastRenderedPageBreak/>
        <w:t xml:space="preserve">Table </w:t>
      </w:r>
      <w:r w:rsidR="00B160AE" w:rsidRPr="00ED0B9C">
        <w:rPr>
          <w:rFonts w:ascii="Times New Roman" w:hAnsi="Times New Roman" w:cs="Times New Roman"/>
          <w:b/>
          <w:color w:val="000000" w:themeColor="text1"/>
          <w:sz w:val="24"/>
          <w:szCs w:val="24"/>
        </w:rPr>
        <w:t>S</w:t>
      </w:r>
      <w:r w:rsidRPr="00ED0B9C">
        <w:rPr>
          <w:rFonts w:ascii="Times New Roman" w:hAnsi="Times New Roman" w:cs="Times New Roman"/>
          <w:b/>
          <w:color w:val="000000" w:themeColor="text1"/>
          <w:sz w:val="24"/>
          <w:szCs w:val="24"/>
        </w:rPr>
        <w:t>5 Gut microbiota biomarkers of fruit intake comparing quartile 4 with quartile 1</w:t>
      </w:r>
      <w:r w:rsidRPr="00ED0B9C">
        <w:rPr>
          <w:rFonts w:ascii="Times New Roman" w:hAnsi="Times New Roman" w:cs="Times New Roman"/>
          <w:b/>
          <w:bCs/>
          <w:color w:val="000000" w:themeColor="text1"/>
          <w:kern w:val="24"/>
          <w:sz w:val="24"/>
          <w:szCs w:val="24"/>
        </w:rPr>
        <w:t>*</w:t>
      </w:r>
    </w:p>
    <w:tbl>
      <w:tblPr>
        <w:tblStyle w:val="ae"/>
        <w:tblW w:w="6571" w:type="pct"/>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9"/>
        <w:gridCol w:w="854"/>
        <w:gridCol w:w="1133"/>
        <w:gridCol w:w="854"/>
        <w:gridCol w:w="1552"/>
        <w:gridCol w:w="1845"/>
        <w:gridCol w:w="2266"/>
        <w:gridCol w:w="1133"/>
      </w:tblGrid>
      <w:tr w:rsidR="00ED0B9C" w:rsidRPr="00ED0B9C" w14:paraId="377D0F19" w14:textId="77777777">
        <w:trPr>
          <w:trHeight w:val="276"/>
          <w:jc w:val="center"/>
        </w:trPr>
        <w:tc>
          <w:tcPr>
            <w:tcW w:w="586" w:type="pct"/>
            <w:tcBorders>
              <w:top w:val="single" w:sz="12" w:space="0" w:color="auto"/>
              <w:bottom w:val="single" w:sz="12" w:space="0" w:color="auto"/>
            </w:tcBorders>
            <w:noWrap/>
          </w:tcPr>
          <w:p w14:paraId="5BA0AF3C" w14:textId="77777777" w:rsidR="00372E00" w:rsidRPr="00ED0B9C" w:rsidRDefault="00A77E06">
            <w:pPr>
              <w:widowControl/>
              <w:jc w:val="left"/>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OTUs</w:t>
            </w:r>
          </w:p>
        </w:tc>
        <w:tc>
          <w:tcPr>
            <w:tcW w:w="391" w:type="pct"/>
            <w:tcBorders>
              <w:top w:val="single" w:sz="12" w:space="0" w:color="auto"/>
              <w:bottom w:val="single" w:sz="12" w:space="0" w:color="auto"/>
            </w:tcBorders>
            <w:noWrap/>
          </w:tcPr>
          <w:p w14:paraId="3E6F8802" w14:textId="77777777" w:rsidR="00372E00" w:rsidRPr="00ED0B9C" w:rsidRDefault="00A77E06">
            <w:pPr>
              <w:widowControl/>
              <w:jc w:val="left"/>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Coefficient</w:t>
            </w:r>
          </w:p>
        </w:tc>
        <w:tc>
          <w:tcPr>
            <w:tcW w:w="519" w:type="pct"/>
            <w:tcBorders>
              <w:top w:val="single" w:sz="12" w:space="0" w:color="auto"/>
              <w:bottom w:val="single" w:sz="12" w:space="0" w:color="auto"/>
            </w:tcBorders>
            <w:noWrap/>
          </w:tcPr>
          <w:p w14:paraId="57C18E31" w14:textId="77777777" w:rsidR="00372E00" w:rsidRPr="00ED0B9C" w:rsidRDefault="00A77E06">
            <w:pPr>
              <w:widowControl/>
              <w:jc w:val="left"/>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Correlation direction</w:t>
            </w:r>
          </w:p>
        </w:tc>
        <w:tc>
          <w:tcPr>
            <w:tcW w:w="391" w:type="pct"/>
            <w:tcBorders>
              <w:top w:val="single" w:sz="12" w:space="0" w:color="auto"/>
              <w:bottom w:val="single" w:sz="12" w:space="0" w:color="auto"/>
            </w:tcBorders>
            <w:noWrap/>
          </w:tcPr>
          <w:p w14:paraId="3778C2FF" w14:textId="77777777" w:rsidR="00372E00" w:rsidRPr="00ED0B9C" w:rsidRDefault="00A77E06">
            <w:pPr>
              <w:widowControl/>
              <w:jc w:val="left"/>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Q.value</w:t>
            </w:r>
          </w:p>
        </w:tc>
        <w:tc>
          <w:tcPr>
            <w:tcW w:w="711" w:type="pct"/>
            <w:tcBorders>
              <w:top w:val="single" w:sz="12" w:space="0" w:color="auto"/>
              <w:bottom w:val="single" w:sz="12" w:space="0" w:color="auto"/>
            </w:tcBorders>
            <w:noWrap/>
          </w:tcPr>
          <w:p w14:paraId="2EDD7845" w14:textId="77777777" w:rsidR="00372E00" w:rsidRPr="00ED0B9C" w:rsidRDefault="00A77E06">
            <w:pPr>
              <w:widowControl/>
              <w:jc w:val="left"/>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Phylum</w:t>
            </w:r>
          </w:p>
        </w:tc>
        <w:tc>
          <w:tcPr>
            <w:tcW w:w="845" w:type="pct"/>
            <w:tcBorders>
              <w:top w:val="single" w:sz="12" w:space="0" w:color="auto"/>
              <w:bottom w:val="single" w:sz="12" w:space="0" w:color="auto"/>
            </w:tcBorders>
            <w:noWrap/>
          </w:tcPr>
          <w:p w14:paraId="015BBB6C" w14:textId="77777777" w:rsidR="00372E00" w:rsidRPr="00ED0B9C" w:rsidRDefault="00A77E06">
            <w:pPr>
              <w:widowControl/>
              <w:jc w:val="left"/>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Family</w:t>
            </w:r>
          </w:p>
        </w:tc>
        <w:tc>
          <w:tcPr>
            <w:tcW w:w="1038" w:type="pct"/>
            <w:tcBorders>
              <w:top w:val="single" w:sz="12" w:space="0" w:color="auto"/>
              <w:bottom w:val="single" w:sz="12" w:space="0" w:color="auto"/>
            </w:tcBorders>
            <w:noWrap/>
          </w:tcPr>
          <w:p w14:paraId="3731D53C" w14:textId="77777777" w:rsidR="00372E00" w:rsidRPr="00ED0B9C" w:rsidRDefault="00A77E06">
            <w:pPr>
              <w:widowControl/>
              <w:jc w:val="left"/>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Genus</w:t>
            </w:r>
          </w:p>
        </w:tc>
        <w:tc>
          <w:tcPr>
            <w:tcW w:w="519" w:type="pct"/>
            <w:tcBorders>
              <w:top w:val="single" w:sz="12" w:space="0" w:color="auto"/>
              <w:bottom w:val="single" w:sz="12" w:space="0" w:color="auto"/>
            </w:tcBorders>
            <w:noWrap/>
          </w:tcPr>
          <w:p w14:paraId="0DCE1EB7" w14:textId="77777777" w:rsidR="00372E00" w:rsidRPr="00ED0B9C" w:rsidRDefault="00A77E06">
            <w:pPr>
              <w:widowControl/>
              <w:jc w:val="left"/>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Species</w:t>
            </w:r>
          </w:p>
        </w:tc>
      </w:tr>
      <w:tr w:rsidR="00ED0B9C" w:rsidRPr="00ED0B9C" w14:paraId="6F86AD31" w14:textId="77777777">
        <w:trPr>
          <w:trHeight w:val="276"/>
          <w:jc w:val="center"/>
        </w:trPr>
        <w:tc>
          <w:tcPr>
            <w:tcW w:w="586" w:type="pct"/>
            <w:tcBorders>
              <w:top w:val="single" w:sz="12" w:space="0" w:color="auto"/>
            </w:tcBorders>
            <w:noWrap/>
          </w:tcPr>
          <w:p w14:paraId="53B909E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OTU33187</w:t>
            </w:r>
          </w:p>
        </w:tc>
        <w:tc>
          <w:tcPr>
            <w:tcW w:w="391" w:type="pct"/>
            <w:tcBorders>
              <w:top w:val="nil"/>
              <w:left w:val="nil"/>
              <w:bottom w:val="nil"/>
              <w:right w:val="nil"/>
            </w:tcBorders>
            <w:shd w:val="clear" w:color="auto" w:fill="auto"/>
            <w:noWrap/>
            <w:vAlign w:val="bottom"/>
          </w:tcPr>
          <w:p w14:paraId="7CBD91E5"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.041</w:t>
            </w:r>
          </w:p>
        </w:tc>
        <w:tc>
          <w:tcPr>
            <w:tcW w:w="519" w:type="pct"/>
            <w:tcBorders>
              <w:top w:val="single" w:sz="12" w:space="0" w:color="auto"/>
            </w:tcBorders>
            <w:noWrap/>
          </w:tcPr>
          <w:p w14:paraId="0F92FA20"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149261E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.026</w:t>
            </w:r>
          </w:p>
        </w:tc>
        <w:tc>
          <w:tcPr>
            <w:tcW w:w="711" w:type="pct"/>
            <w:tcBorders>
              <w:top w:val="single" w:sz="12" w:space="0" w:color="auto"/>
            </w:tcBorders>
            <w:noWrap/>
          </w:tcPr>
          <w:p w14:paraId="4EC2072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tcBorders>
              <w:top w:val="single" w:sz="12" w:space="0" w:color="auto"/>
            </w:tcBorders>
            <w:noWrap/>
          </w:tcPr>
          <w:p w14:paraId="049913CD"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tcBorders>
              <w:top w:val="single" w:sz="12" w:space="0" w:color="auto"/>
            </w:tcBorders>
            <w:noWrap/>
          </w:tcPr>
          <w:p w14:paraId="7F994E8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Faecalibacterium</w:t>
            </w:r>
          </w:p>
        </w:tc>
        <w:tc>
          <w:tcPr>
            <w:tcW w:w="519" w:type="pct"/>
            <w:tcBorders>
              <w:top w:val="single" w:sz="12" w:space="0" w:color="auto"/>
            </w:tcBorders>
            <w:noWrap/>
          </w:tcPr>
          <w:p w14:paraId="37666D95"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prausnitzii</w:t>
            </w:r>
          </w:p>
        </w:tc>
      </w:tr>
      <w:tr w:rsidR="00ED0B9C" w:rsidRPr="00ED0B9C" w14:paraId="186A79B9" w14:textId="77777777">
        <w:trPr>
          <w:trHeight w:val="276"/>
          <w:jc w:val="center"/>
        </w:trPr>
        <w:tc>
          <w:tcPr>
            <w:tcW w:w="586" w:type="pct"/>
            <w:noWrap/>
          </w:tcPr>
          <w:p w14:paraId="1CAF1642"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OTU12028</w:t>
            </w:r>
          </w:p>
        </w:tc>
        <w:tc>
          <w:tcPr>
            <w:tcW w:w="391" w:type="pct"/>
            <w:tcBorders>
              <w:top w:val="nil"/>
              <w:left w:val="nil"/>
              <w:bottom w:val="nil"/>
              <w:right w:val="nil"/>
            </w:tcBorders>
            <w:shd w:val="clear" w:color="auto" w:fill="auto"/>
            <w:noWrap/>
            <w:vAlign w:val="bottom"/>
          </w:tcPr>
          <w:p w14:paraId="03F5935C"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.022</w:t>
            </w:r>
          </w:p>
        </w:tc>
        <w:tc>
          <w:tcPr>
            <w:tcW w:w="519" w:type="pct"/>
            <w:noWrap/>
          </w:tcPr>
          <w:p w14:paraId="7F22D86E"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76D5F40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.037</w:t>
            </w:r>
          </w:p>
        </w:tc>
        <w:tc>
          <w:tcPr>
            <w:tcW w:w="711" w:type="pct"/>
            <w:noWrap/>
          </w:tcPr>
          <w:p w14:paraId="08FF0144"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39E05004"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6D6A79C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spp1</w:t>
            </w:r>
          </w:p>
        </w:tc>
        <w:tc>
          <w:tcPr>
            <w:tcW w:w="519" w:type="pct"/>
            <w:noWrap/>
          </w:tcPr>
          <w:p w14:paraId="28CE9658"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4D80635F" w14:textId="77777777">
        <w:trPr>
          <w:trHeight w:val="276"/>
          <w:jc w:val="center"/>
        </w:trPr>
        <w:tc>
          <w:tcPr>
            <w:tcW w:w="586" w:type="pct"/>
            <w:noWrap/>
          </w:tcPr>
          <w:p w14:paraId="47CC7A2F"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OTU17395</w:t>
            </w:r>
          </w:p>
        </w:tc>
        <w:tc>
          <w:tcPr>
            <w:tcW w:w="391" w:type="pct"/>
            <w:tcBorders>
              <w:top w:val="nil"/>
              <w:left w:val="nil"/>
              <w:bottom w:val="nil"/>
              <w:right w:val="nil"/>
            </w:tcBorders>
            <w:shd w:val="clear" w:color="auto" w:fill="auto"/>
            <w:noWrap/>
            <w:vAlign w:val="bottom"/>
          </w:tcPr>
          <w:p w14:paraId="0A783DF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.093</w:t>
            </w:r>
          </w:p>
        </w:tc>
        <w:tc>
          <w:tcPr>
            <w:tcW w:w="519" w:type="pct"/>
            <w:noWrap/>
          </w:tcPr>
          <w:p w14:paraId="41EDB48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57334E52"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.047</w:t>
            </w:r>
          </w:p>
        </w:tc>
        <w:tc>
          <w:tcPr>
            <w:tcW w:w="711" w:type="pct"/>
            <w:noWrap/>
          </w:tcPr>
          <w:p w14:paraId="6650913A"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3BE05E6C"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299334D8"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spp2</w:t>
            </w:r>
          </w:p>
        </w:tc>
        <w:tc>
          <w:tcPr>
            <w:tcW w:w="519" w:type="pct"/>
            <w:noWrap/>
          </w:tcPr>
          <w:p w14:paraId="0F5F139F"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462772D7" w14:textId="77777777">
        <w:trPr>
          <w:trHeight w:val="276"/>
          <w:jc w:val="center"/>
        </w:trPr>
        <w:tc>
          <w:tcPr>
            <w:tcW w:w="586" w:type="pct"/>
            <w:noWrap/>
          </w:tcPr>
          <w:p w14:paraId="51711E95"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OTU175436</w:t>
            </w:r>
          </w:p>
        </w:tc>
        <w:tc>
          <w:tcPr>
            <w:tcW w:w="391" w:type="pct"/>
            <w:tcBorders>
              <w:top w:val="nil"/>
              <w:left w:val="nil"/>
              <w:bottom w:val="nil"/>
              <w:right w:val="nil"/>
            </w:tcBorders>
            <w:shd w:val="clear" w:color="auto" w:fill="auto"/>
            <w:noWrap/>
            <w:vAlign w:val="bottom"/>
          </w:tcPr>
          <w:p w14:paraId="7BAF299E"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.048</w:t>
            </w:r>
          </w:p>
        </w:tc>
        <w:tc>
          <w:tcPr>
            <w:tcW w:w="519" w:type="pct"/>
            <w:noWrap/>
          </w:tcPr>
          <w:p w14:paraId="09DC9D65"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6F8EDD11"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.003</w:t>
            </w:r>
          </w:p>
        </w:tc>
        <w:tc>
          <w:tcPr>
            <w:tcW w:w="711" w:type="pct"/>
            <w:noWrap/>
          </w:tcPr>
          <w:p w14:paraId="56C3C9EA"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3025EFD9"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3A6F2981"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spp3</w:t>
            </w:r>
          </w:p>
        </w:tc>
        <w:tc>
          <w:tcPr>
            <w:tcW w:w="519" w:type="pct"/>
            <w:noWrap/>
          </w:tcPr>
          <w:p w14:paraId="55981340"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04F2E8D9" w14:textId="77777777">
        <w:trPr>
          <w:trHeight w:val="276"/>
          <w:jc w:val="center"/>
        </w:trPr>
        <w:tc>
          <w:tcPr>
            <w:tcW w:w="586" w:type="pct"/>
            <w:noWrap/>
          </w:tcPr>
          <w:p w14:paraId="726D6DDB"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OTU176290</w:t>
            </w:r>
          </w:p>
        </w:tc>
        <w:tc>
          <w:tcPr>
            <w:tcW w:w="391" w:type="pct"/>
            <w:tcBorders>
              <w:top w:val="nil"/>
              <w:left w:val="nil"/>
              <w:bottom w:val="nil"/>
              <w:right w:val="nil"/>
            </w:tcBorders>
            <w:shd w:val="clear" w:color="auto" w:fill="auto"/>
            <w:noWrap/>
            <w:vAlign w:val="bottom"/>
          </w:tcPr>
          <w:p w14:paraId="6B1C5CE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.025</w:t>
            </w:r>
          </w:p>
        </w:tc>
        <w:tc>
          <w:tcPr>
            <w:tcW w:w="519" w:type="pct"/>
            <w:noWrap/>
          </w:tcPr>
          <w:p w14:paraId="3A24C49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2F96910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.025</w:t>
            </w:r>
          </w:p>
        </w:tc>
        <w:tc>
          <w:tcPr>
            <w:tcW w:w="711" w:type="pct"/>
            <w:noWrap/>
          </w:tcPr>
          <w:p w14:paraId="3E46678D"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2DFF53EE"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3743A4C8"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spp4</w:t>
            </w:r>
          </w:p>
        </w:tc>
        <w:tc>
          <w:tcPr>
            <w:tcW w:w="519" w:type="pct"/>
            <w:noWrap/>
          </w:tcPr>
          <w:p w14:paraId="391565E6"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49E85CC9" w14:textId="77777777">
        <w:trPr>
          <w:trHeight w:val="276"/>
          <w:jc w:val="center"/>
        </w:trPr>
        <w:tc>
          <w:tcPr>
            <w:tcW w:w="586" w:type="pct"/>
            <w:noWrap/>
          </w:tcPr>
          <w:p w14:paraId="75DB7A7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OTU17847</w:t>
            </w:r>
          </w:p>
        </w:tc>
        <w:tc>
          <w:tcPr>
            <w:tcW w:w="391" w:type="pct"/>
            <w:tcBorders>
              <w:top w:val="nil"/>
              <w:left w:val="nil"/>
              <w:bottom w:val="nil"/>
              <w:right w:val="nil"/>
            </w:tcBorders>
            <w:shd w:val="clear" w:color="auto" w:fill="auto"/>
            <w:noWrap/>
            <w:vAlign w:val="bottom"/>
          </w:tcPr>
          <w:p w14:paraId="7FF5F274"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.109</w:t>
            </w:r>
          </w:p>
        </w:tc>
        <w:tc>
          <w:tcPr>
            <w:tcW w:w="519" w:type="pct"/>
            <w:noWrap/>
          </w:tcPr>
          <w:p w14:paraId="19635A6F"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13910568"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.011</w:t>
            </w:r>
          </w:p>
        </w:tc>
        <w:tc>
          <w:tcPr>
            <w:tcW w:w="711" w:type="pct"/>
            <w:noWrap/>
          </w:tcPr>
          <w:p w14:paraId="3D891949"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4F9BC954"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2687841E"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spp5</w:t>
            </w:r>
          </w:p>
        </w:tc>
        <w:tc>
          <w:tcPr>
            <w:tcW w:w="519" w:type="pct"/>
            <w:noWrap/>
          </w:tcPr>
          <w:p w14:paraId="37E43C41"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7935AE00" w14:textId="77777777">
        <w:trPr>
          <w:trHeight w:val="276"/>
          <w:jc w:val="center"/>
        </w:trPr>
        <w:tc>
          <w:tcPr>
            <w:tcW w:w="586" w:type="pct"/>
            <w:noWrap/>
          </w:tcPr>
          <w:p w14:paraId="723C5652"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OTU18</w:t>
            </w:r>
          </w:p>
        </w:tc>
        <w:tc>
          <w:tcPr>
            <w:tcW w:w="391" w:type="pct"/>
            <w:tcBorders>
              <w:top w:val="nil"/>
              <w:left w:val="nil"/>
              <w:bottom w:val="nil"/>
              <w:right w:val="nil"/>
            </w:tcBorders>
            <w:shd w:val="clear" w:color="auto" w:fill="auto"/>
            <w:noWrap/>
            <w:vAlign w:val="bottom"/>
          </w:tcPr>
          <w:p w14:paraId="0FC876B0"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.094</w:t>
            </w:r>
          </w:p>
        </w:tc>
        <w:tc>
          <w:tcPr>
            <w:tcW w:w="519" w:type="pct"/>
            <w:noWrap/>
          </w:tcPr>
          <w:p w14:paraId="187DEAD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31A64C90"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.041</w:t>
            </w:r>
          </w:p>
        </w:tc>
        <w:tc>
          <w:tcPr>
            <w:tcW w:w="711" w:type="pct"/>
            <w:noWrap/>
          </w:tcPr>
          <w:p w14:paraId="53D3F4B9"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056030D5"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563E03C4"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spp6</w:t>
            </w:r>
          </w:p>
        </w:tc>
        <w:tc>
          <w:tcPr>
            <w:tcW w:w="519" w:type="pct"/>
            <w:noWrap/>
          </w:tcPr>
          <w:p w14:paraId="24234C5F"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279A0CF0" w14:textId="77777777">
        <w:trPr>
          <w:trHeight w:val="276"/>
          <w:jc w:val="center"/>
        </w:trPr>
        <w:tc>
          <w:tcPr>
            <w:tcW w:w="586" w:type="pct"/>
            <w:noWrap/>
          </w:tcPr>
          <w:p w14:paraId="1B613FDF"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OTU180674</w:t>
            </w:r>
          </w:p>
        </w:tc>
        <w:tc>
          <w:tcPr>
            <w:tcW w:w="391" w:type="pct"/>
            <w:tcBorders>
              <w:top w:val="nil"/>
              <w:left w:val="nil"/>
              <w:bottom w:val="nil"/>
              <w:right w:val="nil"/>
            </w:tcBorders>
            <w:shd w:val="clear" w:color="auto" w:fill="auto"/>
            <w:noWrap/>
            <w:vAlign w:val="bottom"/>
          </w:tcPr>
          <w:p w14:paraId="7CDC09E0"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.015</w:t>
            </w:r>
          </w:p>
        </w:tc>
        <w:tc>
          <w:tcPr>
            <w:tcW w:w="519" w:type="pct"/>
            <w:noWrap/>
          </w:tcPr>
          <w:p w14:paraId="2073DB9A"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17BC54ED"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.028</w:t>
            </w:r>
          </w:p>
        </w:tc>
        <w:tc>
          <w:tcPr>
            <w:tcW w:w="711" w:type="pct"/>
            <w:noWrap/>
          </w:tcPr>
          <w:p w14:paraId="2F12C17E"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7D95DDDB"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796D07A7"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spp7</w:t>
            </w:r>
          </w:p>
        </w:tc>
        <w:tc>
          <w:tcPr>
            <w:tcW w:w="519" w:type="pct"/>
            <w:noWrap/>
          </w:tcPr>
          <w:p w14:paraId="66CB7D7D"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4AF1BE58" w14:textId="77777777">
        <w:trPr>
          <w:trHeight w:val="276"/>
          <w:jc w:val="center"/>
        </w:trPr>
        <w:tc>
          <w:tcPr>
            <w:tcW w:w="586" w:type="pct"/>
            <w:noWrap/>
          </w:tcPr>
          <w:p w14:paraId="5BEF159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OTU190159</w:t>
            </w:r>
          </w:p>
        </w:tc>
        <w:tc>
          <w:tcPr>
            <w:tcW w:w="391" w:type="pct"/>
            <w:tcBorders>
              <w:top w:val="nil"/>
              <w:left w:val="nil"/>
              <w:bottom w:val="nil"/>
              <w:right w:val="nil"/>
            </w:tcBorders>
            <w:shd w:val="clear" w:color="auto" w:fill="auto"/>
            <w:noWrap/>
            <w:vAlign w:val="bottom"/>
          </w:tcPr>
          <w:p w14:paraId="7E1B7FB1"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.032</w:t>
            </w:r>
          </w:p>
        </w:tc>
        <w:tc>
          <w:tcPr>
            <w:tcW w:w="519" w:type="pct"/>
            <w:noWrap/>
          </w:tcPr>
          <w:p w14:paraId="7FFE9A97"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657D8545"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.007</w:t>
            </w:r>
          </w:p>
        </w:tc>
        <w:tc>
          <w:tcPr>
            <w:tcW w:w="711" w:type="pct"/>
            <w:noWrap/>
          </w:tcPr>
          <w:p w14:paraId="1B6E8FFF"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7B96DAA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654E9779"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spp8</w:t>
            </w:r>
          </w:p>
        </w:tc>
        <w:tc>
          <w:tcPr>
            <w:tcW w:w="519" w:type="pct"/>
            <w:noWrap/>
          </w:tcPr>
          <w:p w14:paraId="1315EB54"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3D914C31" w14:textId="77777777">
        <w:trPr>
          <w:trHeight w:val="276"/>
          <w:jc w:val="center"/>
        </w:trPr>
        <w:tc>
          <w:tcPr>
            <w:tcW w:w="586" w:type="pct"/>
            <w:noWrap/>
          </w:tcPr>
          <w:p w14:paraId="37202517"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OTU192248</w:t>
            </w:r>
          </w:p>
        </w:tc>
        <w:tc>
          <w:tcPr>
            <w:tcW w:w="391" w:type="pct"/>
            <w:tcBorders>
              <w:top w:val="nil"/>
              <w:left w:val="nil"/>
              <w:bottom w:val="nil"/>
              <w:right w:val="nil"/>
            </w:tcBorders>
            <w:shd w:val="clear" w:color="auto" w:fill="auto"/>
            <w:noWrap/>
            <w:vAlign w:val="bottom"/>
          </w:tcPr>
          <w:p w14:paraId="673BA524"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.020</w:t>
            </w:r>
          </w:p>
        </w:tc>
        <w:tc>
          <w:tcPr>
            <w:tcW w:w="519" w:type="pct"/>
            <w:noWrap/>
          </w:tcPr>
          <w:p w14:paraId="763B4259"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5A6D3C3A"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w:t>
            </w:r>
            <w:r w:rsidRPr="00ED0B9C">
              <w:rPr>
                <w:rFonts w:ascii="Times New Roman" w:eastAsia="微软雅黑" w:hAnsi="Times New Roman"/>
                <w:color w:val="000000" w:themeColor="text1"/>
                <w:kern w:val="24"/>
                <w:sz w:val="18"/>
                <w:szCs w:val="18"/>
              </w:rPr>
              <w:t>0044</w:t>
            </w:r>
          </w:p>
        </w:tc>
        <w:tc>
          <w:tcPr>
            <w:tcW w:w="711" w:type="pct"/>
            <w:noWrap/>
          </w:tcPr>
          <w:p w14:paraId="2BAC6C7E"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10CAD51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505CEF5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spp9</w:t>
            </w:r>
          </w:p>
        </w:tc>
        <w:tc>
          <w:tcPr>
            <w:tcW w:w="519" w:type="pct"/>
            <w:noWrap/>
          </w:tcPr>
          <w:p w14:paraId="1856308D"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43EA7183" w14:textId="77777777">
        <w:trPr>
          <w:trHeight w:val="276"/>
          <w:jc w:val="center"/>
        </w:trPr>
        <w:tc>
          <w:tcPr>
            <w:tcW w:w="586" w:type="pct"/>
            <w:noWrap/>
          </w:tcPr>
          <w:p w14:paraId="0A24CBC5"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OTU192835</w:t>
            </w:r>
          </w:p>
        </w:tc>
        <w:tc>
          <w:tcPr>
            <w:tcW w:w="391" w:type="pct"/>
            <w:tcBorders>
              <w:top w:val="nil"/>
              <w:left w:val="nil"/>
              <w:bottom w:val="nil"/>
              <w:right w:val="nil"/>
            </w:tcBorders>
            <w:shd w:val="clear" w:color="auto" w:fill="auto"/>
            <w:noWrap/>
            <w:vAlign w:val="bottom"/>
          </w:tcPr>
          <w:p w14:paraId="40AA017C"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.024</w:t>
            </w:r>
          </w:p>
        </w:tc>
        <w:tc>
          <w:tcPr>
            <w:tcW w:w="519" w:type="pct"/>
            <w:noWrap/>
          </w:tcPr>
          <w:p w14:paraId="5507BF5F"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25458ABC"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.026</w:t>
            </w:r>
          </w:p>
        </w:tc>
        <w:tc>
          <w:tcPr>
            <w:tcW w:w="711" w:type="pct"/>
            <w:noWrap/>
          </w:tcPr>
          <w:p w14:paraId="77E8255C"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1FEE3D2D"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11AD997A"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spp10</w:t>
            </w:r>
          </w:p>
        </w:tc>
        <w:tc>
          <w:tcPr>
            <w:tcW w:w="519" w:type="pct"/>
            <w:noWrap/>
          </w:tcPr>
          <w:p w14:paraId="4BE5A4A7"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4E254C81" w14:textId="77777777">
        <w:trPr>
          <w:trHeight w:val="276"/>
          <w:jc w:val="center"/>
        </w:trPr>
        <w:tc>
          <w:tcPr>
            <w:tcW w:w="586" w:type="pct"/>
            <w:noWrap/>
          </w:tcPr>
          <w:p w14:paraId="1411761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OTU194679</w:t>
            </w:r>
          </w:p>
        </w:tc>
        <w:tc>
          <w:tcPr>
            <w:tcW w:w="391" w:type="pct"/>
            <w:tcBorders>
              <w:top w:val="nil"/>
              <w:left w:val="nil"/>
              <w:bottom w:val="nil"/>
              <w:right w:val="nil"/>
            </w:tcBorders>
            <w:shd w:val="clear" w:color="auto" w:fill="auto"/>
            <w:noWrap/>
            <w:vAlign w:val="bottom"/>
          </w:tcPr>
          <w:p w14:paraId="7CEB7550"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.034</w:t>
            </w:r>
          </w:p>
        </w:tc>
        <w:tc>
          <w:tcPr>
            <w:tcW w:w="519" w:type="pct"/>
            <w:noWrap/>
          </w:tcPr>
          <w:p w14:paraId="70008A07"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5FBC1412"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.009</w:t>
            </w:r>
          </w:p>
        </w:tc>
        <w:tc>
          <w:tcPr>
            <w:tcW w:w="711" w:type="pct"/>
            <w:noWrap/>
          </w:tcPr>
          <w:p w14:paraId="4D5AD52C"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30B0E2A2"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0CF33F0A"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spp11</w:t>
            </w:r>
          </w:p>
        </w:tc>
        <w:tc>
          <w:tcPr>
            <w:tcW w:w="519" w:type="pct"/>
            <w:noWrap/>
          </w:tcPr>
          <w:p w14:paraId="6AC62278"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33464427" w14:textId="77777777">
        <w:trPr>
          <w:trHeight w:val="276"/>
          <w:jc w:val="center"/>
        </w:trPr>
        <w:tc>
          <w:tcPr>
            <w:tcW w:w="586" w:type="pct"/>
            <w:noWrap/>
          </w:tcPr>
          <w:p w14:paraId="07F4D4E5"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OTU214075</w:t>
            </w:r>
          </w:p>
        </w:tc>
        <w:tc>
          <w:tcPr>
            <w:tcW w:w="391" w:type="pct"/>
            <w:tcBorders>
              <w:top w:val="nil"/>
              <w:left w:val="nil"/>
              <w:bottom w:val="nil"/>
              <w:right w:val="nil"/>
            </w:tcBorders>
            <w:shd w:val="clear" w:color="auto" w:fill="auto"/>
            <w:noWrap/>
            <w:vAlign w:val="bottom"/>
          </w:tcPr>
          <w:p w14:paraId="56981B79"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.016</w:t>
            </w:r>
          </w:p>
        </w:tc>
        <w:tc>
          <w:tcPr>
            <w:tcW w:w="519" w:type="pct"/>
            <w:noWrap/>
          </w:tcPr>
          <w:p w14:paraId="2462D95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7F386CB0"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.014</w:t>
            </w:r>
          </w:p>
        </w:tc>
        <w:tc>
          <w:tcPr>
            <w:tcW w:w="711" w:type="pct"/>
            <w:noWrap/>
          </w:tcPr>
          <w:p w14:paraId="32AEA1D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708358FE"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79FA08B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spp12</w:t>
            </w:r>
          </w:p>
        </w:tc>
        <w:tc>
          <w:tcPr>
            <w:tcW w:w="519" w:type="pct"/>
            <w:noWrap/>
          </w:tcPr>
          <w:p w14:paraId="082CA1C2"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06AD1751" w14:textId="77777777">
        <w:trPr>
          <w:trHeight w:val="276"/>
          <w:jc w:val="center"/>
        </w:trPr>
        <w:tc>
          <w:tcPr>
            <w:tcW w:w="586" w:type="pct"/>
            <w:noWrap/>
          </w:tcPr>
          <w:p w14:paraId="29B15A3F"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OTU219220</w:t>
            </w:r>
          </w:p>
        </w:tc>
        <w:tc>
          <w:tcPr>
            <w:tcW w:w="391" w:type="pct"/>
            <w:tcBorders>
              <w:top w:val="nil"/>
              <w:left w:val="nil"/>
              <w:bottom w:val="nil"/>
              <w:right w:val="nil"/>
            </w:tcBorders>
            <w:shd w:val="clear" w:color="auto" w:fill="auto"/>
            <w:noWrap/>
            <w:vAlign w:val="bottom"/>
          </w:tcPr>
          <w:p w14:paraId="13DFE0B5"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.040</w:t>
            </w:r>
          </w:p>
        </w:tc>
        <w:tc>
          <w:tcPr>
            <w:tcW w:w="519" w:type="pct"/>
            <w:noWrap/>
          </w:tcPr>
          <w:p w14:paraId="0EBC2D9D"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642E99CE"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.004</w:t>
            </w:r>
          </w:p>
        </w:tc>
        <w:tc>
          <w:tcPr>
            <w:tcW w:w="711" w:type="pct"/>
            <w:noWrap/>
          </w:tcPr>
          <w:p w14:paraId="6ACF4F65"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2E25D48C"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7C57C64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spp13</w:t>
            </w:r>
          </w:p>
        </w:tc>
        <w:tc>
          <w:tcPr>
            <w:tcW w:w="519" w:type="pct"/>
            <w:noWrap/>
          </w:tcPr>
          <w:p w14:paraId="4E5DFC83"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41439A2D" w14:textId="77777777">
        <w:trPr>
          <w:trHeight w:val="276"/>
          <w:jc w:val="center"/>
        </w:trPr>
        <w:tc>
          <w:tcPr>
            <w:tcW w:w="586" w:type="pct"/>
            <w:noWrap/>
          </w:tcPr>
          <w:p w14:paraId="39643D37"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OTU226324</w:t>
            </w:r>
          </w:p>
        </w:tc>
        <w:tc>
          <w:tcPr>
            <w:tcW w:w="391" w:type="pct"/>
            <w:tcBorders>
              <w:top w:val="nil"/>
              <w:left w:val="nil"/>
              <w:bottom w:val="nil"/>
              <w:right w:val="nil"/>
            </w:tcBorders>
            <w:shd w:val="clear" w:color="auto" w:fill="auto"/>
            <w:noWrap/>
            <w:vAlign w:val="bottom"/>
          </w:tcPr>
          <w:p w14:paraId="558D4910"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.023</w:t>
            </w:r>
          </w:p>
        </w:tc>
        <w:tc>
          <w:tcPr>
            <w:tcW w:w="519" w:type="pct"/>
            <w:noWrap/>
          </w:tcPr>
          <w:p w14:paraId="2838BBBD"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2386FBBB"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.044</w:t>
            </w:r>
          </w:p>
        </w:tc>
        <w:tc>
          <w:tcPr>
            <w:tcW w:w="711" w:type="pct"/>
            <w:noWrap/>
          </w:tcPr>
          <w:p w14:paraId="0C740602"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5A1742BB"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4967EF20"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spp14</w:t>
            </w:r>
          </w:p>
        </w:tc>
        <w:tc>
          <w:tcPr>
            <w:tcW w:w="519" w:type="pct"/>
            <w:noWrap/>
          </w:tcPr>
          <w:p w14:paraId="334D8DBF"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12A31521" w14:textId="77777777">
        <w:trPr>
          <w:trHeight w:val="276"/>
          <w:jc w:val="center"/>
        </w:trPr>
        <w:tc>
          <w:tcPr>
            <w:tcW w:w="586" w:type="pct"/>
            <w:noWrap/>
          </w:tcPr>
          <w:p w14:paraId="597E7641"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OTU23457</w:t>
            </w:r>
          </w:p>
        </w:tc>
        <w:tc>
          <w:tcPr>
            <w:tcW w:w="391" w:type="pct"/>
            <w:tcBorders>
              <w:top w:val="nil"/>
              <w:left w:val="nil"/>
              <w:bottom w:val="nil"/>
              <w:right w:val="nil"/>
            </w:tcBorders>
            <w:shd w:val="clear" w:color="auto" w:fill="auto"/>
            <w:noWrap/>
            <w:vAlign w:val="bottom"/>
          </w:tcPr>
          <w:p w14:paraId="638B8782"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.089</w:t>
            </w:r>
          </w:p>
        </w:tc>
        <w:tc>
          <w:tcPr>
            <w:tcW w:w="519" w:type="pct"/>
            <w:noWrap/>
          </w:tcPr>
          <w:p w14:paraId="7ADA75A4"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29E0189A"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.020</w:t>
            </w:r>
          </w:p>
        </w:tc>
        <w:tc>
          <w:tcPr>
            <w:tcW w:w="711" w:type="pct"/>
            <w:noWrap/>
          </w:tcPr>
          <w:p w14:paraId="151CA7E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07615E1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3D62B1A1"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spp15</w:t>
            </w:r>
          </w:p>
        </w:tc>
        <w:tc>
          <w:tcPr>
            <w:tcW w:w="519" w:type="pct"/>
            <w:noWrap/>
          </w:tcPr>
          <w:p w14:paraId="0E454635"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13A01133" w14:textId="77777777">
        <w:trPr>
          <w:trHeight w:val="276"/>
          <w:jc w:val="center"/>
        </w:trPr>
        <w:tc>
          <w:tcPr>
            <w:tcW w:w="586" w:type="pct"/>
            <w:noWrap/>
          </w:tcPr>
          <w:p w14:paraId="156E5D78"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OTU245548</w:t>
            </w:r>
          </w:p>
        </w:tc>
        <w:tc>
          <w:tcPr>
            <w:tcW w:w="391" w:type="pct"/>
            <w:tcBorders>
              <w:top w:val="nil"/>
              <w:left w:val="nil"/>
              <w:bottom w:val="nil"/>
              <w:right w:val="nil"/>
            </w:tcBorders>
            <w:shd w:val="clear" w:color="auto" w:fill="auto"/>
            <w:noWrap/>
            <w:vAlign w:val="bottom"/>
          </w:tcPr>
          <w:p w14:paraId="46048D3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.045</w:t>
            </w:r>
          </w:p>
        </w:tc>
        <w:tc>
          <w:tcPr>
            <w:tcW w:w="519" w:type="pct"/>
            <w:noWrap/>
          </w:tcPr>
          <w:p w14:paraId="37A9B7BE"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04FAC22D"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.010</w:t>
            </w:r>
          </w:p>
        </w:tc>
        <w:tc>
          <w:tcPr>
            <w:tcW w:w="711" w:type="pct"/>
            <w:noWrap/>
          </w:tcPr>
          <w:p w14:paraId="22F7FD22"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1EB6D174"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668E0948"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spp16</w:t>
            </w:r>
          </w:p>
        </w:tc>
        <w:tc>
          <w:tcPr>
            <w:tcW w:w="519" w:type="pct"/>
            <w:noWrap/>
          </w:tcPr>
          <w:p w14:paraId="72070D8F"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31CFDF54" w14:textId="77777777">
        <w:trPr>
          <w:trHeight w:val="276"/>
          <w:jc w:val="center"/>
        </w:trPr>
        <w:tc>
          <w:tcPr>
            <w:tcW w:w="586" w:type="pct"/>
            <w:noWrap/>
          </w:tcPr>
          <w:p w14:paraId="7EC09AE1"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OTU247346</w:t>
            </w:r>
          </w:p>
        </w:tc>
        <w:tc>
          <w:tcPr>
            <w:tcW w:w="391" w:type="pct"/>
            <w:tcBorders>
              <w:top w:val="nil"/>
              <w:left w:val="nil"/>
              <w:bottom w:val="nil"/>
              <w:right w:val="nil"/>
            </w:tcBorders>
            <w:shd w:val="clear" w:color="auto" w:fill="auto"/>
            <w:noWrap/>
            <w:vAlign w:val="bottom"/>
          </w:tcPr>
          <w:p w14:paraId="3E02A34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.024</w:t>
            </w:r>
          </w:p>
        </w:tc>
        <w:tc>
          <w:tcPr>
            <w:tcW w:w="519" w:type="pct"/>
            <w:noWrap/>
          </w:tcPr>
          <w:p w14:paraId="063E7FE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26BCD792"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.004</w:t>
            </w:r>
          </w:p>
        </w:tc>
        <w:tc>
          <w:tcPr>
            <w:tcW w:w="711" w:type="pct"/>
            <w:noWrap/>
          </w:tcPr>
          <w:p w14:paraId="35A6C70B"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5A2EC404"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4F22B12F"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spp17</w:t>
            </w:r>
          </w:p>
        </w:tc>
        <w:tc>
          <w:tcPr>
            <w:tcW w:w="519" w:type="pct"/>
            <w:noWrap/>
          </w:tcPr>
          <w:p w14:paraId="00F428DA"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6E17D7AA" w14:textId="77777777">
        <w:trPr>
          <w:trHeight w:val="276"/>
          <w:jc w:val="center"/>
        </w:trPr>
        <w:tc>
          <w:tcPr>
            <w:tcW w:w="586" w:type="pct"/>
            <w:noWrap/>
          </w:tcPr>
          <w:p w14:paraId="0EB772D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OTU255514</w:t>
            </w:r>
          </w:p>
        </w:tc>
        <w:tc>
          <w:tcPr>
            <w:tcW w:w="391" w:type="pct"/>
            <w:tcBorders>
              <w:top w:val="nil"/>
              <w:left w:val="nil"/>
              <w:bottom w:val="nil"/>
              <w:right w:val="nil"/>
            </w:tcBorders>
            <w:shd w:val="clear" w:color="auto" w:fill="auto"/>
            <w:noWrap/>
            <w:vAlign w:val="bottom"/>
          </w:tcPr>
          <w:p w14:paraId="2EBD282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.016</w:t>
            </w:r>
          </w:p>
        </w:tc>
        <w:tc>
          <w:tcPr>
            <w:tcW w:w="519" w:type="pct"/>
            <w:noWrap/>
          </w:tcPr>
          <w:p w14:paraId="29B9A53D"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5204E12D"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.025</w:t>
            </w:r>
          </w:p>
        </w:tc>
        <w:tc>
          <w:tcPr>
            <w:tcW w:w="711" w:type="pct"/>
            <w:noWrap/>
          </w:tcPr>
          <w:p w14:paraId="203F4C89"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3767E30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277CA942"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spp18</w:t>
            </w:r>
          </w:p>
        </w:tc>
        <w:tc>
          <w:tcPr>
            <w:tcW w:w="519" w:type="pct"/>
            <w:noWrap/>
          </w:tcPr>
          <w:p w14:paraId="7476012B"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79996C85" w14:textId="77777777">
        <w:trPr>
          <w:trHeight w:val="276"/>
          <w:jc w:val="center"/>
        </w:trPr>
        <w:tc>
          <w:tcPr>
            <w:tcW w:w="586" w:type="pct"/>
            <w:noWrap/>
          </w:tcPr>
          <w:p w14:paraId="23B97724"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OTU3483</w:t>
            </w:r>
          </w:p>
        </w:tc>
        <w:tc>
          <w:tcPr>
            <w:tcW w:w="391" w:type="pct"/>
            <w:tcBorders>
              <w:top w:val="nil"/>
              <w:left w:val="nil"/>
              <w:bottom w:val="nil"/>
              <w:right w:val="nil"/>
            </w:tcBorders>
            <w:shd w:val="clear" w:color="auto" w:fill="auto"/>
            <w:noWrap/>
            <w:vAlign w:val="bottom"/>
          </w:tcPr>
          <w:p w14:paraId="1D1C6697"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.025</w:t>
            </w:r>
          </w:p>
        </w:tc>
        <w:tc>
          <w:tcPr>
            <w:tcW w:w="519" w:type="pct"/>
            <w:noWrap/>
          </w:tcPr>
          <w:p w14:paraId="65985F68"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21910D99"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.039</w:t>
            </w:r>
          </w:p>
        </w:tc>
        <w:tc>
          <w:tcPr>
            <w:tcW w:w="711" w:type="pct"/>
            <w:noWrap/>
          </w:tcPr>
          <w:p w14:paraId="54C360E0"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6668575A"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4BEBF9B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spp19</w:t>
            </w:r>
          </w:p>
        </w:tc>
        <w:tc>
          <w:tcPr>
            <w:tcW w:w="519" w:type="pct"/>
            <w:noWrap/>
          </w:tcPr>
          <w:p w14:paraId="36D73859"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1911E3BC" w14:textId="77777777">
        <w:trPr>
          <w:trHeight w:val="276"/>
          <w:jc w:val="center"/>
        </w:trPr>
        <w:tc>
          <w:tcPr>
            <w:tcW w:w="586" w:type="pct"/>
            <w:noWrap/>
          </w:tcPr>
          <w:p w14:paraId="0DE52161"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OTU52</w:t>
            </w:r>
          </w:p>
        </w:tc>
        <w:tc>
          <w:tcPr>
            <w:tcW w:w="391" w:type="pct"/>
            <w:tcBorders>
              <w:top w:val="nil"/>
              <w:left w:val="nil"/>
              <w:bottom w:val="nil"/>
              <w:right w:val="nil"/>
            </w:tcBorders>
            <w:shd w:val="clear" w:color="auto" w:fill="auto"/>
            <w:noWrap/>
            <w:vAlign w:val="bottom"/>
          </w:tcPr>
          <w:p w14:paraId="2A3E51D8"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.020</w:t>
            </w:r>
          </w:p>
        </w:tc>
        <w:tc>
          <w:tcPr>
            <w:tcW w:w="519" w:type="pct"/>
            <w:noWrap/>
          </w:tcPr>
          <w:p w14:paraId="33D6898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4866295A"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.025</w:t>
            </w:r>
          </w:p>
        </w:tc>
        <w:tc>
          <w:tcPr>
            <w:tcW w:w="711" w:type="pct"/>
            <w:noWrap/>
          </w:tcPr>
          <w:p w14:paraId="124D3578"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3708F2EB"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6D5BEF4B"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spp20</w:t>
            </w:r>
          </w:p>
        </w:tc>
        <w:tc>
          <w:tcPr>
            <w:tcW w:w="519" w:type="pct"/>
            <w:noWrap/>
          </w:tcPr>
          <w:p w14:paraId="7AF80CD9"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1FDF34FC" w14:textId="77777777">
        <w:trPr>
          <w:trHeight w:val="276"/>
          <w:jc w:val="center"/>
        </w:trPr>
        <w:tc>
          <w:tcPr>
            <w:tcW w:w="586" w:type="pct"/>
            <w:noWrap/>
          </w:tcPr>
          <w:p w14:paraId="5E5A635C"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OTU90807</w:t>
            </w:r>
          </w:p>
        </w:tc>
        <w:tc>
          <w:tcPr>
            <w:tcW w:w="391" w:type="pct"/>
            <w:tcBorders>
              <w:top w:val="nil"/>
              <w:left w:val="nil"/>
              <w:bottom w:val="nil"/>
              <w:right w:val="nil"/>
            </w:tcBorders>
            <w:shd w:val="clear" w:color="auto" w:fill="auto"/>
            <w:noWrap/>
            <w:vAlign w:val="bottom"/>
          </w:tcPr>
          <w:p w14:paraId="4CA2A5E0"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.051</w:t>
            </w:r>
          </w:p>
        </w:tc>
        <w:tc>
          <w:tcPr>
            <w:tcW w:w="519" w:type="pct"/>
            <w:noWrap/>
          </w:tcPr>
          <w:p w14:paraId="16C259F8"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39023F88"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.005</w:t>
            </w:r>
          </w:p>
        </w:tc>
        <w:tc>
          <w:tcPr>
            <w:tcW w:w="711" w:type="pct"/>
            <w:noWrap/>
          </w:tcPr>
          <w:p w14:paraId="264C2657"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52679A97"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w:t>
            </w:r>
          </w:p>
        </w:tc>
        <w:tc>
          <w:tcPr>
            <w:tcW w:w="1038" w:type="pct"/>
            <w:noWrap/>
          </w:tcPr>
          <w:p w14:paraId="6BA27B87"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Ruminococcaceae spp21</w:t>
            </w:r>
          </w:p>
        </w:tc>
        <w:tc>
          <w:tcPr>
            <w:tcW w:w="519" w:type="pct"/>
            <w:noWrap/>
          </w:tcPr>
          <w:p w14:paraId="5369E0BB"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485D03E5" w14:textId="77777777">
        <w:trPr>
          <w:trHeight w:val="276"/>
          <w:jc w:val="center"/>
        </w:trPr>
        <w:tc>
          <w:tcPr>
            <w:tcW w:w="586" w:type="pct"/>
            <w:noWrap/>
          </w:tcPr>
          <w:p w14:paraId="51007339"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OTU1934</w:t>
            </w:r>
          </w:p>
        </w:tc>
        <w:tc>
          <w:tcPr>
            <w:tcW w:w="391" w:type="pct"/>
            <w:tcBorders>
              <w:top w:val="nil"/>
              <w:left w:val="nil"/>
              <w:bottom w:val="nil"/>
              <w:right w:val="nil"/>
            </w:tcBorders>
            <w:shd w:val="clear" w:color="auto" w:fill="auto"/>
            <w:noWrap/>
            <w:vAlign w:val="bottom"/>
          </w:tcPr>
          <w:p w14:paraId="19513D15"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.013</w:t>
            </w:r>
          </w:p>
        </w:tc>
        <w:tc>
          <w:tcPr>
            <w:tcW w:w="519" w:type="pct"/>
            <w:noWrap/>
          </w:tcPr>
          <w:p w14:paraId="5CA10D44"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2986E43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.028</w:t>
            </w:r>
          </w:p>
        </w:tc>
        <w:tc>
          <w:tcPr>
            <w:tcW w:w="711" w:type="pct"/>
            <w:noWrap/>
          </w:tcPr>
          <w:p w14:paraId="36EDC4C8"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5AA30C57"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Clostridiales</w:t>
            </w:r>
          </w:p>
        </w:tc>
        <w:tc>
          <w:tcPr>
            <w:tcW w:w="1038" w:type="pct"/>
            <w:noWrap/>
          </w:tcPr>
          <w:p w14:paraId="3C1D3DB9"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Clostridiales spp1</w:t>
            </w:r>
          </w:p>
        </w:tc>
        <w:tc>
          <w:tcPr>
            <w:tcW w:w="519" w:type="pct"/>
            <w:noWrap/>
          </w:tcPr>
          <w:p w14:paraId="48D5AD0F"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38CF4688" w14:textId="77777777">
        <w:trPr>
          <w:trHeight w:val="276"/>
          <w:jc w:val="center"/>
        </w:trPr>
        <w:tc>
          <w:tcPr>
            <w:tcW w:w="586" w:type="pct"/>
            <w:noWrap/>
          </w:tcPr>
          <w:p w14:paraId="336B542A"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OTU19446</w:t>
            </w:r>
          </w:p>
        </w:tc>
        <w:tc>
          <w:tcPr>
            <w:tcW w:w="391" w:type="pct"/>
            <w:tcBorders>
              <w:top w:val="nil"/>
              <w:left w:val="nil"/>
              <w:bottom w:val="nil"/>
              <w:right w:val="nil"/>
            </w:tcBorders>
            <w:shd w:val="clear" w:color="auto" w:fill="auto"/>
            <w:noWrap/>
            <w:vAlign w:val="bottom"/>
          </w:tcPr>
          <w:p w14:paraId="37889F48"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.094</w:t>
            </w:r>
          </w:p>
        </w:tc>
        <w:tc>
          <w:tcPr>
            <w:tcW w:w="519" w:type="pct"/>
            <w:noWrap/>
          </w:tcPr>
          <w:p w14:paraId="0F5366B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0D9796D4"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.031</w:t>
            </w:r>
          </w:p>
        </w:tc>
        <w:tc>
          <w:tcPr>
            <w:tcW w:w="711" w:type="pct"/>
            <w:noWrap/>
          </w:tcPr>
          <w:p w14:paraId="0B820688"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164135C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Clostridiales</w:t>
            </w:r>
          </w:p>
        </w:tc>
        <w:tc>
          <w:tcPr>
            <w:tcW w:w="1038" w:type="pct"/>
            <w:noWrap/>
          </w:tcPr>
          <w:p w14:paraId="5EB8A067"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Clostridiales spp2</w:t>
            </w:r>
          </w:p>
        </w:tc>
        <w:tc>
          <w:tcPr>
            <w:tcW w:w="519" w:type="pct"/>
            <w:noWrap/>
          </w:tcPr>
          <w:p w14:paraId="6BEE8773"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1D06126C" w14:textId="77777777">
        <w:trPr>
          <w:trHeight w:val="276"/>
          <w:jc w:val="center"/>
        </w:trPr>
        <w:tc>
          <w:tcPr>
            <w:tcW w:w="586" w:type="pct"/>
            <w:noWrap/>
          </w:tcPr>
          <w:p w14:paraId="02D19DB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OTU105227</w:t>
            </w:r>
          </w:p>
        </w:tc>
        <w:tc>
          <w:tcPr>
            <w:tcW w:w="391" w:type="pct"/>
            <w:tcBorders>
              <w:top w:val="nil"/>
              <w:left w:val="nil"/>
              <w:bottom w:val="nil"/>
              <w:right w:val="nil"/>
            </w:tcBorders>
            <w:shd w:val="clear" w:color="auto" w:fill="auto"/>
            <w:noWrap/>
            <w:vAlign w:val="bottom"/>
          </w:tcPr>
          <w:p w14:paraId="3E9BFB7A"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.011</w:t>
            </w:r>
          </w:p>
        </w:tc>
        <w:tc>
          <w:tcPr>
            <w:tcW w:w="519" w:type="pct"/>
            <w:noWrap/>
          </w:tcPr>
          <w:p w14:paraId="010B3F2F"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2783999C"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.046</w:t>
            </w:r>
          </w:p>
        </w:tc>
        <w:tc>
          <w:tcPr>
            <w:tcW w:w="711" w:type="pct"/>
            <w:noWrap/>
          </w:tcPr>
          <w:p w14:paraId="7EA8BD9A"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2A7EB0AC"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Clostridiales</w:t>
            </w:r>
          </w:p>
        </w:tc>
        <w:tc>
          <w:tcPr>
            <w:tcW w:w="1038" w:type="pct"/>
            <w:noWrap/>
          </w:tcPr>
          <w:p w14:paraId="594C921F"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Clostridiales spp3</w:t>
            </w:r>
          </w:p>
        </w:tc>
        <w:tc>
          <w:tcPr>
            <w:tcW w:w="519" w:type="pct"/>
            <w:noWrap/>
          </w:tcPr>
          <w:p w14:paraId="698E8EB8"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7E84CDC5" w14:textId="77777777">
        <w:trPr>
          <w:trHeight w:val="276"/>
          <w:jc w:val="center"/>
        </w:trPr>
        <w:tc>
          <w:tcPr>
            <w:tcW w:w="586" w:type="pct"/>
            <w:noWrap/>
          </w:tcPr>
          <w:p w14:paraId="0CFD6A17"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OTU30107</w:t>
            </w:r>
          </w:p>
        </w:tc>
        <w:tc>
          <w:tcPr>
            <w:tcW w:w="391" w:type="pct"/>
            <w:tcBorders>
              <w:top w:val="nil"/>
              <w:left w:val="nil"/>
              <w:bottom w:val="nil"/>
              <w:right w:val="nil"/>
            </w:tcBorders>
            <w:shd w:val="clear" w:color="auto" w:fill="auto"/>
            <w:noWrap/>
            <w:vAlign w:val="bottom"/>
          </w:tcPr>
          <w:p w14:paraId="70DBB850"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.016</w:t>
            </w:r>
          </w:p>
        </w:tc>
        <w:tc>
          <w:tcPr>
            <w:tcW w:w="519" w:type="pct"/>
            <w:noWrap/>
          </w:tcPr>
          <w:p w14:paraId="383ACB9A"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vAlign w:val="bottom"/>
          </w:tcPr>
          <w:p w14:paraId="42A19435"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.044</w:t>
            </w:r>
          </w:p>
        </w:tc>
        <w:tc>
          <w:tcPr>
            <w:tcW w:w="711" w:type="pct"/>
            <w:noWrap/>
          </w:tcPr>
          <w:p w14:paraId="4BBF971C"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45" w:type="pct"/>
            <w:noWrap/>
          </w:tcPr>
          <w:p w14:paraId="1014EF8E"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Veillonellaceae</w:t>
            </w:r>
          </w:p>
        </w:tc>
        <w:tc>
          <w:tcPr>
            <w:tcW w:w="1038" w:type="pct"/>
            <w:noWrap/>
          </w:tcPr>
          <w:p w14:paraId="0E36E10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Acidaminococcus</w:t>
            </w:r>
          </w:p>
        </w:tc>
        <w:tc>
          <w:tcPr>
            <w:tcW w:w="519" w:type="pct"/>
            <w:noWrap/>
          </w:tcPr>
          <w:p w14:paraId="6A634CC3"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74E63D6D" w14:textId="77777777">
        <w:trPr>
          <w:trHeight w:val="276"/>
          <w:jc w:val="center"/>
        </w:trPr>
        <w:tc>
          <w:tcPr>
            <w:tcW w:w="586" w:type="pct"/>
            <w:noWrap/>
          </w:tcPr>
          <w:p w14:paraId="47D7053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OTU77005</w:t>
            </w:r>
          </w:p>
        </w:tc>
        <w:tc>
          <w:tcPr>
            <w:tcW w:w="391" w:type="pct"/>
            <w:tcBorders>
              <w:top w:val="nil"/>
              <w:left w:val="nil"/>
              <w:bottom w:val="nil"/>
              <w:right w:val="nil"/>
            </w:tcBorders>
            <w:shd w:val="clear" w:color="auto" w:fill="auto"/>
            <w:noWrap/>
          </w:tcPr>
          <w:p w14:paraId="1EEFD232"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.019</w:t>
            </w:r>
          </w:p>
        </w:tc>
        <w:tc>
          <w:tcPr>
            <w:tcW w:w="519" w:type="pct"/>
            <w:noWrap/>
          </w:tcPr>
          <w:p w14:paraId="715F7904"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tcBorders>
              <w:top w:val="nil"/>
              <w:left w:val="nil"/>
              <w:bottom w:val="nil"/>
              <w:right w:val="nil"/>
            </w:tcBorders>
            <w:shd w:val="clear" w:color="auto" w:fill="auto"/>
            <w:noWrap/>
          </w:tcPr>
          <w:p w14:paraId="76B278C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.012</w:t>
            </w:r>
          </w:p>
        </w:tc>
        <w:tc>
          <w:tcPr>
            <w:tcW w:w="711" w:type="pct"/>
            <w:noWrap/>
          </w:tcPr>
          <w:p w14:paraId="37D03A8B"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Proteobacteria</w:t>
            </w:r>
          </w:p>
        </w:tc>
        <w:tc>
          <w:tcPr>
            <w:tcW w:w="845" w:type="pct"/>
            <w:noWrap/>
          </w:tcPr>
          <w:p w14:paraId="4A62AEA7"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Enterobacteriaceae</w:t>
            </w:r>
          </w:p>
        </w:tc>
        <w:tc>
          <w:tcPr>
            <w:tcW w:w="1038" w:type="pct"/>
            <w:noWrap/>
          </w:tcPr>
          <w:p w14:paraId="46D3136F"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Enterobacteriaceae spp</w:t>
            </w:r>
          </w:p>
        </w:tc>
        <w:tc>
          <w:tcPr>
            <w:tcW w:w="519" w:type="pct"/>
            <w:noWrap/>
          </w:tcPr>
          <w:p w14:paraId="2A9D7034" w14:textId="77777777" w:rsidR="00372E00" w:rsidRPr="00ED0B9C" w:rsidRDefault="00372E00">
            <w:pPr>
              <w:widowControl/>
              <w:jc w:val="left"/>
              <w:rPr>
                <w:rFonts w:ascii="Times New Roman" w:eastAsia="微软雅黑" w:hAnsi="Times New Roman"/>
                <w:color w:val="000000" w:themeColor="text1"/>
                <w:kern w:val="24"/>
                <w:sz w:val="18"/>
                <w:szCs w:val="18"/>
              </w:rPr>
            </w:pPr>
          </w:p>
        </w:tc>
      </w:tr>
      <w:tr w:rsidR="00ED0B9C" w:rsidRPr="00ED0B9C" w14:paraId="13380122" w14:textId="77777777">
        <w:trPr>
          <w:trHeight w:val="276"/>
          <w:jc w:val="center"/>
        </w:trPr>
        <w:tc>
          <w:tcPr>
            <w:tcW w:w="586" w:type="pct"/>
            <w:noWrap/>
          </w:tcPr>
          <w:p w14:paraId="3FCF63D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OTU129135</w:t>
            </w:r>
          </w:p>
        </w:tc>
        <w:tc>
          <w:tcPr>
            <w:tcW w:w="391" w:type="pct"/>
            <w:noWrap/>
          </w:tcPr>
          <w:p w14:paraId="12357EC8"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.018</w:t>
            </w:r>
          </w:p>
        </w:tc>
        <w:tc>
          <w:tcPr>
            <w:tcW w:w="519" w:type="pct"/>
            <w:noWrap/>
          </w:tcPr>
          <w:p w14:paraId="294D6C11"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noWrap/>
          </w:tcPr>
          <w:p w14:paraId="1A377E80"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.037</w:t>
            </w:r>
          </w:p>
        </w:tc>
        <w:tc>
          <w:tcPr>
            <w:tcW w:w="711" w:type="pct"/>
            <w:noWrap/>
          </w:tcPr>
          <w:p w14:paraId="5DFCC26D"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Bacteroidetes</w:t>
            </w:r>
          </w:p>
        </w:tc>
        <w:tc>
          <w:tcPr>
            <w:tcW w:w="845" w:type="pct"/>
            <w:noWrap/>
          </w:tcPr>
          <w:p w14:paraId="44BBA5D7"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Prevotellaceae</w:t>
            </w:r>
          </w:p>
        </w:tc>
        <w:tc>
          <w:tcPr>
            <w:tcW w:w="1038" w:type="pct"/>
            <w:noWrap/>
          </w:tcPr>
          <w:p w14:paraId="6DD60591"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Prevotella</w:t>
            </w:r>
          </w:p>
        </w:tc>
        <w:tc>
          <w:tcPr>
            <w:tcW w:w="519" w:type="pct"/>
            <w:noWrap/>
          </w:tcPr>
          <w:p w14:paraId="46A06B0F"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c</w:t>
            </w:r>
            <w:r w:rsidRPr="00ED0B9C">
              <w:rPr>
                <w:rFonts w:ascii="Times New Roman" w:eastAsia="微软雅黑" w:hAnsi="Times New Roman"/>
                <w:color w:val="000000" w:themeColor="text1"/>
                <w:kern w:val="24"/>
                <w:sz w:val="18"/>
                <w:szCs w:val="18"/>
              </w:rPr>
              <w:t>opri</w:t>
            </w:r>
          </w:p>
        </w:tc>
      </w:tr>
      <w:tr w:rsidR="00ED0B9C" w:rsidRPr="00ED0B9C" w14:paraId="6E4DBD57" w14:textId="77777777">
        <w:trPr>
          <w:trHeight w:val="276"/>
          <w:jc w:val="center"/>
        </w:trPr>
        <w:tc>
          <w:tcPr>
            <w:tcW w:w="586" w:type="pct"/>
            <w:noWrap/>
          </w:tcPr>
          <w:p w14:paraId="6690314B"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OTU14373</w:t>
            </w:r>
          </w:p>
        </w:tc>
        <w:tc>
          <w:tcPr>
            <w:tcW w:w="391" w:type="pct"/>
            <w:noWrap/>
          </w:tcPr>
          <w:p w14:paraId="44BFF013"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.009</w:t>
            </w:r>
          </w:p>
        </w:tc>
        <w:tc>
          <w:tcPr>
            <w:tcW w:w="519" w:type="pct"/>
            <w:noWrap/>
          </w:tcPr>
          <w:p w14:paraId="1269DCFA"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noWrap/>
          </w:tcPr>
          <w:p w14:paraId="024F0EA8"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.044</w:t>
            </w:r>
          </w:p>
        </w:tc>
        <w:tc>
          <w:tcPr>
            <w:tcW w:w="711" w:type="pct"/>
            <w:noWrap/>
          </w:tcPr>
          <w:p w14:paraId="2DF20079"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Bacteroidetes</w:t>
            </w:r>
          </w:p>
        </w:tc>
        <w:tc>
          <w:tcPr>
            <w:tcW w:w="845" w:type="pct"/>
            <w:noWrap/>
          </w:tcPr>
          <w:p w14:paraId="3808F9B4"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Prevotellaceae</w:t>
            </w:r>
          </w:p>
        </w:tc>
        <w:tc>
          <w:tcPr>
            <w:tcW w:w="1038" w:type="pct"/>
            <w:noWrap/>
          </w:tcPr>
          <w:p w14:paraId="4B602D68"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Prevotella</w:t>
            </w:r>
          </w:p>
        </w:tc>
        <w:tc>
          <w:tcPr>
            <w:tcW w:w="519" w:type="pct"/>
            <w:noWrap/>
          </w:tcPr>
          <w:p w14:paraId="43BABF67"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stercorea</w:t>
            </w:r>
          </w:p>
        </w:tc>
      </w:tr>
      <w:tr w:rsidR="00ED0B9C" w:rsidRPr="00ED0B9C" w14:paraId="788A1737" w14:textId="77777777">
        <w:trPr>
          <w:trHeight w:val="276"/>
          <w:jc w:val="center"/>
        </w:trPr>
        <w:tc>
          <w:tcPr>
            <w:tcW w:w="586" w:type="pct"/>
            <w:noWrap/>
          </w:tcPr>
          <w:p w14:paraId="3765942A"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OTU182442</w:t>
            </w:r>
          </w:p>
        </w:tc>
        <w:tc>
          <w:tcPr>
            <w:tcW w:w="391" w:type="pct"/>
            <w:noWrap/>
          </w:tcPr>
          <w:p w14:paraId="4EF1D5EA"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.011</w:t>
            </w:r>
          </w:p>
        </w:tc>
        <w:tc>
          <w:tcPr>
            <w:tcW w:w="519" w:type="pct"/>
            <w:noWrap/>
          </w:tcPr>
          <w:p w14:paraId="2EA856DD"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Positive</w:t>
            </w:r>
          </w:p>
        </w:tc>
        <w:tc>
          <w:tcPr>
            <w:tcW w:w="391" w:type="pct"/>
            <w:noWrap/>
          </w:tcPr>
          <w:p w14:paraId="0B19227F"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.005</w:t>
            </w:r>
          </w:p>
        </w:tc>
        <w:tc>
          <w:tcPr>
            <w:tcW w:w="711" w:type="pct"/>
            <w:noWrap/>
          </w:tcPr>
          <w:p w14:paraId="5E4D1D2E" w14:textId="77777777" w:rsidR="00372E00" w:rsidRPr="00ED0B9C" w:rsidRDefault="00A77E06">
            <w:pPr>
              <w:widowControl/>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Verrucomicrobia</w:t>
            </w:r>
          </w:p>
        </w:tc>
        <w:tc>
          <w:tcPr>
            <w:tcW w:w="845" w:type="pct"/>
            <w:noWrap/>
          </w:tcPr>
          <w:p w14:paraId="4F654CA5" w14:textId="77777777" w:rsidR="00372E00" w:rsidRPr="00ED0B9C" w:rsidRDefault="00A77E06">
            <w:pPr>
              <w:widowControl/>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Verrucomicrobiaceae</w:t>
            </w:r>
          </w:p>
        </w:tc>
        <w:tc>
          <w:tcPr>
            <w:tcW w:w="1038" w:type="pct"/>
            <w:noWrap/>
          </w:tcPr>
          <w:p w14:paraId="7C3A3519" w14:textId="77777777" w:rsidR="00372E00" w:rsidRPr="00ED0B9C" w:rsidRDefault="00A77E06">
            <w:pPr>
              <w:widowControl/>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Akkermansia</w:t>
            </w:r>
          </w:p>
        </w:tc>
        <w:tc>
          <w:tcPr>
            <w:tcW w:w="519" w:type="pct"/>
            <w:noWrap/>
          </w:tcPr>
          <w:p w14:paraId="6013F425"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muciniphila</w:t>
            </w:r>
          </w:p>
        </w:tc>
      </w:tr>
      <w:tr w:rsidR="00ED0B9C" w:rsidRPr="00ED0B9C" w14:paraId="7ABF54E7" w14:textId="77777777">
        <w:trPr>
          <w:trHeight w:val="276"/>
          <w:jc w:val="center"/>
        </w:trPr>
        <w:tc>
          <w:tcPr>
            <w:tcW w:w="586" w:type="pct"/>
            <w:noWrap/>
          </w:tcPr>
          <w:p w14:paraId="64A988C6"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OTU2945</w:t>
            </w:r>
          </w:p>
        </w:tc>
        <w:tc>
          <w:tcPr>
            <w:tcW w:w="391" w:type="pct"/>
            <w:noWrap/>
          </w:tcPr>
          <w:p w14:paraId="56F0EE11"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w:t>
            </w:r>
            <w:r w:rsidRPr="00ED0B9C">
              <w:rPr>
                <w:rFonts w:ascii="Times New Roman" w:eastAsia="微软雅黑" w:hAnsi="Times New Roman"/>
                <w:color w:val="000000" w:themeColor="text1"/>
                <w:kern w:val="24"/>
                <w:sz w:val="18"/>
                <w:szCs w:val="18"/>
              </w:rPr>
              <w:t>0.064</w:t>
            </w:r>
          </w:p>
        </w:tc>
        <w:tc>
          <w:tcPr>
            <w:tcW w:w="519" w:type="pct"/>
            <w:noWrap/>
          </w:tcPr>
          <w:p w14:paraId="73E9EFB8"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N</w:t>
            </w:r>
            <w:r w:rsidRPr="00ED0B9C">
              <w:rPr>
                <w:rFonts w:ascii="Times New Roman" w:eastAsia="微软雅黑" w:hAnsi="Times New Roman"/>
                <w:color w:val="000000" w:themeColor="text1"/>
                <w:kern w:val="24"/>
                <w:sz w:val="18"/>
                <w:szCs w:val="18"/>
              </w:rPr>
              <w:t>egative</w:t>
            </w:r>
          </w:p>
        </w:tc>
        <w:tc>
          <w:tcPr>
            <w:tcW w:w="391" w:type="pct"/>
            <w:noWrap/>
          </w:tcPr>
          <w:p w14:paraId="709E551C" w14:textId="77777777" w:rsidR="00372E00" w:rsidRPr="00ED0B9C" w:rsidRDefault="00A77E06">
            <w:pPr>
              <w:widowControl/>
              <w:jc w:val="left"/>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.045</w:t>
            </w:r>
          </w:p>
        </w:tc>
        <w:tc>
          <w:tcPr>
            <w:tcW w:w="711" w:type="pct"/>
            <w:noWrap/>
          </w:tcPr>
          <w:p w14:paraId="05340956" w14:textId="77777777" w:rsidR="00372E00" w:rsidRPr="00ED0B9C" w:rsidRDefault="00A77E06">
            <w:pPr>
              <w:widowControl/>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Fusobacteria</w:t>
            </w:r>
          </w:p>
        </w:tc>
        <w:tc>
          <w:tcPr>
            <w:tcW w:w="845" w:type="pct"/>
            <w:noWrap/>
          </w:tcPr>
          <w:p w14:paraId="3856ECF4" w14:textId="77777777" w:rsidR="00372E00" w:rsidRPr="00ED0B9C" w:rsidRDefault="00A77E06">
            <w:pPr>
              <w:widowControl/>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Fusobacteriaceae</w:t>
            </w:r>
          </w:p>
        </w:tc>
        <w:tc>
          <w:tcPr>
            <w:tcW w:w="1038" w:type="pct"/>
            <w:noWrap/>
          </w:tcPr>
          <w:p w14:paraId="79CD15C4" w14:textId="77777777" w:rsidR="00372E00" w:rsidRPr="00ED0B9C" w:rsidRDefault="00A77E06">
            <w:pPr>
              <w:widowControl/>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Fusobacterium</w:t>
            </w:r>
          </w:p>
        </w:tc>
        <w:tc>
          <w:tcPr>
            <w:tcW w:w="519" w:type="pct"/>
            <w:noWrap/>
          </w:tcPr>
          <w:p w14:paraId="4BC90B32" w14:textId="77777777" w:rsidR="00372E00" w:rsidRPr="00ED0B9C" w:rsidRDefault="00372E00">
            <w:pPr>
              <w:widowControl/>
              <w:jc w:val="left"/>
              <w:rPr>
                <w:rFonts w:ascii="Times New Roman" w:eastAsia="微软雅黑" w:hAnsi="Times New Roman"/>
                <w:color w:val="000000" w:themeColor="text1"/>
                <w:kern w:val="24"/>
                <w:sz w:val="18"/>
                <w:szCs w:val="18"/>
              </w:rPr>
            </w:pPr>
          </w:p>
        </w:tc>
      </w:tr>
    </w:tbl>
    <w:p w14:paraId="192916A9" w14:textId="77777777" w:rsidR="00372E00" w:rsidRPr="00ED0B9C" w:rsidRDefault="00A77E06">
      <w:pPr>
        <w:widowControl/>
        <w:jc w:val="left"/>
        <w:rPr>
          <w:rFonts w:ascii="Times New Roman" w:hAnsi="Times New Roman" w:cs="Times New Roman"/>
          <w:b/>
          <w:bCs/>
          <w:color w:val="000000" w:themeColor="text1"/>
          <w:kern w:val="24"/>
          <w:sz w:val="24"/>
          <w:szCs w:val="24"/>
        </w:rPr>
      </w:pPr>
      <w:bookmarkStart w:id="25" w:name="_Hlk29980599"/>
      <w:r w:rsidRPr="00ED0B9C">
        <w:rPr>
          <w:rFonts w:ascii="Times New Roman" w:hAnsi="Times New Roman" w:cs="Times New Roman"/>
          <w:color w:val="000000" w:themeColor="text1"/>
          <w:kern w:val="24"/>
          <w:sz w:val="18"/>
          <w:szCs w:val="18"/>
        </w:rPr>
        <w:t xml:space="preserve">*The gut microbiota biomarkers were </w:t>
      </w:r>
      <w:r w:rsidRPr="00ED0B9C">
        <w:rPr>
          <w:rFonts w:ascii="Times New Roman" w:hAnsi="Times New Roman" w:cs="Times New Roman"/>
          <w:color w:val="000000" w:themeColor="text1"/>
          <w:sz w:val="18"/>
          <w:szCs w:val="18"/>
        </w:rPr>
        <w:t xml:space="preserve">determined by MaAsLin adjusted by Bristol stool score, sequencing run, sequencing depth, age, sex, BMI, smoking status, alcohol status, physical activity, education, income, T2D status, drug use (medications for hypertension, hyperlipidemia and T2D), total energy intake, vegetable intake, red and processed meat, fish and dairy products. </w:t>
      </w:r>
      <w:bookmarkEnd w:id="25"/>
      <w:r w:rsidRPr="00ED0B9C">
        <w:rPr>
          <w:rFonts w:ascii="Times New Roman" w:eastAsia="微软雅黑" w:hAnsi="Times New Roman"/>
          <w:color w:val="000000" w:themeColor="text1"/>
          <w:kern w:val="24"/>
          <w:sz w:val="12"/>
          <w:szCs w:val="12"/>
        </w:rPr>
        <w:br w:type="page"/>
      </w:r>
      <w:bookmarkStart w:id="26" w:name="_Hlk29980556"/>
      <w:r w:rsidRPr="00ED0B9C">
        <w:rPr>
          <w:rFonts w:ascii="Times New Roman" w:hAnsi="Times New Roman" w:cs="Times New Roman"/>
          <w:b/>
          <w:color w:val="000000" w:themeColor="text1"/>
          <w:sz w:val="24"/>
          <w:szCs w:val="24"/>
        </w:rPr>
        <w:lastRenderedPageBreak/>
        <w:t xml:space="preserve">Table </w:t>
      </w:r>
      <w:r w:rsidR="00B160AE" w:rsidRPr="00ED0B9C">
        <w:rPr>
          <w:rFonts w:ascii="Times New Roman" w:hAnsi="Times New Roman" w:cs="Times New Roman"/>
          <w:b/>
          <w:color w:val="000000" w:themeColor="text1"/>
          <w:sz w:val="24"/>
          <w:szCs w:val="24"/>
        </w:rPr>
        <w:t>S</w:t>
      </w:r>
      <w:r w:rsidRPr="00ED0B9C">
        <w:rPr>
          <w:rFonts w:ascii="Times New Roman" w:hAnsi="Times New Roman" w:cs="Times New Roman"/>
          <w:b/>
          <w:color w:val="000000" w:themeColor="text1"/>
          <w:sz w:val="24"/>
          <w:szCs w:val="24"/>
        </w:rPr>
        <w:t>6</w:t>
      </w:r>
      <w:r w:rsidRPr="00ED0B9C">
        <w:rPr>
          <w:rFonts w:ascii="Times New Roman" w:hAnsi="Times New Roman" w:cs="Times New Roman" w:hint="eastAsia"/>
          <w:b/>
          <w:color w:val="000000" w:themeColor="text1"/>
          <w:sz w:val="24"/>
          <w:szCs w:val="24"/>
        </w:rPr>
        <w:t xml:space="preserve"> Gut microbi</w:t>
      </w:r>
      <w:r w:rsidRPr="00ED0B9C">
        <w:rPr>
          <w:rFonts w:ascii="Times New Roman" w:hAnsi="Times New Roman" w:cs="Times New Roman"/>
          <w:b/>
          <w:color w:val="000000" w:themeColor="text1"/>
          <w:sz w:val="24"/>
          <w:szCs w:val="24"/>
        </w:rPr>
        <w:t>al</w:t>
      </w:r>
      <w:r w:rsidRPr="00ED0B9C">
        <w:rPr>
          <w:rFonts w:ascii="Times New Roman" w:hAnsi="Times New Roman" w:cs="Times New Roman" w:hint="eastAsia"/>
          <w:b/>
          <w:color w:val="000000" w:themeColor="text1"/>
          <w:sz w:val="24"/>
          <w:szCs w:val="24"/>
        </w:rPr>
        <w:t xml:space="preserve"> biomarkers of </w:t>
      </w:r>
      <w:r w:rsidRPr="00ED0B9C">
        <w:rPr>
          <w:rFonts w:ascii="Times New Roman" w:hAnsi="Times New Roman" w:cs="Times New Roman"/>
          <w:b/>
          <w:color w:val="000000" w:themeColor="text1"/>
          <w:sz w:val="24"/>
          <w:szCs w:val="24"/>
        </w:rPr>
        <w:t>vegetable</w:t>
      </w:r>
      <w:r w:rsidRPr="00ED0B9C">
        <w:rPr>
          <w:rFonts w:ascii="Times New Roman" w:hAnsi="Times New Roman" w:cs="Times New Roman" w:hint="eastAsia"/>
          <w:b/>
          <w:color w:val="000000" w:themeColor="text1"/>
          <w:sz w:val="24"/>
          <w:szCs w:val="24"/>
        </w:rPr>
        <w:t xml:space="preserve"> intake compar</w:t>
      </w:r>
      <w:r w:rsidRPr="00ED0B9C">
        <w:rPr>
          <w:rFonts w:ascii="Times New Roman" w:hAnsi="Times New Roman" w:cs="Times New Roman"/>
          <w:b/>
          <w:color w:val="000000" w:themeColor="text1"/>
          <w:sz w:val="24"/>
          <w:szCs w:val="24"/>
        </w:rPr>
        <w:t>ing</w:t>
      </w:r>
      <w:r w:rsidRPr="00ED0B9C">
        <w:rPr>
          <w:rFonts w:ascii="Times New Roman" w:hAnsi="Times New Roman" w:cs="Times New Roman" w:hint="eastAsia"/>
          <w:b/>
          <w:color w:val="000000" w:themeColor="text1"/>
          <w:sz w:val="24"/>
          <w:szCs w:val="24"/>
        </w:rPr>
        <w:t xml:space="preserve"> quartile 4 with quartile 1</w:t>
      </w:r>
      <w:r w:rsidRPr="00ED0B9C">
        <w:rPr>
          <w:rFonts w:ascii="Times New Roman" w:hAnsi="Times New Roman" w:cs="Times New Roman"/>
          <w:b/>
          <w:bCs/>
          <w:color w:val="000000" w:themeColor="text1"/>
          <w:kern w:val="24"/>
          <w:sz w:val="24"/>
          <w:szCs w:val="24"/>
        </w:rPr>
        <w:t>*</w:t>
      </w:r>
    </w:p>
    <w:tbl>
      <w:tblPr>
        <w:tblStyle w:val="ae"/>
        <w:tblW w:w="5633" w:type="pct"/>
        <w:tblInd w:w="-709"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1"/>
        <w:gridCol w:w="1138"/>
        <w:gridCol w:w="1275"/>
        <w:gridCol w:w="715"/>
        <w:gridCol w:w="135"/>
        <w:gridCol w:w="996"/>
        <w:gridCol w:w="1563"/>
        <w:gridCol w:w="1275"/>
        <w:gridCol w:w="1130"/>
      </w:tblGrid>
      <w:tr w:rsidR="00ED0B9C" w:rsidRPr="00ED0B9C" w14:paraId="1B6ADC8B" w14:textId="77777777">
        <w:trPr>
          <w:trHeight w:val="276"/>
        </w:trPr>
        <w:tc>
          <w:tcPr>
            <w:tcW w:w="605" w:type="pct"/>
            <w:tcBorders>
              <w:top w:val="single" w:sz="12" w:space="0" w:color="auto"/>
              <w:bottom w:val="single" w:sz="12" w:space="0" w:color="auto"/>
            </w:tcBorders>
            <w:noWrap/>
          </w:tcPr>
          <w:p w14:paraId="585704DE"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OTU</w:t>
            </w:r>
          </w:p>
        </w:tc>
        <w:tc>
          <w:tcPr>
            <w:tcW w:w="608" w:type="pct"/>
            <w:tcBorders>
              <w:top w:val="single" w:sz="12" w:space="0" w:color="auto"/>
              <w:bottom w:val="single" w:sz="12" w:space="0" w:color="auto"/>
            </w:tcBorders>
            <w:noWrap/>
          </w:tcPr>
          <w:p w14:paraId="1D62B0B0"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Coefficient</w:t>
            </w:r>
          </w:p>
        </w:tc>
        <w:tc>
          <w:tcPr>
            <w:tcW w:w="681" w:type="pct"/>
            <w:tcBorders>
              <w:top w:val="single" w:sz="12" w:space="0" w:color="auto"/>
              <w:bottom w:val="single" w:sz="12" w:space="0" w:color="auto"/>
            </w:tcBorders>
            <w:noWrap/>
          </w:tcPr>
          <w:p w14:paraId="6E2102F6"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Correlation direction</w:t>
            </w:r>
          </w:p>
        </w:tc>
        <w:tc>
          <w:tcPr>
            <w:tcW w:w="454" w:type="pct"/>
            <w:gridSpan w:val="2"/>
            <w:tcBorders>
              <w:top w:val="single" w:sz="12" w:space="0" w:color="auto"/>
              <w:bottom w:val="single" w:sz="12" w:space="0" w:color="auto"/>
            </w:tcBorders>
            <w:noWrap/>
          </w:tcPr>
          <w:p w14:paraId="037B8BF6"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Q.value</w:t>
            </w:r>
          </w:p>
        </w:tc>
        <w:tc>
          <w:tcPr>
            <w:tcW w:w="532" w:type="pct"/>
            <w:tcBorders>
              <w:top w:val="single" w:sz="12" w:space="0" w:color="auto"/>
              <w:bottom w:val="single" w:sz="12" w:space="0" w:color="auto"/>
            </w:tcBorders>
            <w:noWrap/>
          </w:tcPr>
          <w:p w14:paraId="35B501C2"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Phylum</w:t>
            </w:r>
          </w:p>
        </w:tc>
        <w:tc>
          <w:tcPr>
            <w:tcW w:w="835" w:type="pct"/>
            <w:tcBorders>
              <w:top w:val="single" w:sz="12" w:space="0" w:color="auto"/>
              <w:bottom w:val="single" w:sz="12" w:space="0" w:color="auto"/>
            </w:tcBorders>
            <w:noWrap/>
          </w:tcPr>
          <w:p w14:paraId="7C113B73"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Family</w:t>
            </w:r>
          </w:p>
        </w:tc>
        <w:tc>
          <w:tcPr>
            <w:tcW w:w="681" w:type="pct"/>
            <w:tcBorders>
              <w:top w:val="single" w:sz="12" w:space="0" w:color="auto"/>
              <w:bottom w:val="single" w:sz="12" w:space="0" w:color="auto"/>
            </w:tcBorders>
            <w:noWrap/>
          </w:tcPr>
          <w:p w14:paraId="3C22B206"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Genus</w:t>
            </w:r>
          </w:p>
        </w:tc>
        <w:tc>
          <w:tcPr>
            <w:tcW w:w="605" w:type="pct"/>
            <w:tcBorders>
              <w:top w:val="single" w:sz="12" w:space="0" w:color="auto"/>
              <w:bottom w:val="single" w:sz="12" w:space="0" w:color="auto"/>
            </w:tcBorders>
            <w:noWrap/>
          </w:tcPr>
          <w:p w14:paraId="1A1464C7"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Species</w:t>
            </w:r>
          </w:p>
        </w:tc>
      </w:tr>
      <w:tr w:rsidR="00ED0B9C" w:rsidRPr="00ED0B9C" w14:paraId="5393A85D" w14:textId="77777777">
        <w:trPr>
          <w:trHeight w:val="276"/>
        </w:trPr>
        <w:tc>
          <w:tcPr>
            <w:tcW w:w="605" w:type="pct"/>
            <w:tcBorders>
              <w:top w:val="single" w:sz="12" w:space="0" w:color="auto"/>
            </w:tcBorders>
            <w:noWrap/>
          </w:tcPr>
          <w:p w14:paraId="6D9B8773" w14:textId="77777777" w:rsidR="00372E00" w:rsidRPr="00ED0B9C" w:rsidRDefault="00A77E06">
            <w:pPr>
              <w:widowControl/>
              <w:jc w:val="center"/>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OTU236545</w:t>
            </w:r>
          </w:p>
        </w:tc>
        <w:tc>
          <w:tcPr>
            <w:tcW w:w="608" w:type="pct"/>
            <w:tcBorders>
              <w:top w:val="single" w:sz="12" w:space="0" w:color="auto"/>
            </w:tcBorders>
            <w:noWrap/>
          </w:tcPr>
          <w:p w14:paraId="02A84782" w14:textId="77777777" w:rsidR="00372E00" w:rsidRPr="00ED0B9C" w:rsidRDefault="00A77E06">
            <w:pPr>
              <w:widowControl/>
              <w:jc w:val="center"/>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.023</w:t>
            </w:r>
          </w:p>
        </w:tc>
        <w:tc>
          <w:tcPr>
            <w:tcW w:w="681" w:type="pct"/>
            <w:tcBorders>
              <w:top w:val="single" w:sz="12" w:space="0" w:color="auto"/>
            </w:tcBorders>
            <w:noWrap/>
          </w:tcPr>
          <w:p w14:paraId="0CCBFC1A" w14:textId="77777777" w:rsidR="00372E00" w:rsidRPr="00ED0B9C" w:rsidRDefault="00A77E06">
            <w:pPr>
              <w:widowControl/>
              <w:jc w:val="center"/>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P</w:t>
            </w:r>
            <w:r w:rsidRPr="00ED0B9C">
              <w:rPr>
                <w:rFonts w:ascii="Times New Roman" w:eastAsia="微软雅黑" w:hAnsi="Times New Roman"/>
                <w:color w:val="000000" w:themeColor="text1"/>
                <w:kern w:val="24"/>
                <w:sz w:val="18"/>
                <w:szCs w:val="18"/>
              </w:rPr>
              <w:t>ositive</w:t>
            </w:r>
          </w:p>
        </w:tc>
        <w:tc>
          <w:tcPr>
            <w:tcW w:w="382" w:type="pct"/>
            <w:tcBorders>
              <w:top w:val="single" w:sz="12" w:space="0" w:color="auto"/>
            </w:tcBorders>
            <w:noWrap/>
          </w:tcPr>
          <w:p w14:paraId="08933BEE" w14:textId="77777777" w:rsidR="00372E00" w:rsidRPr="00ED0B9C" w:rsidRDefault="00A77E06">
            <w:pPr>
              <w:widowControl/>
              <w:jc w:val="center"/>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.034</w:t>
            </w:r>
          </w:p>
        </w:tc>
        <w:tc>
          <w:tcPr>
            <w:tcW w:w="604" w:type="pct"/>
            <w:gridSpan w:val="2"/>
            <w:tcBorders>
              <w:top w:val="single" w:sz="12" w:space="0" w:color="auto"/>
            </w:tcBorders>
            <w:noWrap/>
          </w:tcPr>
          <w:p w14:paraId="136ED2B3" w14:textId="77777777" w:rsidR="00372E00" w:rsidRPr="00ED0B9C" w:rsidRDefault="00A77E06">
            <w:pPr>
              <w:widowControl/>
              <w:jc w:val="center"/>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35" w:type="pct"/>
            <w:tcBorders>
              <w:top w:val="single" w:sz="12" w:space="0" w:color="auto"/>
            </w:tcBorders>
            <w:noWrap/>
          </w:tcPr>
          <w:p w14:paraId="1D95DEEB" w14:textId="77777777" w:rsidR="00372E00" w:rsidRPr="00ED0B9C" w:rsidRDefault="00A77E06">
            <w:pPr>
              <w:widowControl/>
              <w:jc w:val="center"/>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Lachnospiraceae</w:t>
            </w:r>
          </w:p>
        </w:tc>
        <w:tc>
          <w:tcPr>
            <w:tcW w:w="681" w:type="pct"/>
            <w:tcBorders>
              <w:top w:val="single" w:sz="12" w:space="0" w:color="auto"/>
            </w:tcBorders>
            <w:noWrap/>
          </w:tcPr>
          <w:p w14:paraId="1995B1AB" w14:textId="77777777" w:rsidR="00372E00" w:rsidRPr="00ED0B9C" w:rsidRDefault="00A77E06">
            <w:pPr>
              <w:widowControl/>
              <w:jc w:val="center"/>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Lachnospira</w:t>
            </w:r>
          </w:p>
        </w:tc>
        <w:tc>
          <w:tcPr>
            <w:tcW w:w="605" w:type="pct"/>
            <w:tcBorders>
              <w:top w:val="single" w:sz="12" w:space="0" w:color="auto"/>
            </w:tcBorders>
            <w:noWrap/>
          </w:tcPr>
          <w:p w14:paraId="1ECDADDD" w14:textId="77777777" w:rsidR="00372E00" w:rsidRPr="00ED0B9C" w:rsidRDefault="00372E00">
            <w:pPr>
              <w:widowControl/>
              <w:jc w:val="center"/>
              <w:rPr>
                <w:rFonts w:ascii="Times New Roman" w:eastAsia="微软雅黑" w:hAnsi="Times New Roman"/>
                <w:color w:val="000000" w:themeColor="text1"/>
                <w:kern w:val="24"/>
                <w:sz w:val="18"/>
                <w:szCs w:val="18"/>
              </w:rPr>
            </w:pPr>
          </w:p>
        </w:tc>
      </w:tr>
    </w:tbl>
    <w:p w14:paraId="62AED0A6" w14:textId="77777777" w:rsidR="00372E00" w:rsidRPr="00ED0B9C" w:rsidRDefault="00A77E06">
      <w:pPr>
        <w:widowControl/>
        <w:jc w:val="left"/>
        <w:rPr>
          <w:rFonts w:ascii="Times New Roman" w:eastAsia="微软雅黑" w:hAnsi="Times New Roman"/>
          <w:color w:val="000000" w:themeColor="text1"/>
          <w:kern w:val="24"/>
          <w:sz w:val="12"/>
          <w:szCs w:val="12"/>
        </w:rPr>
      </w:pPr>
      <w:r w:rsidRPr="00ED0B9C">
        <w:rPr>
          <w:rFonts w:ascii="Times New Roman" w:hAnsi="Times New Roman" w:cs="Times New Roman"/>
          <w:color w:val="000000" w:themeColor="text1"/>
          <w:kern w:val="24"/>
          <w:sz w:val="20"/>
          <w:szCs w:val="20"/>
        </w:rPr>
        <w:t>*</w:t>
      </w:r>
      <w:r w:rsidRPr="00ED0B9C">
        <w:rPr>
          <w:rFonts w:ascii="Times New Roman" w:hAnsi="Times New Roman" w:cs="Times New Roman"/>
          <w:color w:val="000000" w:themeColor="text1"/>
          <w:kern w:val="24"/>
          <w:sz w:val="18"/>
          <w:szCs w:val="18"/>
        </w:rPr>
        <w:t xml:space="preserve">The gut microbiota biomarkers were </w:t>
      </w:r>
      <w:r w:rsidRPr="00ED0B9C">
        <w:rPr>
          <w:rFonts w:ascii="Times New Roman" w:hAnsi="Times New Roman" w:cs="Times New Roman"/>
          <w:color w:val="000000" w:themeColor="text1"/>
          <w:sz w:val="18"/>
          <w:szCs w:val="18"/>
        </w:rPr>
        <w:t>determined by MaAsLin (multivariate association analysis) adjusted b</w:t>
      </w:r>
      <w:r w:rsidRPr="00ED0B9C">
        <w:rPr>
          <w:rFonts w:ascii="Times New Roman" w:hAnsi="Times New Roman" w:cs="Times New Roman"/>
          <w:color w:val="000000" w:themeColor="text1"/>
          <w:kern w:val="24"/>
          <w:sz w:val="18"/>
          <w:szCs w:val="18"/>
        </w:rPr>
        <w:t>y Bristol stool score, sequencing run, sequencing depth, age, sex, BMI, smoking status, alcohol status, physical activity, education, income, T2D status, drug use (medications for hypertension, hyperlipidemia and T2D), total energy intake, fruit intake, red and processed meat, fish and dairy products.</w:t>
      </w:r>
      <w:r w:rsidRPr="00ED0B9C">
        <w:rPr>
          <w:rFonts w:ascii="Times New Roman" w:hAnsi="Times New Roman" w:cs="Times New Roman"/>
          <w:color w:val="000000" w:themeColor="text1"/>
          <w:kern w:val="24"/>
          <w:sz w:val="20"/>
          <w:szCs w:val="20"/>
        </w:rPr>
        <w:t xml:space="preserve"> </w:t>
      </w:r>
      <w:bookmarkEnd w:id="26"/>
      <w:r w:rsidRPr="00ED0B9C">
        <w:rPr>
          <w:rFonts w:ascii="Times New Roman" w:eastAsia="微软雅黑" w:hAnsi="Times New Roman"/>
          <w:color w:val="000000" w:themeColor="text1"/>
          <w:kern w:val="24"/>
          <w:sz w:val="12"/>
          <w:szCs w:val="12"/>
        </w:rPr>
        <w:br w:type="page"/>
      </w:r>
    </w:p>
    <w:p w14:paraId="67875A7A" w14:textId="77777777" w:rsidR="00372E00" w:rsidRPr="00ED0B9C" w:rsidRDefault="00A77E06">
      <w:pPr>
        <w:widowControl/>
        <w:spacing w:line="360" w:lineRule="auto"/>
        <w:jc w:val="left"/>
        <w:rPr>
          <w:rFonts w:ascii="Times New Roman" w:hAnsi="Times New Roman" w:cs="Times New Roman"/>
          <w:b/>
          <w:bCs/>
          <w:color w:val="000000" w:themeColor="text1"/>
          <w:kern w:val="24"/>
          <w:sz w:val="24"/>
          <w:szCs w:val="24"/>
        </w:rPr>
      </w:pPr>
      <w:bookmarkStart w:id="27" w:name="_Hlk30020703"/>
      <w:r w:rsidRPr="00ED0B9C">
        <w:rPr>
          <w:rFonts w:ascii="Times New Roman" w:hAnsi="Times New Roman" w:cs="Times New Roman"/>
          <w:b/>
          <w:color w:val="000000" w:themeColor="text1"/>
          <w:sz w:val="24"/>
          <w:szCs w:val="24"/>
        </w:rPr>
        <w:lastRenderedPageBreak/>
        <w:t xml:space="preserve">Table </w:t>
      </w:r>
      <w:r w:rsidR="00B160AE" w:rsidRPr="00ED0B9C">
        <w:rPr>
          <w:rFonts w:ascii="Times New Roman" w:hAnsi="Times New Roman" w:cs="Times New Roman"/>
          <w:b/>
          <w:color w:val="000000" w:themeColor="text1"/>
          <w:sz w:val="24"/>
          <w:szCs w:val="24"/>
        </w:rPr>
        <w:t>S</w:t>
      </w:r>
      <w:r w:rsidRPr="00ED0B9C">
        <w:rPr>
          <w:rFonts w:ascii="Times New Roman" w:hAnsi="Times New Roman" w:cs="Times New Roman"/>
          <w:b/>
          <w:color w:val="000000" w:themeColor="text1"/>
          <w:sz w:val="24"/>
          <w:szCs w:val="24"/>
        </w:rPr>
        <w:t>7</w:t>
      </w:r>
      <w:r w:rsidRPr="00ED0B9C">
        <w:rPr>
          <w:rFonts w:ascii="Times New Roman" w:hAnsi="Times New Roman" w:cs="Times New Roman" w:hint="eastAsia"/>
          <w:b/>
          <w:color w:val="000000" w:themeColor="text1"/>
          <w:sz w:val="24"/>
          <w:szCs w:val="24"/>
        </w:rPr>
        <w:t xml:space="preserve"> Gut microbial biomarkers of </w:t>
      </w:r>
      <w:r w:rsidRPr="00ED0B9C">
        <w:rPr>
          <w:rFonts w:ascii="Times New Roman" w:hAnsi="Times New Roman" w:cs="Times New Roman"/>
          <w:b/>
          <w:color w:val="000000" w:themeColor="text1"/>
          <w:sz w:val="24"/>
          <w:szCs w:val="24"/>
        </w:rPr>
        <w:t xml:space="preserve">total </w:t>
      </w:r>
      <w:r w:rsidRPr="00ED0B9C">
        <w:rPr>
          <w:rFonts w:ascii="Times New Roman" w:hAnsi="Times New Roman" w:cs="Times New Roman" w:hint="eastAsia"/>
          <w:b/>
          <w:color w:val="000000" w:themeColor="text1"/>
          <w:sz w:val="24"/>
          <w:szCs w:val="24"/>
        </w:rPr>
        <w:t xml:space="preserve">fruit </w:t>
      </w:r>
      <w:r w:rsidRPr="00ED0B9C">
        <w:rPr>
          <w:rFonts w:ascii="Times New Roman" w:hAnsi="Times New Roman" w:cs="Times New Roman"/>
          <w:b/>
          <w:color w:val="000000" w:themeColor="text1"/>
          <w:sz w:val="24"/>
          <w:szCs w:val="24"/>
        </w:rPr>
        <w:t xml:space="preserve">and vegetable </w:t>
      </w:r>
      <w:r w:rsidRPr="00ED0B9C">
        <w:rPr>
          <w:rFonts w:ascii="Times New Roman" w:hAnsi="Times New Roman" w:cs="Times New Roman" w:hint="eastAsia"/>
          <w:b/>
          <w:color w:val="000000" w:themeColor="text1"/>
          <w:sz w:val="24"/>
          <w:szCs w:val="24"/>
        </w:rPr>
        <w:t xml:space="preserve">intake </w:t>
      </w:r>
      <w:bookmarkStart w:id="28" w:name="_Hlk31554106"/>
      <w:r w:rsidRPr="00ED0B9C">
        <w:rPr>
          <w:rFonts w:ascii="Times New Roman" w:hAnsi="Times New Roman" w:cs="Times New Roman" w:hint="eastAsia"/>
          <w:b/>
          <w:color w:val="000000" w:themeColor="text1"/>
          <w:sz w:val="24"/>
          <w:szCs w:val="24"/>
        </w:rPr>
        <w:t>compar</w:t>
      </w:r>
      <w:r w:rsidRPr="00ED0B9C">
        <w:rPr>
          <w:rFonts w:ascii="Times New Roman" w:hAnsi="Times New Roman" w:cs="Times New Roman"/>
          <w:b/>
          <w:color w:val="000000" w:themeColor="text1"/>
          <w:sz w:val="24"/>
          <w:szCs w:val="24"/>
        </w:rPr>
        <w:t>ing</w:t>
      </w:r>
      <w:r w:rsidRPr="00ED0B9C">
        <w:rPr>
          <w:rFonts w:ascii="Times New Roman" w:hAnsi="Times New Roman" w:cs="Times New Roman" w:hint="eastAsia"/>
          <w:b/>
          <w:color w:val="000000" w:themeColor="text1"/>
          <w:sz w:val="24"/>
          <w:szCs w:val="24"/>
        </w:rPr>
        <w:t xml:space="preserve"> quartile 4 with quartile 1</w:t>
      </w:r>
      <w:r w:rsidRPr="00ED0B9C">
        <w:rPr>
          <w:rFonts w:ascii="Times New Roman" w:hAnsi="Times New Roman" w:cs="Times New Roman"/>
          <w:b/>
          <w:bCs/>
          <w:color w:val="000000" w:themeColor="text1"/>
          <w:kern w:val="24"/>
          <w:sz w:val="24"/>
          <w:szCs w:val="24"/>
        </w:rPr>
        <w:t>*</w:t>
      </w:r>
      <w:bookmarkEnd w:id="28"/>
    </w:p>
    <w:tbl>
      <w:tblPr>
        <w:tblStyle w:val="ae"/>
        <w:tblW w:w="5632" w:type="pct"/>
        <w:tblInd w:w="-709"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4"/>
        <w:gridCol w:w="421"/>
        <w:gridCol w:w="709"/>
        <w:gridCol w:w="1136"/>
        <w:gridCol w:w="850"/>
        <w:gridCol w:w="994"/>
        <w:gridCol w:w="1559"/>
        <w:gridCol w:w="1843"/>
        <w:gridCol w:w="850"/>
      </w:tblGrid>
      <w:tr w:rsidR="00ED0B9C" w:rsidRPr="00ED0B9C" w14:paraId="333AF269" w14:textId="77777777">
        <w:trPr>
          <w:trHeight w:val="276"/>
        </w:trPr>
        <w:tc>
          <w:tcPr>
            <w:tcW w:w="531" w:type="pct"/>
            <w:tcBorders>
              <w:top w:val="single" w:sz="12" w:space="0" w:color="auto"/>
              <w:bottom w:val="single" w:sz="12" w:space="0" w:color="auto"/>
            </w:tcBorders>
            <w:noWrap/>
          </w:tcPr>
          <w:p w14:paraId="4EA6E2EB"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OTUs</w:t>
            </w:r>
          </w:p>
        </w:tc>
        <w:tc>
          <w:tcPr>
            <w:tcW w:w="604" w:type="pct"/>
            <w:gridSpan w:val="2"/>
            <w:tcBorders>
              <w:top w:val="single" w:sz="12" w:space="0" w:color="auto"/>
              <w:bottom w:val="single" w:sz="12" w:space="0" w:color="auto"/>
            </w:tcBorders>
            <w:noWrap/>
          </w:tcPr>
          <w:p w14:paraId="735C4116"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Coefficient</w:t>
            </w:r>
          </w:p>
        </w:tc>
        <w:tc>
          <w:tcPr>
            <w:tcW w:w="607" w:type="pct"/>
            <w:tcBorders>
              <w:top w:val="single" w:sz="12" w:space="0" w:color="auto"/>
              <w:bottom w:val="single" w:sz="12" w:space="0" w:color="auto"/>
            </w:tcBorders>
            <w:noWrap/>
          </w:tcPr>
          <w:p w14:paraId="3539E287"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Correlation direction</w:t>
            </w:r>
          </w:p>
        </w:tc>
        <w:tc>
          <w:tcPr>
            <w:tcW w:w="454" w:type="pct"/>
            <w:tcBorders>
              <w:top w:val="single" w:sz="12" w:space="0" w:color="auto"/>
              <w:bottom w:val="single" w:sz="12" w:space="0" w:color="auto"/>
            </w:tcBorders>
            <w:noWrap/>
          </w:tcPr>
          <w:p w14:paraId="08B42080"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Q.value</w:t>
            </w:r>
          </w:p>
        </w:tc>
        <w:tc>
          <w:tcPr>
            <w:tcW w:w="531" w:type="pct"/>
            <w:tcBorders>
              <w:top w:val="single" w:sz="12" w:space="0" w:color="auto"/>
              <w:bottom w:val="single" w:sz="12" w:space="0" w:color="auto"/>
            </w:tcBorders>
            <w:noWrap/>
          </w:tcPr>
          <w:p w14:paraId="014F7E9C"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Phylum</w:t>
            </w:r>
          </w:p>
        </w:tc>
        <w:tc>
          <w:tcPr>
            <w:tcW w:w="833" w:type="pct"/>
            <w:tcBorders>
              <w:top w:val="single" w:sz="12" w:space="0" w:color="auto"/>
              <w:bottom w:val="single" w:sz="12" w:space="0" w:color="auto"/>
            </w:tcBorders>
            <w:noWrap/>
          </w:tcPr>
          <w:p w14:paraId="61B8CB4F"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Family</w:t>
            </w:r>
          </w:p>
        </w:tc>
        <w:tc>
          <w:tcPr>
            <w:tcW w:w="985" w:type="pct"/>
            <w:tcBorders>
              <w:top w:val="single" w:sz="12" w:space="0" w:color="auto"/>
              <w:bottom w:val="single" w:sz="12" w:space="0" w:color="auto"/>
            </w:tcBorders>
            <w:noWrap/>
          </w:tcPr>
          <w:p w14:paraId="095C8F16"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Genus</w:t>
            </w:r>
          </w:p>
        </w:tc>
        <w:tc>
          <w:tcPr>
            <w:tcW w:w="454" w:type="pct"/>
            <w:tcBorders>
              <w:top w:val="single" w:sz="12" w:space="0" w:color="auto"/>
              <w:bottom w:val="single" w:sz="12" w:space="0" w:color="auto"/>
            </w:tcBorders>
            <w:noWrap/>
          </w:tcPr>
          <w:p w14:paraId="3EEA07D3"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bCs/>
                <w:color w:val="000000" w:themeColor="text1"/>
                <w:kern w:val="24"/>
                <w:sz w:val="18"/>
                <w:szCs w:val="18"/>
              </w:rPr>
              <w:t>Species</w:t>
            </w:r>
          </w:p>
        </w:tc>
      </w:tr>
      <w:tr w:rsidR="00ED0B9C" w:rsidRPr="00ED0B9C" w14:paraId="50EB29C2" w14:textId="77777777">
        <w:trPr>
          <w:trHeight w:val="276"/>
        </w:trPr>
        <w:tc>
          <w:tcPr>
            <w:tcW w:w="756" w:type="pct"/>
            <w:gridSpan w:val="2"/>
            <w:tcBorders>
              <w:top w:val="single" w:sz="12" w:space="0" w:color="auto"/>
              <w:bottom w:val="nil"/>
            </w:tcBorders>
            <w:noWrap/>
          </w:tcPr>
          <w:p w14:paraId="777267EE"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color w:val="000000" w:themeColor="text1"/>
                <w:kern w:val="24"/>
                <w:sz w:val="18"/>
                <w:szCs w:val="18"/>
              </w:rPr>
              <w:t>OTU236545</w:t>
            </w:r>
          </w:p>
        </w:tc>
        <w:tc>
          <w:tcPr>
            <w:tcW w:w="379" w:type="pct"/>
            <w:tcBorders>
              <w:top w:val="single" w:sz="12" w:space="0" w:color="auto"/>
              <w:bottom w:val="nil"/>
            </w:tcBorders>
            <w:noWrap/>
          </w:tcPr>
          <w:p w14:paraId="7B0A01BB"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.024</w:t>
            </w:r>
          </w:p>
        </w:tc>
        <w:tc>
          <w:tcPr>
            <w:tcW w:w="607" w:type="pct"/>
            <w:tcBorders>
              <w:top w:val="single" w:sz="12" w:space="0" w:color="auto"/>
              <w:bottom w:val="nil"/>
            </w:tcBorders>
            <w:noWrap/>
          </w:tcPr>
          <w:p w14:paraId="49F14EE8"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hint="eastAsia"/>
                <w:color w:val="000000" w:themeColor="text1"/>
                <w:kern w:val="24"/>
                <w:sz w:val="18"/>
                <w:szCs w:val="18"/>
              </w:rPr>
              <w:t>P</w:t>
            </w:r>
            <w:r w:rsidRPr="00ED0B9C">
              <w:rPr>
                <w:rFonts w:ascii="Times New Roman" w:eastAsia="微软雅黑" w:hAnsi="Times New Roman"/>
                <w:color w:val="000000" w:themeColor="text1"/>
                <w:kern w:val="24"/>
                <w:sz w:val="18"/>
                <w:szCs w:val="18"/>
              </w:rPr>
              <w:t>ositive</w:t>
            </w:r>
          </w:p>
        </w:tc>
        <w:tc>
          <w:tcPr>
            <w:tcW w:w="454" w:type="pct"/>
            <w:tcBorders>
              <w:top w:val="single" w:sz="12" w:space="0" w:color="auto"/>
              <w:bottom w:val="nil"/>
            </w:tcBorders>
            <w:noWrap/>
          </w:tcPr>
          <w:p w14:paraId="496CEA61"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.036</w:t>
            </w:r>
          </w:p>
        </w:tc>
        <w:tc>
          <w:tcPr>
            <w:tcW w:w="531" w:type="pct"/>
            <w:tcBorders>
              <w:top w:val="single" w:sz="12" w:space="0" w:color="auto"/>
              <w:bottom w:val="nil"/>
            </w:tcBorders>
            <w:noWrap/>
          </w:tcPr>
          <w:p w14:paraId="72686BBE"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33" w:type="pct"/>
            <w:tcBorders>
              <w:top w:val="single" w:sz="12" w:space="0" w:color="auto"/>
              <w:bottom w:val="nil"/>
            </w:tcBorders>
            <w:noWrap/>
          </w:tcPr>
          <w:p w14:paraId="2AFA566E"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color w:val="000000" w:themeColor="text1"/>
                <w:kern w:val="24"/>
                <w:sz w:val="18"/>
                <w:szCs w:val="18"/>
              </w:rPr>
              <w:t>Lachnospiraceae</w:t>
            </w:r>
          </w:p>
        </w:tc>
        <w:tc>
          <w:tcPr>
            <w:tcW w:w="985" w:type="pct"/>
            <w:tcBorders>
              <w:top w:val="single" w:sz="12" w:space="0" w:color="auto"/>
              <w:bottom w:val="nil"/>
            </w:tcBorders>
            <w:noWrap/>
          </w:tcPr>
          <w:p w14:paraId="60D27DEB" w14:textId="77777777" w:rsidR="00372E00" w:rsidRPr="00ED0B9C" w:rsidRDefault="00A77E06">
            <w:pPr>
              <w:widowControl/>
              <w:jc w:val="center"/>
              <w:rPr>
                <w:rFonts w:ascii="Times New Roman" w:eastAsia="微软雅黑" w:hAnsi="Times New Roman"/>
                <w:bCs/>
                <w:color w:val="000000" w:themeColor="text1"/>
                <w:kern w:val="24"/>
                <w:sz w:val="18"/>
                <w:szCs w:val="18"/>
              </w:rPr>
            </w:pPr>
            <w:r w:rsidRPr="00ED0B9C">
              <w:rPr>
                <w:rFonts w:ascii="Times New Roman" w:eastAsia="微软雅黑" w:hAnsi="Times New Roman"/>
                <w:color w:val="000000" w:themeColor="text1"/>
                <w:kern w:val="24"/>
                <w:sz w:val="18"/>
                <w:szCs w:val="18"/>
              </w:rPr>
              <w:t>Lachnospira</w:t>
            </w:r>
          </w:p>
        </w:tc>
        <w:tc>
          <w:tcPr>
            <w:tcW w:w="454" w:type="pct"/>
            <w:tcBorders>
              <w:top w:val="single" w:sz="12" w:space="0" w:color="auto"/>
              <w:bottom w:val="nil"/>
            </w:tcBorders>
            <w:noWrap/>
          </w:tcPr>
          <w:p w14:paraId="063596E9" w14:textId="77777777" w:rsidR="00372E00" w:rsidRPr="00ED0B9C" w:rsidRDefault="00372E00">
            <w:pPr>
              <w:widowControl/>
              <w:jc w:val="center"/>
              <w:rPr>
                <w:rFonts w:ascii="Times New Roman" w:eastAsia="微软雅黑" w:hAnsi="Times New Roman"/>
                <w:bCs/>
                <w:color w:val="000000" w:themeColor="text1"/>
                <w:kern w:val="24"/>
                <w:sz w:val="18"/>
                <w:szCs w:val="18"/>
              </w:rPr>
            </w:pPr>
          </w:p>
        </w:tc>
      </w:tr>
      <w:tr w:rsidR="00ED0B9C" w:rsidRPr="00ED0B9C" w14:paraId="12DAFCA2" w14:textId="77777777">
        <w:trPr>
          <w:trHeight w:val="276"/>
        </w:trPr>
        <w:tc>
          <w:tcPr>
            <w:tcW w:w="756" w:type="pct"/>
            <w:gridSpan w:val="2"/>
            <w:tcBorders>
              <w:top w:val="nil"/>
            </w:tcBorders>
            <w:noWrap/>
          </w:tcPr>
          <w:p w14:paraId="68ADCB65" w14:textId="77777777" w:rsidR="00372E00" w:rsidRPr="00ED0B9C" w:rsidRDefault="00A77E06">
            <w:pPr>
              <w:widowControl/>
              <w:jc w:val="center"/>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OTU234983</w:t>
            </w:r>
          </w:p>
        </w:tc>
        <w:tc>
          <w:tcPr>
            <w:tcW w:w="379" w:type="pct"/>
            <w:tcBorders>
              <w:top w:val="nil"/>
            </w:tcBorders>
            <w:noWrap/>
          </w:tcPr>
          <w:p w14:paraId="6E60CC50" w14:textId="77777777" w:rsidR="00372E00" w:rsidRPr="00ED0B9C" w:rsidRDefault="00A77E06">
            <w:pPr>
              <w:widowControl/>
              <w:jc w:val="center"/>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.001</w:t>
            </w:r>
          </w:p>
        </w:tc>
        <w:tc>
          <w:tcPr>
            <w:tcW w:w="607" w:type="pct"/>
            <w:tcBorders>
              <w:top w:val="nil"/>
            </w:tcBorders>
            <w:noWrap/>
          </w:tcPr>
          <w:p w14:paraId="128B051D" w14:textId="77777777" w:rsidR="00372E00" w:rsidRPr="00ED0B9C" w:rsidRDefault="00A77E06">
            <w:pPr>
              <w:widowControl/>
              <w:jc w:val="center"/>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P</w:t>
            </w:r>
            <w:r w:rsidRPr="00ED0B9C">
              <w:rPr>
                <w:rFonts w:ascii="Times New Roman" w:eastAsia="微软雅黑" w:hAnsi="Times New Roman"/>
                <w:color w:val="000000" w:themeColor="text1"/>
                <w:kern w:val="24"/>
                <w:sz w:val="18"/>
                <w:szCs w:val="18"/>
              </w:rPr>
              <w:t>ositive</w:t>
            </w:r>
          </w:p>
        </w:tc>
        <w:tc>
          <w:tcPr>
            <w:tcW w:w="454" w:type="pct"/>
            <w:tcBorders>
              <w:top w:val="nil"/>
            </w:tcBorders>
            <w:noWrap/>
          </w:tcPr>
          <w:p w14:paraId="7A4FDA4F" w14:textId="77777777" w:rsidR="00372E00" w:rsidRPr="00ED0B9C" w:rsidRDefault="00A77E06">
            <w:pPr>
              <w:widowControl/>
              <w:jc w:val="center"/>
              <w:rPr>
                <w:rFonts w:ascii="Times New Roman" w:eastAsia="微软雅黑" w:hAnsi="Times New Roman"/>
                <w:color w:val="000000" w:themeColor="text1"/>
                <w:kern w:val="24"/>
                <w:sz w:val="18"/>
                <w:szCs w:val="18"/>
              </w:rPr>
            </w:pPr>
            <w:r w:rsidRPr="00ED0B9C">
              <w:rPr>
                <w:rFonts w:ascii="Times New Roman" w:eastAsia="微软雅黑" w:hAnsi="Times New Roman" w:hint="eastAsia"/>
                <w:color w:val="000000" w:themeColor="text1"/>
                <w:kern w:val="24"/>
                <w:sz w:val="18"/>
                <w:szCs w:val="18"/>
              </w:rPr>
              <w:t>0</w:t>
            </w:r>
            <w:r w:rsidRPr="00ED0B9C">
              <w:rPr>
                <w:rFonts w:ascii="Times New Roman" w:eastAsia="微软雅黑" w:hAnsi="Times New Roman"/>
                <w:color w:val="000000" w:themeColor="text1"/>
                <w:kern w:val="24"/>
                <w:sz w:val="18"/>
                <w:szCs w:val="18"/>
              </w:rPr>
              <w:t>.043</w:t>
            </w:r>
          </w:p>
        </w:tc>
        <w:tc>
          <w:tcPr>
            <w:tcW w:w="531" w:type="pct"/>
            <w:tcBorders>
              <w:top w:val="nil"/>
            </w:tcBorders>
            <w:noWrap/>
          </w:tcPr>
          <w:p w14:paraId="6477126A" w14:textId="77777777" w:rsidR="00372E00" w:rsidRPr="00ED0B9C" w:rsidRDefault="00A77E06">
            <w:pPr>
              <w:widowControl/>
              <w:jc w:val="center"/>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Firmicutes</w:t>
            </w:r>
          </w:p>
        </w:tc>
        <w:tc>
          <w:tcPr>
            <w:tcW w:w="833" w:type="pct"/>
            <w:tcBorders>
              <w:top w:val="nil"/>
            </w:tcBorders>
            <w:noWrap/>
          </w:tcPr>
          <w:p w14:paraId="470A6751" w14:textId="77777777" w:rsidR="00372E00" w:rsidRPr="00ED0B9C" w:rsidRDefault="00A77E06">
            <w:pPr>
              <w:widowControl/>
              <w:jc w:val="center"/>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Lachnospiraceae</w:t>
            </w:r>
          </w:p>
        </w:tc>
        <w:tc>
          <w:tcPr>
            <w:tcW w:w="985" w:type="pct"/>
            <w:tcBorders>
              <w:top w:val="nil"/>
            </w:tcBorders>
            <w:noWrap/>
          </w:tcPr>
          <w:p w14:paraId="752A5D19" w14:textId="77777777" w:rsidR="00372E00" w:rsidRPr="00ED0B9C" w:rsidRDefault="00A77E06">
            <w:pPr>
              <w:widowControl/>
              <w:jc w:val="center"/>
              <w:rPr>
                <w:rFonts w:ascii="Times New Roman" w:eastAsia="微软雅黑" w:hAnsi="Times New Roman"/>
                <w:color w:val="000000" w:themeColor="text1"/>
                <w:kern w:val="24"/>
                <w:sz w:val="18"/>
                <w:szCs w:val="18"/>
              </w:rPr>
            </w:pPr>
            <w:r w:rsidRPr="00ED0B9C">
              <w:rPr>
                <w:rFonts w:ascii="Times New Roman" w:eastAsia="微软雅黑" w:hAnsi="Times New Roman"/>
                <w:color w:val="000000" w:themeColor="text1"/>
                <w:kern w:val="24"/>
                <w:sz w:val="18"/>
                <w:szCs w:val="18"/>
              </w:rPr>
              <w:t>Lachnospiraceae spp</w:t>
            </w:r>
          </w:p>
        </w:tc>
        <w:tc>
          <w:tcPr>
            <w:tcW w:w="454" w:type="pct"/>
            <w:tcBorders>
              <w:top w:val="nil"/>
            </w:tcBorders>
            <w:noWrap/>
          </w:tcPr>
          <w:p w14:paraId="75427DA4" w14:textId="77777777" w:rsidR="00372E00" w:rsidRPr="00ED0B9C" w:rsidRDefault="00372E00">
            <w:pPr>
              <w:widowControl/>
              <w:jc w:val="center"/>
              <w:rPr>
                <w:rFonts w:ascii="Times New Roman" w:eastAsia="微软雅黑" w:hAnsi="Times New Roman"/>
                <w:color w:val="000000" w:themeColor="text1"/>
                <w:kern w:val="24"/>
                <w:sz w:val="18"/>
                <w:szCs w:val="18"/>
              </w:rPr>
            </w:pPr>
          </w:p>
        </w:tc>
      </w:tr>
    </w:tbl>
    <w:p w14:paraId="761A96A9" w14:textId="77777777" w:rsidR="00372E00" w:rsidRPr="00ED0B9C" w:rsidRDefault="00A77E06">
      <w:pPr>
        <w:widowControl/>
        <w:jc w:val="left"/>
        <w:rPr>
          <w:rFonts w:ascii="Times New Roman" w:hAnsi="Times New Roman" w:cs="Times New Roman"/>
          <w:color w:val="000000" w:themeColor="text1"/>
          <w:sz w:val="24"/>
          <w:szCs w:val="24"/>
        </w:rPr>
      </w:pPr>
      <w:r w:rsidRPr="00ED0B9C">
        <w:rPr>
          <w:rFonts w:ascii="Times New Roman" w:hAnsi="Times New Roman" w:cs="Times New Roman"/>
          <w:color w:val="000000" w:themeColor="text1"/>
          <w:kern w:val="24"/>
          <w:sz w:val="20"/>
          <w:szCs w:val="20"/>
        </w:rPr>
        <w:t>*</w:t>
      </w:r>
      <w:r w:rsidRPr="00ED0B9C">
        <w:rPr>
          <w:rFonts w:ascii="Times New Roman" w:hAnsi="Times New Roman" w:cs="Times New Roman"/>
          <w:color w:val="000000" w:themeColor="text1"/>
          <w:kern w:val="24"/>
          <w:sz w:val="18"/>
          <w:szCs w:val="18"/>
        </w:rPr>
        <w:t>The gut microbiota biomarkers were determined by MaAsLin (multivariate association analysis) adjusted by</w:t>
      </w:r>
      <w:bookmarkEnd w:id="27"/>
      <w:r w:rsidRPr="00ED0B9C">
        <w:rPr>
          <w:rFonts w:ascii="Times New Roman" w:hAnsi="Times New Roman" w:cs="Times New Roman"/>
          <w:color w:val="000000" w:themeColor="text1"/>
          <w:kern w:val="24"/>
          <w:sz w:val="18"/>
          <w:szCs w:val="18"/>
        </w:rPr>
        <w:t xml:space="preserve"> Bristol stool score, sequencing run, sequencing depth, age, sex, BMI, smoking status, alcohol status, physical activity, education, income, T2D status, drug use (medications for hypertension, hyperlipidemia and T2D), total energy intake, red and processed meat, fish and dairy products.</w:t>
      </w:r>
      <w:r w:rsidRPr="00ED0B9C">
        <w:rPr>
          <w:rFonts w:ascii="Times New Roman" w:hAnsi="Times New Roman" w:cs="Times New Roman"/>
          <w:color w:val="000000" w:themeColor="text1"/>
          <w:kern w:val="24"/>
          <w:sz w:val="20"/>
          <w:szCs w:val="20"/>
        </w:rPr>
        <w:br w:type="page"/>
      </w:r>
      <w:r w:rsidRPr="00ED0B9C">
        <w:rPr>
          <w:rFonts w:ascii="Times New Roman" w:hAnsi="Times New Roman" w:cs="Times New Roman"/>
          <w:b/>
          <w:bCs/>
          <w:color w:val="000000" w:themeColor="text1"/>
          <w:sz w:val="24"/>
          <w:szCs w:val="24"/>
        </w:rPr>
        <w:lastRenderedPageBreak/>
        <w:t xml:space="preserve">Table </w:t>
      </w:r>
      <w:r w:rsidR="00B160AE" w:rsidRPr="00ED0B9C">
        <w:rPr>
          <w:rFonts w:ascii="Times New Roman" w:hAnsi="Times New Roman" w:cs="Times New Roman"/>
          <w:b/>
          <w:bCs/>
          <w:color w:val="000000" w:themeColor="text1"/>
          <w:sz w:val="24"/>
          <w:szCs w:val="24"/>
        </w:rPr>
        <w:t>S</w:t>
      </w:r>
      <w:r w:rsidRPr="00ED0B9C">
        <w:rPr>
          <w:rFonts w:ascii="Times New Roman" w:hAnsi="Times New Roman" w:cs="Times New Roman"/>
          <w:b/>
          <w:bCs/>
          <w:color w:val="000000" w:themeColor="text1"/>
          <w:sz w:val="24"/>
          <w:szCs w:val="24"/>
        </w:rPr>
        <w:t xml:space="preserve">8 </w:t>
      </w:r>
      <w:r w:rsidRPr="00ED0B9C">
        <w:rPr>
          <w:rFonts w:ascii="Times New Roman" w:hAnsi="Times New Roman" w:cs="Times New Roman"/>
          <w:b/>
          <w:color w:val="000000" w:themeColor="text1"/>
          <w:sz w:val="24"/>
          <w:szCs w:val="24"/>
        </w:rPr>
        <w:t>Sensitivity analysis for the relationships among the fruit intake, fruit-microbiota index and type 2 diabetes in the GGMP</w:t>
      </w:r>
      <w:r w:rsidRPr="00ED0B9C">
        <w:rPr>
          <w:rFonts w:ascii="Times New Roman" w:hAnsi="Times New Roman" w:cs="Times New Roman"/>
          <w:b/>
          <w:bCs/>
          <w:color w:val="000000" w:themeColor="text1"/>
          <w:sz w:val="24"/>
          <w:szCs w:val="24"/>
        </w:rPr>
        <w:t>*</w:t>
      </w:r>
    </w:p>
    <w:tbl>
      <w:tblPr>
        <w:tblW w:w="5000" w:type="pct"/>
        <w:jc w:val="center"/>
        <w:tblCellMar>
          <w:left w:w="0" w:type="dxa"/>
          <w:right w:w="0" w:type="dxa"/>
        </w:tblCellMar>
        <w:tblLook w:val="04A0" w:firstRow="1" w:lastRow="0" w:firstColumn="1" w:lastColumn="0" w:noHBand="0" w:noVBand="1"/>
      </w:tblPr>
      <w:tblGrid>
        <w:gridCol w:w="3071"/>
        <w:gridCol w:w="1334"/>
        <w:gridCol w:w="1508"/>
        <w:gridCol w:w="1086"/>
        <w:gridCol w:w="1307"/>
      </w:tblGrid>
      <w:tr w:rsidR="00ED0B9C" w:rsidRPr="00ED0B9C" w14:paraId="53DBC785" w14:textId="77777777">
        <w:trPr>
          <w:trHeight w:val="288"/>
          <w:jc w:val="center"/>
        </w:trPr>
        <w:tc>
          <w:tcPr>
            <w:tcW w:w="1848" w:type="pct"/>
            <w:vMerge w:val="restart"/>
            <w:tcBorders>
              <w:top w:val="single" w:sz="12" w:space="0" w:color="000000"/>
              <w:left w:val="nil"/>
              <w:bottom w:val="single" w:sz="12" w:space="0" w:color="000000"/>
              <w:right w:val="nil"/>
            </w:tcBorders>
            <w:shd w:val="clear" w:color="auto" w:fill="FFFFFF"/>
            <w:tcMar>
              <w:top w:w="15" w:type="dxa"/>
              <w:left w:w="33" w:type="dxa"/>
              <w:bottom w:w="0" w:type="dxa"/>
              <w:right w:w="33" w:type="dxa"/>
            </w:tcMar>
            <w:vAlign w:val="center"/>
          </w:tcPr>
          <w:p w14:paraId="7512B9FE"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br w:type="page"/>
              <w:t>Fruit-microbiota index</w:t>
            </w:r>
          </w:p>
        </w:tc>
        <w:tc>
          <w:tcPr>
            <w:tcW w:w="3152" w:type="pct"/>
            <w:gridSpan w:val="4"/>
            <w:tcBorders>
              <w:top w:val="single" w:sz="12" w:space="0" w:color="000000"/>
              <w:left w:val="nil"/>
              <w:bottom w:val="single" w:sz="12" w:space="0" w:color="000000"/>
              <w:right w:val="nil"/>
            </w:tcBorders>
            <w:shd w:val="clear" w:color="auto" w:fill="FFFFFF"/>
            <w:tcMar>
              <w:top w:w="15" w:type="dxa"/>
              <w:left w:w="33" w:type="dxa"/>
              <w:bottom w:w="0" w:type="dxa"/>
              <w:right w:w="33" w:type="dxa"/>
            </w:tcMar>
            <w:vAlign w:val="center"/>
          </w:tcPr>
          <w:p w14:paraId="6A7634FD"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Relationships</w:t>
            </w:r>
          </w:p>
        </w:tc>
      </w:tr>
      <w:tr w:rsidR="00ED0B9C" w:rsidRPr="00ED0B9C" w14:paraId="55B0AB7C" w14:textId="77777777">
        <w:trPr>
          <w:trHeight w:val="288"/>
          <w:jc w:val="center"/>
        </w:trPr>
        <w:tc>
          <w:tcPr>
            <w:tcW w:w="1848" w:type="pct"/>
            <w:vMerge/>
            <w:tcBorders>
              <w:top w:val="single" w:sz="12" w:space="0" w:color="000000"/>
              <w:left w:val="nil"/>
              <w:bottom w:val="single" w:sz="12" w:space="0" w:color="000000"/>
              <w:right w:val="nil"/>
            </w:tcBorders>
            <w:vAlign w:val="center"/>
          </w:tcPr>
          <w:p w14:paraId="31820B97" w14:textId="77777777" w:rsidR="00372E00" w:rsidRPr="00ED0B9C" w:rsidRDefault="00372E00">
            <w:pPr>
              <w:jc w:val="center"/>
              <w:rPr>
                <w:rFonts w:ascii="Times New Roman" w:eastAsia="宋体" w:hAnsi="Times New Roman" w:cs="Times New Roman"/>
                <w:color w:val="000000" w:themeColor="text1"/>
                <w:sz w:val="20"/>
                <w:szCs w:val="20"/>
              </w:rPr>
            </w:pPr>
          </w:p>
        </w:tc>
        <w:tc>
          <w:tcPr>
            <w:tcW w:w="803" w:type="pct"/>
            <w:tcBorders>
              <w:top w:val="single" w:sz="12" w:space="0" w:color="000000"/>
              <w:left w:val="nil"/>
              <w:bottom w:val="single" w:sz="12" w:space="0" w:color="000000"/>
              <w:right w:val="nil"/>
            </w:tcBorders>
            <w:shd w:val="clear" w:color="auto" w:fill="FFFFFF"/>
            <w:tcMar>
              <w:top w:w="15" w:type="dxa"/>
              <w:left w:w="33" w:type="dxa"/>
              <w:bottom w:w="0" w:type="dxa"/>
              <w:right w:w="33" w:type="dxa"/>
            </w:tcMar>
            <w:vAlign w:val="center"/>
          </w:tcPr>
          <w:p w14:paraId="65036443"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n</w:t>
            </w:r>
          </w:p>
        </w:tc>
        <w:tc>
          <w:tcPr>
            <w:tcW w:w="908" w:type="pct"/>
            <w:tcBorders>
              <w:top w:val="single" w:sz="12" w:space="0" w:color="000000"/>
              <w:left w:val="nil"/>
              <w:bottom w:val="single" w:sz="12" w:space="0" w:color="000000"/>
              <w:right w:val="nil"/>
            </w:tcBorders>
            <w:shd w:val="clear" w:color="auto" w:fill="FFFFFF"/>
            <w:tcMar>
              <w:top w:w="15" w:type="dxa"/>
              <w:left w:w="33" w:type="dxa"/>
              <w:bottom w:w="0" w:type="dxa"/>
              <w:right w:w="33" w:type="dxa"/>
            </w:tcMar>
            <w:vAlign w:val="center"/>
          </w:tcPr>
          <w:p w14:paraId="4E2A5853"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i/>
                <w:iCs/>
                <w:color w:val="000000" w:themeColor="text1"/>
                <w:sz w:val="20"/>
                <w:szCs w:val="20"/>
              </w:rPr>
              <w:t xml:space="preserve">β </w:t>
            </w:r>
            <w:r w:rsidRPr="00ED0B9C">
              <w:rPr>
                <w:rFonts w:ascii="Times New Roman" w:hAnsi="Times New Roman" w:cs="Times New Roman"/>
                <w:color w:val="000000" w:themeColor="text1"/>
                <w:sz w:val="20"/>
                <w:szCs w:val="20"/>
              </w:rPr>
              <w:t>coefficient or Odds ratio</w:t>
            </w:r>
          </w:p>
        </w:tc>
        <w:tc>
          <w:tcPr>
            <w:tcW w:w="654" w:type="pct"/>
            <w:tcBorders>
              <w:top w:val="single" w:sz="12" w:space="0" w:color="000000"/>
              <w:left w:val="nil"/>
              <w:bottom w:val="single" w:sz="12" w:space="0" w:color="000000"/>
              <w:right w:val="nil"/>
            </w:tcBorders>
            <w:shd w:val="clear" w:color="auto" w:fill="FFFFFF"/>
            <w:tcMar>
              <w:top w:w="15" w:type="dxa"/>
              <w:left w:w="33" w:type="dxa"/>
              <w:bottom w:w="0" w:type="dxa"/>
              <w:right w:w="33" w:type="dxa"/>
            </w:tcMar>
            <w:vAlign w:val="center"/>
          </w:tcPr>
          <w:p w14:paraId="498B36E7"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95%CI</w:t>
            </w:r>
          </w:p>
        </w:tc>
        <w:tc>
          <w:tcPr>
            <w:tcW w:w="787" w:type="pct"/>
            <w:tcBorders>
              <w:top w:val="single" w:sz="12" w:space="0" w:color="000000"/>
              <w:left w:val="nil"/>
              <w:bottom w:val="single" w:sz="12" w:space="0" w:color="000000"/>
              <w:right w:val="nil"/>
            </w:tcBorders>
            <w:shd w:val="clear" w:color="auto" w:fill="FFFFFF"/>
            <w:tcMar>
              <w:top w:w="15" w:type="dxa"/>
              <w:left w:w="33" w:type="dxa"/>
              <w:bottom w:w="0" w:type="dxa"/>
              <w:right w:w="33" w:type="dxa"/>
            </w:tcMar>
            <w:vAlign w:val="center"/>
          </w:tcPr>
          <w:p w14:paraId="7CC61215"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i/>
                <w:iCs/>
                <w:color w:val="000000" w:themeColor="text1"/>
                <w:sz w:val="20"/>
                <w:szCs w:val="20"/>
              </w:rPr>
              <w:t xml:space="preserve">p </w:t>
            </w:r>
            <w:r w:rsidRPr="00ED0B9C">
              <w:rPr>
                <w:rFonts w:ascii="Times New Roman" w:hAnsi="Times New Roman" w:cs="Times New Roman"/>
                <w:color w:val="000000" w:themeColor="text1"/>
                <w:sz w:val="20"/>
                <w:szCs w:val="20"/>
              </w:rPr>
              <w:t>value</w:t>
            </w:r>
          </w:p>
        </w:tc>
      </w:tr>
      <w:tr w:rsidR="00ED0B9C" w:rsidRPr="00ED0B9C" w14:paraId="029367E4" w14:textId="77777777">
        <w:trPr>
          <w:trHeight w:val="465"/>
          <w:jc w:val="center"/>
        </w:trPr>
        <w:tc>
          <w:tcPr>
            <w:tcW w:w="1848" w:type="pct"/>
            <w:tcBorders>
              <w:top w:val="single" w:sz="12" w:space="0" w:color="000000"/>
              <w:left w:val="nil"/>
              <w:right w:val="nil"/>
            </w:tcBorders>
            <w:shd w:val="clear" w:color="auto" w:fill="FFFFFF"/>
            <w:tcMar>
              <w:top w:w="15" w:type="dxa"/>
              <w:left w:w="33" w:type="dxa"/>
              <w:bottom w:w="0" w:type="dxa"/>
              <w:right w:w="33" w:type="dxa"/>
            </w:tcMar>
            <w:vAlign w:val="center"/>
          </w:tcPr>
          <w:p w14:paraId="75AF97A0"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Fruit intake</w:t>
            </w:r>
          </w:p>
        </w:tc>
        <w:tc>
          <w:tcPr>
            <w:tcW w:w="803" w:type="pct"/>
            <w:tcBorders>
              <w:top w:val="single" w:sz="12" w:space="0" w:color="000000"/>
              <w:left w:val="nil"/>
              <w:right w:val="nil"/>
            </w:tcBorders>
            <w:shd w:val="clear" w:color="auto" w:fill="FFFFFF"/>
            <w:tcMar>
              <w:top w:w="15" w:type="dxa"/>
              <w:left w:w="33" w:type="dxa"/>
              <w:bottom w:w="0" w:type="dxa"/>
              <w:right w:w="33" w:type="dxa"/>
            </w:tcMar>
            <w:vAlign w:val="center"/>
          </w:tcPr>
          <w:p w14:paraId="6C58BE52" w14:textId="77777777" w:rsidR="00372E00" w:rsidRPr="00ED0B9C" w:rsidRDefault="00A77E06">
            <w:pPr>
              <w:jc w:val="center"/>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4109</w:t>
            </w:r>
          </w:p>
        </w:tc>
        <w:tc>
          <w:tcPr>
            <w:tcW w:w="908" w:type="pct"/>
            <w:tcBorders>
              <w:top w:val="single" w:sz="12" w:space="0" w:color="000000"/>
              <w:left w:val="nil"/>
              <w:right w:val="nil"/>
            </w:tcBorders>
            <w:shd w:val="clear" w:color="auto" w:fill="FFFFFF"/>
            <w:tcMar>
              <w:top w:w="15" w:type="dxa"/>
              <w:left w:w="33" w:type="dxa"/>
              <w:bottom w:w="0" w:type="dxa"/>
              <w:right w:w="33" w:type="dxa"/>
            </w:tcMar>
            <w:vAlign w:val="center"/>
          </w:tcPr>
          <w:p w14:paraId="238A50E4" w14:textId="77777777" w:rsidR="00372E00" w:rsidRPr="00ED0B9C" w:rsidRDefault="00A77E06">
            <w:pPr>
              <w:jc w:val="center"/>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3.38</w:t>
            </w:r>
          </w:p>
        </w:tc>
        <w:tc>
          <w:tcPr>
            <w:tcW w:w="654" w:type="pct"/>
            <w:tcBorders>
              <w:top w:val="single" w:sz="12" w:space="0" w:color="000000"/>
              <w:left w:val="nil"/>
              <w:right w:val="nil"/>
            </w:tcBorders>
            <w:shd w:val="clear" w:color="auto" w:fill="FFFFFF"/>
            <w:tcMar>
              <w:top w:w="15" w:type="dxa"/>
              <w:left w:w="33" w:type="dxa"/>
              <w:bottom w:w="0" w:type="dxa"/>
              <w:right w:w="33" w:type="dxa"/>
            </w:tcMar>
            <w:vAlign w:val="center"/>
          </w:tcPr>
          <w:p w14:paraId="0C4E1379" w14:textId="77777777" w:rsidR="00372E00" w:rsidRPr="00ED0B9C" w:rsidRDefault="00A77E06">
            <w:pPr>
              <w:jc w:val="center"/>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[0.11, 6.64]</w:t>
            </w:r>
          </w:p>
        </w:tc>
        <w:tc>
          <w:tcPr>
            <w:tcW w:w="787" w:type="pct"/>
            <w:tcBorders>
              <w:top w:val="single" w:sz="12" w:space="0" w:color="000000"/>
              <w:left w:val="nil"/>
              <w:right w:val="nil"/>
            </w:tcBorders>
            <w:shd w:val="clear" w:color="auto" w:fill="FFFFFF"/>
            <w:tcMar>
              <w:top w:w="15" w:type="dxa"/>
              <w:left w:w="33" w:type="dxa"/>
              <w:bottom w:w="0" w:type="dxa"/>
              <w:right w:w="33" w:type="dxa"/>
            </w:tcMar>
            <w:vAlign w:val="center"/>
          </w:tcPr>
          <w:p w14:paraId="2A4DB7DD" w14:textId="77777777" w:rsidR="00372E00" w:rsidRPr="00ED0B9C" w:rsidRDefault="00A77E06">
            <w:pPr>
              <w:jc w:val="center"/>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0.042</w:t>
            </w:r>
          </w:p>
        </w:tc>
      </w:tr>
      <w:tr w:rsidR="00ED0B9C" w:rsidRPr="00ED0B9C" w14:paraId="5FBEDD73" w14:textId="77777777">
        <w:trPr>
          <w:trHeight w:val="386"/>
          <w:jc w:val="center"/>
        </w:trPr>
        <w:tc>
          <w:tcPr>
            <w:tcW w:w="1848" w:type="pct"/>
            <w:tcBorders>
              <w:top w:val="nil"/>
              <w:left w:val="nil"/>
              <w:bottom w:val="single" w:sz="12" w:space="0" w:color="000000"/>
              <w:right w:val="nil"/>
            </w:tcBorders>
            <w:shd w:val="clear" w:color="auto" w:fill="FFFFFF"/>
            <w:tcMar>
              <w:top w:w="15" w:type="dxa"/>
              <w:left w:w="33" w:type="dxa"/>
              <w:bottom w:w="0" w:type="dxa"/>
              <w:right w:w="33" w:type="dxa"/>
            </w:tcMar>
            <w:vAlign w:val="center"/>
          </w:tcPr>
          <w:p w14:paraId="6C0537B1"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eastAsia="宋体" w:hAnsi="Times New Roman" w:cs="Times New Roman"/>
                <w:color w:val="000000" w:themeColor="text1"/>
                <w:sz w:val="20"/>
                <w:szCs w:val="20"/>
              </w:rPr>
              <w:t>T2D risk</w:t>
            </w:r>
          </w:p>
        </w:tc>
        <w:tc>
          <w:tcPr>
            <w:tcW w:w="803" w:type="pct"/>
            <w:tcBorders>
              <w:top w:val="nil"/>
              <w:left w:val="nil"/>
              <w:bottom w:val="single" w:sz="12" w:space="0" w:color="000000"/>
              <w:right w:val="nil"/>
            </w:tcBorders>
            <w:shd w:val="clear" w:color="auto" w:fill="FFFFFF"/>
            <w:tcMar>
              <w:top w:w="15" w:type="dxa"/>
              <w:left w:w="33" w:type="dxa"/>
              <w:bottom w:w="0" w:type="dxa"/>
              <w:right w:w="33" w:type="dxa"/>
            </w:tcMar>
            <w:vAlign w:val="center"/>
          </w:tcPr>
          <w:p w14:paraId="1F368567"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4109</w:t>
            </w:r>
          </w:p>
        </w:tc>
        <w:tc>
          <w:tcPr>
            <w:tcW w:w="908" w:type="pct"/>
            <w:tcBorders>
              <w:top w:val="nil"/>
              <w:left w:val="nil"/>
              <w:bottom w:val="single" w:sz="12" w:space="0" w:color="000000"/>
              <w:right w:val="nil"/>
            </w:tcBorders>
            <w:shd w:val="clear" w:color="auto" w:fill="FFFFFF"/>
            <w:tcMar>
              <w:top w:w="15" w:type="dxa"/>
              <w:left w:w="33" w:type="dxa"/>
              <w:bottom w:w="0" w:type="dxa"/>
              <w:right w:w="33" w:type="dxa"/>
            </w:tcMar>
            <w:vAlign w:val="center"/>
          </w:tcPr>
          <w:p w14:paraId="09A893D1"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0.90</w:t>
            </w:r>
          </w:p>
        </w:tc>
        <w:tc>
          <w:tcPr>
            <w:tcW w:w="654" w:type="pct"/>
            <w:tcBorders>
              <w:top w:val="nil"/>
              <w:left w:val="nil"/>
              <w:bottom w:val="single" w:sz="12" w:space="0" w:color="000000"/>
              <w:right w:val="nil"/>
            </w:tcBorders>
            <w:shd w:val="clear" w:color="auto" w:fill="FFFFFF"/>
            <w:tcMar>
              <w:top w:w="15" w:type="dxa"/>
              <w:left w:w="33" w:type="dxa"/>
              <w:bottom w:w="0" w:type="dxa"/>
              <w:right w:w="33" w:type="dxa"/>
            </w:tcMar>
            <w:vAlign w:val="center"/>
          </w:tcPr>
          <w:p w14:paraId="233B72C6"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[0.83, 0.99]</w:t>
            </w:r>
          </w:p>
        </w:tc>
        <w:tc>
          <w:tcPr>
            <w:tcW w:w="787" w:type="pct"/>
            <w:tcBorders>
              <w:top w:val="nil"/>
              <w:left w:val="nil"/>
              <w:bottom w:val="single" w:sz="12" w:space="0" w:color="000000"/>
              <w:right w:val="nil"/>
            </w:tcBorders>
            <w:shd w:val="clear" w:color="auto" w:fill="FFFFFF"/>
            <w:tcMar>
              <w:top w:w="15" w:type="dxa"/>
              <w:left w:w="33" w:type="dxa"/>
              <w:bottom w:w="0" w:type="dxa"/>
              <w:right w:w="33" w:type="dxa"/>
            </w:tcMar>
            <w:vAlign w:val="center"/>
          </w:tcPr>
          <w:p w14:paraId="3AAED219" w14:textId="77777777" w:rsidR="00372E00" w:rsidRPr="00ED0B9C" w:rsidRDefault="00A77E06">
            <w:pPr>
              <w:jc w:val="center"/>
              <w:rPr>
                <w:rFonts w:ascii="Times New Roman" w:eastAsia="宋体" w:hAnsi="Times New Roman" w:cs="Times New Roman"/>
                <w:color w:val="000000" w:themeColor="text1"/>
                <w:sz w:val="20"/>
                <w:szCs w:val="20"/>
              </w:rPr>
            </w:pPr>
            <w:r w:rsidRPr="00ED0B9C">
              <w:rPr>
                <w:rFonts w:ascii="Times New Roman" w:hAnsi="Times New Roman" w:cs="Times New Roman"/>
                <w:color w:val="000000" w:themeColor="text1"/>
                <w:sz w:val="20"/>
                <w:szCs w:val="20"/>
              </w:rPr>
              <w:t>0.020</w:t>
            </w:r>
          </w:p>
        </w:tc>
      </w:tr>
    </w:tbl>
    <w:p w14:paraId="384272D9" w14:textId="77777777" w:rsidR="00372E00" w:rsidRPr="00ED0B9C" w:rsidRDefault="00A77E06">
      <w:pPr>
        <w:widowControl/>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t>* Income data is available for 4109 participants; Multivariable linear regression (</w:t>
      </w:r>
      <w:r w:rsidRPr="00ED0B9C">
        <w:rPr>
          <w:rFonts w:ascii="Times New Roman" w:hAnsi="Times New Roman" w:cs="Times New Roman"/>
          <w:i/>
          <w:iCs/>
          <w:color w:val="000000" w:themeColor="text1"/>
          <w:sz w:val="20"/>
          <w:szCs w:val="20"/>
        </w:rPr>
        <w:t xml:space="preserve">β </w:t>
      </w:r>
      <w:r w:rsidRPr="00ED0B9C">
        <w:rPr>
          <w:rFonts w:ascii="Times New Roman" w:hAnsi="Times New Roman" w:cs="Times New Roman"/>
          <w:color w:val="000000" w:themeColor="text1"/>
          <w:sz w:val="20"/>
          <w:szCs w:val="20"/>
        </w:rPr>
        <w:t>coefficient) was used to estimate the associations of fruit intake with fruit-microbiota index (FMI); Multivariable logistic regression (Odds ratio) was used to estimate the association of FMI (per standardized unit increase) with type 2 diabetes (T2D) risk (344 cases/4109).</w:t>
      </w:r>
    </w:p>
    <w:p w14:paraId="683CC226" w14:textId="77777777" w:rsidR="00372E00" w:rsidRPr="00ED0B9C" w:rsidRDefault="00A77E06">
      <w:pPr>
        <w:widowControl/>
        <w:jc w:val="left"/>
        <w:rPr>
          <w:rFonts w:ascii="Times New Roman" w:hAnsi="Times New Roman" w:cs="Times New Roman"/>
          <w:color w:val="000000" w:themeColor="text1"/>
          <w:sz w:val="20"/>
          <w:szCs w:val="20"/>
        </w:rPr>
      </w:pPr>
      <w:r w:rsidRPr="00ED0B9C">
        <w:rPr>
          <w:rFonts w:ascii="Times New Roman" w:hAnsi="Times New Roman" w:cs="Times New Roman"/>
          <w:color w:val="000000" w:themeColor="text1"/>
          <w:sz w:val="20"/>
          <w:szCs w:val="20"/>
        </w:rPr>
        <w:br w:type="page"/>
      </w:r>
    </w:p>
    <w:p w14:paraId="7DF12B67" w14:textId="77777777" w:rsidR="00372E00" w:rsidRPr="00ED0B9C" w:rsidRDefault="00A77E06">
      <w:pPr>
        <w:widowControl/>
        <w:spacing w:line="360" w:lineRule="auto"/>
        <w:jc w:val="left"/>
        <w:rPr>
          <w:rFonts w:ascii="Times New Roman" w:hAnsi="Times New Roman" w:cs="Times New Roman"/>
          <w:b/>
          <w:bCs/>
          <w:color w:val="000000" w:themeColor="text1"/>
          <w:sz w:val="24"/>
          <w:szCs w:val="24"/>
        </w:rPr>
      </w:pPr>
      <w:bookmarkStart w:id="29" w:name="_Hlk29892559"/>
      <w:bookmarkEnd w:id="11"/>
      <w:r w:rsidRPr="00ED0B9C">
        <w:rPr>
          <w:rFonts w:ascii="Times New Roman" w:hAnsi="Times New Roman" w:cs="Times New Roman" w:hint="eastAsia"/>
          <w:b/>
          <w:color w:val="000000" w:themeColor="text1"/>
          <w:sz w:val="24"/>
          <w:szCs w:val="24"/>
        </w:rPr>
        <w:lastRenderedPageBreak/>
        <w:t>S</w:t>
      </w:r>
      <w:r w:rsidRPr="00ED0B9C">
        <w:rPr>
          <w:rFonts w:ascii="Times New Roman" w:hAnsi="Times New Roman" w:cs="Times New Roman"/>
          <w:b/>
          <w:color w:val="000000" w:themeColor="text1"/>
          <w:sz w:val="24"/>
          <w:szCs w:val="24"/>
        </w:rPr>
        <w:t>upplementary</w:t>
      </w:r>
      <w:r w:rsidRPr="00ED0B9C">
        <w:rPr>
          <w:rFonts w:ascii="Times New Roman" w:hAnsi="Times New Roman" w:cs="Times New Roman" w:hint="eastAsia"/>
          <w:b/>
          <w:color w:val="000000" w:themeColor="text1"/>
          <w:sz w:val="24"/>
          <w:szCs w:val="24"/>
        </w:rPr>
        <w:t xml:space="preserve"> </w:t>
      </w:r>
      <w:r w:rsidRPr="00ED0B9C">
        <w:rPr>
          <w:rFonts w:ascii="Times New Roman" w:hAnsi="Times New Roman" w:cs="Times New Roman"/>
          <w:b/>
          <w:bCs/>
          <w:color w:val="000000" w:themeColor="text1"/>
          <w:sz w:val="24"/>
          <w:szCs w:val="24"/>
        </w:rPr>
        <w:t xml:space="preserve">Figures </w:t>
      </w:r>
    </w:p>
    <w:p w14:paraId="281B1B6F" w14:textId="77777777" w:rsidR="00372E00" w:rsidRPr="00ED0B9C" w:rsidRDefault="00A77E06">
      <w:pPr>
        <w:spacing w:line="360" w:lineRule="auto"/>
        <w:jc w:val="left"/>
        <w:rPr>
          <w:rFonts w:ascii="Times New Roman" w:hAnsi="Times New Roman"/>
          <w:color w:val="000000" w:themeColor="text1"/>
          <w:sz w:val="24"/>
          <w:szCs w:val="24"/>
        </w:rPr>
      </w:pPr>
      <w:bookmarkStart w:id="30" w:name="_Hlk29984612"/>
      <w:bookmarkStart w:id="31" w:name="_Hlk29411227"/>
      <w:bookmarkEnd w:id="29"/>
      <w:r w:rsidRPr="00ED0B9C">
        <w:rPr>
          <w:rFonts w:ascii="Times New Roman" w:hAnsi="Times New Roman" w:cs="Times New Roman"/>
          <w:b/>
          <w:color w:val="000000" w:themeColor="text1"/>
          <w:sz w:val="24"/>
          <w:szCs w:val="24"/>
        </w:rPr>
        <w:t xml:space="preserve">Figure </w:t>
      </w:r>
      <w:r w:rsidR="00B160AE" w:rsidRPr="00ED0B9C">
        <w:rPr>
          <w:rFonts w:ascii="Times New Roman" w:hAnsi="Times New Roman" w:cs="Times New Roman"/>
          <w:b/>
          <w:color w:val="000000" w:themeColor="text1"/>
          <w:sz w:val="24"/>
          <w:szCs w:val="24"/>
        </w:rPr>
        <w:t>S</w:t>
      </w:r>
      <w:r w:rsidRPr="00ED0B9C">
        <w:rPr>
          <w:rFonts w:ascii="Times New Roman" w:hAnsi="Times New Roman" w:cs="Times New Roman"/>
          <w:b/>
          <w:color w:val="000000" w:themeColor="text1"/>
          <w:sz w:val="24"/>
          <w:szCs w:val="24"/>
        </w:rPr>
        <w:t>1 The prospective associations of vegetable intake and total fruit and vegetable intake with α-diversity.</w:t>
      </w:r>
      <w:bookmarkEnd w:id="30"/>
      <w:bookmarkEnd w:id="31"/>
      <w:r w:rsidRPr="00ED0B9C">
        <w:rPr>
          <w:rFonts w:ascii="Times New Roman" w:hAnsi="Times New Roman"/>
          <w:color w:val="000000" w:themeColor="text1"/>
          <w:sz w:val="24"/>
          <w:szCs w:val="24"/>
        </w:rPr>
        <w:t xml:space="preserve"> </w:t>
      </w:r>
    </w:p>
    <w:p w14:paraId="32F84578" w14:textId="77777777" w:rsidR="00372E00" w:rsidRPr="00ED0B9C" w:rsidRDefault="00372E00">
      <w:pPr>
        <w:jc w:val="left"/>
        <w:rPr>
          <w:rFonts w:ascii="Times New Roman" w:hAnsi="Times New Roman"/>
          <w:color w:val="000000" w:themeColor="text1"/>
          <w:sz w:val="24"/>
          <w:szCs w:val="24"/>
        </w:rPr>
      </w:pPr>
    </w:p>
    <w:p w14:paraId="798DE5C1" w14:textId="77777777" w:rsidR="00372E00" w:rsidRPr="00ED0B9C" w:rsidRDefault="00A77E06">
      <w:pPr>
        <w:jc w:val="left"/>
        <w:rPr>
          <w:rFonts w:ascii="Times New Roman" w:hAnsi="Times New Roman"/>
          <w:color w:val="000000" w:themeColor="text1"/>
          <w:sz w:val="24"/>
          <w:szCs w:val="24"/>
        </w:rPr>
      </w:pPr>
      <w:r w:rsidRPr="00ED0B9C">
        <w:rPr>
          <w:noProof/>
          <w:color w:val="000000" w:themeColor="text1"/>
        </w:rPr>
        <w:drawing>
          <wp:inline distT="0" distB="0" distL="0" distR="0" wp14:anchorId="24FA7D49" wp14:editId="38A51071">
            <wp:extent cx="5269230" cy="3419475"/>
            <wp:effectExtent l="0" t="0" r="762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69249" cy="3420000"/>
                    </a:xfrm>
                    <a:prstGeom prst="rect">
                      <a:avLst/>
                    </a:prstGeom>
                    <a:noFill/>
                    <a:ln>
                      <a:noFill/>
                    </a:ln>
                  </pic:spPr>
                </pic:pic>
              </a:graphicData>
            </a:graphic>
          </wp:inline>
        </w:drawing>
      </w:r>
    </w:p>
    <w:p w14:paraId="53B42329" w14:textId="77777777" w:rsidR="00372E00" w:rsidRPr="00ED0B9C" w:rsidRDefault="00A77E06">
      <w:pPr>
        <w:widowControl/>
        <w:spacing w:line="360" w:lineRule="auto"/>
        <w:jc w:val="left"/>
        <w:rPr>
          <w:rFonts w:ascii="Times New Roman" w:hAnsi="Times New Roman" w:cs="Times New Roman"/>
          <w:b/>
          <w:color w:val="000000" w:themeColor="text1"/>
          <w:sz w:val="24"/>
          <w:szCs w:val="24"/>
        </w:rPr>
      </w:pPr>
      <w:r w:rsidRPr="00ED0B9C">
        <w:rPr>
          <w:rFonts w:ascii="Times New Roman" w:hAnsi="Times New Roman"/>
          <w:color w:val="000000" w:themeColor="text1"/>
          <w:sz w:val="24"/>
          <w:szCs w:val="24"/>
        </w:rPr>
        <w:br w:type="page"/>
      </w:r>
      <w:bookmarkStart w:id="32" w:name="_Hlk29416342"/>
      <w:r w:rsidRPr="00ED0B9C">
        <w:rPr>
          <w:rFonts w:ascii="Times New Roman" w:hAnsi="Times New Roman" w:cs="Times New Roman"/>
          <w:b/>
          <w:color w:val="000000" w:themeColor="text1"/>
          <w:sz w:val="24"/>
          <w:szCs w:val="24"/>
        </w:rPr>
        <w:lastRenderedPageBreak/>
        <w:t xml:space="preserve">Figure </w:t>
      </w:r>
      <w:r w:rsidR="00B160AE" w:rsidRPr="00ED0B9C">
        <w:rPr>
          <w:rFonts w:ascii="Times New Roman" w:hAnsi="Times New Roman" w:cs="Times New Roman"/>
          <w:b/>
          <w:color w:val="000000" w:themeColor="text1"/>
          <w:sz w:val="24"/>
          <w:szCs w:val="24"/>
        </w:rPr>
        <w:t>S</w:t>
      </w:r>
      <w:r w:rsidRPr="00ED0B9C">
        <w:rPr>
          <w:rFonts w:ascii="Times New Roman" w:hAnsi="Times New Roman" w:cs="Times New Roman"/>
          <w:b/>
          <w:color w:val="000000" w:themeColor="text1"/>
          <w:sz w:val="24"/>
          <w:szCs w:val="24"/>
        </w:rPr>
        <w:t xml:space="preserve">2 The prospective associations of vegetable intake and total fruit and vegetable intake with β-diversity. </w:t>
      </w:r>
    </w:p>
    <w:p w14:paraId="40B5B416" w14:textId="77777777" w:rsidR="00372E00" w:rsidRPr="00ED0B9C" w:rsidRDefault="00372E00">
      <w:pPr>
        <w:widowControl/>
        <w:jc w:val="left"/>
        <w:rPr>
          <w:rFonts w:ascii="Times New Roman" w:hAnsi="Times New Roman" w:cs="Times New Roman"/>
          <w:bCs/>
          <w:color w:val="000000" w:themeColor="text1"/>
          <w:sz w:val="24"/>
          <w:szCs w:val="24"/>
        </w:rPr>
      </w:pPr>
    </w:p>
    <w:p w14:paraId="15CA81D1" w14:textId="77777777" w:rsidR="00372E00" w:rsidRPr="00ED0B9C" w:rsidRDefault="00A77E06">
      <w:pPr>
        <w:rPr>
          <w:rFonts w:ascii="Times New Roman" w:hAnsi="Times New Roman" w:cs="Times New Roman"/>
          <w:b/>
          <w:color w:val="000000" w:themeColor="text1"/>
          <w:sz w:val="24"/>
          <w:szCs w:val="24"/>
        </w:rPr>
      </w:pPr>
      <w:r w:rsidRPr="00ED0B9C">
        <w:rPr>
          <w:rFonts w:ascii="Times New Roman" w:hAnsi="Times New Roman"/>
          <w:bCs/>
          <w:noProof/>
          <w:color w:val="000000" w:themeColor="text1"/>
          <w:sz w:val="24"/>
          <w:szCs w:val="24"/>
        </w:rPr>
        <w:drawing>
          <wp:inline distT="0" distB="0" distL="0" distR="0" wp14:anchorId="2F749E5C" wp14:editId="27EC0B10">
            <wp:extent cx="4871085" cy="2712720"/>
            <wp:effectExtent l="0" t="0" r="571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71085" cy="2712720"/>
                    </a:xfrm>
                    <a:prstGeom prst="rect">
                      <a:avLst/>
                    </a:prstGeom>
                    <a:noFill/>
                  </pic:spPr>
                </pic:pic>
              </a:graphicData>
            </a:graphic>
          </wp:inline>
        </w:drawing>
      </w:r>
      <w:r w:rsidRPr="00ED0B9C">
        <w:rPr>
          <w:rFonts w:ascii="Times New Roman" w:eastAsia="Times New Roman" w:hAnsi="Times New Roman" w:cs="Times New Roman"/>
          <w:snapToGrid w:val="0"/>
          <w:color w:val="000000" w:themeColor="text1"/>
          <w:w w:val="0"/>
          <w:kern w:val="0"/>
          <w:sz w:val="0"/>
          <w:szCs w:val="0"/>
          <w:u w:color="000000"/>
          <w:shd w:val="clear" w:color="000000" w:fill="000000"/>
          <w:lang w:bidi="zh-CN"/>
        </w:rPr>
        <w:t xml:space="preserve"> </w:t>
      </w:r>
      <w:r w:rsidRPr="00ED0B9C">
        <w:rPr>
          <w:rFonts w:ascii="Times New Roman" w:hAnsi="Times New Roman" w:cs="Times New Roman"/>
          <w:b/>
          <w:color w:val="000000" w:themeColor="text1"/>
          <w:sz w:val="24"/>
          <w:szCs w:val="24"/>
        </w:rPr>
        <w:br w:type="page"/>
      </w:r>
    </w:p>
    <w:bookmarkEnd w:id="32"/>
    <w:p w14:paraId="14E2EFE4" w14:textId="77777777" w:rsidR="00372E00" w:rsidRPr="00ED0B9C" w:rsidRDefault="00A77E06">
      <w:pPr>
        <w:widowControl/>
        <w:spacing w:line="360" w:lineRule="auto"/>
        <w:jc w:val="left"/>
        <w:rPr>
          <w:rFonts w:ascii="Times New Roman" w:hAnsi="Times New Roman" w:cs="Times New Roman"/>
          <w:bCs/>
          <w:color w:val="000000" w:themeColor="text1"/>
          <w:sz w:val="24"/>
          <w:szCs w:val="24"/>
        </w:rPr>
      </w:pPr>
      <w:r w:rsidRPr="00ED0B9C">
        <w:rPr>
          <w:rFonts w:ascii="Times New Roman" w:hAnsi="Times New Roman" w:cs="Times New Roman"/>
          <w:b/>
          <w:color w:val="000000" w:themeColor="text1"/>
          <w:sz w:val="24"/>
          <w:szCs w:val="24"/>
        </w:rPr>
        <w:lastRenderedPageBreak/>
        <w:t xml:space="preserve">Figure </w:t>
      </w:r>
      <w:r w:rsidR="00B160AE" w:rsidRPr="00ED0B9C">
        <w:rPr>
          <w:rFonts w:ascii="Times New Roman" w:hAnsi="Times New Roman" w:cs="Times New Roman"/>
          <w:b/>
          <w:color w:val="000000" w:themeColor="text1"/>
          <w:sz w:val="24"/>
          <w:szCs w:val="24"/>
        </w:rPr>
        <w:t>S</w:t>
      </w:r>
      <w:r w:rsidRPr="00ED0B9C">
        <w:rPr>
          <w:rFonts w:ascii="Times New Roman" w:hAnsi="Times New Roman" w:cs="Times New Roman"/>
          <w:b/>
          <w:color w:val="000000" w:themeColor="text1"/>
          <w:sz w:val="24"/>
          <w:szCs w:val="24"/>
        </w:rPr>
        <w:t xml:space="preserve">3 The association of </w:t>
      </w:r>
      <w:r w:rsidRPr="00ED0B9C">
        <w:rPr>
          <w:rFonts w:ascii="Times New Roman" w:hAnsi="Times New Roman" w:cs="Times New Roman"/>
          <w:b/>
          <w:bCs/>
          <w:color w:val="000000" w:themeColor="text1"/>
          <w:sz w:val="24"/>
          <w:szCs w:val="24"/>
        </w:rPr>
        <w:t>fruit-microbiota index</w:t>
      </w:r>
      <w:r w:rsidRPr="00ED0B9C">
        <w:rPr>
          <w:rFonts w:ascii="Times New Roman" w:hAnsi="Times New Roman" w:cs="Times New Roman"/>
          <w:b/>
          <w:color w:val="000000" w:themeColor="text1"/>
          <w:sz w:val="24"/>
          <w:szCs w:val="24"/>
        </w:rPr>
        <w:t xml:space="preserve"> with fruit categories in the Guangzhou Nutrition and Health Study.</w:t>
      </w:r>
      <w:r w:rsidRPr="00ED0B9C">
        <w:rPr>
          <w:rFonts w:ascii="Times New Roman" w:hAnsi="Times New Roman" w:cs="Times New Roman"/>
          <w:bCs/>
          <w:color w:val="000000" w:themeColor="text1"/>
          <w:sz w:val="24"/>
          <w:szCs w:val="24"/>
        </w:rPr>
        <w:t xml:space="preserve"> </w:t>
      </w:r>
    </w:p>
    <w:p w14:paraId="6119C3CF" w14:textId="77777777" w:rsidR="00372E00" w:rsidRPr="00ED0B9C" w:rsidRDefault="00372E00">
      <w:pPr>
        <w:widowControl/>
        <w:jc w:val="left"/>
        <w:rPr>
          <w:rFonts w:ascii="Times New Roman" w:hAnsi="Times New Roman" w:cs="Times New Roman"/>
          <w:bCs/>
          <w:color w:val="000000" w:themeColor="text1"/>
          <w:sz w:val="24"/>
          <w:szCs w:val="24"/>
        </w:rPr>
      </w:pPr>
    </w:p>
    <w:p w14:paraId="3479CF11" w14:textId="77777777" w:rsidR="00372E00" w:rsidRPr="00ED0B9C" w:rsidRDefault="00A77E06">
      <w:pPr>
        <w:widowControl/>
        <w:spacing w:line="360" w:lineRule="auto"/>
        <w:jc w:val="left"/>
        <w:rPr>
          <w:rFonts w:ascii="Times New Roman" w:hAnsi="Times New Roman" w:cs="Times New Roman"/>
          <w:bCs/>
          <w:color w:val="000000" w:themeColor="text1"/>
          <w:sz w:val="24"/>
          <w:szCs w:val="24"/>
        </w:rPr>
      </w:pPr>
      <w:r w:rsidRPr="00ED0B9C">
        <w:rPr>
          <w:noProof/>
          <w:color w:val="000000" w:themeColor="text1"/>
        </w:rPr>
        <w:drawing>
          <wp:inline distT="0" distB="0" distL="0" distR="0" wp14:anchorId="25711DE9" wp14:editId="7F9536DA">
            <wp:extent cx="5274310" cy="3910330"/>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274310" cy="3910330"/>
                    </a:xfrm>
                    <a:prstGeom prst="rect">
                      <a:avLst/>
                    </a:prstGeom>
                    <a:noFill/>
                    <a:ln>
                      <a:noFill/>
                    </a:ln>
                  </pic:spPr>
                </pic:pic>
              </a:graphicData>
            </a:graphic>
          </wp:inline>
        </w:drawing>
      </w:r>
      <w:r w:rsidRPr="00ED0B9C">
        <w:rPr>
          <w:rFonts w:ascii="Times New Roman" w:hAnsi="Times New Roman"/>
          <w:color w:val="000000" w:themeColor="text1"/>
        </w:rPr>
        <w:br w:type="page"/>
      </w:r>
      <w:r w:rsidRPr="00ED0B9C">
        <w:rPr>
          <w:rFonts w:ascii="Times New Roman" w:hAnsi="Times New Roman" w:cs="Times New Roman"/>
          <w:b/>
          <w:bCs/>
          <w:color w:val="000000" w:themeColor="text1"/>
          <w:sz w:val="24"/>
          <w:szCs w:val="24"/>
        </w:rPr>
        <w:lastRenderedPageBreak/>
        <w:t xml:space="preserve">Figure </w:t>
      </w:r>
      <w:r w:rsidR="00B160AE" w:rsidRPr="00ED0B9C">
        <w:rPr>
          <w:rFonts w:ascii="Times New Roman" w:hAnsi="Times New Roman" w:cs="Times New Roman"/>
          <w:b/>
          <w:bCs/>
          <w:color w:val="000000" w:themeColor="text1"/>
          <w:sz w:val="24"/>
          <w:szCs w:val="24"/>
        </w:rPr>
        <w:t>S</w:t>
      </w:r>
      <w:r w:rsidRPr="00ED0B9C">
        <w:rPr>
          <w:rFonts w:ascii="Times New Roman" w:hAnsi="Times New Roman" w:cs="Times New Roman"/>
          <w:b/>
          <w:bCs/>
          <w:color w:val="000000" w:themeColor="text1"/>
          <w:sz w:val="24"/>
          <w:szCs w:val="24"/>
        </w:rPr>
        <w:t xml:space="preserve">4 Relationships between the fruit intake-associated gut microbiota alterations and T2D-related traits. </w:t>
      </w:r>
    </w:p>
    <w:p w14:paraId="4009841C" w14:textId="77777777" w:rsidR="00372E00" w:rsidRPr="00ED0B9C" w:rsidRDefault="00A77E06">
      <w:pPr>
        <w:widowControl/>
        <w:jc w:val="left"/>
        <w:rPr>
          <w:rFonts w:ascii="Times New Roman" w:hAnsi="Times New Roman" w:cs="Times New Roman"/>
          <w:b/>
          <w:color w:val="000000" w:themeColor="text1"/>
          <w:sz w:val="24"/>
          <w:szCs w:val="24"/>
        </w:rPr>
      </w:pPr>
      <w:r w:rsidRPr="00ED0B9C">
        <w:rPr>
          <w:rFonts w:ascii="Times New Roman" w:hAnsi="Times New Roman" w:cs="Times New Roman"/>
          <w:b/>
          <w:color w:val="000000" w:themeColor="text1"/>
          <w:sz w:val="24"/>
          <w:szCs w:val="24"/>
        </w:rPr>
        <w:t xml:space="preserve"> </w:t>
      </w:r>
      <w:r w:rsidRPr="00ED0B9C">
        <w:rPr>
          <w:rFonts w:ascii="Times New Roman" w:hAnsi="Times New Roman" w:cs="Times New Roman"/>
          <w:b/>
          <w:noProof/>
          <w:color w:val="000000" w:themeColor="text1"/>
          <w:sz w:val="24"/>
          <w:szCs w:val="24"/>
        </w:rPr>
        <w:drawing>
          <wp:inline distT="0" distB="0" distL="0" distR="0" wp14:anchorId="1A6646C7" wp14:editId="60B60440">
            <wp:extent cx="5274310" cy="2503170"/>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74310" cy="2503170"/>
                    </a:xfrm>
                    <a:prstGeom prst="rect">
                      <a:avLst/>
                    </a:prstGeom>
                    <a:noFill/>
                    <a:ln>
                      <a:noFill/>
                    </a:ln>
                  </pic:spPr>
                </pic:pic>
              </a:graphicData>
            </a:graphic>
          </wp:inline>
        </w:drawing>
      </w:r>
      <w:r w:rsidRPr="00ED0B9C">
        <w:rPr>
          <w:rFonts w:ascii="Times New Roman" w:hAnsi="Times New Roman" w:cs="Times New Roman"/>
          <w:b/>
          <w:color w:val="000000" w:themeColor="text1"/>
          <w:sz w:val="24"/>
          <w:szCs w:val="24"/>
        </w:rPr>
        <w:br w:type="page"/>
      </w:r>
    </w:p>
    <w:p w14:paraId="481E0435" w14:textId="77777777" w:rsidR="00372E00" w:rsidRPr="00ED0B9C" w:rsidRDefault="00A77E06">
      <w:pPr>
        <w:widowControl/>
        <w:spacing w:line="360" w:lineRule="auto"/>
        <w:jc w:val="left"/>
        <w:rPr>
          <w:rFonts w:ascii="Times New Roman" w:hAnsi="Times New Roman"/>
          <w:color w:val="000000" w:themeColor="text1"/>
        </w:rPr>
      </w:pPr>
      <w:bookmarkStart w:id="33" w:name="_Hlk39271941"/>
      <w:r w:rsidRPr="00ED0B9C">
        <w:rPr>
          <w:rFonts w:ascii="Times New Roman" w:hAnsi="Times New Roman"/>
          <w:b/>
          <w:bCs/>
          <w:color w:val="000000" w:themeColor="text1"/>
          <w:sz w:val="24"/>
          <w:szCs w:val="24"/>
        </w:rPr>
        <w:lastRenderedPageBreak/>
        <w:t xml:space="preserve">Figure </w:t>
      </w:r>
      <w:r w:rsidR="00B160AE" w:rsidRPr="00ED0B9C">
        <w:rPr>
          <w:rFonts w:ascii="Times New Roman" w:hAnsi="Times New Roman"/>
          <w:b/>
          <w:bCs/>
          <w:color w:val="000000" w:themeColor="text1"/>
          <w:sz w:val="24"/>
          <w:szCs w:val="24"/>
        </w:rPr>
        <w:t>S</w:t>
      </w:r>
      <w:r w:rsidRPr="00ED0B9C">
        <w:rPr>
          <w:rFonts w:ascii="Times New Roman" w:hAnsi="Times New Roman"/>
          <w:b/>
          <w:bCs/>
          <w:color w:val="000000" w:themeColor="text1"/>
          <w:sz w:val="24"/>
          <w:szCs w:val="24"/>
        </w:rPr>
        <w:t xml:space="preserve">5 Associations of the vegetable/total fruit and vegetable intake-associated gut microbiota alterations with corresponding dietary intake and T2D. </w:t>
      </w:r>
      <w:bookmarkEnd w:id="33"/>
      <w:r w:rsidRPr="00ED0B9C">
        <w:rPr>
          <w:rFonts w:ascii="Times New Roman" w:hAnsi="Times New Roman"/>
          <w:color w:val="000000" w:themeColor="text1"/>
        </w:rPr>
        <w:t xml:space="preserve"> </w:t>
      </w:r>
      <w:r w:rsidRPr="00ED0B9C">
        <w:rPr>
          <w:rFonts w:ascii="Times New Roman" w:hAnsi="Times New Roman"/>
          <w:noProof/>
          <w:color w:val="000000" w:themeColor="text1"/>
        </w:rPr>
        <w:drawing>
          <wp:inline distT="0" distB="0" distL="0" distR="0" wp14:anchorId="41CE01C9" wp14:editId="17276380">
            <wp:extent cx="5274310" cy="5492750"/>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274310" cy="5492750"/>
                    </a:xfrm>
                    <a:prstGeom prst="rect">
                      <a:avLst/>
                    </a:prstGeom>
                    <a:noFill/>
                    <a:ln>
                      <a:noFill/>
                    </a:ln>
                  </pic:spPr>
                </pic:pic>
              </a:graphicData>
            </a:graphic>
          </wp:inline>
        </w:drawing>
      </w:r>
    </w:p>
    <w:p w14:paraId="42943D85" w14:textId="77777777" w:rsidR="00372E00" w:rsidRPr="00ED0B9C" w:rsidRDefault="00372E00">
      <w:pPr>
        <w:widowControl/>
        <w:spacing w:line="360" w:lineRule="auto"/>
        <w:jc w:val="left"/>
        <w:rPr>
          <w:rFonts w:ascii="Times New Roman" w:hAnsi="Times New Roman"/>
          <w:b/>
          <w:bCs/>
          <w:color w:val="000000" w:themeColor="text1"/>
          <w:sz w:val="24"/>
          <w:szCs w:val="24"/>
        </w:rPr>
        <w:sectPr w:rsidR="00372E00" w:rsidRPr="00ED0B9C">
          <w:headerReference w:type="default" r:id="rId14"/>
          <w:footerReference w:type="default" r:id="rId15"/>
          <w:pgSz w:w="11906" w:h="16838"/>
          <w:pgMar w:top="1440" w:right="1800" w:bottom="1440" w:left="1800" w:header="851" w:footer="992" w:gutter="0"/>
          <w:lnNumType w:countBy="1" w:restart="continuous"/>
          <w:cols w:space="425"/>
          <w:docGrid w:type="lines" w:linePitch="312"/>
        </w:sectPr>
      </w:pPr>
    </w:p>
    <w:p w14:paraId="4C08F01B" w14:textId="77777777" w:rsidR="00372E00" w:rsidRPr="00ED0B9C" w:rsidRDefault="00A77E06">
      <w:pPr>
        <w:widowControl/>
        <w:spacing w:line="360" w:lineRule="auto"/>
        <w:jc w:val="left"/>
        <w:rPr>
          <w:rFonts w:ascii="Times New Roman" w:eastAsia="宋体" w:hAnsi="Times New Roman" w:cs="Calibri"/>
          <w:b/>
          <w:color w:val="000000" w:themeColor="text1"/>
          <w:sz w:val="24"/>
          <w:szCs w:val="24"/>
          <w:lang w:bidi="ar"/>
        </w:rPr>
      </w:pPr>
      <w:r w:rsidRPr="00ED0B9C">
        <w:rPr>
          <w:rFonts w:ascii="Times New Roman" w:hAnsi="Times New Roman"/>
          <w:b/>
          <w:bCs/>
          <w:color w:val="000000" w:themeColor="text1"/>
          <w:sz w:val="24"/>
          <w:szCs w:val="24"/>
        </w:rPr>
        <w:lastRenderedPageBreak/>
        <w:t xml:space="preserve">Figure </w:t>
      </w:r>
      <w:r w:rsidR="00B160AE" w:rsidRPr="00ED0B9C">
        <w:rPr>
          <w:rFonts w:ascii="Times New Roman" w:hAnsi="Times New Roman"/>
          <w:b/>
          <w:bCs/>
          <w:color w:val="000000" w:themeColor="text1"/>
          <w:sz w:val="24"/>
          <w:szCs w:val="24"/>
        </w:rPr>
        <w:t>S</w:t>
      </w:r>
      <w:r w:rsidRPr="00ED0B9C">
        <w:rPr>
          <w:rFonts w:ascii="Times New Roman" w:hAnsi="Times New Roman" w:hint="eastAsia"/>
          <w:b/>
          <w:bCs/>
          <w:color w:val="000000" w:themeColor="text1"/>
          <w:sz w:val="24"/>
          <w:szCs w:val="24"/>
        </w:rPr>
        <w:t>6</w:t>
      </w:r>
      <w:r w:rsidRPr="00ED0B9C">
        <w:rPr>
          <w:rFonts w:ascii="Times New Roman" w:eastAsia="宋体" w:hAnsi="Times New Roman" w:cs="Calibri"/>
          <w:b/>
          <w:color w:val="000000" w:themeColor="text1"/>
          <w:sz w:val="24"/>
          <w:szCs w:val="24"/>
          <w:lang w:bidi="ar"/>
        </w:rPr>
        <w:t xml:space="preserve"> Association of the fruit-associated gut microbiota index and fecal metabolites.</w:t>
      </w:r>
    </w:p>
    <w:p w14:paraId="0DF01F04" w14:textId="77777777" w:rsidR="00372E00" w:rsidRPr="00ED0B9C" w:rsidRDefault="00A77E06">
      <w:pPr>
        <w:widowControl/>
        <w:jc w:val="left"/>
        <w:rPr>
          <w:rFonts w:ascii="Times New Roman" w:hAnsi="Times New Roman"/>
          <w:b/>
          <w:bCs/>
          <w:color w:val="000000" w:themeColor="text1"/>
          <w:sz w:val="24"/>
          <w:szCs w:val="24"/>
        </w:rPr>
        <w:sectPr w:rsidR="00372E00" w:rsidRPr="00ED0B9C">
          <w:pgSz w:w="16838" w:h="11906" w:orient="landscape"/>
          <w:pgMar w:top="1797" w:right="1440" w:bottom="1797" w:left="1440" w:header="851" w:footer="992" w:gutter="0"/>
          <w:lnNumType w:countBy="1" w:restart="continuous"/>
          <w:cols w:space="425"/>
          <w:docGrid w:linePitch="312"/>
        </w:sectPr>
      </w:pPr>
      <w:r w:rsidRPr="00ED0B9C">
        <w:rPr>
          <w:noProof/>
          <w:color w:val="000000" w:themeColor="text1"/>
        </w:rPr>
        <w:drawing>
          <wp:inline distT="0" distB="0" distL="114300" distR="114300" wp14:anchorId="5D20D30E" wp14:editId="4F4DAAB5">
            <wp:extent cx="8888095" cy="4450080"/>
            <wp:effectExtent l="0" t="0" r="8255" b="762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a:stretch>
                      <a:fillRect/>
                    </a:stretch>
                  </pic:blipFill>
                  <pic:spPr>
                    <a:xfrm>
                      <a:off x="0" y="0"/>
                      <a:ext cx="8895079" cy="4453431"/>
                    </a:xfrm>
                    <a:prstGeom prst="rect">
                      <a:avLst/>
                    </a:prstGeom>
                    <a:noFill/>
                    <a:ln>
                      <a:noFill/>
                    </a:ln>
                  </pic:spPr>
                </pic:pic>
              </a:graphicData>
            </a:graphic>
          </wp:inline>
        </w:drawing>
      </w:r>
    </w:p>
    <w:p w14:paraId="4FE2A2CF" w14:textId="77777777" w:rsidR="00372E00" w:rsidRPr="00ED0B9C" w:rsidRDefault="00A77E06">
      <w:pPr>
        <w:widowControl/>
        <w:jc w:val="left"/>
        <w:rPr>
          <w:rFonts w:ascii="Times New Roman" w:eastAsia="宋体" w:hAnsi="Times New Roman" w:cs="Calibri"/>
          <w:b/>
          <w:color w:val="000000" w:themeColor="text1"/>
          <w:sz w:val="24"/>
          <w:szCs w:val="24"/>
          <w:lang w:bidi="ar"/>
        </w:rPr>
      </w:pPr>
      <w:r w:rsidRPr="00ED0B9C">
        <w:rPr>
          <w:rFonts w:ascii="Times New Roman" w:eastAsia="宋体" w:hAnsi="Times New Roman" w:cs="Calibri"/>
          <w:b/>
          <w:color w:val="000000" w:themeColor="text1"/>
          <w:sz w:val="24"/>
          <w:szCs w:val="24"/>
          <w:lang w:bidi="ar"/>
        </w:rPr>
        <w:lastRenderedPageBreak/>
        <w:t xml:space="preserve">Figure </w:t>
      </w:r>
      <w:r w:rsidR="00B160AE" w:rsidRPr="00ED0B9C">
        <w:rPr>
          <w:rFonts w:ascii="Times New Roman" w:eastAsia="宋体" w:hAnsi="Times New Roman" w:cs="Calibri"/>
          <w:b/>
          <w:color w:val="000000" w:themeColor="text1"/>
          <w:sz w:val="24"/>
          <w:szCs w:val="24"/>
          <w:lang w:bidi="ar"/>
        </w:rPr>
        <w:t>S</w:t>
      </w:r>
      <w:r w:rsidRPr="00ED0B9C">
        <w:rPr>
          <w:rFonts w:ascii="Times New Roman" w:hAnsi="Times New Roman" w:cs="Calibri"/>
          <w:b/>
          <w:color w:val="000000" w:themeColor="text1"/>
          <w:sz w:val="24"/>
          <w:szCs w:val="24"/>
          <w:lang w:bidi="ar"/>
        </w:rPr>
        <w:t>7</w:t>
      </w:r>
      <w:r w:rsidRPr="00ED0B9C">
        <w:rPr>
          <w:rFonts w:ascii="Times New Roman" w:eastAsia="宋体" w:hAnsi="Times New Roman" w:cs="Calibri"/>
          <w:b/>
          <w:color w:val="000000" w:themeColor="text1"/>
          <w:sz w:val="24"/>
          <w:szCs w:val="24"/>
          <w:lang w:bidi="ar"/>
        </w:rPr>
        <w:t xml:space="preserve"> Fruit intake-related gut microbiota, fecal metabolites and T2D.</w:t>
      </w:r>
    </w:p>
    <w:p w14:paraId="448CCE8B" w14:textId="0DF1D3B1" w:rsidR="00372E00" w:rsidRPr="00ED0B9C" w:rsidRDefault="00AB45DF">
      <w:pPr>
        <w:widowControl/>
        <w:jc w:val="left"/>
        <w:rPr>
          <w:rFonts w:ascii="Times New Roman" w:hAnsi="Times New Roman"/>
          <w:color w:val="000000" w:themeColor="text1"/>
        </w:rPr>
      </w:pPr>
      <w:r>
        <w:rPr>
          <w:noProof/>
        </w:rPr>
        <w:drawing>
          <wp:inline distT="0" distB="0" distL="0" distR="0" wp14:anchorId="4705AE8B" wp14:editId="6892D136">
            <wp:extent cx="8863330" cy="4985385"/>
            <wp:effectExtent l="0" t="0" r="0"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863330" cy="4985385"/>
                    </a:xfrm>
                    <a:prstGeom prst="rect">
                      <a:avLst/>
                    </a:prstGeom>
                    <a:noFill/>
                    <a:ln>
                      <a:noFill/>
                    </a:ln>
                  </pic:spPr>
                </pic:pic>
              </a:graphicData>
            </a:graphic>
          </wp:inline>
        </w:drawing>
      </w:r>
    </w:p>
    <w:p w14:paraId="68DC8130" w14:textId="77777777" w:rsidR="00372E00" w:rsidRPr="00ED0B9C" w:rsidRDefault="00372E00">
      <w:pPr>
        <w:widowControl/>
        <w:spacing w:line="360" w:lineRule="auto"/>
        <w:jc w:val="left"/>
        <w:rPr>
          <w:rFonts w:ascii="Times New Roman" w:hAnsi="Times New Roman"/>
          <w:b/>
          <w:bCs/>
          <w:color w:val="000000" w:themeColor="text1"/>
          <w:sz w:val="24"/>
          <w:szCs w:val="24"/>
        </w:rPr>
        <w:sectPr w:rsidR="00372E00" w:rsidRPr="00ED0B9C">
          <w:pgSz w:w="16838" w:h="11906" w:orient="landscape"/>
          <w:pgMar w:top="1797" w:right="1440" w:bottom="1797" w:left="1440" w:header="851" w:footer="992" w:gutter="0"/>
          <w:lnNumType w:countBy="1" w:restart="continuous"/>
          <w:cols w:space="425"/>
          <w:docGrid w:linePitch="312"/>
        </w:sectPr>
      </w:pPr>
    </w:p>
    <w:p w14:paraId="6E54EE58" w14:textId="77777777" w:rsidR="00372E00" w:rsidRPr="00ED0B9C" w:rsidRDefault="00A77E06">
      <w:pPr>
        <w:widowControl/>
        <w:spacing w:line="360" w:lineRule="auto"/>
        <w:jc w:val="left"/>
        <w:rPr>
          <w:rFonts w:ascii="Times New Roman" w:hAnsi="Times New Roman"/>
          <w:color w:val="000000" w:themeColor="text1"/>
          <w:sz w:val="24"/>
          <w:szCs w:val="24"/>
        </w:rPr>
      </w:pPr>
      <w:r w:rsidRPr="00ED0B9C">
        <w:rPr>
          <w:rFonts w:ascii="Times New Roman" w:hAnsi="Times New Roman"/>
          <w:b/>
          <w:bCs/>
          <w:color w:val="000000" w:themeColor="text1"/>
          <w:sz w:val="24"/>
          <w:szCs w:val="24"/>
        </w:rPr>
        <w:lastRenderedPageBreak/>
        <w:t xml:space="preserve">Figure </w:t>
      </w:r>
      <w:r w:rsidR="00B160AE" w:rsidRPr="00ED0B9C">
        <w:rPr>
          <w:rFonts w:ascii="Times New Roman" w:hAnsi="Times New Roman"/>
          <w:b/>
          <w:bCs/>
          <w:color w:val="000000" w:themeColor="text1"/>
          <w:sz w:val="24"/>
          <w:szCs w:val="24"/>
        </w:rPr>
        <w:t>S</w:t>
      </w:r>
      <w:r w:rsidRPr="00ED0B9C">
        <w:rPr>
          <w:rFonts w:ascii="Times New Roman" w:hAnsi="Times New Roman"/>
          <w:b/>
          <w:bCs/>
          <w:color w:val="000000" w:themeColor="text1"/>
          <w:sz w:val="24"/>
          <w:szCs w:val="24"/>
        </w:rPr>
        <w:t xml:space="preserve">8 Pathways enrichment analysis of the identified fecal metabolites associated with the fruit-related gut microbiota. </w:t>
      </w:r>
    </w:p>
    <w:p w14:paraId="4B4892FD" w14:textId="77777777" w:rsidR="00372E00" w:rsidRPr="00ED0B9C" w:rsidRDefault="00372E00">
      <w:pPr>
        <w:widowControl/>
        <w:jc w:val="left"/>
        <w:rPr>
          <w:rFonts w:ascii="Times New Roman" w:hAnsi="Times New Roman"/>
          <w:color w:val="000000" w:themeColor="text1"/>
        </w:rPr>
      </w:pPr>
    </w:p>
    <w:p w14:paraId="3A3BD8D7" w14:textId="35D83893" w:rsidR="00372E00" w:rsidRPr="00ED0B9C" w:rsidRDefault="00A77E06" w:rsidP="002C301A">
      <w:pPr>
        <w:spacing w:line="360" w:lineRule="auto"/>
        <w:jc w:val="left"/>
        <w:rPr>
          <w:color w:val="000000" w:themeColor="text1"/>
          <w:szCs w:val="20"/>
        </w:rPr>
      </w:pPr>
      <w:r w:rsidRPr="00ED0B9C">
        <w:rPr>
          <w:noProof/>
          <w:color w:val="000000" w:themeColor="text1"/>
        </w:rPr>
        <w:drawing>
          <wp:inline distT="0" distB="0" distL="0" distR="0" wp14:anchorId="600F92B9" wp14:editId="507CA6B6">
            <wp:extent cx="5039995" cy="3971290"/>
            <wp:effectExtent l="0" t="0" r="8255" b="1016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040000" cy="3971442"/>
                    </a:xfrm>
                    <a:prstGeom prst="rect">
                      <a:avLst/>
                    </a:prstGeom>
                    <a:noFill/>
                    <a:ln>
                      <a:noFill/>
                    </a:ln>
                  </pic:spPr>
                </pic:pic>
              </a:graphicData>
            </a:graphic>
          </wp:inline>
        </w:drawing>
      </w:r>
      <w:r w:rsidRPr="00ED0B9C">
        <w:rPr>
          <w:rFonts w:ascii="Times New Roman" w:hAnsi="Times New Roman" w:cs="Times New Roman"/>
          <w:color w:val="000000" w:themeColor="text1"/>
          <w:sz w:val="20"/>
          <w:szCs w:val="21"/>
        </w:rPr>
        <w:fldChar w:fldCharType="begin"/>
      </w:r>
      <w:r w:rsidRPr="00ED0B9C">
        <w:rPr>
          <w:rFonts w:ascii="Times New Roman" w:hAnsi="Times New Roman" w:cs="Times New Roman"/>
          <w:color w:val="000000" w:themeColor="text1"/>
          <w:szCs w:val="21"/>
        </w:rPr>
        <w:instrText xml:space="preserve"> ADDIN EN.REFLIST </w:instrText>
      </w:r>
      <w:r w:rsidRPr="00ED0B9C">
        <w:rPr>
          <w:rFonts w:ascii="Times New Roman" w:hAnsi="Times New Roman" w:cs="Times New Roman"/>
          <w:color w:val="000000" w:themeColor="text1"/>
          <w:sz w:val="20"/>
          <w:szCs w:val="21"/>
        </w:rPr>
        <w:fldChar w:fldCharType="end"/>
      </w:r>
    </w:p>
    <w:sectPr w:rsidR="00372E00" w:rsidRPr="00ED0B9C">
      <w:pgSz w:w="11906" w:h="16838"/>
      <w:pgMar w:top="1440" w:right="1797" w:bottom="1440" w:left="1797" w:header="851" w:footer="992" w:gutter="0"/>
      <w:lnNumType w:countBy="1" w:restart="continuous"/>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BDEB96" w14:textId="77777777" w:rsidR="00062BAB" w:rsidRDefault="00062BAB">
      <w:r>
        <w:separator/>
      </w:r>
    </w:p>
  </w:endnote>
  <w:endnote w:type="continuationSeparator" w:id="0">
    <w:p w14:paraId="03E199A3" w14:textId="77777777" w:rsidR="00062BAB" w:rsidRDefault="00062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6482095"/>
    </w:sdtPr>
    <w:sdtContent>
      <w:p w14:paraId="7FC8D408" w14:textId="77777777" w:rsidR="00062BAB" w:rsidRDefault="00062BAB">
        <w:pPr>
          <w:pStyle w:val="a7"/>
          <w:jc w:val="right"/>
        </w:pPr>
        <w:r>
          <w:rPr>
            <w:rFonts w:ascii="Times New Roman" w:hAnsi="Times New Roman" w:cs="Times New Roman"/>
            <w:sz w:val="20"/>
            <w:szCs w:val="20"/>
          </w:rPr>
          <w:fldChar w:fldCharType="begin"/>
        </w:r>
        <w:r>
          <w:rPr>
            <w:rFonts w:ascii="Times New Roman" w:hAnsi="Times New Roman" w:cs="Times New Roman"/>
            <w:sz w:val="20"/>
            <w:szCs w:val="20"/>
          </w:rPr>
          <w:instrText>PAGE   \* MERGEFORMAT</w:instrText>
        </w:r>
        <w:r>
          <w:rPr>
            <w:rFonts w:ascii="Times New Roman" w:hAnsi="Times New Roman" w:cs="Times New Roman"/>
            <w:sz w:val="20"/>
            <w:szCs w:val="20"/>
          </w:rPr>
          <w:fldChar w:fldCharType="separate"/>
        </w:r>
        <w:r>
          <w:rPr>
            <w:rFonts w:ascii="Times New Roman" w:hAnsi="Times New Roman" w:cs="Times New Roman"/>
            <w:sz w:val="20"/>
            <w:szCs w:val="20"/>
            <w:lang w:val="zh-CN"/>
          </w:rPr>
          <w:t>2</w:t>
        </w:r>
        <w:r>
          <w:rPr>
            <w:rFonts w:ascii="Times New Roman" w:hAnsi="Times New Roman" w:cs="Times New Roman"/>
            <w:sz w:val="20"/>
            <w:szCs w:val="20"/>
          </w:rPr>
          <w:fldChar w:fldCharType="end"/>
        </w:r>
      </w:p>
    </w:sdtContent>
  </w:sdt>
  <w:p w14:paraId="567B3502" w14:textId="77777777" w:rsidR="00062BAB" w:rsidRDefault="00062BA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147659" w14:textId="77777777" w:rsidR="00062BAB" w:rsidRDefault="00062BAB">
      <w:r>
        <w:separator/>
      </w:r>
    </w:p>
  </w:footnote>
  <w:footnote w:type="continuationSeparator" w:id="0">
    <w:p w14:paraId="6DA616FD" w14:textId="77777777" w:rsidR="00062BAB" w:rsidRDefault="00062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5049891"/>
    </w:sdtPr>
    <w:sdtContent>
      <w:p w14:paraId="3B409B8F" w14:textId="77777777" w:rsidR="00062BAB" w:rsidRDefault="00062BAB">
        <w:pPr>
          <w:pStyle w:val="a9"/>
          <w:jc w:val="right"/>
        </w:pPr>
        <w:r>
          <w:fldChar w:fldCharType="begin"/>
        </w:r>
        <w:r>
          <w:instrText>PAGE   \* MERGEFORMAT</w:instrText>
        </w:r>
        <w:r>
          <w:fldChar w:fldCharType="separate"/>
        </w:r>
        <w:r>
          <w:rPr>
            <w:lang w:val="zh-CN"/>
          </w:rPr>
          <w:t>2</w:t>
        </w:r>
        <w:r>
          <w:fldChar w:fldCharType="end"/>
        </w:r>
      </w:p>
    </w:sdtContent>
  </w:sdt>
  <w:p w14:paraId="389C9C09" w14:textId="77777777" w:rsidR="00062BAB" w:rsidRDefault="00062BAB">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esppwsw15929de5xf8vest25pdeeaas0dvs&quot;&gt;My EndNote Library&lt;record-ids&gt;&lt;item&gt;166&lt;/item&gt;&lt;/record-ids&gt;&lt;/item&gt;&lt;/Libraries&gt;"/>
  </w:docVars>
  <w:rsids>
    <w:rsidRoot w:val="000F1FF7"/>
    <w:rsid w:val="000003F9"/>
    <w:rsid w:val="00003A92"/>
    <w:rsid w:val="00004A49"/>
    <w:rsid w:val="000115BD"/>
    <w:rsid w:val="000148FF"/>
    <w:rsid w:val="0001709D"/>
    <w:rsid w:val="00017563"/>
    <w:rsid w:val="00021470"/>
    <w:rsid w:val="0002391B"/>
    <w:rsid w:val="0002487B"/>
    <w:rsid w:val="0002494B"/>
    <w:rsid w:val="0004042B"/>
    <w:rsid w:val="00043E36"/>
    <w:rsid w:val="00051625"/>
    <w:rsid w:val="00054B7D"/>
    <w:rsid w:val="00055D1C"/>
    <w:rsid w:val="00061625"/>
    <w:rsid w:val="00062BAB"/>
    <w:rsid w:val="00067751"/>
    <w:rsid w:val="00074936"/>
    <w:rsid w:val="00074E11"/>
    <w:rsid w:val="00080FA0"/>
    <w:rsid w:val="000839E9"/>
    <w:rsid w:val="000862C7"/>
    <w:rsid w:val="00086D8C"/>
    <w:rsid w:val="00092952"/>
    <w:rsid w:val="000963F7"/>
    <w:rsid w:val="000970B3"/>
    <w:rsid w:val="000B39A3"/>
    <w:rsid w:val="000B6C6D"/>
    <w:rsid w:val="000C09FB"/>
    <w:rsid w:val="000C1881"/>
    <w:rsid w:val="000D2E2C"/>
    <w:rsid w:val="000D6919"/>
    <w:rsid w:val="000E38D1"/>
    <w:rsid w:val="000E419D"/>
    <w:rsid w:val="000E7130"/>
    <w:rsid w:val="000F1FF7"/>
    <w:rsid w:val="000F545A"/>
    <w:rsid w:val="001005BE"/>
    <w:rsid w:val="0010560B"/>
    <w:rsid w:val="001105A7"/>
    <w:rsid w:val="00122DF1"/>
    <w:rsid w:val="00125507"/>
    <w:rsid w:val="00134752"/>
    <w:rsid w:val="00134783"/>
    <w:rsid w:val="0013720C"/>
    <w:rsid w:val="001433D5"/>
    <w:rsid w:val="00144A0B"/>
    <w:rsid w:val="001454C0"/>
    <w:rsid w:val="00147BC2"/>
    <w:rsid w:val="00152D68"/>
    <w:rsid w:val="00162CD9"/>
    <w:rsid w:val="0017088D"/>
    <w:rsid w:val="0017154A"/>
    <w:rsid w:val="001717AA"/>
    <w:rsid w:val="00173F7C"/>
    <w:rsid w:val="00177F90"/>
    <w:rsid w:val="0018544E"/>
    <w:rsid w:val="0019013E"/>
    <w:rsid w:val="001919CB"/>
    <w:rsid w:val="001958D8"/>
    <w:rsid w:val="001A2B1E"/>
    <w:rsid w:val="001A60D7"/>
    <w:rsid w:val="001B0BF2"/>
    <w:rsid w:val="001B1863"/>
    <w:rsid w:val="001B2451"/>
    <w:rsid w:val="001B2DB5"/>
    <w:rsid w:val="001B6735"/>
    <w:rsid w:val="001C009A"/>
    <w:rsid w:val="001C1930"/>
    <w:rsid w:val="001C32A2"/>
    <w:rsid w:val="001D0F45"/>
    <w:rsid w:val="001D47CD"/>
    <w:rsid w:val="001D5F32"/>
    <w:rsid w:val="001D63EE"/>
    <w:rsid w:val="001D6BBE"/>
    <w:rsid w:val="001D6CAD"/>
    <w:rsid w:val="001D6CD7"/>
    <w:rsid w:val="001E175C"/>
    <w:rsid w:val="001E1A71"/>
    <w:rsid w:val="001E5D30"/>
    <w:rsid w:val="001F3454"/>
    <w:rsid w:val="001F3618"/>
    <w:rsid w:val="001F47F4"/>
    <w:rsid w:val="001F5349"/>
    <w:rsid w:val="001F7851"/>
    <w:rsid w:val="00202022"/>
    <w:rsid w:val="0020374D"/>
    <w:rsid w:val="00210CE9"/>
    <w:rsid w:val="00212B14"/>
    <w:rsid w:val="002151E7"/>
    <w:rsid w:val="0021603A"/>
    <w:rsid w:val="00217DDE"/>
    <w:rsid w:val="0022153A"/>
    <w:rsid w:val="00221A3E"/>
    <w:rsid w:val="00226E79"/>
    <w:rsid w:val="00230564"/>
    <w:rsid w:val="00230792"/>
    <w:rsid w:val="00234F7F"/>
    <w:rsid w:val="00235988"/>
    <w:rsid w:val="00240AF4"/>
    <w:rsid w:val="00243F90"/>
    <w:rsid w:val="00246139"/>
    <w:rsid w:val="00247261"/>
    <w:rsid w:val="002474DC"/>
    <w:rsid w:val="0025172D"/>
    <w:rsid w:val="002554F8"/>
    <w:rsid w:val="00256205"/>
    <w:rsid w:val="00263F2F"/>
    <w:rsid w:val="00271457"/>
    <w:rsid w:val="00271956"/>
    <w:rsid w:val="0027253F"/>
    <w:rsid w:val="00275D7D"/>
    <w:rsid w:val="00276B62"/>
    <w:rsid w:val="00277579"/>
    <w:rsid w:val="00277FE0"/>
    <w:rsid w:val="00282548"/>
    <w:rsid w:val="00290726"/>
    <w:rsid w:val="002969EA"/>
    <w:rsid w:val="002A24EE"/>
    <w:rsid w:val="002A3058"/>
    <w:rsid w:val="002A75DA"/>
    <w:rsid w:val="002A7FE4"/>
    <w:rsid w:val="002B1B31"/>
    <w:rsid w:val="002B4F9C"/>
    <w:rsid w:val="002B571A"/>
    <w:rsid w:val="002B7BF1"/>
    <w:rsid w:val="002C0806"/>
    <w:rsid w:val="002C0B71"/>
    <w:rsid w:val="002C2207"/>
    <w:rsid w:val="002C301A"/>
    <w:rsid w:val="002C5175"/>
    <w:rsid w:val="002C5BC6"/>
    <w:rsid w:val="002C5E08"/>
    <w:rsid w:val="002D4732"/>
    <w:rsid w:val="002D4F94"/>
    <w:rsid w:val="002D5F12"/>
    <w:rsid w:val="002D5FF8"/>
    <w:rsid w:val="002E0B23"/>
    <w:rsid w:val="002F1E58"/>
    <w:rsid w:val="002F42E2"/>
    <w:rsid w:val="002F4D8C"/>
    <w:rsid w:val="0030043A"/>
    <w:rsid w:val="00300862"/>
    <w:rsid w:val="00300A4A"/>
    <w:rsid w:val="00301242"/>
    <w:rsid w:val="003012B5"/>
    <w:rsid w:val="00303527"/>
    <w:rsid w:val="003039BE"/>
    <w:rsid w:val="00303C0A"/>
    <w:rsid w:val="00307AF2"/>
    <w:rsid w:val="00312735"/>
    <w:rsid w:val="003168A7"/>
    <w:rsid w:val="00317AA6"/>
    <w:rsid w:val="00323869"/>
    <w:rsid w:val="003260DB"/>
    <w:rsid w:val="00326493"/>
    <w:rsid w:val="00330A65"/>
    <w:rsid w:val="00332CB3"/>
    <w:rsid w:val="00334EF4"/>
    <w:rsid w:val="00345657"/>
    <w:rsid w:val="00345C68"/>
    <w:rsid w:val="003466D2"/>
    <w:rsid w:val="00351E44"/>
    <w:rsid w:val="00357864"/>
    <w:rsid w:val="00360246"/>
    <w:rsid w:val="00362909"/>
    <w:rsid w:val="00362DD5"/>
    <w:rsid w:val="00364FB2"/>
    <w:rsid w:val="00370064"/>
    <w:rsid w:val="00371850"/>
    <w:rsid w:val="00372E00"/>
    <w:rsid w:val="0037378C"/>
    <w:rsid w:val="0037424D"/>
    <w:rsid w:val="003777ED"/>
    <w:rsid w:val="003842E2"/>
    <w:rsid w:val="00392F8B"/>
    <w:rsid w:val="00395D61"/>
    <w:rsid w:val="00396C2D"/>
    <w:rsid w:val="003A351C"/>
    <w:rsid w:val="003A4A49"/>
    <w:rsid w:val="003B4482"/>
    <w:rsid w:val="003C6244"/>
    <w:rsid w:val="003C6573"/>
    <w:rsid w:val="003D39DB"/>
    <w:rsid w:val="003D4CE0"/>
    <w:rsid w:val="003E1B16"/>
    <w:rsid w:val="003E7130"/>
    <w:rsid w:val="003E7C7E"/>
    <w:rsid w:val="003F0497"/>
    <w:rsid w:val="0040071F"/>
    <w:rsid w:val="00400904"/>
    <w:rsid w:val="00407DBE"/>
    <w:rsid w:val="00410883"/>
    <w:rsid w:val="00410B26"/>
    <w:rsid w:val="00412220"/>
    <w:rsid w:val="00414847"/>
    <w:rsid w:val="00423E22"/>
    <w:rsid w:val="00426020"/>
    <w:rsid w:val="004266EE"/>
    <w:rsid w:val="00430669"/>
    <w:rsid w:val="00450070"/>
    <w:rsid w:val="00451DD3"/>
    <w:rsid w:val="004579F8"/>
    <w:rsid w:val="0046382E"/>
    <w:rsid w:val="0046553C"/>
    <w:rsid w:val="00467BE9"/>
    <w:rsid w:val="0047226E"/>
    <w:rsid w:val="004733E3"/>
    <w:rsid w:val="004764DA"/>
    <w:rsid w:val="00486143"/>
    <w:rsid w:val="004879FB"/>
    <w:rsid w:val="00490604"/>
    <w:rsid w:val="004A155D"/>
    <w:rsid w:val="004A21F9"/>
    <w:rsid w:val="004A36A0"/>
    <w:rsid w:val="004A4BEC"/>
    <w:rsid w:val="004B33F9"/>
    <w:rsid w:val="004B5962"/>
    <w:rsid w:val="004B6BB0"/>
    <w:rsid w:val="004C0982"/>
    <w:rsid w:val="004C7FC2"/>
    <w:rsid w:val="004D0C60"/>
    <w:rsid w:val="004D17E1"/>
    <w:rsid w:val="004D7E4B"/>
    <w:rsid w:val="004E01E2"/>
    <w:rsid w:val="004E346B"/>
    <w:rsid w:val="004E557C"/>
    <w:rsid w:val="004F1324"/>
    <w:rsid w:val="004F5D58"/>
    <w:rsid w:val="004F7A85"/>
    <w:rsid w:val="00507B5B"/>
    <w:rsid w:val="00511137"/>
    <w:rsid w:val="00513D02"/>
    <w:rsid w:val="00514B39"/>
    <w:rsid w:val="00517132"/>
    <w:rsid w:val="00517192"/>
    <w:rsid w:val="0052374A"/>
    <w:rsid w:val="005237D2"/>
    <w:rsid w:val="00531819"/>
    <w:rsid w:val="00532457"/>
    <w:rsid w:val="0053266A"/>
    <w:rsid w:val="005336E7"/>
    <w:rsid w:val="00541C71"/>
    <w:rsid w:val="00543239"/>
    <w:rsid w:val="005434FF"/>
    <w:rsid w:val="00545C66"/>
    <w:rsid w:val="00552A74"/>
    <w:rsid w:val="00555943"/>
    <w:rsid w:val="00562A76"/>
    <w:rsid w:val="00562D78"/>
    <w:rsid w:val="00562FD3"/>
    <w:rsid w:val="00582649"/>
    <w:rsid w:val="00585D91"/>
    <w:rsid w:val="005860D1"/>
    <w:rsid w:val="005948FB"/>
    <w:rsid w:val="005A66C9"/>
    <w:rsid w:val="005A6951"/>
    <w:rsid w:val="005B1246"/>
    <w:rsid w:val="005B1AC1"/>
    <w:rsid w:val="005B2129"/>
    <w:rsid w:val="005B6CBB"/>
    <w:rsid w:val="005B7768"/>
    <w:rsid w:val="005C3477"/>
    <w:rsid w:val="005C6713"/>
    <w:rsid w:val="005D0697"/>
    <w:rsid w:val="005D5FF7"/>
    <w:rsid w:val="005E5223"/>
    <w:rsid w:val="005E5E5C"/>
    <w:rsid w:val="005F20D4"/>
    <w:rsid w:val="005F330F"/>
    <w:rsid w:val="005F53A9"/>
    <w:rsid w:val="006060FE"/>
    <w:rsid w:val="00612D9E"/>
    <w:rsid w:val="00632876"/>
    <w:rsid w:val="00634869"/>
    <w:rsid w:val="00652003"/>
    <w:rsid w:val="00653646"/>
    <w:rsid w:val="006555E3"/>
    <w:rsid w:val="0066081D"/>
    <w:rsid w:val="00663050"/>
    <w:rsid w:val="006670B6"/>
    <w:rsid w:val="00673131"/>
    <w:rsid w:val="00681E8F"/>
    <w:rsid w:val="0068396A"/>
    <w:rsid w:val="0069045D"/>
    <w:rsid w:val="00693B46"/>
    <w:rsid w:val="0069433F"/>
    <w:rsid w:val="00697BD7"/>
    <w:rsid w:val="006A18B1"/>
    <w:rsid w:val="006A28E5"/>
    <w:rsid w:val="006A2B19"/>
    <w:rsid w:val="006A3098"/>
    <w:rsid w:val="006A56CE"/>
    <w:rsid w:val="006C4CBA"/>
    <w:rsid w:val="006C633D"/>
    <w:rsid w:val="006D1C50"/>
    <w:rsid w:val="006D3834"/>
    <w:rsid w:val="006D3C4B"/>
    <w:rsid w:val="006E5858"/>
    <w:rsid w:val="006E5E34"/>
    <w:rsid w:val="006F2659"/>
    <w:rsid w:val="006F46EC"/>
    <w:rsid w:val="006F762A"/>
    <w:rsid w:val="007047B2"/>
    <w:rsid w:val="00713A27"/>
    <w:rsid w:val="00715DAB"/>
    <w:rsid w:val="007316DF"/>
    <w:rsid w:val="00731CC1"/>
    <w:rsid w:val="0073357F"/>
    <w:rsid w:val="007338F9"/>
    <w:rsid w:val="0073390C"/>
    <w:rsid w:val="00734409"/>
    <w:rsid w:val="00734F80"/>
    <w:rsid w:val="007368AD"/>
    <w:rsid w:val="00741031"/>
    <w:rsid w:val="0074388B"/>
    <w:rsid w:val="00743EAD"/>
    <w:rsid w:val="007454A5"/>
    <w:rsid w:val="00745EE9"/>
    <w:rsid w:val="0074734D"/>
    <w:rsid w:val="0075386A"/>
    <w:rsid w:val="00754605"/>
    <w:rsid w:val="00756770"/>
    <w:rsid w:val="00760413"/>
    <w:rsid w:val="00760C11"/>
    <w:rsid w:val="007617CD"/>
    <w:rsid w:val="00764C3F"/>
    <w:rsid w:val="00776E62"/>
    <w:rsid w:val="00781C55"/>
    <w:rsid w:val="00791231"/>
    <w:rsid w:val="00793C6A"/>
    <w:rsid w:val="007966F9"/>
    <w:rsid w:val="007970CE"/>
    <w:rsid w:val="007A6403"/>
    <w:rsid w:val="007B0403"/>
    <w:rsid w:val="007B18F9"/>
    <w:rsid w:val="007B3779"/>
    <w:rsid w:val="007C2EEB"/>
    <w:rsid w:val="007D01A1"/>
    <w:rsid w:val="007D470D"/>
    <w:rsid w:val="007D6426"/>
    <w:rsid w:val="007D7284"/>
    <w:rsid w:val="007E2036"/>
    <w:rsid w:val="007E3022"/>
    <w:rsid w:val="007E735E"/>
    <w:rsid w:val="007F1DDC"/>
    <w:rsid w:val="00800BEB"/>
    <w:rsid w:val="00806E81"/>
    <w:rsid w:val="00810194"/>
    <w:rsid w:val="0081126D"/>
    <w:rsid w:val="00813A06"/>
    <w:rsid w:val="008216CE"/>
    <w:rsid w:val="0082654A"/>
    <w:rsid w:val="008354DD"/>
    <w:rsid w:val="008458C0"/>
    <w:rsid w:val="00856163"/>
    <w:rsid w:val="00862976"/>
    <w:rsid w:val="00865DC3"/>
    <w:rsid w:val="0088196F"/>
    <w:rsid w:val="00881FD1"/>
    <w:rsid w:val="00887E02"/>
    <w:rsid w:val="00893C2D"/>
    <w:rsid w:val="008A2A4B"/>
    <w:rsid w:val="008A45DA"/>
    <w:rsid w:val="008A52DE"/>
    <w:rsid w:val="008B0679"/>
    <w:rsid w:val="008B085E"/>
    <w:rsid w:val="008B58F3"/>
    <w:rsid w:val="008B6B42"/>
    <w:rsid w:val="008C0A7A"/>
    <w:rsid w:val="008C172E"/>
    <w:rsid w:val="008C231D"/>
    <w:rsid w:val="008C3BBB"/>
    <w:rsid w:val="008D0151"/>
    <w:rsid w:val="008D084F"/>
    <w:rsid w:val="008D10EE"/>
    <w:rsid w:val="008D111D"/>
    <w:rsid w:val="008D6AD7"/>
    <w:rsid w:val="008D71D4"/>
    <w:rsid w:val="008D7C73"/>
    <w:rsid w:val="008E2F85"/>
    <w:rsid w:val="008E3BE5"/>
    <w:rsid w:val="008E3E97"/>
    <w:rsid w:val="008E7663"/>
    <w:rsid w:val="008E7D9A"/>
    <w:rsid w:val="008F00FD"/>
    <w:rsid w:val="008F3614"/>
    <w:rsid w:val="008F4D8F"/>
    <w:rsid w:val="008F5756"/>
    <w:rsid w:val="008F5AF2"/>
    <w:rsid w:val="008F6888"/>
    <w:rsid w:val="00902096"/>
    <w:rsid w:val="00902DA8"/>
    <w:rsid w:val="0091101A"/>
    <w:rsid w:val="00922629"/>
    <w:rsid w:val="009230DB"/>
    <w:rsid w:val="009320D4"/>
    <w:rsid w:val="0093665A"/>
    <w:rsid w:val="009373BA"/>
    <w:rsid w:val="009401EB"/>
    <w:rsid w:val="00941F1A"/>
    <w:rsid w:val="009429CD"/>
    <w:rsid w:val="00942C04"/>
    <w:rsid w:val="009457AE"/>
    <w:rsid w:val="00945B13"/>
    <w:rsid w:val="00946351"/>
    <w:rsid w:val="00955725"/>
    <w:rsid w:val="0096085B"/>
    <w:rsid w:val="009619CF"/>
    <w:rsid w:val="00962881"/>
    <w:rsid w:val="0096747B"/>
    <w:rsid w:val="009713A1"/>
    <w:rsid w:val="00971FEA"/>
    <w:rsid w:val="00981DB2"/>
    <w:rsid w:val="00985116"/>
    <w:rsid w:val="00986086"/>
    <w:rsid w:val="00990913"/>
    <w:rsid w:val="009A01A6"/>
    <w:rsid w:val="009A172C"/>
    <w:rsid w:val="009A65C0"/>
    <w:rsid w:val="009B4208"/>
    <w:rsid w:val="009B5539"/>
    <w:rsid w:val="009C0BC1"/>
    <w:rsid w:val="009C655A"/>
    <w:rsid w:val="009D2EC9"/>
    <w:rsid w:val="009D5A05"/>
    <w:rsid w:val="009E07AB"/>
    <w:rsid w:val="009F2010"/>
    <w:rsid w:val="009F2C03"/>
    <w:rsid w:val="009F3886"/>
    <w:rsid w:val="009F470E"/>
    <w:rsid w:val="00A032E8"/>
    <w:rsid w:val="00A0460D"/>
    <w:rsid w:val="00A07B92"/>
    <w:rsid w:val="00A11D72"/>
    <w:rsid w:val="00A14B65"/>
    <w:rsid w:val="00A16181"/>
    <w:rsid w:val="00A16711"/>
    <w:rsid w:val="00A173BB"/>
    <w:rsid w:val="00A21839"/>
    <w:rsid w:val="00A245F5"/>
    <w:rsid w:val="00A249D7"/>
    <w:rsid w:val="00A2770D"/>
    <w:rsid w:val="00A3188D"/>
    <w:rsid w:val="00A42CB7"/>
    <w:rsid w:val="00A45E46"/>
    <w:rsid w:val="00A52A71"/>
    <w:rsid w:val="00A53D9C"/>
    <w:rsid w:val="00A5460C"/>
    <w:rsid w:val="00A61EE1"/>
    <w:rsid w:val="00A63115"/>
    <w:rsid w:val="00A7379B"/>
    <w:rsid w:val="00A75131"/>
    <w:rsid w:val="00A771B2"/>
    <w:rsid w:val="00A77E06"/>
    <w:rsid w:val="00A8105E"/>
    <w:rsid w:val="00A8272E"/>
    <w:rsid w:val="00A82734"/>
    <w:rsid w:val="00A850E7"/>
    <w:rsid w:val="00A86E85"/>
    <w:rsid w:val="00A93EA1"/>
    <w:rsid w:val="00AA0913"/>
    <w:rsid w:val="00AA0955"/>
    <w:rsid w:val="00AA57CB"/>
    <w:rsid w:val="00AB0269"/>
    <w:rsid w:val="00AB27DE"/>
    <w:rsid w:val="00AB45DF"/>
    <w:rsid w:val="00AB49F5"/>
    <w:rsid w:val="00AB6E36"/>
    <w:rsid w:val="00AC0F7B"/>
    <w:rsid w:val="00AC52A4"/>
    <w:rsid w:val="00AC7A4C"/>
    <w:rsid w:val="00AD5199"/>
    <w:rsid w:val="00AD57C1"/>
    <w:rsid w:val="00AE1A15"/>
    <w:rsid w:val="00AE3129"/>
    <w:rsid w:val="00AE68A0"/>
    <w:rsid w:val="00AE68EA"/>
    <w:rsid w:val="00AF0B93"/>
    <w:rsid w:val="00AF0BBF"/>
    <w:rsid w:val="00AF27C3"/>
    <w:rsid w:val="00B00EE6"/>
    <w:rsid w:val="00B02586"/>
    <w:rsid w:val="00B03387"/>
    <w:rsid w:val="00B0422D"/>
    <w:rsid w:val="00B07208"/>
    <w:rsid w:val="00B123FD"/>
    <w:rsid w:val="00B160AE"/>
    <w:rsid w:val="00B212A3"/>
    <w:rsid w:val="00B234E2"/>
    <w:rsid w:val="00B2415A"/>
    <w:rsid w:val="00B26723"/>
    <w:rsid w:val="00B26A65"/>
    <w:rsid w:val="00B26E06"/>
    <w:rsid w:val="00B352D9"/>
    <w:rsid w:val="00B36A53"/>
    <w:rsid w:val="00B50702"/>
    <w:rsid w:val="00B51A40"/>
    <w:rsid w:val="00B530F5"/>
    <w:rsid w:val="00B5354C"/>
    <w:rsid w:val="00B54B66"/>
    <w:rsid w:val="00B601BB"/>
    <w:rsid w:val="00B60EBA"/>
    <w:rsid w:val="00B6195F"/>
    <w:rsid w:val="00B628DC"/>
    <w:rsid w:val="00B726AA"/>
    <w:rsid w:val="00B76154"/>
    <w:rsid w:val="00B83177"/>
    <w:rsid w:val="00B84AE7"/>
    <w:rsid w:val="00B853EC"/>
    <w:rsid w:val="00B97E14"/>
    <w:rsid w:val="00BA3997"/>
    <w:rsid w:val="00BA49FD"/>
    <w:rsid w:val="00BB31A5"/>
    <w:rsid w:val="00BC5954"/>
    <w:rsid w:val="00BD0E45"/>
    <w:rsid w:val="00BD2692"/>
    <w:rsid w:val="00BE09E4"/>
    <w:rsid w:val="00BE3249"/>
    <w:rsid w:val="00BE3726"/>
    <w:rsid w:val="00BE72CE"/>
    <w:rsid w:val="00BE7ECE"/>
    <w:rsid w:val="00BF0101"/>
    <w:rsid w:val="00BF01EB"/>
    <w:rsid w:val="00BF5A7B"/>
    <w:rsid w:val="00C000D7"/>
    <w:rsid w:val="00C02BD5"/>
    <w:rsid w:val="00C06FFB"/>
    <w:rsid w:val="00C073A5"/>
    <w:rsid w:val="00C142CE"/>
    <w:rsid w:val="00C214B6"/>
    <w:rsid w:val="00C2281D"/>
    <w:rsid w:val="00C26369"/>
    <w:rsid w:val="00C34673"/>
    <w:rsid w:val="00C35B8E"/>
    <w:rsid w:val="00C37442"/>
    <w:rsid w:val="00C45942"/>
    <w:rsid w:val="00C472F6"/>
    <w:rsid w:val="00C52508"/>
    <w:rsid w:val="00C61933"/>
    <w:rsid w:val="00C64561"/>
    <w:rsid w:val="00C655B4"/>
    <w:rsid w:val="00C669D8"/>
    <w:rsid w:val="00C70444"/>
    <w:rsid w:val="00C714C0"/>
    <w:rsid w:val="00C769FB"/>
    <w:rsid w:val="00C81860"/>
    <w:rsid w:val="00C84772"/>
    <w:rsid w:val="00C8483F"/>
    <w:rsid w:val="00C970BD"/>
    <w:rsid w:val="00C97E64"/>
    <w:rsid w:val="00CA4844"/>
    <w:rsid w:val="00CA4BBD"/>
    <w:rsid w:val="00CA7319"/>
    <w:rsid w:val="00CB075D"/>
    <w:rsid w:val="00CB1C6E"/>
    <w:rsid w:val="00CB452A"/>
    <w:rsid w:val="00CC4ECF"/>
    <w:rsid w:val="00CD03F2"/>
    <w:rsid w:val="00CD0B84"/>
    <w:rsid w:val="00CD39B9"/>
    <w:rsid w:val="00CE5E95"/>
    <w:rsid w:val="00CE79F4"/>
    <w:rsid w:val="00CF4289"/>
    <w:rsid w:val="00CF766D"/>
    <w:rsid w:val="00D039F0"/>
    <w:rsid w:val="00D07472"/>
    <w:rsid w:val="00D12E38"/>
    <w:rsid w:val="00D2139C"/>
    <w:rsid w:val="00D216B1"/>
    <w:rsid w:val="00D33A03"/>
    <w:rsid w:val="00D33D94"/>
    <w:rsid w:val="00D41BBD"/>
    <w:rsid w:val="00D4397F"/>
    <w:rsid w:val="00D4476F"/>
    <w:rsid w:val="00D50082"/>
    <w:rsid w:val="00D52273"/>
    <w:rsid w:val="00D55AFF"/>
    <w:rsid w:val="00D603C3"/>
    <w:rsid w:val="00D61897"/>
    <w:rsid w:val="00D62796"/>
    <w:rsid w:val="00D6422F"/>
    <w:rsid w:val="00D701E2"/>
    <w:rsid w:val="00D70DA3"/>
    <w:rsid w:val="00D74360"/>
    <w:rsid w:val="00D808E7"/>
    <w:rsid w:val="00D845B5"/>
    <w:rsid w:val="00D937A2"/>
    <w:rsid w:val="00D940FE"/>
    <w:rsid w:val="00DA14EF"/>
    <w:rsid w:val="00DA2600"/>
    <w:rsid w:val="00DB0B74"/>
    <w:rsid w:val="00DB746A"/>
    <w:rsid w:val="00DC1A63"/>
    <w:rsid w:val="00DC50BE"/>
    <w:rsid w:val="00DD5410"/>
    <w:rsid w:val="00DE1359"/>
    <w:rsid w:val="00DE22D8"/>
    <w:rsid w:val="00DE3664"/>
    <w:rsid w:val="00DE392A"/>
    <w:rsid w:val="00DF0740"/>
    <w:rsid w:val="00DF2293"/>
    <w:rsid w:val="00DF5E66"/>
    <w:rsid w:val="00E011C4"/>
    <w:rsid w:val="00E06069"/>
    <w:rsid w:val="00E123F6"/>
    <w:rsid w:val="00E242D6"/>
    <w:rsid w:val="00E24740"/>
    <w:rsid w:val="00E254A1"/>
    <w:rsid w:val="00E25AA6"/>
    <w:rsid w:val="00E3236C"/>
    <w:rsid w:val="00E44BB6"/>
    <w:rsid w:val="00E62F58"/>
    <w:rsid w:val="00E65F0E"/>
    <w:rsid w:val="00E669D9"/>
    <w:rsid w:val="00E66ECB"/>
    <w:rsid w:val="00E71078"/>
    <w:rsid w:val="00E76CEB"/>
    <w:rsid w:val="00E803E3"/>
    <w:rsid w:val="00E8579F"/>
    <w:rsid w:val="00E94B23"/>
    <w:rsid w:val="00EA0BE4"/>
    <w:rsid w:val="00EA2839"/>
    <w:rsid w:val="00EA3DDF"/>
    <w:rsid w:val="00EA5B2B"/>
    <w:rsid w:val="00EB67C3"/>
    <w:rsid w:val="00EC2DF6"/>
    <w:rsid w:val="00EC4C56"/>
    <w:rsid w:val="00EC7263"/>
    <w:rsid w:val="00ED0B9C"/>
    <w:rsid w:val="00ED2BA4"/>
    <w:rsid w:val="00ED6694"/>
    <w:rsid w:val="00EE4E66"/>
    <w:rsid w:val="00EE6A7E"/>
    <w:rsid w:val="00EF0104"/>
    <w:rsid w:val="00EF04A5"/>
    <w:rsid w:val="00EF0E05"/>
    <w:rsid w:val="00EF13E4"/>
    <w:rsid w:val="00EF1791"/>
    <w:rsid w:val="00EF32A1"/>
    <w:rsid w:val="00EF371B"/>
    <w:rsid w:val="00EF3EC8"/>
    <w:rsid w:val="00EF4AFD"/>
    <w:rsid w:val="00F02B90"/>
    <w:rsid w:val="00F06AE7"/>
    <w:rsid w:val="00F12B57"/>
    <w:rsid w:val="00F163FC"/>
    <w:rsid w:val="00F24FCF"/>
    <w:rsid w:val="00F2692D"/>
    <w:rsid w:val="00F27EA0"/>
    <w:rsid w:val="00F31932"/>
    <w:rsid w:val="00F32628"/>
    <w:rsid w:val="00F4085E"/>
    <w:rsid w:val="00F40B6B"/>
    <w:rsid w:val="00F4179D"/>
    <w:rsid w:val="00F466EA"/>
    <w:rsid w:val="00F5557A"/>
    <w:rsid w:val="00F56814"/>
    <w:rsid w:val="00F63F9A"/>
    <w:rsid w:val="00F72A7E"/>
    <w:rsid w:val="00F754BF"/>
    <w:rsid w:val="00F77C47"/>
    <w:rsid w:val="00F81F95"/>
    <w:rsid w:val="00F866C2"/>
    <w:rsid w:val="00F86833"/>
    <w:rsid w:val="00F923DF"/>
    <w:rsid w:val="00F95EAE"/>
    <w:rsid w:val="00F96E14"/>
    <w:rsid w:val="00F9737B"/>
    <w:rsid w:val="00FA00DB"/>
    <w:rsid w:val="00FA08C2"/>
    <w:rsid w:val="00FA16A8"/>
    <w:rsid w:val="00FA4575"/>
    <w:rsid w:val="00FB18F3"/>
    <w:rsid w:val="00FB2157"/>
    <w:rsid w:val="00FB2524"/>
    <w:rsid w:val="00FB3540"/>
    <w:rsid w:val="00FC088F"/>
    <w:rsid w:val="00FC3379"/>
    <w:rsid w:val="00FC5279"/>
    <w:rsid w:val="00FC5B5E"/>
    <w:rsid w:val="00FC6B6F"/>
    <w:rsid w:val="00FD189B"/>
    <w:rsid w:val="00FD7E43"/>
    <w:rsid w:val="00FE131D"/>
    <w:rsid w:val="020E5E42"/>
    <w:rsid w:val="038B3C82"/>
    <w:rsid w:val="05126937"/>
    <w:rsid w:val="052868EA"/>
    <w:rsid w:val="07D956CB"/>
    <w:rsid w:val="0ADD0045"/>
    <w:rsid w:val="0CD52B8C"/>
    <w:rsid w:val="0ED36E73"/>
    <w:rsid w:val="14D1333B"/>
    <w:rsid w:val="14E5140F"/>
    <w:rsid w:val="1D94165A"/>
    <w:rsid w:val="234B01BE"/>
    <w:rsid w:val="28EA4332"/>
    <w:rsid w:val="2ECE472E"/>
    <w:rsid w:val="35EF7F87"/>
    <w:rsid w:val="363F520D"/>
    <w:rsid w:val="3899726B"/>
    <w:rsid w:val="3A691038"/>
    <w:rsid w:val="3B594B79"/>
    <w:rsid w:val="4051329C"/>
    <w:rsid w:val="43923E3A"/>
    <w:rsid w:val="47BB0932"/>
    <w:rsid w:val="48CF3B08"/>
    <w:rsid w:val="527A48C2"/>
    <w:rsid w:val="55FB69C3"/>
    <w:rsid w:val="576E4C8A"/>
    <w:rsid w:val="57DE67CA"/>
    <w:rsid w:val="586C70A6"/>
    <w:rsid w:val="5C9C0284"/>
    <w:rsid w:val="5CA801C9"/>
    <w:rsid w:val="5E7806DC"/>
    <w:rsid w:val="5E802D7E"/>
    <w:rsid w:val="5EB818A4"/>
    <w:rsid w:val="60CE1DCF"/>
    <w:rsid w:val="620C66BA"/>
    <w:rsid w:val="62E93AAD"/>
    <w:rsid w:val="6C3D721F"/>
    <w:rsid w:val="6C533EB1"/>
    <w:rsid w:val="704F7AF8"/>
    <w:rsid w:val="7370593F"/>
    <w:rsid w:val="76821C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D526E"/>
  <w15:docId w15:val="{F59BA2DB-26F1-4AAF-BF56-25F8C024F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Calibr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rPr>
      <w:rFonts w:ascii="Calibri" w:eastAsia="宋体" w:hAnsi="Calibri" w:cs="Times New Roman"/>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c">
    <w:name w:val="annotation subject"/>
    <w:basedOn w:val="a3"/>
    <w:next w:val="a3"/>
    <w:link w:val="ad"/>
    <w:uiPriority w:val="99"/>
    <w:semiHidden/>
    <w:unhideWhenUsed/>
    <w:qFormat/>
    <w:rPr>
      <w:rFonts w:asciiTheme="minorHAnsi" w:eastAsiaTheme="minorEastAsia" w:hAnsiTheme="minorHAnsi" w:cstheme="minorBidi"/>
      <w:b/>
      <w:bCs/>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line number"/>
    <w:basedOn w:val="a0"/>
    <w:uiPriority w:val="99"/>
    <w:semiHidden/>
    <w:unhideWhenUsed/>
    <w:qFormat/>
  </w:style>
  <w:style w:type="character" w:styleId="af0">
    <w:name w:val="Hyperlink"/>
    <w:basedOn w:val="a0"/>
    <w:uiPriority w:val="99"/>
    <w:unhideWhenUsed/>
    <w:qFormat/>
    <w:rPr>
      <w:color w:val="0000FF" w:themeColor="hyperlink"/>
      <w:u w:val="single"/>
    </w:rPr>
  </w:style>
  <w:style w:type="character" w:styleId="af1">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rPr>
      <w:rFonts w:ascii="Calibri" w:eastAsia="宋体" w:hAnsi="Calibri" w:cs="Times New Roman"/>
    </w:rPr>
  </w:style>
  <w:style w:type="character" w:customStyle="1" w:styleId="1">
    <w:name w:val="未处理的提及1"/>
    <w:basedOn w:val="a0"/>
    <w:uiPriority w:val="99"/>
    <w:semiHidden/>
    <w:unhideWhenUsed/>
    <w:qFormat/>
    <w:rPr>
      <w:color w:val="605E5C"/>
      <w:shd w:val="clear" w:color="auto" w:fill="E1DFDD"/>
    </w:rPr>
  </w:style>
  <w:style w:type="paragraph" w:customStyle="1" w:styleId="EndNoteBibliographyTitle">
    <w:name w:val="EndNote Bibliography Title"/>
    <w:basedOn w:val="a"/>
    <w:link w:val="EndNoteBibliographyTitle0"/>
    <w:qFormat/>
    <w:pPr>
      <w:jc w:val="center"/>
    </w:pPr>
    <w:rPr>
      <w:rFonts w:ascii="Calibri" w:hAnsi="Calibri" w:cs="Calibri"/>
      <w:sz w:val="20"/>
    </w:rPr>
  </w:style>
  <w:style w:type="character" w:customStyle="1" w:styleId="EndNoteBibliographyTitle0">
    <w:name w:val="EndNote Bibliography Title 字符"/>
    <w:basedOn w:val="a0"/>
    <w:link w:val="EndNoteBibliographyTitle"/>
    <w:qFormat/>
    <w:rPr>
      <w:rFonts w:eastAsiaTheme="minorEastAsia"/>
      <w:kern w:val="2"/>
      <w:szCs w:val="22"/>
    </w:rPr>
  </w:style>
  <w:style w:type="paragraph" w:customStyle="1" w:styleId="EndNoteBibliography">
    <w:name w:val="EndNote Bibliography"/>
    <w:basedOn w:val="a"/>
    <w:link w:val="EndNoteBibliography0"/>
    <w:qFormat/>
    <w:rPr>
      <w:rFonts w:ascii="Calibri" w:hAnsi="Calibri" w:cs="Calibri"/>
      <w:sz w:val="20"/>
    </w:rPr>
  </w:style>
  <w:style w:type="character" w:customStyle="1" w:styleId="EndNoteBibliography0">
    <w:name w:val="EndNote Bibliography 字符"/>
    <w:basedOn w:val="a0"/>
    <w:link w:val="EndNoteBibliography"/>
    <w:qFormat/>
    <w:rPr>
      <w:rFonts w:eastAsiaTheme="minorEastAsia"/>
      <w:kern w:val="2"/>
      <w:szCs w:val="22"/>
    </w:rPr>
  </w:style>
  <w:style w:type="character" w:customStyle="1" w:styleId="EndNoteBibliographyChar">
    <w:name w:val="EndNote Bibliography Char"/>
    <w:basedOn w:val="a0"/>
    <w:qFormat/>
    <w:rPr>
      <w:rFonts w:ascii="Calibri" w:eastAsia="宋体" w:hAnsi="Calibri" w:cs="Times New Roman"/>
      <w:sz w:val="20"/>
    </w:rPr>
  </w:style>
  <w:style w:type="character" w:customStyle="1" w:styleId="ad">
    <w:name w:val="批注主题 字符"/>
    <w:basedOn w:val="a4"/>
    <w:link w:val="ac"/>
    <w:uiPriority w:val="99"/>
    <w:semiHidden/>
    <w:qFormat/>
    <w:rPr>
      <w:rFonts w:ascii="Calibri" w:eastAsia="宋体" w:hAnsi="Calibri"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huttenhower.sph.harvard.edu/galaxy/" TargetMode="External"/><Relationship Id="rId13" Type="http://schemas.openxmlformats.org/officeDocument/2006/relationships/image" Target="media/image5.jpeg"/><Relationship Id="rId18"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tiff"/><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87FF79-4682-473C-B5B1-99C323510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25</Pages>
  <Words>4160</Words>
  <Characters>23712</Characters>
  <Application>Microsoft Office Word</Application>
  <DocSecurity>0</DocSecurity>
  <Lines>197</Lines>
  <Paragraphs>55</Paragraphs>
  <ScaleCrop>false</ScaleCrop>
  <Company/>
  <LinksUpToDate>false</LinksUpToDate>
  <CharactersWithSpaces>27817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Zengliang Jiang</dc:creator>
  <cp:lastModifiedBy>Ju-Sheng Zheng 郑钜圣</cp:lastModifiedBy>
  <cp:revision>63</cp:revision>
  <dcterms:created xsi:type="dcterms:W3CDTF">2020-08-22T13:16:00Z</dcterms:created>
  <dcterms:modified xsi:type="dcterms:W3CDTF">2020-11-15T03:42:00Z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