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8089F" w14:textId="0F565FBC" w:rsidR="004D7648" w:rsidRDefault="0056616B" w:rsidP="004D7648">
      <w:pPr>
        <w:pStyle w:val="NoSpacing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Additional </w:t>
      </w:r>
      <w:r w:rsidR="002A46FD">
        <w:rPr>
          <w:rFonts w:ascii="Times New Roman" w:hAnsi="Times New Roman" w:cs="Times New Roman"/>
          <w:b/>
          <w:bCs/>
          <w:sz w:val="20"/>
          <w:szCs w:val="20"/>
          <w:lang w:val="en-US"/>
        </w:rPr>
        <w:t>F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ile </w:t>
      </w:r>
      <w:r w:rsidR="008F5D4F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="004D7648" w:rsidRPr="006D7B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4D7648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Risk of </w:t>
      </w:r>
      <w:r w:rsidR="004D7648" w:rsidRPr="00311A6A">
        <w:rPr>
          <w:rFonts w:ascii="Times New Roman" w:hAnsi="Times New Roman" w:cs="Times New Roman"/>
          <w:bCs/>
          <w:sz w:val="20"/>
          <w:szCs w:val="20"/>
          <w:lang w:val="en-US"/>
        </w:rPr>
        <w:t>anxiety and</w:t>
      </w:r>
      <w:r w:rsidR="00CE2206">
        <w:rPr>
          <w:rFonts w:ascii="Times New Roman" w:hAnsi="Times New Roman" w:cs="Times New Roman"/>
          <w:bCs/>
          <w:sz w:val="20"/>
          <w:szCs w:val="20"/>
          <w:lang w:val="en-US"/>
        </w:rPr>
        <w:t>/or</w:t>
      </w:r>
      <w:r w:rsidR="004D7648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depressive disorders</w:t>
      </w:r>
      <w:r w:rsidR="002A46FD">
        <w:rPr>
          <w:rFonts w:ascii="Times New Roman" w:hAnsi="Times New Roman" w:cs="Times New Roman"/>
          <w:bCs/>
          <w:sz w:val="20"/>
          <w:szCs w:val="20"/>
          <w:lang w:val="en-US"/>
        </w:rPr>
        <w:t>,</w:t>
      </w:r>
      <w:bookmarkStart w:id="0" w:name="_GoBack"/>
      <w:bookmarkEnd w:id="0"/>
      <w:r w:rsidR="004D7648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by gender</w:t>
      </w:r>
      <w:r w:rsidR="004D7648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. </w:t>
      </w:r>
      <w:r w:rsidR="004D7648">
        <w:rPr>
          <w:rFonts w:ascii="Times New Roman" w:hAnsi="Times New Roman" w:cs="Times New Roman"/>
          <w:bCs/>
          <w:sz w:val="20"/>
          <w:szCs w:val="20"/>
          <w:lang w:val="en-US"/>
        </w:rPr>
        <w:t>Grey triangles represent girls and black squares represent boys. Bars represent mutually adjusted hazard ratios and 95% confidence intervals</w:t>
      </w:r>
    </w:p>
    <w:p w14:paraId="687E8FE8" w14:textId="34E3F582" w:rsidR="00894099" w:rsidRDefault="00894099" w:rsidP="0089409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sv-SE"/>
        </w:rPr>
      </w:pPr>
    </w:p>
    <w:p w14:paraId="6E0E9A62" w14:textId="02FB34C5" w:rsidR="004D7648" w:rsidRPr="006D7BA5" w:rsidRDefault="00243768" w:rsidP="004D764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5849F5A" wp14:editId="48C6E751">
            <wp:simplePos x="0" y="0"/>
            <wp:positionH relativeFrom="margin">
              <wp:posOffset>632142</wp:posOffset>
            </wp:positionH>
            <wp:positionV relativeFrom="page">
              <wp:posOffset>1789748</wp:posOffset>
            </wp:positionV>
            <wp:extent cx="5181600" cy="3269615"/>
            <wp:effectExtent l="0" t="0" r="0" b="0"/>
            <wp:wrapNone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68DCE0C" wp14:editId="71230920">
            <wp:simplePos x="0" y="0"/>
            <wp:positionH relativeFrom="column">
              <wp:posOffset>-452120</wp:posOffset>
            </wp:positionH>
            <wp:positionV relativeFrom="paragraph">
              <wp:posOffset>169545</wp:posOffset>
            </wp:positionV>
            <wp:extent cx="6188075" cy="3480435"/>
            <wp:effectExtent l="0" t="0" r="3175" b="5715"/>
            <wp:wrapThrough wrapText="bothSides">
              <wp:wrapPolygon edited="0">
                <wp:start x="0" y="0"/>
                <wp:lineTo x="0" y="21517"/>
                <wp:lineTo x="21545" y="21517"/>
                <wp:lineTo x="21545" y="0"/>
                <wp:lineTo x="0" y="0"/>
              </wp:wrapPolygon>
            </wp:wrapThrough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14:paraId="26F89209" w14:textId="77777777" w:rsidR="004D7648" w:rsidRDefault="004D7648" w:rsidP="004D7648">
      <w:pPr>
        <w:pStyle w:val="NoSpacing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2C9E119" w14:textId="6709F1F8" w:rsidR="004F0784" w:rsidRDefault="004F0784">
      <w:pPr>
        <w:rPr>
          <w:lang w:val="en-US"/>
        </w:rPr>
      </w:pPr>
    </w:p>
    <w:p w14:paraId="31BFBFA5" w14:textId="2427E121" w:rsidR="00EC5585" w:rsidRDefault="00EC5585">
      <w:pPr>
        <w:rPr>
          <w:lang w:val="en-US"/>
        </w:rPr>
      </w:pPr>
    </w:p>
    <w:p w14:paraId="28F46DB4" w14:textId="44216D81" w:rsidR="00EC5585" w:rsidRDefault="00EC5585">
      <w:pPr>
        <w:rPr>
          <w:lang w:val="en-US"/>
        </w:rPr>
      </w:pPr>
    </w:p>
    <w:p w14:paraId="5172C2E8" w14:textId="3AAC1E57" w:rsidR="00EC5585" w:rsidRDefault="00EC5585">
      <w:pPr>
        <w:rPr>
          <w:lang w:val="en-US"/>
        </w:rPr>
      </w:pPr>
    </w:p>
    <w:p w14:paraId="7814C432" w14:textId="4FB7B523" w:rsidR="00EC5585" w:rsidRDefault="00EC5585">
      <w:pPr>
        <w:rPr>
          <w:lang w:val="en-US"/>
        </w:rPr>
      </w:pPr>
    </w:p>
    <w:p w14:paraId="55ACED09" w14:textId="660E4CA2" w:rsidR="00EC5585" w:rsidRDefault="00EC5585">
      <w:pPr>
        <w:rPr>
          <w:lang w:val="en-US"/>
        </w:rPr>
      </w:pPr>
    </w:p>
    <w:p w14:paraId="4D9EBEF0" w14:textId="5E0FE017" w:rsidR="00EC5585" w:rsidRDefault="00EC5585">
      <w:pPr>
        <w:rPr>
          <w:lang w:val="en-US"/>
        </w:rPr>
      </w:pPr>
    </w:p>
    <w:p w14:paraId="2214C992" w14:textId="12859925" w:rsidR="00EC5585" w:rsidRDefault="00EC5585">
      <w:pPr>
        <w:rPr>
          <w:lang w:val="en-US"/>
        </w:rPr>
      </w:pPr>
    </w:p>
    <w:p w14:paraId="2A50CF46" w14:textId="792C780F" w:rsidR="00EC5585" w:rsidRDefault="00EC5585">
      <w:pPr>
        <w:rPr>
          <w:lang w:val="en-US"/>
        </w:rPr>
      </w:pPr>
    </w:p>
    <w:p w14:paraId="3A06CA2A" w14:textId="31868AB2" w:rsidR="00EC5585" w:rsidRDefault="00EC5585">
      <w:pPr>
        <w:rPr>
          <w:lang w:val="en-US"/>
        </w:rPr>
      </w:pPr>
    </w:p>
    <w:p w14:paraId="1183958D" w14:textId="000CEF42" w:rsidR="00EC5585" w:rsidRDefault="00EC5585">
      <w:pPr>
        <w:rPr>
          <w:lang w:val="en-US"/>
        </w:rPr>
      </w:pPr>
    </w:p>
    <w:p w14:paraId="0B4370D3" w14:textId="354C0AD2" w:rsidR="00EC5585" w:rsidRDefault="00EC5585">
      <w:pPr>
        <w:rPr>
          <w:lang w:val="en-US"/>
        </w:rPr>
      </w:pPr>
    </w:p>
    <w:p w14:paraId="4147FC50" w14:textId="01A77184" w:rsidR="00EC5585" w:rsidRDefault="00EC5585">
      <w:pPr>
        <w:rPr>
          <w:lang w:val="en-US"/>
        </w:rPr>
      </w:pPr>
    </w:p>
    <w:p w14:paraId="0FBA9060" w14:textId="034167EE" w:rsidR="00EC5585" w:rsidRDefault="00EC5585">
      <w:pPr>
        <w:rPr>
          <w:lang w:val="en-US"/>
        </w:rPr>
      </w:pPr>
    </w:p>
    <w:sectPr w:rsidR="00EC5585" w:rsidSect="006F0C4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99"/>
    <w:rsid w:val="000546D6"/>
    <w:rsid w:val="000E2FA6"/>
    <w:rsid w:val="00210A04"/>
    <w:rsid w:val="00243768"/>
    <w:rsid w:val="002A46FD"/>
    <w:rsid w:val="00310E42"/>
    <w:rsid w:val="00336D95"/>
    <w:rsid w:val="003E0481"/>
    <w:rsid w:val="004D7648"/>
    <w:rsid w:val="004F0784"/>
    <w:rsid w:val="005625BC"/>
    <w:rsid w:val="0056616B"/>
    <w:rsid w:val="00572FC6"/>
    <w:rsid w:val="006F0C4E"/>
    <w:rsid w:val="00894099"/>
    <w:rsid w:val="008F5D4F"/>
    <w:rsid w:val="00946A53"/>
    <w:rsid w:val="00B21139"/>
    <w:rsid w:val="00CB5CAE"/>
    <w:rsid w:val="00CE2206"/>
    <w:rsid w:val="00D64039"/>
    <w:rsid w:val="00D92B61"/>
    <w:rsid w:val="00EC5585"/>
    <w:rsid w:val="00F15E55"/>
    <w:rsid w:val="00F9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02E7"/>
  <w15:chartTrackingRefBased/>
  <w15:docId w15:val="{D59BCF73-550B-4F8F-B2C4-FEE4B6AB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4099"/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4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4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4099"/>
    <w:rPr>
      <w:sz w:val="20"/>
      <w:szCs w:val="20"/>
      <w:lang w:val="sv-SE"/>
    </w:rPr>
  </w:style>
  <w:style w:type="table" w:styleId="TableGrid">
    <w:name w:val="Table Grid"/>
    <w:basedOn w:val="TableNormal"/>
    <w:uiPriority w:val="39"/>
    <w:rsid w:val="00894099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4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099"/>
    <w:rPr>
      <w:rFonts w:ascii="Segoe UI" w:hAnsi="Segoe UI" w:cs="Segoe UI"/>
      <w:sz w:val="18"/>
      <w:szCs w:val="18"/>
      <w:lang w:val="sv-SE"/>
    </w:rPr>
  </w:style>
  <w:style w:type="paragraph" w:styleId="NoSpacing">
    <w:name w:val="No Spacing"/>
    <w:uiPriority w:val="1"/>
    <w:qFormat/>
    <w:rsid w:val="006F0C4E"/>
    <w:pPr>
      <w:spacing w:after="0" w:line="240" w:lineRule="auto"/>
    </w:pPr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727651690597497"/>
          <c:y val="5.897758604606352E-2"/>
          <c:w val="0.75627701868148833"/>
          <c:h val="0.79836953280432099"/>
        </c:manualLayout>
      </c:layout>
      <c:scatterChart>
        <c:scatterStyle val="lineMarker"/>
        <c:varyColors val="0"/>
        <c:ser>
          <c:idx val="0"/>
          <c:order val="0"/>
          <c:tx>
            <c:strRef>
              <c:f>#REF!</c:f>
              <c:strCache>
                <c:ptCount val="1"/>
                <c:pt idx="0">
                  <c:v>#REF!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#REF!</c:f>
            </c:numRef>
          </c:xVal>
          <c:yVal>
            <c:numRef>
              <c:f>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F46-483F-9973-DE25EE7858B7}"/>
            </c:ext>
          </c:extLst>
        </c:ser>
        <c:ser>
          <c:idx val="1"/>
          <c:order val="1"/>
          <c:tx>
            <c:strRef>
              <c:f>'[Figur 2 TEST girls.xlsx]Figure 3'!$D$3</c:f>
              <c:strCache>
                <c:ptCount val="1"/>
                <c:pt idx="0">
                  <c:v>HR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bg1">
                  <a:lumMod val="65000"/>
                </a:schemeClr>
              </a:solidFill>
              <a:ln w="9525">
                <a:solidFill>
                  <a:schemeClr val="bg1">
                    <a:lumMod val="65000"/>
                  </a:schemeClr>
                </a:solidFill>
              </a:ln>
              <a:effectLst/>
            </c:spPr>
          </c:marker>
          <c:errBars>
            <c:errDir val="x"/>
            <c:errBarType val="both"/>
            <c:errValType val="cust"/>
            <c:noEndCap val="0"/>
            <c:plus>
              <c:numRef>
                <c:f>'[Figur 2 TEST girls.xlsx]Figure 3'!$C$21:$C$33</c:f>
                <c:numCache>
                  <c:formatCode>General</c:formatCode>
                  <c:ptCount val="13"/>
                  <c:pt idx="0">
                    <c:v>0.14000000000000012</c:v>
                  </c:pt>
                  <c:pt idx="1">
                    <c:v>6.9999999999999951E-2</c:v>
                  </c:pt>
                  <c:pt idx="2">
                    <c:v>0.54999999999999982</c:v>
                  </c:pt>
                  <c:pt idx="3">
                    <c:v>0.10999999999999988</c:v>
                  </c:pt>
                  <c:pt idx="4">
                    <c:v>0.10999999999999988</c:v>
                  </c:pt>
                  <c:pt idx="5">
                    <c:v>0.24</c:v>
                  </c:pt>
                  <c:pt idx="7">
                    <c:v>0.6</c:v>
                  </c:pt>
                  <c:pt idx="8">
                    <c:v>0.65</c:v>
                  </c:pt>
                  <c:pt idx="9">
                    <c:v>7.23</c:v>
                  </c:pt>
                  <c:pt idx="10">
                    <c:v>1.33</c:v>
                  </c:pt>
                  <c:pt idx="11">
                    <c:v>1.29</c:v>
                  </c:pt>
                  <c:pt idx="12">
                    <c:v>1.5</c:v>
                  </c:pt>
                </c:numCache>
              </c:numRef>
            </c:plus>
            <c:minus>
              <c:numRef>
                <c:f>'[Figur 2 TEST girls.xlsx]Figure 3'!$B$21:$B$33</c:f>
                <c:numCache>
                  <c:formatCode>General</c:formatCode>
                  <c:ptCount val="13"/>
                  <c:pt idx="0">
                    <c:v>0.11999999999999988</c:v>
                  </c:pt>
                  <c:pt idx="1">
                    <c:v>6.0000000000000053E-2</c:v>
                  </c:pt>
                  <c:pt idx="2">
                    <c:v>0.5</c:v>
                  </c:pt>
                  <c:pt idx="3">
                    <c:v>0.10000000000000009</c:v>
                  </c:pt>
                  <c:pt idx="4">
                    <c:v>0.10000000000000009</c:v>
                  </c:pt>
                  <c:pt idx="5">
                    <c:v>0.20000000000000018</c:v>
                  </c:pt>
                  <c:pt idx="7">
                    <c:v>-0.5</c:v>
                  </c:pt>
                  <c:pt idx="8">
                    <c:v>-0.53</c:v>
                  </c:pt>
                  <c:pt idx="9">
                    <c:v>-6.15</c:v>
                  </c:pt>
                  <c:pt idx="10">
                    <c:v>-1.1399999999999999</c:v>
                  </c:pt>
                  <c:pt idx="11">
                    <c:v>-1.0900000000000001</c:v>
                  </c:pt>
                  <c:pt idx="12">
                    <c:v>-1.1100000000000001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bg1">
                    <a:lumMod val="65000"/>
                  </a:schemeClr>
                </a:solidFill>
                <a:round/>
              </a:ln>
              <a:effectLst/>
            </c:spPr>
          </c:errBars>
          <c:xVal>
            <c:numRef>
              <c:f>'[Figur 2 TEST girls.xlsx]Figure 3'!$D$5:$D$17</c:f>
              <c:numCache>
                <c:formatCode>General</c:formatCode>
                <c:ptCount val="13"/>
                <c:pt idx="0">
                  <c:v>1.43</c:v>
                </c:pt>
                <c:pt idx="1">
                  <c:v>0.55000000000000004</c:v>
                </c:pt>
                <c:pt idx="2">
                  <c:v>5.61</c:v>
                </c:pt>
                <c:pt idx="3">
                  <c:v>1.27</c:v>
                </c:pt>
                <c:pt idx="4">
                  <c:v>1.1200000000000001</c:v>
                </c:pt>
                <c:pt idx="5">
                  <c:v>1.34</c:v>
                </c:pt>
              </c:numCache>
            </c:numRef>
          </c:xVal>
          <c:yVal>
            <c:numRef>
              <c:f>'[Figur 2 TEST girls.xlsx]Figure 3'!$F$5:$F$17</c:f>
              <c:numCache>
                <c:formatCode>General</c:formatCode>
                <c:ptCount val="13"/>
                <c:pt idx="0">
                  <c:v>13</c:v>
                </c:pt>
                <c:pt idx="1">
                  <c:v>12</c:v>
                </c:pt>
                <c:pt idx="2">
                  <c:v>11</c:v>
                </c:pt>
                <c:pt idx="3">
                  <c:v>10</c:v>
                </c:pt>
                <c:pt idx="4">
                  <c:v>9</c:v>
                </c:pt>
                <c:pt idx="5">
                  <c:v>8</c:v>
                </c:pt>
                <c:pt idx="6">
                  <c:v>7</c:v>
                </c:pt>
                <c:pt idx="7">
                  <c:v>6</c:v>
                </c:pt>
                <c:pt idx="8">
                  <c:v>5</c:v>
                </c:pt>
                <c:pt idx="9">
                  <c:v>4</c:v>
                </c:pt>
                <c:pt idx="10">
                  <c:v>3</c:v>
                </c:pt>
                <c:pt idx="11">
                  <c:v>2</c:v>
                </c:pt>
                <c:pt idx="12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F46-483F-9973-DE25EE7858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8134672"/>
        <c:axId val="414087712"/>
      </c:scatterChart>
      <c:valAx>
        <c:axId val="508134672"/>
        <c:scaling>
          <c:orientation val="minMax"/>
          <c:max val="8"/>
        </c:scaling>
        <c:delete val="1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14087712"/>
        <c:crosses val="autoZero"/>
        <c:crossBetween val="midCat"/>
      </c:valAx>
      <c:valAx>
        <c:axId val="414087712"/>
        <c:scaling>
          <c:orientation val="minMax"/>
          <c:min val="7"/>
        </c:scaling>
        <c:delete val="1"/>
        <c:axPos val="l"/>
        <c:numFmt formatCode="General" sourceLinked="1"/>
        <c:majorTickMark val="out"/>
        <c:minorTickMark val="none"/>
        <c:tickLblPos val="nextTo"/>
        <c:crossAx val="508134672"/>
        <c:crosses val="autoZero"/>
        <c:crossBetween val="midCat"/>
        <c:majorUnit val="1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4021809543474707"/>
          <c:y val="7.9972762025436475E-2"/>
          <c:w val="0.6331152508675546"/>
          <c:h val="0.75340295106789812"/>
        </c:manualLayout>
      </c:layout>
      <c:scatterChart>
        <c:scatterStyle val="lineMarker"/>
        <c:varyColors val="0"/>
        <c:ser>
          <c:idx val="0"/>
          <c:order val="0"/>
          <c:tx>
            <c:strRef>
              <c:f>#REF!</c:f>
              <c:strCache>
                <c:ptCount val="1"/>
                <c:pt idx="0">
                  <c:v>#REF!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#REF!</c:f>
            </c:numRef>
          </c:xVal>
          <c:yVal>
            <c:numRef>
              <c:f>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8E1-4A4E-9489-3B0D3A572914}"/>
            </c:ext>
          </c:extLst>
        </c:ser>
        <c:ser>
          <c:idx val="1"/>
          <c:order val="1"/>
          <c:tx>
            <c:strRef>
              <c:f>'Figure 3'!$D$3</c:f>
              <c:strCache>
                <c:ptCount val="1"/>
                <c:pt idx="0">
                  <c:v>HR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x"/>
            <c:errBarType val="both"/>
            <c:errValType val="cust"/>
            <c:noEndCap val="0"/>
            <c:plus>
              <c:numRef>
                <c:f>'Figure 3'!$C$21:$C$33</c:f>
                <c:numCache>
                  <c:formatCode>General</c:formatCode>
                  <c:ptCount val="13"/>
                  <c:pt idx="0">
                    <c:v>0.63</c:v>
                  </c:pt>
                  <c:pt idx="1">
                    <c:v>0.61</c:v>
                  </c:pt>
                  <c:pt idx="2">
                    <c:v>4.92</c:v>
                  </c:pt>
                  <c:pt idx="3">
                    <c:v>1.38</c:v>
                  </c:pt>
                  <c:pt idx="4">
                    <c:v>1.25</c:v>
                  </c:pt>
                  <c:pt idx="5">
                    <c:v>1.38</c:v>
                  </c:pt>
                  <c:pt idx="7">
                    <c:v>0.14999999999999991</c:v>
                  </c:pt>
                  <c:pt idx="8">
                    <c:v>8.0000000000000071E-2</c:v>
                  </c:pt>
                  <c:pt idx="9">
                    <c:v>0.61000000000000032</c:v>
                  </c:pt>
                  <c:pt idx="10">
                    <c:v>0.12000000000000011</c:v>
                  </c:pt>
                  <c:pt idx="11">
                    <c:v>0.13000000000000012</c:v>
                  </c:pt>
                  <c:pt idx="12">
                    <c:v>0.26</c:v>
                  </c:pt>
                </c:numCache>
              </c:numRef>
            </c:plus>
            <c:minus>
              <c:numRef>
                <c:f>'Figure 3'!$B$21:$B$33</c:f>
                <c:numCache>
                  <c:formatCode>General</c:formatCode>
                  <c:ptCount val="13"/>
                  <c:pt idx="0">
                    <c:v>-0.5</c:v>
                  </c:pt>
                  <c:pt idx="1">
                    <c:v>-0.45</c:v>
                  </c:pt>
                  <c:pt idx="2">
                    <c:v>-3.9</c:v>
                  </c:pt>
                  <c:pt idx="3">
                    <c:v>-1.0900000000000001</c:v>
                  </c:pt>
                  <c:pt idx="4">
                    <c:v>-0.97</c:v>
                  </c:pt>
                  <c:pt idx="5">
                    <c:v>-0.85</c:v>
                  </c:pt>
                  <c:pt idx="7">
                    <c:v>0.13000000000000012</c:v>
                  </c:pt>
                  <c:pt idx="8">
                    <c:v>6.9999999999999951E-2</c:v>
                  </c:pt>
                  <c:pt idx="9">
                    <c:v>0.55999999999999961</c:v>
                  </c:pt>
                  <c:pt idx="10">
                    <c:v>0.10999999999999988</c:v>
                  </c:pt>
                  <c:pt idx="11">
                    <c:v>0.11999999999999988</c:v>
                  </c:pt>
                  <c:pt idx="12">
                    <c:v>0.21999999999999997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'Figure 3'!$D$5:$D$17</c:f>
              <c:numCache>
                <c:formatCode>General</c:formatCode>
                <c:ptCount val="13"/>
                <c:pt idx="7">
                  <c:v>1.33</c:v>
                </c:pt>
                <c:pt idx="8">
                  <c:v>0.59</c:v>
                </c:pt>
                <c:pt idx="9">
                  <c:v>6.05</c:v>
                </c:pt>
                <c:pt idx="10">
                  <c:v>1.21</c:v>
                </c:pt>
                <c:pt idx="11">
                  <c:v>1.21</c:v>
                </c:pt>
                <c:pt idx="12">
                  <c:v>1.23</c:v>
                </c:pt>
              </c:numCache>
            </c:numRef>
          </c:xVal>
          <c:yVal>
            <c:numRef>
              <c:f>'Figure 3'!$F$5:$F$17</c:f>
              <c:numCache>
                <c:formatCode>General</c:formatCode>
                <c:ptCount val="13"/>
                <c:pt idx="0">
                  <c:v>13</c:v>
                </c:pt>
                <c:pt idx="1">
                  <c:v>12</c:v>
                </c:pt>
                <c:pt idx="2">
                  <c:v>11</c:v>
                </c:pt>
                <c:pt idx="3">
                  <c:v>10</c:v>
                </c:pt>
                <c:pt idx="4">
                  <c:v>9</c:v>
                </c:pt>
                <c:pt idx="5">
                  <c:v>8</c:v>
                </c:pt>
                <c:pt idx="6">
                  <c:v>7</c:v>
                </c:pt>
                <c:pt idx="7">
                  <c:v>6</c:v>
                </c:pt>
                <c:pt idx="8">
                  <c:v>5</c:v>
                </c:pt>
                <c:pt idx="9">
                  <c:v>4</c:v>
                </c:pt>
                <c:pt idx="10">
                  <c:v>3</c:v>
                </c:pt>
                <c:pt idx="11">
                  <c:v>2</c:v>
                </c:pt>
                <c:pt idx="12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8E1-4A4E-9489-3B0D3A5729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14088496"/>
        <c:axId val="414088888"/>
      </c:scatterChart>
      <c:valAx>
        <c:axId val="414088496"/>
        <c:scaling>
          <c:orientation val="minMax"/>
          <c:max val="8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v-SE"/>
          </a:p>
        </c:txPr>
        <c:crossAx val="414088888"/>
        <c:crosses val="autoZero"/>
        <c:crossBetween val="midCat"/>
      </c:valAx>
      <c:valAx>
        <c:axId val="414088888"/>
        <c:scaling>
          <c:orientation val="minMax"/>
          <c:max val="7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414088496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0.3152</cdr:x>
      <cdr:y>0.0929</cdr:y>
    </cdr:from>
    <cdr:to>
      <cdr:x>0.33999</cdr:x>
      <cdr:y>0.12442</cdr:y>
    </cdr:to>
    <cdr:sp macro="" textlink="">
      <cdr:nvSpPr>
        <cdr:cNvPr id="40" name="Rectangle 39"/>
        <cdr:cNvSpPr/>
      </cdr:nvSpPr>
      <cdr:spPr>
        <a:xfrm xmlns:a="http://schemas.openxmlformats.org/drawingml/2006/main">
          <a:off x="3197860" y="561340"/>
          <a:ext cx="251460" cy="19050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0.05975</cdr:x>
      <cdr:y>0.12864</cdr:y>
    </cdr:from>
    <cdr:to>
      <cdr:x>0.33771</cdr:x>
      <cdr:y>0.19822</cdr:y>
    </cdr:to>
    <cdr:sp macro="" textlink="">
      <cdr:nvSpPr>
        <cdr:cNvPr id="10" name="TextBox 1"/>
        <cdr:cNvSpPr txBox="1"/>
      </cdr:nvSpPr>
      <cdr:spPr>
        <a:xfrm xmlns:a="http://schemas.openxmlformats.org/drawingml/2006/main">
          <a:off x="369756" y="447725"/>
          <a:ext cx="1720034" cy="24216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dk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Obesity cohort vs. comparison group</a:t>
          </a:r>
        </a:p>
      </cdr:txBody>
    </cdr:sp>
  </cdr:relSizeAnchor>
  <cdr:relSizeAnchor xmlns:cdr="http://schemas.openxmlformats.org/drawingml/2006/chartDrawing">
    <cdr:from>
      <cdr:x>0.0504</cdr:x>
      <cdr:y>0.25722</cdr:y>
    </cdr:from>
    <cdr:to>
      <cdr:x>0.33803</cdr:x>
      <cdr:y>0.33206</cdr:y>
    </cdr:to>
    <cdr:sp macro="" textlink="">
      <cdr:nvSpPr>
        <cdr:cNvPr id="11" name="TextBox 1"/>
        <cdr:cNvSpPr txBox="1"/>
      </cdr:nvSpPr>
      <cdr:spPr>
        <a:xfrm xmlns:a="http://schemas.openxmlformats.org/drawingml/2006/main">
          <a:off x="311894" y="895222"/>
          <a:ext cx="1779884" cy="26047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dk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Non-Nordic vs. Nordic</a:t>
          </a:r>
        </a:p>
      </cdr:txBody>
    </cdr:sp>
  </cdr:relSizeAnchor>
  <cdr:relSizeAnchor xmlns:cdr="http://schemas.openxmlformats.org/drawingml/2006/chartDrawing">
    <cdr:from>
      <cdr:x>0.07651</cdr:x>
      <cdr:y>0.3411</cdr:y>
    </cdr:from>
    <cdr:to>
      <cdr:x>0.33658</cdr:x>
      <cdr:y>0.49991</cdr:y>
    </cdr:to>
    <cdr:sp macro="" textlink="">
      <cdr:nvSpPr>
        <cdr:cNvPr id="12" name="TextBox 1"/>
        <cdr:cNvSpPr txBox="1"/>
      </cdr:nvSpPr>
      <cdr:spPr>
        <a:xfrm xmlns:a="http://schemas.openxmlformats.org/drawingml/2006/main">
          <a:off x="473463" y="1187176"/>
          <a:ext cx="1609337" cy="55272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dk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Neuropsychiatric</a:t>
          </a:r>
          <a:r>
            <a:rPr lang="en-US" sz="1000" baseline="0">
              <a:latin typeface="Times New Roman" panose="02020603050405020304" pitchFamily="18" charset="0"/>
              <a:cs typeface="Times New Roman" panose="02020603050405020304" pitchFamily="18" charset="0"/>
            </a:rPr>
            <a:t> disorders (yes vs. no)</a:t>
          </a:r>
          <a:endParaRPr 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0.04938</cdr:x>
      <cdr:y>0.45612</cdr:y>
    </cdr:from>
    <cdr:to>
      <cdr:x>0.33769</cdr:x>
      <cdr:y>0.57421</cdr:y>
    </cdr:to>
    <cdr:sp macro="" textlink="">
      <cdr:nvSpPr>
        <cdr:cNvPr id="13" name="TextBox 1"/>
        <cdr:cNvSpPr txBox="1"/>
      </cdr:nvSpPr>
      <cdr:spPr>
        <a:xfrm xmlns:a="http://schemas.openxmlformats.org/drawingml/2006/main">
          <a:off x="305543" y="1587500"/>
          <a:ext cx="1784094" cy="41101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dk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Maternal anxiety/depression</a:t>
          </a:r>
          <a:r>
            <a:rPr lang="en-US" sz="1000" baseline="0">
              <a:latin typeface="Times New Roman" panose="02020603050405020304" pitchFamily="18" charset="0"/>
              <a:cs typeface="Times New Roman" panose="02020603050405020304" pitchFamily="18" charset="0"/>
            </a:rPr>
            <a:t> (yes vs. no)</a:t>
          </a:r>
          <a:endParaRPr 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0.07013</cdr:x>
      <cdr:y>0.56563</cdr:y>
    </cdr:from>
    <cdr:to>
      <cdr:x>0.33662</cdr:x>
      <cdr:y>0.65376</cdr:y>
    </cdr:to>
    <cdr:sp macro="" textlink="">
      <cdr:nvSpPr>
        <cdr:cNvPr id="15" name="TextBox 1"/>
        <cdr:cNvSpPr txBox="1"/>
      </cdr:nvSpPr>
      <cdr:spPr>
        <a:xfrm xmlns:a="http://schemas.openxmlformats.org/drawingml/2006/main">
          <a:off x="428625" y="1920150"/>
          <a:ext cx="1628775" cy="29917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dk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en-US" sz="1000">
              <a:latin typeface="Times New Roman" panose="02020603050405020304" pitchFamily="18" charset="0"/>
              <a:cs typeface="Times New Roman" panose="02020603050405020304" pitchFamily="18" charset="0"/>
            </a:rPr>
            <a:t>Paternal anxiety/depression</a:t>
          </a:r>
          <a:r>
            <a:rPr lang="en-US" sz="1000" baseline="0">
              <a:latin typeface="Times New Roman" panose="02020603050405020304" pitchFamily="18" charset="0"/>
              <a:cs typeface="Times New Roman" panose="02020603050405020304" pitchFamily="18" charset="0"/>
            </a:rPr>
            <a:t> (yes vs. no)</a:t>
          </a:r>
          <a:endParaRPr 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0.00312</cdr:x>
      <cdr:y>0.69415</cdr:y>
    </cdr:from>
    <cdr:to>
      <cdr:x>0.34286</cdr:x>
      <cdr:y>0.77441</cdr:y>
    </cdr:to>
    <cdr:sp macro="" textlink="">
      <cdr:nvSpPr>
        <cdr:cNvPr id="16" name="TextBox 1"/>
        <cdr:cNvSpPr txBox="1"/>
      </cdr:nvSpPr>
      <cdr:spPr>
        <a:xfrm xmlns:a="http://schemas.openxmlformats.org/drawingml/2006/main">
          <a:off x="19050" y="2356426"/>
          <a:ext cx="2076450" cy="27247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dk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en-US" sz="1000" baseline="0">
              <a:latin typeface="Times New Roman" panose="02020603050405020304" pitchFamily="18" charset="0"/>
              <a:cs typeface="Times New Roman" panose="02020603050405020304" pitchFamily="18" charset="0"/>
            </a:rPr>
            <a:t>Low SES vs. high SES</a:t>
          </a:r>
          <a:endParaRPr lang="en-US" sz="1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0.41868</cdr:x>
      <cdr:y>0.07006</cdr:y>
    </cdr:from>
    <cdr:to>
      <cdr:x>0.42007</cdr:x>
      <cdr:y>0.83499</cdr:y>
    </cdr:to>
    <cdr:cxnSp macro="">
      <cdr:nvCxnSpPr>
        <cdr:cNvPr id="20" name="Straight Connector 19"/>
        <cdr:cNvCxnSpPr/>
      </cdr:nvCxnSpPr>
      <cdr:spPr>
        <a:xfrm xmlns:a="http://schemas.openxmlformats.org/drawingml/2006/main">
          <a:off x="2590800" y="243840"/>
          <a:ext cx="8625" cy="2662288"/>
        </a:xfrm>
        <a:prstGeom xmlns:a="http://schemas.openxmlformats.org/drawingml/2006/main" prst="line">
          <a:avLst/>
        </a:prstGeom>
        <a:ln xmlns:a="http://schemas.openxmlformats.org/drawingml/2006/main" w="15875">
          <a:solidFill>
            <a:sysClr val="windowText" lastClr="0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0.31427</cdr:x>
      <cdr:y>0.45649</cdr:y>
    </cdr:from>
    <cdr:to>
      <cdr:x>0.33906</cdr:x>
      <cdr:y>0.48802</cdr:y>
    </cdr:to>
    <cdr:sp macro="" textlink="">
      <cdr:nvSpPr>
        <cdr:cNvPr id="30" name="Rectangle 29"/>
        <cdr:cNvSpPr/>
      </cdr:nvSpPr>
      <cdr:spPr>
        <a:xfrm xmlns:a="http://schemas.openxmlformats.org/drawingml/2006/main">
          <a:off x="3188425" y="2758440"/>
          <a:ext cx="251460" cy="19050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0.31427</cdr:x>
      <cdr:y>0.45649</cdr:y>
    </cdr:from>
    <cdr:to>
      <cdr:x>0.33906</cdr:x>
      <cdr:y>0.48802</cdr:y>
    </cdr:to>
    <cdr:sp macro="" textlink="">
      <cdr:nvSpPr>
        <cdr:cNvPr id="22" name="Rectangle 29"/>
        <cdr:cNvSpPr/>
      </cdr:nvSpPr>
      <cdr:spPr>
        <a:xfrm xmlns:a="http://schemas.openxmlformats.org/drawingml/2006/main">
          <a:off x="3188425" y="2758440"/>
          <a:ext cx="251460" cy="19050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0.31427</cdr:x>
      <cdr:y>0.45649</cdr:y>
    </cdr:from>
    <cdr:to>
      <cdr:x>0.33906</cdr:x>
      <cdr:y>0.48802</cdr:y>
    </cdr:to>
    <cdr:sp macro="" textlink="">
      <cdr:nvSpPr>
        <cdr:cNvPr id="28" name="Rectangle 29"/>
        <cdr:cNvSpPr/>
      </cdr:nvSpPr>
      <cdr:spPr>
        <a:xfrm xmlns:a="http://schemas.openxmlformats.org/drawingml/2006/main">
          <a:off x="3188425" y="2758440"/>
          <a:ext cx="251460" cy="19050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Lindberg</dc:creator>
  <cp:keywords/>
  <dc:description/>
  <cp:lastModifiedBy>Louise Lindberg</cp:lastModifiedBy>
  <cp:revision>8</cp:revision>
  <cp:lastPrinted>2019-05-03T11:04:00Z</cp:lastPrinted>
  <dcterms:created xsi:type="dcterms:W3CDTF">2019-09-29T08:44:00Z</dcterms:created>
  <dcterms:modified xsi:type="dcterms:W3CDTF">2019-10-18T12:09:00Z</dcterms:modified>
</cp:coreProperties>
</file>