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E13E7" w14:textId="77777777" w:rsidR="00285089" w:rsidRPr="00F33660" w:rsidRDefault="00285089" w:rsidP="00285089">
      <w:pPr>
        <w:pStyle w:val="NormalWeb"/>
        <w:spacing w:before="0" w:beforeAutospacing="0" w:after="60" w:afterAutospacing="0" w:line="480" w:lineRule="auto"/>
        <w:jc w:val="center"/>
      </w:pPr>
      <w:r w:rsidRPr="00FF779F">
        <w:rPr>
          <w:sz w:val="28"/>
          <w:szCs w:val="28"/>
        </w:rPr>
        <w:t xml:space="preserve">Supplementary material for: </w:t>
      </w:r>
      <w:r w:rsidRPr="00F33660">
        <w:rPr>
          <w:rFonts w:asciiTheme="majorBidi" w:hAnsiTheme="majorBidi" w:cstheme="majorBidi"/>
          <w:sz w:val="28"/>
          <w:szCs w:val="28"/>
        </w:rPr>
        <w:t xml:space="preserve">Optimizing antiviral treatment for seasonal influenza in the United States: </w:t>
      </w:r>
      <w:r>
        <w:rPr>
          <w:rFonts w:asciiTheme="majorBidi" w:hAnsiTheme="majorBidi" w:cstheme="majorBidi"/>
          <w:sz w:val="28"/>
          <w:szCs w:val="28"/>
        </w:rPr>
        <w:t>a</w:t>
      </w:r>
      <w:r w:rsidRPr="00F33660">
        <w:rPr>
          <w:rFonts w:asciiTheme="majorBidi" w:hAnsiTheme="majorBidi" w:cstheme="majorBidi"/>
          <w:sz w:val="28"/>
          <w:szCs w:val="28"/>
        </w:rPr>
        <w:t xml:space="preserve"> </w:t>
      </w:r>
      <w:r>
        <w:rPr>
          <w:rFonts w:asciiTheme="majorBidi" w:hAnsiTheme="majorBidi" w:cstheme="majorBidi"/>
          <w:sz w:val="28"/>
          <w:szCs w:val="28"/>
        </w:rPr>
        <w:t>m</w:t>
      </w:r>
      <w:r w:rsidRPr="00F33660">
        <w:rPr>
          <w:rFonts w:asciiTheme="majorBidi" w:hAnsiTheme="majorBidi" w:cstheme="majorBidi"/>
          <w:sz w:val="28"/>
          <w:szCs w:val="28"/>
        </w:rPr>
        <w:t xml:space="preserve">athematical </w:t>
      </w:r>
      <w:r>
        <w:rPr>
          <w:rFonts w:asciiTheme="majorBidi" w:hAnsiTheme="majorBidi" w:cstheme="majorBidi"/>
          <w:sz w:val="28"/>
          <w:szCs w:val="28"/>
        </w:rPr>
        <w:t>m</w:t>
      </w:r>
      <w:r w:rsidRPr="00F33660">
        <w:rPr>
          <w:rFonts w:asciiTheme="majorBidi" w:hAnsiTheme="majorBidi" w:cstheme="majorBidi"/>
          <w:sz w:val="28"/>
          <w:szCs w:val="28"/>
        </w:rPr>
        <w:t xml:space="preserve">odelling </w:t>
      </w:r>
      <w:r>
        <w:rPr>
          <w:rFonts w:asciiTheme="majorBidi" w:hAnsiTheme="majorBidi" w:cstheme="majorBidi"/>
          <w:sz w:val="28"/>
          <w:szCs w:val="28"/>
        </w:rPr>
        <w:t>a</w:t>
      </w:r>
      <w:r w:rsidRPr="00F33660">
        <w:rPr>
          <w:rFonts w:asciiTheme="majorBidi" w:hAnsiTheme="majorBidi" w:cstheme="majorBidi"/>
          <w:sz w:val="28"/>
          <w:szCs w:val="28"/>
        </w:rPr>
        <w:t>nalysis</w:t>
      </w:r>
    </w:p>
    <w:p w14:paraId="04FE6B93" w14:textId="77777777" w:rsidR="00285089" w:rsidRPr="00B304D7" w:rsidRDefault="00285089" w:rsidP="00285089">
      <w:pPr>
        <w:pStyle w:val="NormalWeb"/>
        <w:spacing w:before="0" w:beforeAutospacing="0" w:after="60" w:afterAutospacing="0" w:line="360" w:lineRule="auto"/>
        <w:jc w:val="both"/>
        <w:rPr>
          <w:vertAlign w:val="superscript"/>
        </w:rPr>
      </w:pPr>
      <w:r w:rsidRPr="00B304D7">
        <w:t>Matan Yechezkel, MSc</w:t>
      </w:r>
      <w:r w:rsidRPr="00B304D7">
        <w:rPr>
          <w:vertAlign w:val="superscript"/>
        </w:rPr>
        <w:t>1*</w:t>
      </w:r>
      <w:r>
        <w:t>;</w:t>
      </w:r>
      <w:r w:rsidRPr="00B304D7">
        <w:t xml:space="preserve"> Martial L </w:t>
      </w:r>
      <w:proofErr w:type="spellStart"/>
      <w:r w:rsidRPr="00B304D7">
        <w:t>Ndeffo</w:t>
      </w:r>
      <w:proofErr w:type="spellEnd"/>
      <w:r w:rsidRPr="00B304D7">
        <w:t xml:space="preserve"> Mbah, PhD</w:t>
      </w:r>
      <w:r w:rsidRPr="00B304D7">
        <w:rPr>
          <w:vertAlign w:val="superscript"/>
        </w:rPr>
        <w:t>2,3*</w:t>
      </w:r>
      <w:r>
        <w:t>;</w:t>
      </w:r>
      <w:r w:rsidRPr="00B304D7">
        <w:t xml:space="preserve"> Dan </w:t>
      </w:r>
      <w:proofErr w:type="spellStart"/>
      <w:r w:rsidRPr="00B304D7">
        <w:t>Yamin</w:t>
      </w:r>
      <w:proofErr w:type="spellEnd"/>
      <w:r w:rsidRPr="00B304D7">
        <w:t>, PhD</w:t>
      </w:r>
      <w:r w:rsidRPr="00B304D7">
        <w:rPr>
          <w:vertAlign w:val="superscript"/>
        </w:rPr>
        <w:t>1*</w:t>
      </w:r>
    </w:p>
    <w:p w14:paraId="2F719409" w14:textId="77777777" w:rsidR="00285089" w:rsidRPr="00B304D7" w:rsidRDefault="00285089" w:rsidP="00285089">
      <w:pPr>
        <w:spacing w:after="0" w:line="360" w:lineRule="auto"/>
        <w:jc w:val="both"/>
        <w:rPr>
          <w:rFonts w:ascii="Times New Roman" w:hAnsi="Times New Roman" w:cs="Times New Roman"/>
          <w:sz w:val="24"/>
          <w:szCs w:val="24"/>
        </w:rPr>
      </w:pPr>
    </w:p>
    <w:p w14:paraId="3348E880" w14:textId="77777777" w:rsidR="00285089" w:rsidRPr="00B304D7" w:rsidRDefault="00285089" w:rsidP="00285089">
      <w:pPr>
        <w:spacing w:after="0" w:line="360" w:lineRule="auto"/>
        <w:jc w:val="both"/>
        <w:rPr>
          <w:rFonts w:ascii="Times New Roman" w:hAnsi="Times New Roman" w:cs="Times New Roman"/>
          <w:sz w:val="24"/>
          <w:szCs w:val="24"/>
        </w:rPr>
      </w:pPr>
      <w:r w:rsidRPr="00B304D7">
        <w:rPr>
          <w:rFonts w:ascii="Times New Roman" w:hAnsi="Times New Roman" w:cs="Times New Roman"/>
          <w:sz w:val="24"/>
          <w:szCs w:val="24"/>
          <w:vertAlign w:val="superscript"/>
        </w:rPr>
        <w:t>1</w:t>
      </w:r>
      <w:r w:rsidRPr="00B304D7">
        <w:rPr>
          <w:rFonts w:ascii="Times New Roman" w:hAnsi="Times New Roman" w:cs="Times New Roman"/>
          <w:sz w:val="24"/>
          <w:szCs w:val="24"/>
        </w:rPr>
        <w:t xml:space="preserve">Department of Industrial Engineering, Tel Aviv University, 55 Haim </w:t>
      </w:r>
      <w:proofErr w:type="spellStart"/>
      <w:r w:rsidRPr="00B304D7">
        <w:rPr>
          <w:rFonts w:ascii="Times New Roman" w:hAnsi="Times New Roman" w:cs="Times New Roman"/>
          <w:sz w:val="24"/>
          <w:szCs w:val="24"/>
        </w:rPr>
        <w:t>Levanon</w:t>
      </w:r>
      <w:proofErr w:type="spellEnd"/>
      <w:r w:rsidRPr="00B304D7">
        <w:rPr>
          <w:rFonts w:ascii="Times New Roman" w:hAnsi="Times New Roman" w:cs="Times New Roman"/>
          <w:sz w:val="24"/>
          <w:szCs w:val="24"/>
        </w:rPr>
        <w:t xml:space="preserve"> St, Tel Aviv, Israel</w:t>
      </w:r>
    </w:p>
    <w:p w14:paraId="0F0C3811" w14:textId="77777777" w:rsidR="00285089" w:rsidRPr="00B304D7" w:rsidRDefault="00285089" w:rsidP="00285089">
      <w:pPr>
        <w:spacing w:after="0" w:line="360" w:lineRule="auto"/>
        <w:jc w:val="both"/>
        <w:rPr>
          <w:rFonts w:ascii="Times New Roman" w:hAnsi="Times New Roman" w:cs="Times New Roman"/>
          <w:sz w:val="24"/>
          <w:szCs w:val="24"/>
        </w:rPr>
      </w:pPr>
      <w:r w:rsidRPr="00B304D7">
        <w:rPr>
          <w:rFonts w:ascii="Times New Roman" w:hAnsi="Times New Roman" w:cs="Times New Roman"/>
          <w:sz w:val="24"/>
          <w:szCs w:val="24"/>
          <w:vertAlign w:val="superscript"/>
        </w:rPr>
        <w:t>2</w:t>
      </w:r>
      <w:r w:rsidRPr="00B304D7">
        <w:rPr>
          <w:rFonts w:ascii="Times New Roman" w:hAnsi="Times New Roman" w:cs="Times New Roman"/>
          <w:sz w:val="24"/>
          <w:szCs w:val="24"/>
        </w:rPr>
        <w:t xml:space="preserve">College of Veterinary Medicine &amp; Biomedical Sciences and </w:t>
      </w:r>
      <w:r w:rsidRPr="00B304D7">
        <w:rPr>
          <w:rFonts w:ascii="Times New Roman" w:hAnsi="Times New Roman" w:cs="Times New Roman"/>
          <w:sz w:val="24"/>
          <w:szCs w:val="24"/>
          <w:vertAlign w:val="superscript"/>
        </w:rPr>
        <w:t>3</w:t>
      </w:r>
      <w:r w:rsidRPr="00B304D7">
        <w:rPr>
          <w:rFonts w:ascii="Times New Roman" w:hAnsi="Times New Roman" w:cs="Times New Roman"/>
          <w:sz w:val="24"/>
          <w:szCs w:val="24"/>
        </w:rPr>
        <w:t>School of Public Health, Texas A&amp;M University, College Station, Texas, 77843</w:t>
      </w:r>
    </w:p>
    <w:p w14:paraId="62CF952D" w14:textId="77777777" w:rsidR="00285089" w:rsidRPr="00B304D7" w:rsidRDefault="00285089" w:rsidP="00285089">
      <w:pPr>
        <w:spacing w:line="360" w:lineRule="auto"/>
        <w:jc w:val="both"/>
        <w:rPr>
          <w:rFonts w:ascii="Times New Roman" w:hAnsi="Times New Roman" w:cs="Times New Roman"/>
          <w:sz w:val="24"/>
          <w:szCs w:val="24"/>
        </w:rPr>
      </w:pPr>
      <w:r w:rsidRPr="00B304D7">
        <w:rPr>
          <w:rFonts w:ascii="Times New Roman" w:hAnsi="Times New Roman" w:cs="Times New Roman"/>
          <w:sz w:val="24"/>
          <w:szCs w:val="24"/>
          <w:vertAlign w:val="superscript"/>
        </w:rPr>
        <w:t>*</w:t>
      </w:r>
      <w:r w:rsidRPr="00B304D7">
        <w:rPr>
          <w:rFonts w:ascii="Times New Roman" w:hAnsi="Times New Roman" w:cs="Times New Roman"/>
          <w:sz w:val="24"/>
          <w:szCs w:val="24"/>
        </w:rPr>
        <w:t>Authors equally contributed to the manuscript</w:t>
      </w:r>
    </w:p>
    <w:p w14:paraId="509AD79B" w14:textId="77777777" w:rsidR="00285089" w:rsidRPr="008F7E2C" w:rsidRDefault="00285089" w:rsidP="00285089">
      <w:pPr>
        <w:pStyle w:val="Heading1"/>
        <w:jc w:val="both"/>
      </w:pPr>
    </w:p>
    <w:sdt>
      <w:sdtPr>
        <w:rPr>
          <w:rFonts w:asciiTheme="majorBidi" w:hAnsiTheme="majorBidi" w:cstheme="majorBidi"/>
          <w:b/>
          <w:bCs/>
          <w:sz w:val="24"/>
          <w:szCs w:val="24"/>
        </w:rPr>
        <w:id w:val="1703828217"/>
        <w:docPartObj>
          <w:docPartGallery w:val="Table of Contents"/>
        </w:docPartObj>
      </w:sdtPr>
      <w:sdtEndPr>
        <w:rPr>
          <w:rFonts w:asciiTheme="minorHAnsi" w:hAnsiTheme="minorHAnsi" w:cstheme="minorBidi"/>
          <w:b w:val="0"/>
          <w:bCs w:val="0"/>
          <w:sz w:val="22"/>
          <w:szCs w:val="22"/>
        </w:rPr>
      </w:sdtEndPr>
      <w:sdtContent>
        <w:p w14:paraId="5F4E439A" w14:textId="77777777" w:rsidR="00285089" w:rsidRPr="001442F3" w:rsidRDefault="00285089" w:rsidP="00285089">
          <w:pPr>
            <w:spacing w:after="37" w:line="360" w:lineRule="auto"/>
            <w:ind w:left="-5" w:right="45"/>
            <w:jc w:val="both"/>
            <w:rPr>
              <w:rFonts w:asciiTheme="majorBidi" w:hAnsiTheme="majorBidi" w:cstheme="majorBidi"/>
              <w:b/>
              <w:bCs/>
              <w:sz w:val="24"/>
              <w:szCs w:val="24"/>
            </w:rPr>
          </w:pPr>
          <w:r>
            <w:rPr>
              <w:rFonts w:asciiTheme="majorBidi" w:hAnsiTheme="majorBidi" w:cstheme="majorBidi"/>
              <w:b/>
              <w:bCs/>
              <w:sz w:val="24"/>
              <w:szCs w:val="24"/>
            </w:rPr>
            <w:t xml:space="preserve">Table of </w:t>
          </w:r>
          <w:r w:rsidRPr="00956CD7">
            <w:rPr>
              <w:rFonts w:asciiTheme="majorBidi" w:hAnsiTheme="majorBidi" w:cstheme="majorBidi"/>
              <w:b/>
              <w:bCs/>
            </w:rPr>
            <w:t>Contents</w:t>
          </w:r>
        </w:p>
        <w:p w14:paraId="5884532B" w14:textId="77777777" w:rsidR="00285089" w:rsidRDefault="00285089" w:rsidP="00285089">
          <w:pPr>
            <w:pStyle w:val="TOC2"/>
            <w:tabs>
              <w:tab w:val="left" w:pos="880"/>
              <w:tab w:val="right" w:leader="dot" w:pos="9016"/>
            </w:tabs>
            <w:rPr>
              <w:rFonts w:asciiTheme="minorHAnsi" w:eastAsiaTheme="minorEastAsia" w:hAnsiTheme="minorHAnsi" w:cstheme="minorBidi"/>
              <w:noProof/>
              <w:color w:val="auto"/>
            </w:rPr>
          </w:pPr>
          <w:r>
            <w:fldChar w:fldCharType="begin"/>
          </w:r>
          <w:r>
            <w:instrText xml:space="preserve"> TOC \o "1-2" \h \z \u </w:instrText>
          </w:r>
          <w:r>
            <w:fldChar w:fldCharType="separate"/>
          </w:r>
          <w:hyperlink w:anchor="_Toc60620861" w:history="1">
            <w:r w:rsidRPr="00645665">
              <w:rPr>
                <w:rStyle w:val="Hyperlink"/>
                <w:rFonts w:asciiTheme="majorBidi" w:hAnsiTheme="majorBidi" w:cstheme="majorBidi"/>
                <w:noProof/>
              </w:rPr>
              <w:t>1.</w:t>
            </w:r>
            <w:r>
              <w:rPr>
                <w:rFonts w:asciiTheme="minorHAnsi" w:eastAsiaTheme="minorEastAsia" w:hAnsiTheme="minorHAnsi" w:cstheme="minorBidi"/>
                <w:noProof/>
                <w:color w:val="auto"/>
              </w:rPr>
              <w:tab/>
            </w:r>
            <w:r w:rsidRPr="00645665">
              <w:rPr>
                <w:rStyle w:val="Hyperlink"/>
                <w:rFonts w:asciiTheme="majorBidi" w:hAnsiTheme="majorBidi" w:cstheme="majorBidi"/>
                <w:noProof/>
              </w:rPr>
              <w:t>Model overview</w:t>
            </w:r>
            <w:r>
              <w:rPr>
                <w:noProof/>
                <w:webHidden/>
              </w:rPr>
              <w:tab/>
            </w:r>
            <w:r>
              <w:rPr>
                <w:noProof/>
                <w:webHidden/>
              </w:rPr>
              <w:fldChar w:fldCharType="begin"/>
            </w:r>
            <w:r>
              <w:rPr>
                <w:noProof/>
                <w:webHidden/>
              </w:rPr>
              <w:instrText xml:space="preserve"> PAGEREF _Toc60620861 \h </w:instrText>
            </w:r>
            <w:r>
              <w:rPr>
                <w:noProof/>
                <w:webHidden/>
              </w:rPr>
            </w:r>
            <w:r>
              <w:rPr>
                <w:noProof/>
                <w:webHidden/>
              </w:rPr>
              <w:fldChar w:fldCharType="separate"/>
            </w:r>
            <w:r>
              <w:rPr>
                <w:noProof/>
                <w:webHidden/>
              </w:rPr>
              <w:t>2</w:t>
            </w:r>
            <w:r>
              <w:rPr>
                <w:noProof/>
                <w:webHidden/>
              </w:rPr>
              <w:fldChar w:fldCharType="end"/>
            </w:r>
          </w:hyperlink>
        </w:p>
        <w:p w14:paraId="67778BDC" w14:textId="77777777" w:rsidR="00285089" w:rsidRDefault="00365097" w:rsidP="00285089">
          <w:pPr>
            <w:pStyle w:val="TOC2"/>
            <w:tabs>
              <w:tab w:val="left" w:pos="880"/>
              <w:tab w:val="right" w:leader="dot" w:pos="9016"/>
            </w:tabs>
            <w:rPr>
              <w:rFonts w:asciiTheme="minorHAnsi" w:eastAsiaTheme="minorEastAsia" w:hAnsiTheme="minorHAnsi" w:cstheme="minorBidi"/>
              <w:noProof/>
              <w:color w:val="auto"/>
            </w:rPr>
          </w:pPr>
          <w:hyperlink w:anchor="_Toc60620862" w:history="1">
            <w:r w:rsidR="00285089" w:rsidRPr="00645665">
              <w:rPr>
                <w:rStyle w:val="Hyperlink"/>
                <w:rFonts w:asciiTheme="majorBidi" w:hAnsiTheme="majorBidi" w:cstheme="majorBidi"/>
                <w:noProof/>
              </w:rPr>
              <w:t>2.</w:t>
            </w:r>
            <w:r w:rsidR="00285089">
              <w:rPr>
                <w:rFonts w:asciiTheme="minorHAnsi" w:eastAsiaTheme="minorEastAsia" w:hAnsiTheme="minorHAnsi" w:cstheme="minorBidi"/>
                <w:noProof/>
                <w:color w:val="auto"/>
              </w:rPr>
              <w:tab/>
            </w:r>
            <w:r w:rsidR="00285089" w:rsidRPr="00645665">
              <w:rPr>
                <w:rStyle w:val="Hyperlink"/>
                <w:rFonts w:asciiTheme="majorBidi" w:hAnsiTheme="majorBidi" w:cstheme="majorBidi"/>
                <w:noProof/>
              </w:rPr>
              <w:t>Data set and parameters</w:t>
            </w:r>
            <w:r w:rsidR="00285089">
              <w:rPr>
                <w:noProof/>
                <w:webHidden/>
              </w:rPr>
              <w:tab/>
            </w:r>
            <w:r w:rsidR="00285089">
              <w:rPr>
                <w:noProof/>
                <w:webHidden/>
              </w:rPr>
              <w:fldChar w:fldCharType="begin"/>
            </w:r>
            <w:r w:rsidR="00285089">
              <w:rPr>
                <w:noProof/>
                <w:webHidden/>
              </w:rPr>
              <w:instrText xml:space="preserve"> PAGEREF _Toc60620862 \h </w:instrText>
            </w:r>
            <w:r w:rsidR="00285089">
              <w:rPr>
                <w:noProof/>
                <w:webHidden/>
              </w:rPr>
            </w:r>
            <w:r w:rsidR="00285089">
              <w:rPr>
                <w:noProof/>
                <w:webHidden/>
              </w:rPr>
              <w:fldChar w:fldCharType="separate"/>
            </w:r>
            <w:r w:rsidR="00285089">
              <w:rPr>
                <w:noProof/>
                <w:webHidden/>
              </w:rPr>
              <w:t>5</w:t>
            </w:r>
            <w:r w:rsidR="00285089">
              <w:rPr>
                <w:noProof/>
                <w:webHidden/>
              </w:rPr>
              <w:fldChar w:fldCharType="end"/>
            </w:r>
          </w:hyperlink>
        </w:p>
        <w:p w14:paraId="703D5EB2" w14:textId="77777777" w:rsidR="00285089" w:rsidRDefault="00365097" w:rsidP="00285089">
          <w:pPr>
            <w:pStyle w:val="TOC2"/>
            <w:tabs>
              <w:tab w:val="left" w:pos="880"/>
              <w:tab w:val="right" w:leader="dot" w:pos="9016"/>
            </w:tabs>
            <w:rPr>
              <w:rFonts w:asciiTheme="minorHAnsi" w:eastAsiaTheme="minorEastAsia" w:hAnsiTheme="minorHAnsi" w:cstheme="minorBidi"/>
              <w:noProof/>
              <w:color w:val="auto"/>
            </w:rPr>
          </w:pPr>
          <w:hyperlink w:anchor="_Toc60620863" w:history="1">
            <w:r w:rsidR="00285089" w:rsidRPr="00645665">
              <w:rPr>
                <w:rStyle w:val="Hyperlink"/>
                <w:rFonts w:asciiTheme="majorBidi" w:hAnsiTheme="majorBidi" w:cstheme="majorBidi"/>
                <w:noProof/>
              </w:rPr>
              <w:t>3.</w:t>
            </w:r>
            <w:r w:rsidR="00285089">
              <w:rPr>
                <w:rFonts w:asciiTheme="minorHAnsi" w:eastAsiaTheme="minorEastAsia" w:hAnsiTheme="minorHAnsi" w:cstheme="minorBidi"/>
                <w:noProof/>
                <w:color w:val="auto"/>
              </w:rPr>
              <w:tab/>
            </w:r>
            <w:r w:rsidR="00285089" w:rsidRPr="00645665">
              <w:rPr>
                <w:rStyle w:val="Hyperlink"/>
                <w:rFonts w:asciiTheme="majorBidi" w:hAnsiTheme="majorBidi" w:cstheme="majorBidi"/>
                <w:noProof/>
              </w:rPr>
              <w:t>Model simulations</w:t>
            </w:r>
            <w:r w:rsidR="00285089">
              <w:rPr>
                <w:noProof/>
                <w:webHidden/>
              </w:rPr>
              <w:tab/>
            </w:r>
            <w:r w:rsidR="00285089">
              <w:rPr>
                <w:noProof/>
                <w:webHidden/>
              </w:rPr>
              <w:fldChar w:fldCharType="begin"/>
            </w:r>
            <w:r w:rsidR="00285089">
              <w:rPr>
                <w:noProof/>
                <w:webHidden/>
              </w:rPr>
              <w:instrText xml:space="preserve"> PAGEREF _Toc60620863 \h </w:instrText>
            </w:r>
            <w:r w:rsidR="00285089">
              <w:rPr>
                <w:noProof/>
                <w:webHidden/>
              </w:rPr>
            </w:r>
            <w:r w:rsidR="00285089">
              <w:rPr>
                <w:noProof/>
                <w:webHidden/>
              </w:rPr>
              <w:fldChar w:fldCharType="separate"/>
            </w:r>
            <w:r w:rsidR="00285089">
              <w:rPr>
                <w:noProof/>
                <w:webHidden/>
              </w:rPr>
              <w:t>14</w:t>
            </w:r>
            <w:r w:rsidR="00285089">
              <w:rPr>
                <w:noProof/>
                <w:webHidden/>
              </w:rPr>
              <w:fldChar w:fldCharType="end"/>
            </w:r>
          </w:hyperlink>
        </w:p>
        <w:p w14:paraId="7D66C274" w14:textId="77777777" w:rsidR="00285089" w:rsidRDefault="00365097" w:rsidP="00285089">
          <w:pPr>
            <w:pStyle w:val="TOC2"/>
            <w:tabs>
              <w:tab w:val="left" w:pos="880"/>
              <w:tab w:val="right" w:leader="dot" w:pos="9016"/>
            </w:tabs>
            <w:rPr>
              <w:rFonts w:asciiTheme="minorHAnsi" w:eastAsiaTheme="minorEastAsia" w:hAnsiTheme="minorHAnsi" w:cstheme="minorBidi"/>
              <w:noProof/>
              <w:color w:val="auto"/>
            </w:rPr>
          </w:pPr>
          <w:hyperlink w:anchor="_Toc60620864" w:history="1">
            <w:r w:rsidR="00285089" w:rsidRPr="00645665">
              <w:rPr>
                <w:rStyle w:val="Hyperlink"/>
                <w:rFonts w:asciiTheme="majorBidi" w:hAnsiTheme="majorBidi" w:cstheme="majorBidi"/>
                <w:noProof/>
              </w:rPr>
              <w:t>4.</w:t>
            </w:r>
            <w:r w:rsidR="00285089">
              <w:rPr>
                <w:rFonts w:asciiTheme="minorHAnsi" w:eastAsiaTheme="minorEastAsia" w:hAnsiTheme="minorHAnsi" w:cstheme="minorBidi"/>
                <w:noProof/>
                <w:color w:val="auto"/>
              </w:rPr>
              <w:tab/>
            </w:r>
            <w:r w:rsidR="00285089" w:rsidRPr="00645665">
              <w:rPr>
                <w:rStyle w:val="Hyperlink"/>
                <w:rFonts w:asciiTheme="majorBidi" w:hAnsiTheme="majorBidi" w:cstheme="majorBidi"/>
                <w:noProof/>
              </w:rPr>
              <w:t>Additional results</w:t>
            </w:r>
            <w:r w:rsidR="00285089">
              <w:rPr>
                <w:noProof/>
                <w:webHidden/>
              </w:rPr>
              <w:tab/>
            </w:r>
            <w:r w:rsidR="00285089">
              <w:rPr>
                <w:noProof/>
                <w:webHidden/>
              </w:rPr>
              <w:fldChar w:fldCharType="begin"/>
            </w:r>
            <w:r w:rsidR="00285089">
              <w:rPr>
                <w:noProof/>
                <w:webHidden/>
              </w:rPr>
              <w:instrText xml:space="preserve"> PAGEREF _Toc60620864 \h </w:instrText>
            </w:r>
            <w:r w:rsidR="00285089">
              <w:rPr>
                <w:noProof/>
                <w:webHidden/>
              </w:rPr>
            </w:r>
            <w:r w:rsidR="00285089">
              <w:rPr>
                <w:noProof/>
                <w:webHidden/>
              </w:rPr>
              <w:fldChar w:fldCharType="separate"/>
            </w:r>
            <w:r w:rsidR="00285089">
              <w:rPr>
                <w:noProof/>
                <w:webHidden/>
              </w:rPr>
              <w:t>16</w:t>
            </w:r>
            <w:r w:rsidR="00285089">
              <w:rPr>
                <w:noProof/>
                <w:webHidden/>
              </w:rPr>
              <w:fldChar w:fldCharType="end"/>
            </w:r>
          </w:hyperlink>
        </w:p>
        <w:p w14:paraId="6A3EDCA4" w14:textId="77777777" w:rsidR="00285089" w:rsidRDefault="00285089" w:rsidP="00285089">
          <w:pPr>
            <w:spacing w:line="360" w:lineRule="auto"/>
            <w:jc w:val="both"/>
          </w:pPr>
          <w:r>
            <w:fldChar w:fldCharType="end"/>
          </w:r>
        </w:p>
      </w:sdtContent>
    </w:sdt>
    <w:p w14:paraId="08A36D34" w14:textId="77777777" w:rsidR="00285089" w:rsidRDefault="00285089" w:rsidP="00285089">
      <w:pPr>
        <w:spacing w:after="164" w:line="360" w:lineRule="auto"/>
        <w:jc w:val="both"/>
      </w:pPr>
      <w:r>
        <w:t xml:space="preserve"> </w:t>
      </w:r>
    </w:p>
    <w:p w14:paraId="00A10D68" w14:textId="77777777" w:rsidR="00285089" w:rsidRDefault="00285089" w:rsidP="00285089">
      <w:pPr>
        <w:spacing w:after="0" w:line="360" w:lineRule="auto"/>
        <w:jc w:val="both"/>
      </w:pPr>
      <w:r>
        <w:t xml:space="preserve"> </w:t>
      </w:r>
      <w:r>
        <w:tab/>
      </w:r>
    </w:p>
    <w:p w14:paraId="3D8BF405" w14:textId="77777777" w:rsidR="00285089" w:rsidRDefault="00285089" w:rsidP="00285089">
      <w:pPr>
        <w:spacing w:line="360" w:lineRule="auto"/>
        <w:jc w:val="both"/>
      </w:pPr>
      <w:r>
        <w:br w:type="page"/>
      </w:r>
    </w:p>
    <w:p w14:paraId="3D1D4839" w14:textId="77777777" w:rsidR="00285089" w:rsidRDefault="00285089" w:rsidP="00285089">
      <w:pPr>
        <w:spacing w:after="0" w:line="360" w:lineRule="auto"/>
        <w:jc w:val="both"/>
      </w:pPr>
      <w:r>
        <w:lastRenderedPageBreak/>
        <w:t xml:space="preserve"> </w:t>
      </w:r>
    </w:p>
    <w:p w14:paraId="276880EF" w14:textId="77777777" w:rsidR="00285089" w:rsidRPr="00BE0FA3" w:rsidRDefault="00285089" w:rsidP="00285089">
      <w:pPr>
        <w:pStyle w:val="Heading2"/>
        <w:spacing w:line="360" w:lineRule="auto"/>
        <w:jc w:val="both"/>
        <w:rPr>
          <w:rFonts w:asciiTheme="majorBidi" w:hAnsiTheme="majorBidi" w:cstheme="majorBidi"/>
        </w:rPr>
      </w:pPr>
      <w:bookmarkStart w:id="0" w:name="_Toc60620861"/>
      <w:r>
        <w:rPr>
          <w:rFonts w:asciiTheme="majorBidi" w:hAnsiTheme="majorBidi" w:cstheme="majorBidi"/>
        </w:rPr>
        <w:t>Model overview</w:t>
      </w:r>
      <w:bookmarkEnd w:id="0"/>
      <w:r w:rsidRPr="00BE0FA3">
        <w:rPr>
          <w:rFonts w:asciiTheme="majorBidi" w:hAnsiTheme="majorBidi" w:cstheme="majorBidi"/>
        </w:rPr>
        <w:t xml:space="preserve"> </w:t>
      </w:r>
    </w:p>
    <w:p w14:paraId="6F271C93" w14:textId="77777777" w:rsidR="00285089" w:rsidRPr="00D75061" w:rsidRDefault="00285089" w:rsidP="00285089">
      <w:pPr>
        <w:pStyle w:val="Heading3"/>
        <w:spacing w:line="360" w:lineRule="auto"/>
        <w:jc w:val="both"/>
        <w:rPr>
          <w:rFonts w:asciiTheme="majorBidi" w:hAnsiTheme="majorBidi" w:cstheme="majorBidi"/>
        </w:rPr>
      </w:pPr>
      <w:r w:rsidRPr="00D75061">
        <w:rPr>
          <w:rFonts w:asciiTheme="majorBidi" w:hAnsiTheme="majorBidi" w:cstheme="majorBidi"/>
        </w:rPr>
        <w:t>The model</w:t>
      </w:r>
    </w:p>
    <w:p w14:paraId="4A8025BE" w14:textId="77777777" w:rsidR="00285089" w:rsidRPr="00D75061" w:rsidRDefault="00285089" w:rsidP="00285089">
      <w:pPr>
        <w:spacing w:after="137" w:line="360" w:lineRule="auto"/>
        <w:jc w:val="both"/>
        <w:rPr>
          <w:rFonts w:asciiTheme="majorBidi" w:hAnsiTheme="majorBidi" w:cstheme="majorBidi"/>
        </w:rPr>
      </w:pPr>
      <w:r w:rsidRPr="00D75061">
        <w:rPr>
          <w:rFonts w:asciiTheme="majorBidi" w:hAnsiTheme="majorBidi" w:cstheme="majorBidi"/>
        </w:rPr>
        <w:t xml:space="preserve"> </w:t>
      </w:r>
    </w:p>
    <w:p w14:paraId="3134CB0F" w14:textId="77777777" w:rsidR="00285089" w:rsidRPr="00BE0FA3" w:rsidRDefault="00285089" w:rsidP="00285089">
      <w:pPr>
        <w:spacing w:after="188" w:line="360" w:lineRule="auto"/>
        <w:ind w:left="-5" w:right="45"/>
        <w:jc w:val="both"/>
        <w:rPr>
          <w:rFonts w:asciiTheme="majorBidi" w:hAnsiTheme="majorBidi" w:cstheme="majorBidi"/>
          <w:sz w:val="24"/>
          <w:szCs w:val="24"/>
        </w:rPr>
      </w:pPr>
      <w:r w:rsidRPr="00721EE4">
        <w:rPr>
          <w:rFonts w:asciiTheme="majorBidi" w:hAnsiTheme="majorBidi" w:cstheme="majorBidi"/>
          <w:sz w:val="24"/>
          <w:szCs w:val="24"/>
        </w:rPr>
        <w:t xml:space="preserve">We developed a dynamic model for age-stratified </w:t>
      </w:r>
      <w:r>
        <w:rPr>
          <w:rFonts w:ascii="Times New Roman" w:eastAsia="Calibri" w:hAnsi="Times New Roman" w:cs="Times New Roman"/>
          <w:sz w:val="24"/>
          <w:szCs w:val="24"/>
        </w:rPr>
        <w:t>influenza</w:t>
      </w:r>
      <w:r w:rsidRPr="00721EE4">
        <w:rPr>
          <w:rFonts w:asciiTheme="majorBidi" w:hAnsiTheme="majorBidi" w:cstheme="majorBidi"/>
          <w:sz w:val="24"/>
          <w:szCs w:val="24"/>
        </w:rPr>
        <w:t xml:space="preserve"> infection progression and transmission. Our model is a modified </w:t>
      </w:r>
      <w:r>
        <w:rPr>
          <w:rFonts w:ascii="Times New Roman" w:eastAsia="Calibri" w:hAnsi="Times New Roman" w:cs="Times New Roman"/>
          <w:sz w:val="24"/>
          <w:szCs w:val="24"/>
        </w:rPr>
        <w:t>susceptible-infected-recovered</w:t>
      </w:r>
      <w:r w:rsidRPr="00721EE4">
        <w:rPr>
          <w:rFonts w:asciiTheme="majorBidi" w:hAnsiTheme="majorBidi" w:cstheme="majorBidi"/>
          <w:sz w:val="24"/>
          <w:szCs w:val="24"/>
        </w:rPr>
        <w:t xml:space="preserve"> (SIR) compartmental framework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{"citationItems":[{"id":"ITEM-1","itemData":{"ISBN":"0198565763 &lt;LI&gt;&lt;B&gt;ISBN-13:&lt;/B&gt; 978-0198565765 &lt;LI&gt;&lt;B&gt;Product Dimensions: &lt;/B&gt;6.2 x 0.8 x 9.2 inches &lt;LI&gt;&lt;B&gt;Shipping Weight:&lt;/B&gt; 1.3 pounds (&lt;A href=\"http://www.amazon.com/gp/help/seller/shipping.html/ref=dp_pd_shipping?ie=UTF8&amp;amp;asin=0198565763&amp;amp;sell","author":[{"dropping-particle":"","family":"Vynnycky","given":"Emilia","non-dropping-particle":"","parse-names":false,"suffix":""},{"dropping-particle":"","family":"White","given":"Richard","non-dropping-particle":"","parse-names":false,"suffix":""}],"id":"ITEM-1","issued":{"date-parts":[["2010"]]},"publisher":"Oxford University Press, USA","title":"An Introduction to Infectious Disease Modelling","type":"book"},"uris":["http://www.mendeley.com/documents/?uuid=941be1dc-b45c-445c-a2a8-9447ba6a632b"]}],"mendeley":{"formattedCitation":"[27]","plainTextFormattedCitation":"[27]","previouslyFormattedCitation":"[27]"},"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[27]</w:t>
      </w:r>
      <w:r w:rsidRPr="00BE0FA3">
        <w:rPr>
          <w:rFonts w:asciiTheme="majorBidi" w:hAnsiTheme="majorBidi" w:cstheme="majorBidi"/>
          <w:sz w:val="24"/>
          <w:szCs w:val="24"/>
        </w:rPr>
        <w:fldChar w:fldCharType="end"/>
      </w:r>
      <w:r w:rsidRPr="00BE0FA3">
        <w:rPr>
          <w:rFonts w:asciiTheme="majorBidi" w:hAnsiTheme="majorBidi" w:cstheme="majorBidi"/>
          <w:sz w:val="24"/>
          <w:szCs w:val="24"/>
        </w:rPr>
        <w:t xml:space="preserve">, </w:t>
      </w:r>
      <w:bookmarkStart w:id="1" w:name="_Hlk54590682"/>
      <w:r w:rsidRPr="00721EE4">
        <w:rPr>
          <w:rFonts w:asciiTheme="majorBidi" w:hAnsiTheme="majorBidi" w:cstheme="majorBidi"/>
          <w:sz w:val="24"/>
          <w:szCs w:val="24"/>
        </w:rPr>
        <w:t xml:space="preserve">whereby the population is stratified into health-related compartments, and transitions between the compartments </w:t>
      </w:r>
      <w:r>
        <w:rPr>
          <w:rFonts w:ascii="Times New Roman" w:eastAsia="Calibri" w:hAnsi="Times New Roman" w:cs="Times New Roman"/>
          <w:sz w:val="24"/>
          <w:szCs w:val="24"/>
        </w:rPr>
        <w:t>occur</w:t>
      </w:r>
      <w:r w:rsidRPr="00721EE4">
        <w:rPr>
          <w:rFonts w:asciiTheme="majorBidi" w:hAnsiTheme="majorBidi" w:cstheme="majorBidi"/>
          <w:sz w:val="24"/>
          <w:szCs w:val="24"/>
        </w:rPr>
        <w:t xml:space="preserve"> over time (Main text, Fig. 1). To model age-dependent transmission, we stratified the population into age groups: 0</w:t>
      </w:r>
      <w:r>
        <w:rPr>
          <w:rFonts w:asciiTheme="majorBidi" w:hAnsiTheme="majorBidi" w:cstheme="majorBidi"/>
          <w:sz w:val="24"/>
          <w:szCs w:val="24"/>
        </w:rPr>
        <w:t>-</w:t>
      </w:r>
      <w:r w:rsidRPr="00721EE4">
        <w:rPr>
          <w:rFonts w:asciiTheme="majorBidi" w:hAnsiTheme="majorBidi" w:cstheme="majorBidi"/>
          <w:sz w:val="24"/>
          <w:szCs w:val="24"/>
        </w:rPr>
        <w:t>4 years, 5-19 years, 20-49 years, 50-64 years, and ≥</w:t>
      </w:r>
      <w:r>
        <w:rPr>
          <w:rFonts w:asciiTheme="majorBidi" w:hAnsiTheme="majorBidi" w:cstheme="majorBidi" w:hint="cs"/>
          <w:sz w:val="24"/>
          <w:szCs w:val="24"/>
          <w:rtl/>
        </w:rPr>
        <w:t xml:space="preserve"> </w:t>
      </w:r>
      <w:r w:rsidRPr="00721EE4">
        <w:rPr>
          <w:rFonts w:asciiTheme="majorBidi" w:hAnsiTheme="majorBidi" w:cstheme="majorBidi"/>
          <w:sz w:val="24"/>
          <w:szCs w:val="24"/>
        </w:rPr>
        <w:t xml:space="preserve">65 years. Consistent with immunological observations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01492195","author":[{"dropping-particle":"","family":"Branch","given":"Alicia","non-dropping-particle":"","parse-names":false,"suffix":""},{"dropping-particle":"","family":"Veguilla","given":"Vic","non-dropping-particle":"","parse-names":false,"suffix":""},{"dropping-particle":"","family":"Gillis","given":"Eric","non-dropping-particle":"","parse-names":false,"suffix":""},{"dropping-particle":"","family":"Reed","given":"Carrie","non-dropping-particle":"","parse-names":false,"suffix":""},{"dropping-particle":"","family":"Noland","given":"Heather","non-dropping-particle":"","parse-names":false,"suffix":""},{"dropping-particle":"","family":"Thomas","given":"Leilani","non-dropping-particle":"","parse-names":false,"suffix":""},{"dropping-particle":"","family":"Browning","given":"Peter","non-dropping-particle":"","parse-names":false,"suffix":""},{"dropping-particle":"","family":"Balish","given":"Amanda","non-dropping-particle":"","parse-names":false,"suffix":""},{"dropping-particle":"","family":"Fry","given":"Alicia","non-dropping-particle":"","parse-names":false,"suffix":""},{"dropping-particle":"","family":"Cox","given":"Nancy","non-dropping-particle":"","parse-names":false,"suffix":""},{"dropping-particle":"","family":"Katz","given":"Jacqueline M.","non-dropping-particle":"","parse-names":false,"suffix":""},{"dropping-particle":"","family":"Hancock","given":"Kathy","non-dropping-particle":"","parse-names":false,"suffix":""}],"container-title":"Morbidity and Mortality Weekly Report","id":"ITEM-1","issued":{"date-parts":[["2012"]]},"title":"Antibodies cross-reactive to influenza a (H3N2) variant virus and impact of 2010-11 seasonal influenza vaccine on cross-reactive antibodies - United States","type":"article-journal"},"uris":["http://www.mendeley.com/documents/?uuid=e9dc7547-ffc2-485e-b63d-b68fefb28f54"]},{"id":"ITEM-2","itemData":{"DOI":"10.1186/1471-2334-14-346","ISBN":"1471-2334 (Electronic); 1471-2334 (Linking)","ISSN":"14712334","PMID":"24950742","author":[{"dropping-particle":"","family":"Mandelboim","given":"Michal","non-dropping-particle":"","parse-names":false,"suffix":""},{"dropping-particle":"","family":"Bromberg","given":"Michal","non-dropping-particle":"","parse-names":false,"suffix":""},{"dropping-particle":"","family":"Sherbany","given":"Hilda","non-dropping-particle":"","parse-names":false,"suffix":""},{"dropping-particle":"","family":"Zucker","given":"Inbar","non-dropping-particle":"","parse-names":false,"suffix":""},{"dropping-particle":"","family":"Yaary","given":"Karnit","non-dropping-particle":"","parse-names":false,"suffix":""},{"dropping-particle":"","family":"Bassal","given":"Ravit","non-dropping-particle":"","parse-names":false,"suffix":""},{"dropping-particle":"","family":"Dichtiar","given":"Rita","non-dropping-particle":"","parse-names":false,"suffix":""},{"dropping-particle":"","family":"Cohen","given":"Danny","non-dropping-particle":"","parse-names":false,"suffix":""},{"dropping-particle":"","family":"Shohat","given":"Tamar","non-dropping-particle":"","parse-names":false,"suffix":""},{"dropping-particle":"","family":"Mendelson","given":"Ella","non-dropping-particle":"","parse-names":false,"suffix":""},{"dropping-particle":"","family":"Green","given":"Manfred S","non-dropping-particle":"","parse-names":false,"suffix":""}],"container-title":"BMC Infectious Diseases","id":"ITEM-2","issue":"1","issued":{"date-parts":[["2014"]]},"title":"Significant cross reactive antibodies to influenza virus in adults and children during a period of marked antigenic drift","type":"bill","volume":"14"},"uris":["http://www.mendeley.com/documents/?uuid=c155e0bd-08df-403f-a87b-ffc25e534d1f"]},{"id":"ITEM-3","itemData":{"DOI":"10.1056/NEJMoa0906453","ISSN":"0028-4793","author":[{"dropping-particle":"","family":"Hancock","given":"Kathy","non-dropping-particle":"","parse-names":false,"suffix":""},{"dropping-particle":"","family":"Veguilla","given":"Vic","non-dropping-particle":"","parse-names":false,"suffix":""},{"dropping-particle":"","family":"Lu","given":"Xiuhua","non-dropping-particle":"","parse-names":false,"suffix":""},{"dropping-particle":"","family":"Zhong","given":"Weimin","non-dropping-particle":"","parse-names":false,"suffix":""},{"dropping-particle":"","family":"Butler","given":"Eboneé N.","non-dropping-particle":"","parse-names":false,"suffix":""},{"dropping-particle":"","family":"Sun","given":"Hong","non-dropping-particle":"","parse-names":false,"suffix":""},{"dropping-particle":"","family":"Liu","given":"Feng","non-dropping-particle":"","parse-names":false,"suffix":""},{"dropping-particle":"","family":"Dong","given":"Libo","non-dropping-particle":"","parse-names":false,"suffix":""},{"dropping-particle":"","family":"DeVos","given":"Joshua R.","non-dropping-particle":"","parse-names":false,"suffix":""},{"dropping-particle":"","family":"Gargiullo","given":"Paul M.","non-dropping-particle":"","parse-names":false,"suffix":""},{"dropping-particle":"","family":"Brammer","given":"T. Lynnette","non-dropping-particle":"","parse-names":false,"suffix":""},{"dropping-particle":"","family":"Cox","given":"Nancy J.","non-dropping-particle":"","parse-names":false,"suffix":""},{"dropping-particle":"","family":"Tumpey","given":"Terrence M.","non-dropping-particle":"","parse-names":false,"suffix":""},{"dropping-particle":"","family":"Katz","given":"Jacqueline M.","non-dropping-particle":"","parse-names":false,"suffix":""}],"container-title":"New England Journal of Medicine","id":"ITEM-3","issue":"20","issued":{"date-parts":[["2009","11","12"]]},"page":"1945-1952","title":"Cross-Reactive Antibody Responses to the 2009 Pandemic H1N1 Influenza Virus","type":"article-journal","volume":"361"},"uris":["http://www.mendeley.com/documents/?uuid=70580090-6bd0-3db8-8172-1558f9c5ce14"]},{"id":"ITEM-4","itemData":{"DOI":"10.1371/journal.pone.0161195","ISSN":"19326203","abstract":"While influenza A viruses comprise a heterogeneous group of clinically relevant influenza viruses, influenza B viruses form a more homogeneous cluster, divided mainly into two lineages: Victoria and Yamagata. This divergence has complicated seasonal influenza vaccine design, which traditionally contained two seasonal influenza A virus strains and one influenza B virus strain. We examined the distribution of the two influenza B virus lineages in Israel, between 2011-2014, in hospitalized and in non-hospitalized (community) influenza B virus-infected patients. We showed that influenza B virus infections can lead to hospitalization and demonstrated that during some winter seasons, both influenza B virus lineages circulated simultaneously in Israel. We further show that the influenza B virus Yamagata lineage was dominant, circulating in the county in the last few years of the study period, consistent with the anti-Yamagata influenza B virus antibodies detected in the serum samples of affected individuals residing in Israel in the year 2014. Interestingly, we found that elderly people were particularly vulnerable to Yamagata lineage influenza B virus infections.","author":[{"dropping-particle":"","family":"Sharabi","given":"Sivan","non-dropping-particle":"","parse-names":false,"suffix":""},{"dropping-particle":"","family":"Drori","given":"Yaron","non-dropping-particle":"","parse-names":false,"suffix":""},{"dropping-particle":"","family":"Micheli","given":"Michal","non-dropping-particle":"","parse-names":false,"suffix":""},{"dropping-particle":"","family":"Friedman","given":"Nehemya","non-dropping-particle":"","parse-names":false,"suffix":""},{"dropping-particle":"","family":"Orzitzer","given":"Sara","non-dropping-particle":"","parse-names":false,"suffix":""},{"dropping-particle":"","family":"Bassal","given":"Ravit","non-dropping-particle":"","parse-names":false,"suffix":""},{"dropping-particle":"","family":"Glatman-Freedman","given":"Aharona","non-dropping-particle":"","parse-names":false,"suffix":""},{"dropping-particle":"","family":"Shohat","given":"Tamar","non-dropping-particle":"","parse-names":false,"suffix":""},{"dropping-particle":"","family":"Mendelson","given":"Ella","non-dropping-particle":"","parse-names":false,"suffix":""},{"dropping-particle":"","family":"Hindiyeh","given":"Musa","non-dropping-particle":"","parse-names":false,"suffix":""},{"dropping-particle":"","family":"Mandelboim","given":"Michal","non-dropping-particle":"","parse-names":false,"suffix":""}],"container-title":"PLoS ONE","id":"ITEM-4","issue":"8","issued":{"date-parts":[["2016","8","1"]]},"publisher":"Public Library of Science","title":"Epidemiological and virological characterization of influenza B virus infections","type":"article-journal","volume":"11"},"uris":["http://www.mendeley.com/documents/?uuid=dbf53dbb-52ed-3a79-bb1c-549f039e8c84"]},{"id":"ITEM-5","itemData":{"DOI":"10.1038/s41467-019-09652-6","ISSN":"20411723","abstract":"Influenza A viruses evolve rapidly to escape host immunity, causing reinfection. The form and duration of protection after each influenza virus infection are poorly understood. We quantify the dynamics of protective immunity by fitting individual-level mechanistic models to longitudinal serology from children and adults. We find that most protection in children but not adults correlates with antibody titers to the hemagglutinin surface protein. Protection against circulating strains wanes to half of peak levels 3.5–7 years after infection in both age groups, and wanes faster against influenza A(H3N2) than A(H1N1)pdm09. Protection against H3N2 lasts longer in adults than in children. Our results suggest that influenza antibody responses shift focus with age from the mutable hemagglutinin head to other epitopes, consistent with the theory of original antigenic sin, and might affect protection. Imprinting, or primary infection with a subtype, has modest to no effect on the risk of non-medically attended infections in adults.","author":[{"dropping-particle":"","family":"Ranjeva","given":"Sylvia","non-dropping-particle":"","parse-names":false,"suffix":""},{"dropping-particle":"","family":"Subramanian","given":"Rahul","non-dropping-particle":"","parse-names":false,"suffix":""},{"dropping-particle":"","family":"Fang","given":"Vicky J.","non-dropping-particle":"","parse-names":false,"suffix":""},{"dropping-particle":"","family":"Leung","given":"Gabriel M.","non-dropping-particle":"","parse-names":false,"suffix":""},{"dropping-particle":"","family":"Ip","given":"Dennis K.M.","non-dropping-particle":"","parse-names":false,"suffix":""},{"dropping-particle":"","family":"Perera","given":"Ranawaka A.P.M.","non-dropping-particle":"","parse-names":false,"suffix":""},{"dropping-particle":"","family":"Peiris","given":"J. S.Malik","non-dropping-particle":"","parse-names":false,"suffix":""},{"dropping-particle":"","family":"Cowling","given":"Benjamin J.","non-dropping-particle":"","parse-names":false,"suffix":""},{"dropping-particle":"","family":"Cobey","given":"Sarah","non-dropping-particle":"","parse-names":false,"suffix":""}],"container-title":"Nature Communications","id":"ITEM-5","issued":{"date-parts":[["2019"]]},"title":"Age-specific differences in the dynamics of protective immunity to influenza","type":"article-journal"},"uris":["http://www.mendeley.com/documents/?uuid=6be1d427-a1d8-446d-9993-565166ef72b3"]}],"mendeley":{"formattedCitation":"[41–45]","plainTextFormattedCitation":"[41–45]","previouslyFormattedCitation":"[42–46]"},"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[41–45]</w:t>
      </w:r>
      <w:r w:rsidRPr="00BE0FA3">
        <w:rPr>
          <w:rFonts w:asciiTheme="majorBidi" w:hAnsiTheme="majorBidi" w:cstheme="majorBidi"/>
          <w:sz w:val="24"/>
          <w:szCs w:val="24"/>
        </w:rPr>
        <w:fldChar w:fldCharType="end"/>
      </w:r>
      <w:r w:rsidRPr="00721EE4">
        <w:rPr>
          <w:rFonts w:asciiTheme="majorBidi" w:hAnsiTheme="majorBidi" w:cstheme="majorBidi"/>
          <w:sz w:val="24"/>
          <w:szCs w:val="24"/>
        </w:rPr>
        <w:t xml:space="preserve">, we assumed </w:t>
      </w:r>
      <w:r>
        <w:rPr>
          <w:rFonts w:ascii="Times New Roman" w:eastAsia="Calibri" w:hAnsi="Times New Roman" w:cs="Times New Roman"/>
          <w:sz w:val="24"/>
          <w:szCs w:val="24"/>
        </w:rPr>
        <w:t xml:space="preserve">an </w:t>
      </w:r>
      <w:r w:rsidRPr="00721EE4">
        <w:rPr>
          <w:rFonts w:asciiTheme="majorBidi" w:hAnsiTheme="majorBidi" w:cstheme="majorBidi"/>
          <w:sz w:val="24"/>
          <w:szCs w:val="24"/>
        </w:rPr>
        <w:t>age-dependent susceptib</w:t>
      </w:r>
      <w:r>
        <w:rPr>
          <w:rFonts w:asciiTheme="majorBidi" w:hAnsiTheme="majorBidi" w:cstheme="majorBidi"/>
          <w:sz w:val="24"/>
          <w:szCs w:val="24"/>
        </w:rPr>
        <w:t>ility</w:t>
      </w:r>
      <w:r w:rsidRPr="00721EE4">
        <w:rPr>
          <w:rFonts w:asciiTheme="majorBidi" w:hAnsiTheme="majorBidi" w:cstheme="majorBidi"/>
          <w:sz w:val="24"/>
          <w:szCs w:val="24"/>
        </w:rPr>
        <w:t xml:space="preserve"> reduction due to </w:t>
      </w:r>
      <w:proofErr w:type="spellStart"/>
      <w:r w:rsidRPr="00721EE4">
        <w:rPr>
          <w:rFonts w:asciiTheme="majorBidi" w:hAnsiTheme="majorBidi" w:cstheme="majorBidi"/>
          <w:sz w:val="24"/>
          <w:szCs w:val="24"/>
        </w:rPr>
        <w:t>preexisting</w:t>
      </w:r>
      <w:proofErr w:type="spellEnd"/>
      <w:r w:rsidRPr="00721EE4">
        <w:rPr>
          <w:rFonts w:asciiTheme="majorBidi" w:hAnsiTheme="majorBidi" w:cstheme="majorBidi"/>
          <w:sz w:val="24"/>
          <w:szCs w:val="24"/>
        </w:rPr>
        <w:t xml:space="preserve"> serum influenza neutralizing antibodies from previous exposure. Consistent with previous models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{"citationItems":[{"id":"ITEM-1","itemData":{"DOI":"10.1126/science.1175570","ISSN":"00368075","abstract":"The criteria to assess public health policies are fundamental to policy optimization. Using a model parametrized with survey-based contact data and mortality data from influenza pandemics, we determined optimal vaccine allocation for five outcome measures: deaths, infections, years of life lost, contingent valuation, and economic costs. We find that optimal vaccination is achieved by prioritization of schoolchildren and adults aged 30 to 39 years. Schoolchildren are most responsible for transmission, and their parents serve as bridges to the rest of the population. Our results indicate that consideration of age-specific transmission dynamics is paramount to the optimal allocation of influenza vaccines. We also found that previous and new recommendations from the U.S. Centers for Disease Control and Prevention both for the novel swine-origin influenza and, particularly, for seasonal influenza, are suboptimal for all outcome measures.","author":[{"dropping-particle":"","family":"Medlock","given":"Jan","non-dropping-particle":"","parse-names":false,"suffix":""},{"dropping-particle":"","family":"Galvani","given":"Alison P.","non-dropping-particle":"","parse-names":false,"suffix":""}],"container-title":"Science","id":"ITEM-1","issued":{"date-parts":[["2009"]]},"title":"Optimizing influenza vaccine distribution","type":"article-journal"},"uris":["http://www.mendeley.com/documents/?uuid=11b77af5-05f8-48f3-bc21-c0be9163de2d"]},{"id":"ITEM-2","itemData":{"DOI":"10.1016/j.vaccine.2013.04.052","ISSN":"0264410X","abstract":"Identification of the optimal vaccine allocation for the control of influenza requires consideration of uncertainty arising from numerous unpredictable factors, including viral evolution and diversity within the human population's immunity as well as variation in vaccine efficacy. The best policy must account for diverse potential outcomes based on these uncertainties. Here we used a mathematical model parametrized with survey-based contact data, demographic, and epidemiological data from seasonal influenza in the United States to determine the optimal vaccine allocation for five outcome measures: infections, hospitalizations, deaths, years of life loss, and contingent valuation. We incorporated uncertainty of epidemiological parameters and derive probability distributions of optimal age- and risk-specific allocation of vaccine. Our analysis demonstrated that previous recommendations of targeting schoolchildren (ages 5-17 years) and young adults (18-44 years) are generally robust in the face of uncertainty. However, when the outcome measure is to minimize deaths, years of life loss, or contingent valuation, uncertainty analysis identified scenarios under which it is optimal to target people at high risk for complications, even when vaccine are in abundance. © 2013 Elsevier Ltd.","author":[{"dropping-particle":"","family":"Ndeffo Mbah","given":"Martial L.","non-dropping-particle":"","parse-names":false,"suffix":""},{"dropping-particle":"","family":"Medlock","given":"Jan","non-dropping-particle":"","parse-names":false,"suffix":""},{"dropping-particle":"","family":"Meyers","given":"Lauren Ancel","non-dropping-particle":"","parse-names":false,"suffix":""},{"dropping-particle":"","family":"Galvani","given":"Alison P.","non-dropping-particle":"","parse-names":false,"suffix":""},{"dropping-particle":"","family":"Townsend","given":"Jeffrey P.","non-dropping-particle":"","parse-names":false,"suffix":""}],"container-title":"Vaccine","id":"ITEM-2","issued":{"date-parts":[["2013"]]},"title":"Optimal targeting of seasonal influenza vaccination toward younger ages is robust to parameter uncertainty","type":"article-journal"},"uris":["http://www.mendeley.com/documents/?uuid=96edf15e-8c93-4629-a415-f8ca0743ed2c"]},{"id":"ITEM-3","itemData":{"DOI":"10.1371/journal.pcbi.1003643","ISSN":"15537358","abstract":"Influenza vaccination is the primary approach to prevent influenza annually. WHO/CDC recommendations prioritize vaccinations mainly on the basis of age and co-morbidities, but have never considered influenza infection history of individuals for vaccination targeting. We evaluated such influenza vaccination policies through small-world contact networks simulations. Further, to verify our findings we analyzed, independently, large-scale empirical data of influenza diagnosis from the two largest Health Maintenance Organizations in Israel, together covering more than 74% of the Israeli population. These longitudinal individual-level data include about nine million cases of influenza diagnosed over a decade. Through contact network epidemiology simulations, we found that individuals previously infected with influenza have a disproportionate probability of being highly connected within networks and transmitting to others. Therefore, we showed that prioritizing those previously infected for vaccination would be more effective than a random vaccination policy in reducing infection. The effectiveness of such a policy is robust over a range of epidemiological assumptions, including cross-reactivity between influenza strains conferring partial protection as high as 55%. Empirically, our analysis of the medical records confirms that in every age group, case definition for influenza, clinical diagnosis, and year tested, patients infected in the year prior had a substantially higher risk of becoming infected in the subsequent year. Accordingly, considering individual infection history in targeting and promoting influenza vaccination is predicted to be a highly effective supplement to the current policy. Our approach can also be generalized for other infectious disease, computer viruses, or ecological networks. © 2014 Yamin et al.","author":[{"dropping-particle":"","family":"Yamin","given":"Dan","non-dropping-particle":"","parse-names":false,"suffix":""},{"dropping-particle":"","family":"Gavious","given":"Arieh","non-dropping-particle":"","parse-names":false,"suffix":""},{"dropping-particle":"","family":"Solnik","given":"Eyal","non-dropping-particle":"","parse-names":false,"suffix":""},{"dropping-particle":"","family":"Davidovitch","given":"Nadav","non-dropping-particle":"","parse-names":false,"suffix":""},{"dropping-particle":"","family":"Balicer","given":"Ran D.","non-dropping-particle":"","parse-names":false,"suffix":""},{"dropping-particle":"","family":"Galvani","given":"Alison P.","non-dropping-particle":"","parse-names":false,"suffix":""},{"dropping-particle":"","family":"Pliskin","given":"Joseph S.","non-dropping-particle":"","parse-names":false,"suffix":""}],"container-title":"PLoS Computational Biology","editor":[{"dropping-particle":"","family":"Koelle","given":"Katia","non-dropping-particle":"","parse-names":false,"suffix":""}],"id":"ITEM-3","issue":"5","issued":{"date-parts":[["2014","5","22"]]},"page":"e1003643","publisher":"Public Library of Science","title":"An Innovative Influenza Vaccination Policy: Targeting Last Season's Patients","type":"article-journal","volume":"10"},"uris":["http://www.mendeley.com/documents/?uuid=ca3f0eb9-03be-420f-a051-b444c2d0a8a1"]}],"mendeley":{"formattedCitation":"[46–48]","plainTextFormattedCitation":"[46–48]","previouslyFormattedCitation":"[47–49]"},"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[46–48]</w:t>
      </w:r>
      <w:r w:rsidRPr="00BE0FA3">
        <w:rPr>
          <w:rFonts w:asciiTheme="majorBidi" w:hAnsiTheme="majorBidi" w:cstheme="majorBidi"/>
          <w:sz w:val="24"/>
          <w:szCs w:val="24"/>
        </w:rPr>
        <w:fldChar w:fldCharType="end"/>
      </w:r>
      <w:r>
        <w:rPr>
          <w:rFonts w:asciiTheme="majorBidi" w:hAnsiTheme="majorBidi" w:cstheme="majorBidi"/>
          <w:sz w:val="24"/>
          <w:szCs w:val="24"/>
        </w:rPr>
        <w:t xml:space="preserve">, we assumed that individuals are fully protected for the remainder of the season upon recovery. This assumption is also supported by prospective studies demonstrating that reinfection in the same season, although possible, is rare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ofid/ofz195","ISSN":"2328-8957","author":[{"dropping-particle":"","family":"Möst","given":"Johannes","non-dropping-particle":"","parse-names":false,"suffix":""},{"dropping-particle":"","family":"Redlberger-Fritz","given":"Monika","non-dropping-particle":"","parse-names":false,"suffix":""},{"dropping-particle":"","family":"Weiss","given":"Günter","non-dropping-particle":"","parse-names":false,"suffix":""}],"container-title":"Open Forum Infectious Diseases","id":"ITEM-1","issued":{"date-parts":[["2019"]]},"title":"Multiple Influenza Virus Infections in 4 Consecutive Epidemiological Seasons: A Retrospective Study in Children and Adolescents","type":"article-journal"},"uris":["http://www.mendeley.com/documents/?uuid=8a2ecb2d-cba2-444f-a13c-e704562a5c64"]},{"id":"ITEM-2","itemData":{"DOI":"10.1093/infdis/jiw104","ISSN":"15376613","abstract":"In a retrospective analysis of the test results for 647 patients with laboratory-confirmed influenza, we identified 13 children with influenza A virus infection who were subsequently infected with influenza B virus after a mean interval of 50 days. None of these children were considered immunodeficient or had an increased frequency of infections. Our data provide novel information in showing that consecutive infection with influenza A and B viruses can occur during a regular influenza season in immune-competent children and that a preceding influenza A virus infection may not provide cross-protection against influenza B virus infection.","author":[{"dropping-particle":"","family":"Möst","given":"Johannes","non-dropping-particle":"","parse-names":false,"suffix":""},{"dropping-particle":"","family":"Weiss","given":"Günter","non-dropping-particle":"","parse-names":false,"suffix":""}],"container-title":"Journal of Infectious Diseases","id":"ITEM-2","issued":{"date-parts":[["2016"]]},"title":"Consecutive Infections with Influenza A and B Virus in Children during the 2014-2015 Seasonal Influenza Epidemic","type":"article-journal"},"uris":["http://www.mendeley.com/documents/?uuid=19832b55-93e2-4e11-bc9d-5882fdc646c8"]}],"mendeley":{"formattedCitation":"[49, 50]","plainTextFormattedCitation":"[49, 50]","previouslyFormattedCitation":"[50, 51]"},"properties":{"noteIndex":0},"schema":"https://github.com/citation-style-language/schema/raw/master/csl-citation.json"}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[49, 50]</w:t>
      </w:r>
      <w:r w:rsidRPr="00BE0FA3">
        <w:rPr>
          <w:rFonts w:asciiTheme="majorBidi" w:hAnsiTheme="majorBidi" w:cstheme="majorBidi"/>
          <w:sz w:val="24"/>
          <w:szCs w:val="24"/>
        </w:rPr>
        <w:fldChar w:fldCharType="end"/>
      </w:r>
      <w:r w:rsidRPr="00BE0FA3">
        <w:rPr>
          <w:rFonts w:asciiTheme="majorBidi" w:hAnsiTheme="majorBidi" w:cstheme="majorBidi"/>
          <w:sz w:val="24"/>
          <w:szCs w:val="24"/>
        </w:rPr>
        <w:t>.</w:t>
      </w:r>
      <w:bookmarkEnd w:id="1"/>
    </w:p>
    <w:p w14:paraId="515EBA8A" w14:textId="77777777" w:rsidR="00285089" w:rsidRPr="00D75061" w:rsidRDefault="00285089" w:rsidP="00285089">
      <w:pPr>
        <w:spacing w:after="214" w:line="360" w:lineRule="auto"/>
        <w:ind w:left="-5" w:right="45"/>
        <w:jc w:val="both"/>
        <w:rPr>
          <w:rFonts w:asciiTheme="majorBidi" w:hAnsiTheme="majorBidi" w:cstheme="majorBidi"/>
          <w:sz w:val="24"/>
          <w:szCs w:val="24"/>
          <w:rtl/>
        </w:rPr>
      </w:pPr>
      <w:r w:rsidRPr="00D75061">
        <w:rPr>
          <w:rFonts w:asciiTheme="majorBidi" w:hAnsiTheme="majorBidi" w:cstheme="majorBidi"/>
          <w:sz w:val="24"/>
          <w:szCs w:val="24"/>
        </w:rPr>
        <w:t>Accordingly, we stratified the population into four health-related compartments: susceptible</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r>
          <w:rPr>
            <w:rFonts w:ascii="Cambria Math" w:hAnsi="Cambria Math" w:cstheme="majorBidi"/>
            <w:sz w:val="24"/>
            <w:szCs w:val="24"/>
          </w:rPr>
          <m:t>(t)</m:t>
        </m:r>
      </m:oMath>
      <w:r w:rsidRPr="00D75061">
        <w:rPr>
          <w:rFonts w:asciiTheme="majorBidi" w:hAnsiTheme="majorBidi" w:cstheme="majorBidi"/>
          <w:sz w:val="24"/>
          <w:szCs w:val="24"/>
        </w:rPr>
        <w:t>, symptomatic infectious</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j,k</m:t>
            </m:r>
          </m:sub>
        </m:sSub>
        <m:r>
          <w:rPr>
            <w:rFonts w:ascii="Cambria Math" w:hAnsi="Cambria Math" w:cstheme="majorBidi"/>
            <w:sz w:val="24"/>
            <w:szCs w:val="24"/>
          </w:rPr>
          <m:t>(t)</m:t>
        </m:r>
      </m:oMath>
      <w:r w:rsidRPr="00D75061">
        <w:rPr>
          <w:rFonts w:asciiTheme="majorBidi" w:hAnsiTheme="majorBidi" w:cstheme="majorBidi"/>
          <w:sz w:val="24"/>
          <w:szCs w:val="24"/>
        </w:rPr>
        <w:t>, asymptomatic infectious</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j,k</m:t>
            </m:r>
          </m:sub>
        </m:sSub>
        <m:r>
          <w:rPr>
            <w:rFonts w:ascii="Cambria Math" w:hAnsi="Cambria Math" w:cstheme="majorBidi"/>
            <w:sz w:val="24"/>
            <w:szCs w:val="24"/>
          </w:rPr>
          <m:t>(t)</m:t>
        </m:r>
      </m:oMath>
      <w:r w:rsidRPr="00D75061">
        <w:rPr>
          <w:rFonts w:asciiTheme="majorBidi" w:hAnsiTheme="majorBidi" w:cstheme="majorBidi"/>
          <w:sz w:val="24"/>
          <w:szCs w:val="24"/>
        </w:rPr>
        <w:t>, and recovered</w:t>
      </w:r>
      <w:r>
        <w:rPr>
          <w:rFonts w:ascii="Times New Roman" w:eastAsia="Calibri" w:hAnsi="Times New Roman" w:cs="Times New Roman"/>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r>
          <w:rPr>
            <w:rFonts w:ascii="Cambria Math" w:hAnsi="Cambria Math" w:cstheme="majorBidi"/>
            <w:sz w:val="24"/>
            <w:szCs w:val="24"/>
          </w:rPr>
          <m:t>(t)</m:t>
        </m:r>
      </m:oMath>
      <w:r w:rsidRPr="00D75061">
        <w:rPr>
          <w:rFonts w:asciiTheme="majorBidi" w:hAnsiTheme="majorBidi" w:cstheme="majorBidi"/>
          <w:sz w:val="24"/>
          <w:szCs w:val="24"/>
        </w:rPr>
        <w:t>, such that at any given time t (in days):</w:t>
      </w:r>
    </w:p>
    <w:tbl>
      <w:tblPr>
        <w:tblW w:w="0" w:type="auto"/>
        <w:tblInd w:w="-5" w:type="dxa"/>
        <w:tblLook w:val="04A0" w:firstRow="1" w:lastRow="0" w:firstColumn="1" w:lastColumn="0" w:noHBand="0" w:noVBand="1"/>
      </w:tblPr>
      <w:tblGrid>
        <w:gridCol w:w="777"/>
        <w:gridCol w:w="7416"/>
        <w:gridCol w:w="838"/>
      </w:tblGrid>
      <w:tr w:rsidR="00285089" w14:paraId="0E9AABA0" w14:textId="77777777" w:rsidTr="00365097">
        <w:tc>
          <w:tcPr>
            <w:tcW w:w="810" w:type="dxa"/>
            <w:vAlign w:val="center"/>
          </w:tcPr>
          <w:p w14:paraId="3A2733E6" w14:textId="77777777" w:rsidR="00285089" w:rsidRPr="00D75061" w:rsidRDefault="00285089" w:rsidP="00365097">
            <w:pPr>
              <w:spacing w:after="214" w:line="360" w:lineRule="auto"/>
              <w:ind w:right="45"/>
              <w:jc w:val="both"/>
              <w:rPr>
                <w:rFonts w:asciiTheme="majorBidi" w:hAnsiTheme="majorBidi" w:cstheme="majorBidi"/>
                <w:sz w:val="24"/>
                <w:szCs w:val="24"/>
              </w:rPr>
            </w:pPr>
          </w:p>
        </w:tc>
        <w:tc>
          <w:tcPr>
            <w:tcW w:w="7740" w:type="dxa"/>
            <w:vAlign w:val="center"/>
          </w:tcPr>
          <w:p w14:paraId="0CFECA63" w14:textId="77777777" w:rsidR="00285089" w:rsidRPr="00D75061" w:rsidRDefault="00365097" w:rsidP="00365097">
            <w:pPr>
              <w:spacing w:after="214" w:line="360" w:lineRule="auto"/>
              <w:ind w:right="45"/>
              <w:jc w:val="both"/>
              <w:rPr>
                <w:rFonts w:asciiTheme="majorBidi" w:hAnsiTheme="majorBidi" w:cstheme="majorBidi"/>
                <w:sz w:val="24"/>
                <w:szCs w:val="24"/>
              </w:rPr>
            </w:pPr>
            <m:oMathPara>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k∈{L,H}</m:t>
                        </m:r>
                      </m:sub>
                      <m:sup/>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r>
                              <w:rPr>
                                <w:rFonts w:ascii="Cambria Math" w:hAnsi="Cambria Math" w:cstheme="majorBidi"/>
                                <w:sz w:val="24"/>
                                <w:szCs w:val="24"/>
                              </w:rPr>
                              <m:t>(t)</m:t>
                            </m:r>
                          </m:e>
                        </m:d>
                      </m:e>
                    </m:nary>
                  </m:e>
                </m:nary>
                <m:r>
                  <w:rPr>
                    <w:rFonts w:ascii="Cambria Math" w:hAnsi="Cambria Math" w:cstheme="majorBidi"/>
                    <w:sz w:val="24"/>
                    <w:szCs w:val="24"/>
                  </w:rPr>
                  <m:t xml:space="preserve">=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k</m:t>
                        </m:r>
                      </m:sub>
                      <m:sup/>
                      <m:e>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j,k</m:t>
                            </m:r>
                          </m:sub>
                        </m:sSub>
                      </m:e>
                    </m:nary>
                  </m:e>
                </m:nary>
                <m:r>
                  <w:rPr>
                    <w:rFonts w:ascii="Cambria Math" w:hAnsi="Cambria Math" w:cstheme="majorBidi"/>
                    <w:sz w:val="24"/>
                    <w:szCs w:val="24"/>
                  </w:rPr>
                  <m:t xml:space="preserve"> =1,</m:t>
                </m:r>
              </m:oMath>
            </m:oMathPara>
          </w:p>
        </w:tc>
        <w:tc>
          <w:tcPr>
            <w:tcW w:w="855" w:type="dxa"/>
            <w:vAlign w:val="center"/>
          </w:tcPr>
          <w:p w14:paraId="25A6E48D" w14:textId="77777777" w:rsidR="00285089" w:rsidRPr="00D75061" w:rsidRDefault="00285089" w:rsidP="00365097">
            <w:pPr>
              <w:spacing w:after="214" w:line="360" w:lineRule="auto"/>
              <w:ind w:right="45"/>
              <w:jc w:val="both"/>
              <w:rPr>
                <w:rFonts w:asciiTheme="majorBidi" w:hAnsiTheme="majorBidi" w:cstheme="majorBidi"/>
                <w:sz w:val="24"/>
                <w:szCs w:val="24"/>
              </w:rPr>
            </w:pPr>
            <w:r w:rsidRPr="00D75061">
              <w:rPr>
                <w:rFonts w:asciiTheme="majorBidi" w:hAnsiTheme="majorBidi" w:cstheme="majorBidi"/>
                <w:sz w:val="24"/>
                <w:szCs w:val="24"/>
              </w:rPr>
              <w:t>(</w:t>
            </w:r>
            <w:r w:rsidRPr="00D75061">
              <w:rPr>
                <w:rFonts w:asciiTheme="majorBidi" w:hAnsiTheme="majorBidi" w:cstheme="majorBidi"/>
                <w:sz w:val="24"/>
                <w:szCs w:val="24"/>
              </w:rPr>
              <w:fldChar w:fldCharType="begin"/>
            </w:r>
            <w:r w:rsidRPr="00D75061">
              <w:rPr>
                <w:rFonts w:asciiTheme="majorBidi" w:hAnsiTheme="majorBidi" w:cstheme="majorBidi"/>
                <w:sz w:val="24"/>
                <w:szCs w:val="24"/>
              </w:rPr>
              <w:instrText xml:space="preserve"> SEQ Eq \* MERGEFORMAT </w:instrText>
            </w:r>
            <w:r w:rsidRPr="00D75061">
              <w:rPr>
                <w:rFonts w:asciiTheme="majorBidi" w:hAnsiTheme="majorBidi" w:cstheme="majorBidi"/>
                <w:sz w:val="24"/>
                <w:szCs w:val="24"/>
              </w:rPr>
              <w:fldChar w:fldCharType="separate"/>
            </w:r>
            <w:r w:rsidRPr="00D75061">
              <w:rPr>
                <w:rFonts w:asciiTheme="majorBidi" w:hAnsiTheme="majorBidi" w:cstheme="majorBidi"/>
                <w:noProof/>
                <w:sz w:val="24"/>
                <w:szCs w:val="24"/>
              </w:rPr>
              <w:t>1</w:t>
            </w:r>
            <w:r w:rsidRPr="00D75061">
              <w:rPr>
                <w:rFonts w:asciiTheme="majorBidi" w:hAnsiTheme="majorBidi" w:cstheme="majorBidi"/>
                <w:noProof/>
                <w:sz w:val="24"/>
                <w:szCs w:val="24"/>
              </w:rPr>
              <w:fldChar w:fldCharType="end"/>
            </w:r>
            <w:r w:rsidRPr="00D75061">
              <w:rPr>
                <w:rFonts w:asciiTheme="majorBidi" w:hAnsiTheme="majorBidi" w:cstheme="majorBidi"/>
                <w:sz w:val="24"/>
                <w:szCs w:val="24"/>
              </w:rPr>
              <w:t>)</w:t>
            </w:r>
          </w:p>
        </w:tc>
      </w:tr>
    </w:tbl>
    <w:p w14:paraId="5EB6C7A7" w14:textId="77777777" w:rsidR="00285089" w:rsidRPr="00D75061" w:rsidRDefault="00285089" w:rsidP="00285089">
      <w:pPr>
        <w:spacing w:after="214" w:line="360" w:lineRule="auto"/>
        <w:ind w:right="45"/>
        <w:jc w:val="both"/>
        <w:rPr>
          <w:rFonts w:asciiTheme="majorBidi" w:hAnsiTheme="majorBidi" w:cstheme="majorBidi"/>
          <w:sz w:val="24"/>
          <w:szCs w:val="24"/>
        </w:rPr>
      </w:pPr>
    </w:p>
    <w:p w14:paraId="25164A28" w14:textId="77777777" w:rsidR="00285089" w:rsidRPr="00D75061" w:rsidRDefault="00285089" w:rsidP="00285089">
      <w:pPr>
        <w:spacing w:line="360" w:lineRule="auto"/>
        <w:ind w:left="-5" w:right="45"/>
        <w:jc w:val="both"/>
        <w:rPr>
          <w:rFonts w:asciiTheme="majorBidi" w:hAnsiTheme="majorBidi" w:cstheme="majorBidi"/>
          <w:sz w:val="24"/>
          <w:szCs w:val="24"/>
        </w:rPr>
      </w:pPr>
      <w:r w:rsidRPr="00D75061">
        <w:rPr>
          <w:rFonts w:asciiTheme="majorBidi" w:hAnsiTheme="majorBidi" w:cstheme="majorBidi"/>
          <w:sz w:val="24"/>
          <w:szCs w:val="24"/>
        </w:rPr>
        <w:t xml:space="preserve">where the index </w:t>
      </w:r>
      <m:oMath>
        <m:r>
          <w:rPr>
            <w:rFonts w:ascii="Cambria Math" w:hAnsi="Cambria Math" w:cstheme="majorBidi"/>
            <w:sz w:val="24"/>
            <w:szCs w:val="24"/>
          </w:rPr>
          <m:t xml:space="preserve">j∈ {1,2, . </m:t>
        </m:r>
        <m:r>
          <w:rPr>
            <w:rFonts w:ascii="Cambria Math" w:hAnsi="Cambria Math" w:cstheme="majorBidi"/>
            <w:sz w:val="24"/>
            <w:szCs w:val="24"/>
            <w:lang w:val="en-US"/>
          </w:rPr>
          <m:t>.</m:t>
        </m:r>
        <m:r>
          <w:rPr>
            <w:rFonts w:ascii="Cambria Math" w:hAnsi="Cambria Math" w:cstheme="majorBidi"/>
            <w:sz w:val="24"/>
            <w:szCs w:val="24"/>
          </w:rPr>
          <m:t xml:space="preserve"> .,n}</m:t>
        </m:r>
      </m:oMath>
      <w:r w:rsidRPr="00D75061">
        <w:rPr>
          <w:rFonts w:asciiTheme="majorBidi" w:hAnsiTheme="majorBidi" w:cstheme="majorBidi"/>
          <w:sz w:val="24"/>
          <w:szCs w:val="24"/>
        </w:rPr>
        <w:t xml:space="preserve"> represents the age</w:t>
      </w:r>
      <w:r>
        <w:rPr>
          <w:rFonts w:ascii="Times New Roman" w:eastAsia="Calibri" w:hAnsi="Times New Roman" w:cs="Times New Roman"/>
          <w:sz w:val="24"/>
          <w:szCs w:val="24"/>
        </w:rPr>
        <w:t xml:space="preserve"> </w:t>
      </w:r>
      <w:r w:rsidRPr="00D75061">
        <w:rPr>
          <w:rFonts w:asciiTheme="majorBidi" w:hAnsiTheme="majorBidi" w:cstheme="majorBidi"/>
          <w:sz w:val="24"/>
          <w:szCs w:val="24"/>
        </w:rPr>
        <w:t xml:space="preserve">group of each individual, and the index </w:t>
      </w:r>
      <m:oMath>
        <m:r>
          <w:rPr>
            <w:rFonts w:ascii="Cambria Math" w:hAnsi="Cambria Math" w:cstheme="majorBidi"/>
            <w:sz w:val="24"/>
            <w:szCs w:val="24"/>
          </w:rPr>
          <m:t>k∈ {L,H}</m:t>
        </m:r>
      </m:oMath>
      <w:r w:rsidRPr="00D75061">
        <w:rPr>
          <w:rFonts w:asciiTheme="majorBidi" w:hAnsiTheme="majorBidi" w:cstheme="majorBidi"/>
          <w:sz w:val="24"/>
          <w:szCs w:val="24"/>
        </w:rPr>
        <w:t xml:space="preserve"> specifies the risk</w:t>
      </w:r>
      <w:r>
        <w:rPr>
          <w:rFonts w:ascii="Times New Roman" w:eastAsia="Calibri" w:hAnsi="Times New Roman" w:cs="Times New Roman"/>
          <w:sz w:val="24"/>
          <w:szCs w:val="24"/>
        </w:rPr>
        <w:t xml:space="preserve"> </w:t>
      </w:r>
      <w:r w:rsidRPr="00D75061">
        <w:rPr>
          <w:rFonts w:asciiTheme="majorBidi" w:hAnsiTheme="majorBidi" w:cstheme="majorBidi"/>
          <w:sz w:val="24"/>
          <w:szCs w:val="24"/>
        </w:rPr>
        <w:t xml:space="preserve">group of each individual (i.e., </w:t>
      </w:r>
      <w:r>
        <w:rPr>
          <w:rFonts w:asciiTheme="majorBidi" w:hAnsiTheme="majorBidi" w:cstheme="majorBidi"/>
          <w:sz w:val="24"/>
          <w:szCs w:val="24"/>
        </w:rPr>
        <w:t>h</w:t>
      </w:r>
      <w:r w:rsidRPr="00D75061">
        <w:rPr>
          <w:rFonts w:asciiTheme="majorBidi" w:hAnsiTheme="majorBidi" w:cstheme="majorBidi"/>
          <w:sz w:val="24"/>
          <w:szCs w:val="24"/>
        </w:rPr>
        <w:t xml:space="preserve">igh-risk, or </w:t>
      </w:r>
      <w:proofErr w:type="gramStart"/>
      <w:r>
        <w:rPr>
          <w:rFonts w:asciiTheme="majorBidi" w:hAnsiTheme="majorBidi" w:cstheme="majorBidi"/>
          <w:sz w:val="24"/>
          <w:szCs w:val="24"/>
        </w:rPr>
        <w:t>l</w:t>
      </w:r>
      <w:r w:rsidRPr="00D75061">
        <w:rPr>
          <w:rFonts w:asciiTheme="majorBidi" w:hAnsiTheme="majorBidi" w:cstheme="majorBidi"/>
          <w:sz w:val="24"/>
          <w:szCs w:val="24"/>
        </w:rPr>
        <w:t>ow-risk</w:t>
      </w:r>
      <w:proofErr w:type="gramEnd"/>
      <w:r w:rsidRPr="00D75061">
        <w:rPr>
          <w:rFonts w:asciiTheme="majorBidi" w:hAnsiTheme="majorBidi" w:cstheme="majorBidi"/>
          <w:sz w:val="24"/>
          <w:szCs w:val="24"/>
        </w:rPr>
        <w:t>).</w:t>
      </w:r>
    </w:p>
    <w:p w14:paraId="63279701" w14:textId="77777777" w:rsidR="00285089" w:rsidRPr="00D75061" w:rsidRDefault="00285089" w:rsidP="00285089">
      <w:pPr>
        <w:pStyle w:val="Heading3"/>
        <w:spacing w:line="360" w:lineRule="auto"/>
        <w:jc w:val="both"/>
        <w:rPr>
          <w:rFonts w:asciiTheme="majorBidi" w:hAnsiTheme="majorBidi" w:cstheme="majorBidi"/>
        </w:rPr>
      </w:pPr>
      <w:r w:rsidRPr="00D75061">
        <w:rPr>
          <w:rFonts w:asciiTheme="majorBidi" w:hAnsiTheme="majorBidi" w:cstheme="majorBidi"/>
        </w:rPr>
        <w:t>Model transitioning</w:t>
      </w:r>
    </w:p>
    <w:p w14:paraId="00D8DD3B" w14:textId="77777777" w:rsidR="00285089" w:rsidRPr="00D75061" w:rsidRDefault="00285089" w:rsidP="00285089">
      <w:pPr>
        <w:spacing w:after="22" w:line="360" w:lineRule="auto"/>
        <w:ind w:left="-5" w:right="45"/>
        <w:jc w:val="both"/>
        <w:rPr>
          <w:rFonts w:asciiTheme="majorBidi" w:hAnsiTheme="majorBidi" w:cstheme="majorBidi"/>
          <w:sz w:val="24"/>
          <w:szCs w:val="24"/>
        </w:rPr>
      </w:pPr>
      <w:r>
        <w:rPr>
          <w:rFonts w:asciiTheme="majorBidi" w:hAnsiTheme="majorBidi" w:cstheme="majorBidi"/>
          <w:sz w:val="24"/>
          <w:szCs w:val="24"/>
        </w:rPr>
        <w:t>At</w:t>
      </w:r>
      <w:r w:rsidRPr="00D75061">
        <w:rPr>
          <w:rFonts w:asciiTheme="majorBidi" w:hAnsiTheme="majorBidi" w:cstheme="majorBidi"/>
          <w:sz w:val="24"/>
          <w:szCs w:val="24"/>
        </w:rPr>
        <w:t xml:space="preserve"> the beginning of each influenza season, individuals start </w:t>
      </w:r>
      <w:r>
        <w:rPr>
          <w:rFonts w:asciiTheme="majorBidi" w:hAnsiTheme="majorBidi" w:cstheme="majorBidi"/>
          <w:sz w:val="24"/>
          <w:szCs w:val="24"/>
        </w:rPr>
        <w:t>in</w:t>
      </w:r>
      <w:r>
        <w:rPr>
          <w:rFonts w:ascii="Times New Roman" w:eastAsia="Calibri" w:hAnsi="Times New Roman" w:cs="Times New Roman"/>
          <w:sz w:val="24"/>
          <w:szCs w:val="24"/>
        </w:rPr>
        <w:t xml:space="preserve"> the</w:t>
      </w:r>
      <w:r w:rsidRPr="00D75061">
        <w:rPr>
          <w:rFonts w:asciiTheme="majorBidi" w:hAnsiTheme="majorBidi" w:cstheme="majorBidi"/>
          <w:sz w:val="24"/>
          <w:szCs w:val="24"/>
        </w:rPr>
        <w:t xml:space="preserve"> susceptible compartment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r>
          <w:rPr>
            <w:rFonts w:ascii="Cambria Math" w:hAnsi="Cambria Math" w:cstheme="majorBidi"/>
            <w:sz w:val="24"/>
            <w:szCs w:val="24"/>
          </w:rPr>
          <m:t>(0)</m:t>
        </m:r>
      </m:oMath>
      <w:r w:rsidRPr="00BE0FA3">
        <w:rPr>
          <w:rFonts w:asciiTheme="majorBidi" w:hAnsiTheme="majorBidi" w:cstheme="majorBidi"/>
          <w:sz w:val="24"/>
          <w:szCs w:val="24"/>
        </w:rPr>
        <w:t xml:space="preserve">. Individuals who are immune due to preexisting serum influenza neutralizing antibodies from previous exposure (proportion </w:t>
      </w:r>
      <m:oMath>
        <m:sSub>
          <m:sSubPr>
            <m:ctrlPr>
              <w:rPr>
                <w:rFonts w:ascii="Cambria Math" w:hAnsi="Cambria Math" w:cstheme="majorBidi"/>
                <w:i/>
                <w:sz w:val="24"/>
                <w:szCs w:val="24"/>
              </w:rPr>
            </m:ctrlPr>
          </m:sSubPr>
          <m:e>
            <m:r>
              <w:rPr>
                <w:rFonts w:ascii="Cambria Math" w:hAnsi="Cambria Math" w:cstheme="majorBidi"/>
                <w:sz w:val="24"/>
                <w:szCs w:val="24"/>
              </w:rPr>
              <m:t>ξ</m:t>
            </m:r>
          </m:e>
          <m:sub>
            <m:r>
              <w:rPr>
                <w:rFonts w:ascii="Cambria Math" w:hAnsi="Cambria Math" w:cstheme="majorBidi"/>
                <w:sz w:val="24"/>
                <w:szCs w:val="24"/>
              </w:rPr>
              <m:t>j</m:t>
            </m:r>
          </m:sub>
        </m:sSub>
      </m:oMath>
      <w:r w:rsidRPr="00BE0FA3">
        <w:rPr>
          <w:rFonts w:asciiTheme="majorBidi" w:hAnsiTheme="majorBidi" w:cstheme="majorBidi"/>
          <w:sz w:val="24"/>
          <w:szCs w:val="24"/>
        </w:rPr>
        <w:t xml:space="preserve"> of each age</w:t>
      </w:r>
      <w:r>
        <w:rPr>
          <w:rFonts w:ascii="Times New Roman" w:eastAsia="Calibri" w:hAnsi="Times New Roman" w:cs="Times New Roman"/>
          <w:sz w:val="24"/>
          <w:szCs w:val="24"/>
        </w:rPr>
        <w:t xml:space="preserve"> </w:t>
      </w:r>
      <w:r w:rsidRPr="00BE0FA3">
        <w:rPr>
          <w:rFonts w:asciiTheme="majorBidi" w:hAnsiTheme="majorBidi" w:cstheme="majorBidi"/>
          <w:sz w:val="24"/>
          <w:szCs w:val="24"/>
        </w:rPr>
        <w:t xml:space="preserve">group) are not included in the susceptible compartment. Thus, they </w:t>
      </w:r>
      <w:r>
        <w:rPr>
          <w:rFonts w:asciiTheme="majorBidi" w:hAnsiTheme="majorBidi" w:cstheme="majorBidi"/>
          <w:sz w:val="24"/>
          <w:szCs w:val="24"/>
        </w:rPr>
        <w:t>transition</w:t>
      </w:r>
      <w:r w:rsidRPr="00BE0FA3">
        <w:rPr>
          <w:rFonts w:asciiTheme="majorBidi" w:hAnsiTheme="majorBidi" w:cstheme="majorBidi"/>
          <w:sz w:val="24"/>
          <w:szCs w:val="24"/>
        </w:rPr>
        <w:t xml:space="preserve"> to the recovered compartment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r>
          <w:rPr>
            <w:rFonts w:ascii="Cambria Math" w:hAnsi="Cambria Math" w:cstheme="majorBidi"/>
            <w:sz w:val="24"/>
            <w:szCs w:val="24"/>
          </w:rPr>
          <m:t>(0)</m:t>
        </m:r>
      </m:oMath>
      <w:r w:rsidRPr="00BE0FA3">
        <w:rPr>
          <w:rFonts w:asciiTheme="majorBidi" w:hAnsiTheme="majorBidi" w:cstheme="majorBidi"/>
          <w:sz w:val="24"/>
          <w:szCs w:val="24"/>
        </w:rPr>
        <w:t xml:space="preserve"> according to their age</w:t>
      </w:r>
      <w:r>
        <w:rPr>
          <w:rFonts w:ascii="Times New Roman" w:eastAsia="Calibri" w:hAnsi="Times New Roman" w:cs="Times New Roman"/>
          <w:sz w:val="24"/>
          <w:szCs w:val="24"/>
        </w:rPr>
        <w:t xml:space="preserve"> </w:t>
      </w:r>
      <w:r w:rsidRPr="00BE0FA3">
        <w:rPr>
          <w:rFonts w:asciiTheme="majorBidi" w:hAnsiTheme="majorBidi" w:cstheme="majorBidi"/>
          <w:sz w:val="24"/>
          <w:szCs w:val="24"/>
        </w:rPr>
        <w:t>group and risk</w:t>
      </w:r>
      <w:r>
        <w:rPr>
          <w:rFonts w:ascii="Times New Roman" w:eastAsia="Calibri" w:hAnsi="Times New Roman" w:cs="Times New Roman"/>
          <w:sz w:val="24"/>
          <w:szCs w:val="24"/>
        </w:rPr>
        <w:t xml:space="preserve"> </w:t>
      </w:r>
      <w:r w:rsidRPr="00BE0FA3">
        <w:rPr>
          <w:rFonts w:asciiTheme="majorBidi" w:hAnsiTheme="majorBidi" w:cstheme="majorBidi"/>
          <w:sz w:val="24"/>
          <w:szCs w:val="24"/>
        </w:rPr>
        <w:t xml:space="preserve">group. </w:t>
      </w:r>
      <w:bookmarkStart w:id="2" w:name="_Hlk54591565"/>
      <w:r w:rsidRPr="00BE0FA3">
        <w:rPr>
          <w:rFonts w:asciiTheme="majorBidi" w:hAnsiTheme="majorBidi" w:cstheme="majorBidi"/>
          <w:sz w:val="24"/>
          <w:szCs w:val="24"/>
        </w:rPr>
        <w:t xml:space="preserve">Susceptible individuals can get vaccinated </w:t>
      </w:r>
      <w:r>
        <w:rPr>
          <w:rFonts w:asciiTheme="majorBidi" w:hAnsiTheme="majorBidi" w:cstheme="majorBidi"/>
          <w:sz w:val="24"/>
          <w:szCs w:val="24"/>
        </w:rPr>
        <w:t>based on the</w:t>
      </w:r>
      <w:r w:rsidRPr="00BE0FA3">
        <w:rPr>
          <w:rFonts w:asciiTheme="majorBidi" w:hAnsiTheme="majorBidi" w:cstheme="majorBidi"/>
          <w:sz w:val="24"/>
          <w:szCs w:val="24"/>
        </w:rPr>
        <w:t xml:space="preserve"> vaccination coverage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j,k</m:t>
            </m:r>
          </m:sub>
        </m:sSub>
      </m:oMath>
      <w:r w:rsidRPr="00BE0FA3">
        <w:rPr>
          <w:rFonts w:asciiTheme="majorBidi" w:hAnsiTheme="majorBidi" w:cstheme="majorBidi"/>
          <w:sz w:val="24"/>
          <w:szCs w:val="24"/>
        </w:rPr>
        <w:t xml:space="preserve"> and efficacy of the vaccine </w:t>
      </w:r>
      <m:oMath>
        <m:r>
          <w:rPr>
            <w:rFonts w:ascii="Cambria Math" w:hAnsi="Cambria Math" w:cstheme="majorBidi"/>
            <w:sz w:val="24"/>
            <w:szCs w:val="24"/>
          </w:rPr>
          <m:t>η</m:t>
        </m:r>
      </m:oMath>
      <w:r w:rsidRPr="00BE0FA3">
        <w:rPr>
          <w:rFonts w:asciiTheme="majorBidi" w:hAnsiTheme="majorBidi" w:cstheme="majorBidi"/>
          <w:sz w:val="24"/>
          <w:szCs w:val="24"/>
        </w:rPr>
        <w:t>.</w:t>
      </w:r>
      <w:r w:rsidRPr="00BE0FA3">
        <w:rPr>
          <w:rFonts w:asciiTheme="majorBidi" w:hAnsiTheme="majorBidi" w:cstheme="majorBidi"/>
          <w:sz w:val="24"/>
          <w:szCs w:val="24"/>
          <w:rtl/>
        </w:rPr>
        <w:t xml:space="preserve"> </w:t>
      </w:r>
      <w:r w:rsidRPr="00BE0FA3">
        <w:rPr>
          <w:rFonts w:asciiTheme="majorBidi" w:hAnsiTheme="majorBidi" w:cstheme="majorBidi"/>
          <w:sz w:val="24"/>
          <w:szCs w:val="24"/>
        </w:rPr>
        <w:t xml:space="preserve">Individuals who are effectively </w:t>
      </w:r>
      <w:r w:rsidRPr="00BE0FA3">
        <w:rPr>
          <w:rFonts w:asciiTheme="majorBidi" w:hAnsiTheme="majorBidi" w:cstheme="majorBidi"/>
          <w:sz w:val="24"/>
          <w:szCs w:val="24"/>
        </w:rPr>
        <w:lastRenderedPageBreak/>
        <w:t xml:space="preserve">vaccinated transition to the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0</m:t>
            </m:r>
          </m:e>
        </m:d>
      </m:oMath>
      <w:r w:rsidRPr="00BE0FA3">
        <w:rPr>
          <w:rFonts w:asciiTheme="majorBidi" w:hAnsiTheme="majorBidi" w:cstheme="majorBidi"/>
          <w:sz w:val="24"/>
          <w:szCs w:val="24"/>
        </w:rPr>
        <w:t xml:space="preserve"> compartment, where they are fully protected for the </w:t>
      </w:r>
      <w:r>
        <w:rPr>
          <w:rFonts w:asciiTheme="majorBidi" w:hAnsiTheme="majorBidi" w:cstheme="majorBidi"/>
          <w:sz w:val="24"/>
          <w:szCs w:val="24"/>
        </w:rPr>
        <w:t>remainder of the</w:t>
      </w:r>
      <w:r w:rsidRPr="00BE0FA3">
        <w:rPr>
          <w:rFonts w:asciiTheme="majorBidi" w:hAnsiTheme="majorBidi" w:cstheme="majorBidi"/>
          <w:sz w:val="24"/>
          <w:szCs w:val="24"/>
        </w:rPr>
        <w:t xml:space="preserve"> season.</w:t>
      </w:r>
      <w:bookmarkEnd w:id="2"/>
      <w:r w:rsidRPr="00D75061">
        <w:rPr>
          <w:rFonts w:asciiTheme="majorBidi" w:hAnsiTheme="majorBidi" w:cstheme="majorBidi"/>
          <w:sz w:val="24"/>
          <w:szCs w:val="24"/>
        </w:rPr>
        <w:t xml:space="preserve"> Susceptible individuals can become infected with a force of infection </w:t>
      </w:r>
      <m:oMath>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r>
          <w:rPr>
            <w:rFonts w:ascii="Cambria Math" w:hAnsi="Cambria Math" w:cstheme="majorBidi"/>
            <w:sz w:val="24"/>
            <w:szCs w:val="24"/>
          </w:rPr>
          <m:t>(t)</m:t>
        </m:r>
      </m:oMath>
      <w:r w:rsidRPr="00D75061">
        <w:rPr>
          <w:rFonts w:asciiTheme="majorBidi" w:hAnsiTheme="majorBidi" w:cstheme="majorBidi"/>
          <w:sz w:val="24"/>
          <w:szCs w:val="24"/>
        </w:rPr>
        <w:t xml:space="preserve">, depending on their age group </w:t>
      </w:r>
      <m:oMath>
        <m:r>
          <w:rPr>
            <w:rFonts w:ascii="Cambria Math" w:hAnsi="Cambria Math" w:cstheme="majorBidi"/>
            <w:sz w:val="24"/>
            <w:szCs w:val="24"/>
          </w:rPr>
          <m:t>j</m:t>
        </m:r>
      </m:oMath>
      <w:r w:rsidRPr="00D75061">
        <w:rPr>
          <w:rFonts w:asciiTheme="majorBidi" w:hAnsiTheme="majorBidi" w:cstheme="majorBidi"/>
          <w:sz w:val="24"/>
          <w:szCs w:val="24"/>
        </w:rPr>
        <w:t>. New</w:t>
      </w:r>
      <w:r>
        <w:rPr>
          <w:rFonts w:asciiTheme="majorBidi" w:hAnsiTheme="majorBidi" w:cstheme="majorBidi"/>
          <w:sz w:val="24"/>
          <w:szCs w:val="24"/>
        </w:rPr>
        <w:t>ly</w:t>
      </w:r>
      <w:r w:rsidRPr="00D75061">
        <w:rPr>
          <w:rFonts w:asciiTheme="majorBidi" w:hAnsiTheme="majorBidi" w:cstheme="majorBidi"/>
          <w:sz w:val="24"/>
          <w:szCs w:val="24"/>
        </w:rPr>
        <w:t xml:space="preserve"> infect</w:t>
      </w:r>
      <w:r>
        <w:rPr>
          <w:rFonts w:asciiTheme="majorBidi" w:hAnsiTheme="majorBidi" w:cstheme="majorBidi"/>
          <w:sz w:val="24"/>
          <w:szCs w:val="24"/>
        </w:rPr>
        <w:t>ed</w:t>
      </w:r>
      <w:r w:rsidRPr="00D75061">
        <w:rPr>
          <w:rFonts w:asciiTheme="majorBidi" w:hAnsiTheme="majorBidi" w:cstheme="majorBidi"/>
          <w:sz w:val="24"/>
          <w:szCs w:val="24"/>
        </w:rPr>
        <w:t xml:space="preserve"> individuals can be asymptomatic with </w:t>
      </w:r>
      <w:r>
        <w:rPr>
          <w:rFonts w:ascii="Times New Roman" w:eastAsia="Calibri" w:hAnsi="Times New Roman" w:cs="Times New Roman"/>
          <w:sz w:val="24"/>
          <w:szCs w:val="24"/>
        </w:rPr>
        <w:t>a</w:t>
      </w:r>
      <w:r w:rsidRPr="00D75061">
        <w:rPr>
          <w:rFonts w:asciiTheme="majorBidi" w:hAnsiTheme="majorBidi" w:cstheme="majorBidi"/>
          <w:sz w:val="24"/>
          <w:szCs w:val="24"/>
        </w:rPr>
        <w:t xml:space="preserve"> probability of </w:t>
      </w:r>
      <m:oMath>
        <m:r>
          <w:rPr>
            <w:rFonts w:ascii="Cambria Math" w:hAnsi="Cambria Math" w:cstheme="majorBidi"/>
            <w:sz w:val="24"/>
            <w:szCs w:val="24"/>
          </w:rPr>
          <m:t>f</m:t>
        </m:r>
      </m:oMath>
      <w:r w:rsidRPr="00D75061">
        <w:rPr>
          <w:rFonts w:asciiTheme="majorBidi" w:hAnsiTheme="majorBidi" w:cstheme="majorBidi"/>
          <w:sz w:val="24"/>
          <w:szCs w:val="24"/>
        </w:rPr>
        <w:t xml:space="preserve"> and symptomatic with </w:t>
      </w:r>
      <w:r>
        <w:rPr>
          <w:rFonts w:ascii="Times New Roman" w:eastAsia="Calibri" w:hAnsi="Times New Roman" w:cs="Times New Roman"/>
          <w:sz w:val="24"/>
          <w:szCs w:val="24"/>
        </w:rPr>
        <w:t xml:space="preserve">a </w:t>
      </w:r>
      <w:r w:rsidRPr="00D75061">
        <w:rPr>
          <w:rFonts w:asciiTheme="majorBidi" w:hAnsiTheme="majorBidi" w:cstheme="majorBidi"/>
          <w:sz w:val="24"/>
          <w:szCs w:val="24"/>
        </w:rPr>
        <w:t xml:space="preserve">probability of </w:t>
      </w:r>
      <m:oMath>
        <m:r>
          <w:rPr>
            <w:rFonts w:ascii="Cambria Math" w:hAnsi="Cambria Math" w:cstheme="majorBidi"/>
            <w:sz w:val="24"/>
            <w:szCs w:val="24"/>
          </w:rPr>
          <m:t>(1-f)</m:t>
        </m:r>
      </m:oMath>
      <w:r w:rsidRPr="00D75061">
        <w:rPr>
          <w:rFonts w:asciiTheme="majorBidi" w:hAnsiTheme="majorBidi" w:cstheme="majorBidi"/>
          <w:sz w:val="24"/>
          <w:szCs w:val="24"/>
        </w:rPr>
        <w:t xml:space="preserve">. Infected individuals remain in the infectious compartments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j,k</m:t>
            </m:r>
          </m:sub>
        </m:sSub>
        <m:r>
          <w:rPr>
            <w:rFonts w:ascii="Cambria Math" w:hAnsi="Cambria Math" w:cstheme="majorBidi"/>
            <w:sz w:val="24"/>
            <w:szCs w:val="24"/>
          </w:rPr>
          <m:t>(t)</m:t>
        </m:r>
      </m:oMath>
      <w:r>
        <w:rPr>
          <w:rFonts w:ascii="Times New Roman" w:eastAsia="Calibri" w:hAnsi="Times New Roman" w:cs="Times New Roman"/>
          <w:sz w:val="24"/>
          <w:szCs w:val="24"/>
        </w:rPr>
        <w:t xml:space="preserve"> </w:t>
      </w:r>
      <w:r w:rsidRPr="00D75061">
        <w:rPr>
          <w:rFonts w:asciiTheme="majorBidi" w:hAnsiTheme="majorBidi" w:cstheme="majorBidi"/>
          <w:sz w:val="24"/>
          <w:szCs w:val="24"/>
        </w:rPr>
        <w:t xml:space="preserve">for </w:t>
      </w:r>
      <m:oMath>
        <m:r>
          <w:rPr>
            <w:rFonts w:ascii="Cambria Math" w:hAnsi="Cambria Math" w:cstheme="majorBidi"/>
            <w:sz w:val="24"/>
            <w:szCs w:val="24"/>
          </w:rPr>
          <m:t>φ</m:t>
        </m:r>
      </m:oMath>
      <w:r w:rsidRPr="00D75061">
        <w:rPr>
          <w:rFonts w:asciiTheme="majorBidi" w:hAnsiTheme="majorBidi" w:cstheme="majorBidi"/>
          <w:sz w:val="24"/>
          <w:szCs w:val="24"/>
        </w:rPr>
        <w:t xml:space="preserve"> days and can infect their contacts based on their daily viral load and daily contact behavior (SI Appendix 2.1 Dataset and parameters). After </w:t>
      </w:r>
      <w:r>
        <w:rPr>
          <w:rFonts w:ascii="Times New Roman" w:eastAsia="Calibri" w:hAnsi="Times New Roman" w:cs="Times New Roman"/>
          <w:sz w:val="24"/>
          <w:szCs w:val="24"/>
        </w:rPr>
        <w:t xml:space="preserve">the </w:t>
      </w:r>
      <w:r w:rsidRPr="00D75061">
        <w:rPr>
          <w:rFonts w:asciiTheme="majorBidi" w:hAnsiTheme="majorBidi" w:cstheme="majorBidi"/>
          <w:sz w:val="24"/>
          <w:szCs w:val="24"/>
        </w:rPr>
        <w:t>infectious period, individuals transition into the recovered compartment</w:t>
      </w:r>
      <w:r w:rsidRPr="00D75061">
        <w:rPr>
          <w:rFonts w:asciiTheme="majorBidi" w:hAnsiTheme="majorBidi" w:cstheme="majorBidi"/>
          <w:sz w:val="24"/>
          <w:szCs w:val="24"/>
          <w:vertAlign w:val="subscript"/>
        </w:rPr>
        <w:t xml:space="preserve"> </w:t>
      </w:r>
      <m:oMath>
        <m:sSub>
          <m:sSubPr>
            <m:ctrlPr>
              <w:rPr>
                <w:rFonts w:ascii="Cambria Math" w:hAnsi="Cambria Math" w:cstheme="majorBidi"/>
                <w:i/>
                <w:sz w:val="24"/>
                <w:szCs w:val="24"/>
                <w:vertAlign w:val="subscript"/>
              </w:rPr>
            </m:ctrlPr>
          </m:sSubPr>
          <m:e>
            <m:r>
              <w:rPr>
                <w:rFonts w:ascii="Cambria Math" w:hAnsi="Cambria Math" w:cstheme="majorBidi"/>
                <w:sz w:val="24"/>
                <w:szCs w:val="24"/>
                <w:vertAlign w:val="subscript"/>
              </w:rPr>
              <m:t>R</m:t>
            </m:r>
          </m:e>
          <m:sub>
            <m:r>
              <w:rPr>
                <w:rFonts w:ascii="Cambria Math" w:hAnsi="Cambria Math" w:cstheme="majorBidi"/>
                <w:sz w:val="24"/>
                <w:szCs w:val="24"/>
                <w:vertAlign w:val="subscript"/>
              </w:rPr>
              <m:t>j,k</m:t>
            </m:r>
          </m:sub>
        </m:sSub>
        <m:r>
          <w:rPr>
            <w:rFonts w:ascii="Cambria Math" w:hAnsi="Cambria Math" w:cstheme="majorBidi"/>
            <w:sz w:val="24"/>
            <w:szCs w:val="24"/>
            <w:vertAlign w:val="subscript"/>
          </w:rPr>
          <m:t>(t)</m:t>
        </m:r>
      </m:oMath>
      <w:r w:rsidRPr="00D75061">
        <w:rPr>
          <w:rFonts w:asciiTheme="majorBidi" w:hAnsiTheme="majorBidi" w:cstheme="majorBidi"/>
          <w:sz w:val="24"/>
          <w:szCs w:val="24"/>
        </w:rPr>
        <w:t xml:space="preserve"> and remain </w:t>
      </w:r>
      <w:r>
        <w:rPr>
          <w:rFonts w:asciiTheme="majorBidi" w:hAnsiTheme="majorBidi" w:cstheme="majorBidi"/>
          <w:sz w:val="24"/>
          <w:szCs w:val="24"/>
        </w:rPr>
        <w:t>there</w:t>
      </w:r>
      <w:r w:rsidRPr="00D75061">
        <w:rPr>
          <w:rFonts w:asciiTheme="majorBidi" w:hAnsiTheme="majorBidi" w:cstheme="majorBidi"/>
          <w:sz w:val="24"/>
          <w:szCs w:val="24"/>
        </w:rPr>
        <w:t xml:space="preserve"> </w:t>
      </w:r>
      <w:r>
        <w:rPr>
          <w:rFonts w:asciiTheme="majorBidi" w:hAnsiTheme="majorBidi" w:cstheme="majorBidi"/>
          <w:sz w:val="24"/>
          <w:szCs w:val="24"/>
        </w:rPr>
        <w:t xml:space="preserve">until the end of the season. Due to lower viral </w:t>
      </w:r>
      <w:proofErr w:type="gramStart"/>
      <w:r>
        <w:rPr>
          <w:rFonts w:asciiTheme="majorBidi" w:hAnsiTheme="majorBidi" w:cstheme="majorBidi"/>
          <w:sz w:val="24"/>
          <w:szCs w:val="24"/>
        </w:rPr>
        <w:t>load,  individuals</w:t>
      </w:r>
      <w:proofErr w:type="gramEnd"/>
      <w:r>
        <w:rPr>
          <w:rFonts w:asciiTheme="majorBidi" w:hAnsiTheme="majorBidi" w:cstheme="majorBidi"/>
          <w:sz w:val="24"/>
          <w:szCs w:val="24"/>
        </w:rPr>
        <w:t xml:space="preserve"> a</w:t>
      </w:r>
      <w:r w:rsidRPr="00D75061">
        <w:rPr>
          <w:rFonts w:asciiTheme="majorBidi" w:hAnsiTheme="majorBidi" w:cstheme="majorBidi"/>
          <w:sz w:val="24"/>
          <w:szCs w:val="24"/>
        </w:rPr>
        <w:t>symptomatic</w:t>
      </w:r>
      <w:r>
        <w:rPr>
          <w:rFonts w:asciiTheme="majorBidi" w:hAnsiTheme="majorBidi" w:cstheme="majorBidi"/>
          <w:sz w:val="24"/>
          <w:szCs w:val="24"/>
        </w:rPr>
        <w:t xml:space="preserve">ally infected have reduced transmissibility rates than individuals </w:t>
      </w:r>
      <w:r w:rsidRPr="00D75061">
        <w:rPr>
          <w:rFonts w:asciiTheme="majorBidi" w:hAnsiTheme="majorBidi" w:cstheme="majorBidi"/>
          <w:sz w:val="24"/>
          <w:szCs w:val="24"/>
        </w:rPr>
        <w:t>symptomatic</w:t>
      </w:r>
      <w:r>
        <w:rPr>
          <w:rFonts w:asciiTheme="majorBidi" w:hAnsiTheme="majorBidi" w:cstheme="majorBidi"/>
          <w:sz w:val="24"/>
          <w:szCs w:val="24"/>
        </w:rPr>
        <w:t xml:space="preserve">ally infected. Likewise, symptomatic individuals at high-risk, may have reduced transmissibility after treatment </w:t>
      </w:r>
      <w:r w:rsidRPr="00D75061">
        <w:rPr>
          <w:rFonts w:asciiTheme="majorBidi" w:hAnsiTheme="majorBidi" w:cstheme="majorBidi"/>
          <w:sz w:val="24"/>
          <w:szCs w:val="24"/>
        </w:rPr>
        <w:t>(see 2.1 Dataset and parameters).</w:t>
      </w:r>
    </w:p>
    <w:p w14:paraId="1AABC813" w14:textId="77777777" w:rsidR="00285089" w:rsidRPr="00D75061" w:rsidRDefault="00285089" w:rsidP="00285089">
      <w:pPr>
        <w:spacing w:after="22" w:line="360" w:lineRule="auto"/>
        <w:ind w:left="-5" w:right="45"/>
        <w:jc w:val="both"/>
        <w:rPr>
          <w:rFonts w:asciiTheme="majorBidi" w:hAnsiTheme="majorBidi" w:cstheme="majorBidi"/>
          <w:sz w:val="24"/>
          <w:szCs w:val="24"/>
        </w:rPr>
      </w:pPr>
    </w:p>
    <w:p w14:paraId="4B2737C0" w14:textId="77777777" w:rsidR="00285089" w:rsidRPr="00D75061" w:rsidRDefault="00285089" w:rsidP="00285089">
      <w:pPr>
        <w:spacing w:line="360" w:lineRule="auto"/>
        <w:ind w:left="-5" w:right="45"/>
        <w:jc w:val="both"/>
        <w:rPr>
          <w:rFonts w:asciiTheme="majorBidi" w:hAnsiTheme="majorBidi" w:cstheme="majorBidi"/>
          <w:sz w:val="24"/>
          <w:szCs w:val="24"/>
        </w:rPr>
      </w:pPr>
      <w:bookmarkStart w:id="3" w:name="_Hlk54591768"/>
      <w:r w:rsidRPr="00D75061">
        <w:rPr>
          <w:rFonts w:asciiTheme="majorBidi" w:hAnsiTheme="majorBidi" w:cstheme="majorBidi"/>
          <w:sz w:val="24"/>
          <w:szCs w:val="24"/>
        </w:rPr>
        <w:t xml:space="preserve">To incorporate the evolution of infectiousness during </w:t>
      </w:r>
      <w:r>
        <w:rPr>
          <w:rFonts w:ascii="Times New Roman" w:eastAsia="Calibri" w:hAnsi="Times New Roman" w:cs="Times New Roman"/>
          <w:sz w:val="24"/>
          <w:szCs w:val="24"/>
        </w:rPr>
        <w:t xml:space="preserve">the </w:t>
      </w:r>
      <w:r w:rsidRPr="00D75061">
        <w:rPr>
          <w:rFonts w:asciiTheme="majorBidi" w:hAnsiTheme="majorBidi" w:cstheme="majorBidi"/>
          <w:sz w:val="24"/>
          <w:szCs w:val="24"/>
        </w:rPr>
        <w:t xml:space="preserve">infection period, we explicitly track </w:t>
      </w:r>
      <w:bookmarkStart w:id="4" w:name="_Hlk56275974"/>
      <w:r w:rsidRPr="00D75061">
        <w:rPr>
          <w:rFonts w:asciiTheme="majorBidi" w:hAnsiTheme="majorBidi" w:cstheme="majorBidi"/>
          <w:sz w:val="24"/>
          <w:szCs w:val="24"/>
        </w:rPr>
        <w:t>the number of symptomatic and asymptomatic infected individuals (</w:t>
      </w:r>
      <m:oMath>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m:t>
            </m:r>
          </m:sup>
        </m:sSubSup>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m:t>
            </m:r>
          </m:sup>
        </m:sSubSup>
      </m:oMath>
      <w:r w:rsidRPr="00D75061">
        <w:rPr>
          <w:rFonts w:asciiTheme="majorBidi" w:hAnsiTheme="majorBidi" w:cstheme="majorBidi"/>
          <w:sz w:val="24"/>
          <w:szCs w:val="24"/>
        </w:rPr>
        <w:t xml:space="preserve">), </w:t>
      </w:r>
      <w:bookmarkEnd w:id="4"/>
      <w:r w:rsidRPr="00D75061">
        <w:rPr>
          <w:rFonts w:asciiTheme="majorBidi" w:hAnsiTheme="majorBidi" w:cstheme="majorBidi"/>
          <w:sz w:val="24"/>
          <w:szCs w:val="24"/>
        </w:rPr>
        <w:t xml:space="preserve">respectively, </w:t>
      </w:r>
      <w:proofErr w:type="gramStart"/>
      <w:r w:rsidRPr="00D75061">
        <w:rPr>
          <w:rFonts w:asciiTheme="majorBidi" w:hAnsiTheme="majorBidi" w:cstheme="majorBidi"/>
          <w:sz w:val="24"/>
          <w:szCs w:val="24"/>
        </w:rPr>
        <w:t>with regard to</w:t>
      </w:r>
      <w:proofErr w:type="gramEnd"/>
      <w:r w:rsidRPr="00D75061">
        <w:rPr>
          <w:rFonts w:asciiTheme="majorBidi" w:hAnsiTheme="majorBidi" w:cstheme="majorBidi"/>
          <w:sz w:val="24"/>
          <w:szCs w:val="24"/>
        </w:rPr>
        <w:t xml:space="preserve"> their day of infection,</w:t>
      </w:r>
      <w:bookmarkEnd w:id="3"/>
      <w:r w:rsidRPr="00D75061">
        <w:rPr>
          <w:rFonts w:asciiTheme="majorBidi" w:hAnsiTheme="majorBidi" w:cstheme="majorBidi"/>
          <w:sz w:val="24"/>
          <w:szCs w:val="24"/>
        </w:rPr>
        <w:t xml:space="preserve"> </w:t>
      </w:r>
      <m:oMath>
        <m:r>
          <w:rPr>
            <w:rFonts w:ascii="Cambria Math" w:hAnsi="Cambria Math" w:cstheme="majorBidi"/>
            <w:sz w:val="24"/>
            <w:szCs w:val="24"/>
          </w:rPr>
          <m:t>τ</m:t>
        </m:r>
      </m:oMath>
      <w:r w:rsidRPr="00D75061">
        <w:rPr>
          <w:rFonts w:asciiTheme="majorBidi" w:hAnsiTheme="majorBidi" w:cstheme="majorBidi"/>
          <w:sz w:val="24"/>
          <w:szCs w:val="24"/>
        </w:rPr>
        <w:t xml:space="preserve">. Hence,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j,k</m:t>
            </m:r>
          </m:sub>
        </m:sSub>
        <m:r>
          <w:rPr>
            <w:rFonts w:ascii="Cambria Math" w:hAnsi="Cambria Math" w:cstheme="majorBidi"/>
            <w:sz w:val="24"/>
            <w:szCs w:val="24"/>
          </w:rPr>
          <m:t xml:space="preserve">(t)= </m:t>
        </m:r>
        <m:nary>
          <m:naryPr>
            <m:chr m:val="∑"/>
            <m:limLoc m:val="subSup"/>
            <m:ctrlPr>
              <w:rPr>
                <w:rFonts w:ascii="Cambria Math" w:hAnsi="Cambria Math" w:cstheme="majorBidi"/>
                <w:i/>
                <w:sz w:val="24"/>
                <w:szCs w:val="24"/>
              </w:rPr>
            </m:ctrlPr>
          </m:naryPr>
          <m:sub>
            <m:r>
              <w:rPr>
                <w:rFonts w:ascii="Cambria Math" w:hAnsi="Cambria Math" w:cstheme="majorBidi"/>
                <w:sz w:val="24"/>
                <w:szCs w:val="24"/>
              </w:rPr>
              <m:t>τ=0</m:t>
            </m:r>
          </m:sub>
          <m:sup>
            <m:r>
              <w:rPr>
                <w:rFonts w:ascii="Cambria Math" w:hAnsi="Cambria Math" w:cstheme="majorBidi"/>
                <w:sz w:val="24"/>
                <w:szCs w:val="24"/>
              </w:rPr>
              <m:t>φ</m:t>
            </m:r>
          </m:sup>
          <m:e>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m:t>
                </m:r>
              </m:sup>
            </m:sSubSup>
            <m:r>
              <w:rPr>
                <w:rFonts w:ascii="Cambria Math" w:hAnsi="Cambria Math" w:cstheme="majorBidi"/>
                <w:sz w:val="24"/>
                <w:szCs w:val="24"/>
              </w:rPr>
              <m:t>(t)</m:t>
            </m:r>
          </m:e>
        </m:nary>
      </m:oMath>
      <w:r w:rsidRPr="00D75061">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j,k</m:t>
            </m:r>
          </m:sub>
        </m:sSub>
        <m:r>
          <w:rPr>
            <w:rFonts w:ascii="Cambria Math" w:hAnsi="Cambria Math" w:cstheme="majorBidi"/>
            <w:sz w:val="24"/>
            <w:szCs w:val="24"/>
          </w:rPr>
          <m:t xml:space="preserve">(t)= </m:t>
        </m:r>
        <m:nary>
          <m:naryPr>
            <m:chr m:val="∑"/>
            <m:limLoc m:val="subSup"/>
            <m:ctrlPr>
              <w:rPr>
                <w:rFonts w:ascii="Cambria Math" w:hAnsi="Cambria Math" w:cstheme="majorBidi"/>
                <w:i/>
                <w:sz w:val="24"/>
                <w:szCs w:val="24"/>
              </w:rPr>
            </m:ctrlPr>
          </m:naryPr>
          <m:sub>
            <m:r>
              <w:rPr>
                <w:rFonts w:ascii="Cambria Math" w:hAnsi="Cambria Math" w:cstheme="majorBidi"/>
                <w:sz w:val="24"/>
                <w:szCs w:val="24"/>
              </w:rPr>
              <m:t>τ=0</m:t>
            </m:r>
          </m:sub>
          <m:sup>
            <m:r>
              <w:rPr>
                <w:rFonts w:ascii="Cambria Math" w:hAnsi="Cambria Math" w:cstheme="majorBidi"/>
                <w:sz w:val="24"/>
                <w:szCs w:val="24"/>
              </w:rPr>
              <m:t>φ</m:t>
            </m:r>
          </m:sup>
          <m:e>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m:t>
                </m:r>
              </m:sup>
            </m:sSubSup>
            <m:r>
              <w:rPr>
                <w:rFonts w:ascii="Cambria Math" w:hAnsi="Cambria Math" w:cstheme="majorBidi"/>
                <w:sz w:val="24"/>
                <w:szCs w:val="24"/>
              </w:rPr>
              <m:t>(t)</m:t>
            </m:r>
          </m:e>
        </m:nary>
      </m:oMath>
      <w:r w:rsidRPr="00D75061">
        <w:rPr>
          <w:rFonts w:asciiTheme="majorBidi" w:hAnsiTheme="majorBidi" w:cstheme="majorBidi"/>
          <w:sz w:val="24"/>
          <w:szCs w:val="24"/>
        </w:rPr>
        <w:t>. Thus, the transmission model is composed of the following system of difference equations:</w:t>
      </w:r>
    </w:p>
    <w:p w14:paraId="3A92A498" w14:textId="77777777" w:rsidR="00285089" w:rsidRPr="00BE0FA3" w:rsidRDefault="00285089" w:rsidP="00285089">
      <w:pPr>
        <w:spacing w:after="0" w:line="360" w:lineRule="auto"/>
        <w:jc w:val="both"/>
        <w:rPr>
          <w:rFonts w:asciiTheme="majorBidi" w:hAnsiTheme="majorBidi" w:cstheme="majorBidi"/>
          <w:sz w:val="24"/>
          <w:szCs w:val="24"/>
        </w:rPr>
      </w:pPr>
    </w:p>
    <w:tbl>
      <w:tblPr>
        <w:tblW w:w="0" w:type="auto"/>
        <w:tblInd w:w="-5" w:type="dxa"/>
        <w:tblLook w:val="04A0" w:firstRow="1" w:lastRow="0" w:firstColumn="1" w:lastColumn="0" w:noHBand="0" w:noVBand="1"/>
      </w:tblPr>
      <w:tblGrid>
        <w:gridCol w:w="778"/>
        <w:gridCol w:w="7415"/>
        <w:gridCol w:w="838"/>
      </w:tblGrid>
      <w:tr w:rsidR="00285089" w14:paraId="6EE2467D" w14:textId="77777777" w:rsidTr="00365097">
        <w:tc>
          <w:tcPr>
            <w:tcW w:w="810" w:type="dxa"/>
            <w:vAlign w:val="center"/>
          </w:tcPr>
          <w:p w14:paraId="26C1234D" w14:textId="77777777" w:rsidR="00285089" w:rsidRPr="00BE0FA3" w:rsidRDefault="00285089" w:rsidP="00365097">
            <w:pPr>
              <w:spacing w:after="214" w:line="360" w:lineRule="auto"/>
              <w:ind w:right="45"/>
              <w:jc w:val="both"/>
              <w:rPr>
                <w:rFonts w:asciiTheme="majorBidi" w:hAnsiTheme="majorBidi" w:cstheme="majorBidi"/>
                <w:sz w:val="24"/>
                <w:szCs w:val="24"/>
              </w:rPr>
            </w:pPr>
          </w:p>
        </w:tc>
        <w:tc>
          <w:tcPr>
            <w:tcW w:w="7740" w:type="dxa"/>
            <w:vAlign w:val="center"/>
          </w:tcPr>
          <w:p w14:paraId="5A7410C5" w14:textId="77777777" w:rsidR="00285089" w:rsidRPr="00153A9C" w:rsidRDefault="00365097" w:rsidP="00365097">
            <w:pPr>
              <w:spacing w:after="214" w:line="360" w:lineRule="auto"/>
              <w:ind w:right="45"/>
              <w:jc w:val="both"/>
              <w:rPr>
                <w:rFonts w:asciiTheme="majorBidi" w:hAnsiTheme="majorBidi" w:cstheme="majorBidi"/>
                <w:i/>
                <w:sz w:val="24"/>
                <w:szCs w:val="24"/>
                <w:rtl/>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p w14:paraId="31B44091" w14:textId="77777777" w:rsidR="00285089" w:rsidRPr="00153A9C" w:rsidRDefault="00365097" w:rsidP="00365097">
            <w:pPr>
              <w:spacing w:after="214" w:line="360" w:lineRule="auto"/>
              <w:ind w:right="45"/>
              <w:jc w:val="both"/>
              <w:rPr>
                <w:rFonts w:asciiTheme="majorBidi" w:hAnsiTheme="majorBidi" w:cstheme="majorBidi"/>
                <w: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τ=φ</m:t>
                    </m:r>
                  </m:sup>
                </m:sSubSup>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τ=φ</m:t>
                    </m:r>
                  </m:sup>
                </m:sSubSup>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tc>
        <w:tc>
          <w:tcPr>
            <w:tcW w:w="855" w:type="dxa"/>
            <w:vAlign w:val="center"/>
          </w:tcPr>
          <w:p w14:paraId="6B1DBCD6" w14:textId="77777777" w:rsidR="00285089" w:rsidRPr="00BE0FA3" w:rsidRDefault="00285089" w:rsidP="00365097">
            <w:pPr>
              <w:spacing w:after="214" w:line="360" w:lineRule="auto"/>
              <w:ind w:right="45"/>
              <w:jc w:val="both"/>
              <w:rPr>
                <w:rFonts w:asciiTheme="majorBidi" w:hAnsiTheme="majorBidi" w:cstheme="majorBidi"/>
                <w:sz w:val="24"/>
                <w:szCs w:val="24"/>
              </w:rPr>
            </w:pPr>
            <w:r w:rsidRPr="00BE0FA3">
              <w:rPr>
                <w:rFonts w:asciiTheme="majorBidi" w:hAnsiTheme="majorBidi" w:cstheme="majorBidi"/>
                <w:sz w:val="24"/>
                <w:szCs w:val="24"/>
              </w:rPr>
              <w:t>(</w:t>
            </w:r>
            <w:r w:rsidRPr="00BE0FA3">
              <w:rPr>
                <w:rFonts w:asciiTheme="majorBidi" w:hAnsiTheme="majorBidi" w:cstheme="majorBidi"/>
                <w:sz w:val="24"/>
                <w:szCs w:val="24"/>
              </w:rPr>
              <w:fldChar w:fldCharType="begin"/>
            </w:r>
            <w:r w:rsidRPr="00BE0FA3">
              <w:rPr>
                <w:rFonts w:asciiTheme="majorBidi" w:hAnsiTheme="majorBidi" w:cstheme="majorBidi"/>
                <w:sz w:val="24"/>
                <w:szCs w:val="24"/>
              </w:rPr>
              <w:instrText xml:space="preserve"> SEQ Eq \* MERGEFORMAT </w:instrText>
            </w:r>
            <w:r w:rsidRPr="00BE0FA3">
              <w:rPr>
                <w:rFonts w:asciiTheme="majorBidi" w:hAnsiTheme="majorBidi" w:cstheme="majorBidi"/>
                <w:sz w:val="24"/>
                <w:szCs w:val="24"/>
              </w:rPr>
              <w:fldChar w:fldCharType="separate"/>
            </w:r>
            <w:r w:rsidRPr="00BE0FA3">
              <w:rPr>
                <w:rFonts w:asciiTheme="majorBidi" w:hAnsiTheme="majorBidi" w:cstheme="majorBidi"/>
                <w:noProof/>
                <w:sz w:val="24"/>
                <w:szCs w:val="24"/>
              </w:rPr>
              <w:t>2</w:t>
            </w:r>
            <w:r w:rsidRPr="00BE0FA3">
              <w:rPr>
                <w:rFonts w:asciiTheme="majorBidi" w:hAnsiTheme="majorBidi" w:cstheme="majorBidi"/>
                <w:noProof/>
                <w:sz w:val="24"/>
                <w:szCs w:val="24"/>
              </w:rPr>
              <w:fldChar w:fldCharType="end"/>
            </w:r>
            <w:r w:rsidRPr="00BE0FA3">
              <w:rPr>
                <w:rFonts w:asciiTheme="majorBidi" w:hAnsiTheme="majorBidi" w:cstheme="majorBidi"/>
                <w:sz w:val="24"/>
                <w:szCs w:val="24"/>
              </w:rPr>
              <w:t>)</w:t>
            </w:r>
          </w:p>
        </w:tc>
      </w:tr>
    </w:tbl>
    <w:p w14:paraId="79B72736" w14:textId="77777777" w:rsidR="00285089" w:rsidRPr="00BE0FA3" w:rsidRDefault="00285089" w:rsidP="00285089">
      <w:pPr>
        <w:spacing w:after="0" w:line="360" w:lineRule="auto"/>
        <w:ind w:firstLine="720"/>
        <w:jc w:val="both"/>
        <w:rPr>
          <w:rFonts w:asciiTheme="majorBidi" w:hAnsiTheme="majorBidi" w:cstheme="majorBidi"/>
          <w:sz w:val="24"/>
          <w:szCs w:val="24"/>
        </w:rPr>
      </w:pPr>
      <w:r w:rsidRPr="00BE0FA3">
        <w:rPr>
          <w:rFonts w:asciiTheme="majorBidi" w:hAnsiTheme="majorBidi" w:cstheme="majorBidi"/>
          <w:sz w:val="24"/>
          <w:szCs w:val="24"/>
        </w:rPr>
        <w:t>with daily numbers of infected individuals:</w:t>
      </w:r>
    </w:p>
    <w:tbl>
      <w:tblPr>
        <w:tblW w:w="0" w:type="auto"/>
        <w:tblInd w:w="-5" w:type="dxa"/>
        <w:tblLook w:val="04A0" w:firstRow="1" w:lastRow="0" w:firstColumn="1" w:lastColumn="0" w:noHBand="0" w:noVBand="1"/>
      </w:tblPr>
      <w:tblGrid>
        <w:gridCol w:w="780"/>
        <w:gridCol w:w="7428"/>
        <w:gridCol w:w="823"/>
      </w:tblGrid>
      <w:tr w:rsidR="00285089" w14:paraId="32E875D8" w14:textId="77777777" w:rsidTr="00365097">
        <w:tc>
          <w:tcPr>
            <w:tcW w:w="810" w:type="dxa"/>
            <w:vAlign w:val="center"/>
          </w:tcPr>
          <w:p w14:paraId="026841ED" w14:textId="77777777" w:rsidR="00285089" w:rsidRPr="00BE0FA3" w:rsidRDefault="00285089" w:rsidP="00365097">
            <w:pPr>
              <w:spacing w:after="214" w:line="360" w:lineRule="auto"/>
              <w:ind w:right="45"/>
              <w:jc w:val="both"/>
              <w:rPr>
                <w:rFonts w:asciiTheme="majorBidi" w:hAnsiTheme="majorBidi" w:cstheme="majorBidi"/>
                <w:sz w:val="24"/>
                <w:szCs w:val="24"/>
              </w:rPr>
            </w:pPr>
          </w:p>
        </w:tc>
        <w:tc>
          <w:tcPr>
            <w:tcW w:w="7740" w:type="dxa"/>
            <w:vAlign w:val="center"/>
          </w:tcPr>
          <w:p w14:paraId="74B5C596" w14:textId="77777777" w:rsidR="00285089" w:rsidRPr="00153A9C" w:rsidRDefault="00365097" w:rsidP="00365097">
            <w:pPr>
              <w:spacing w:after="214" w:line="360" w:lineRule="auto"/>
              <w:ind w:right="45"/>
              <w:jc w:val="both"/>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τ=0</m:t>
                    </m:r>
                  </m:sup>
                </m:sSubSup>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1-f</m:t>
                    </m:r>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p w14:paraId="7C69F6F0" w14:textId="77777777" w:rsidR="00285089" w:rsidRPr="00153A9C" w:rsidRDefault="00365097" w:rsidP="00365097">
            <w:pPr>
              <w:spacing w:after="214" w:line="360" w:lineRule="auto"/>
              <w:ind w:right="45"/>
              <w:jc w:val="both"/>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τ≠0</m:t>
                    </m:r>
                  </m:sup>
                </m:sSubSup>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τ-1</m:t>
                    </m:r>
                  </m:sup>
                </m:sSubSup>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p w14:paraId="0833583E" w14:textId="77777777" w:rsidR="00285089" w:rsidRPr="00153A9C" w:rsidRDefault="00365097" w:rsidP="00365097">
            <w:pPr>
              <w:spacing w:after="214" w:line="360" w:lineRule="auto"/>
              <w:ind w:right="45"/>
              <w:jc w:val="both"/>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τ=0</m:t>
                    </m:r>
                  </m:sup>
                </m:sSubSup>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=f∙</m:t>
                </m:r>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p w14:paraId="34CCEA29" w14:textId="77777777" w:rsidR="00285089" w:rsidRPr="00153A9C" w:rsidRDefault="00365097" w:rsidP="00365097">
            <w:pPr>
              <w:spacing w:after="214" w:line="360" w:lineRule="auto"/>
              <w:ind w:right="45"/>
              <w:jc w:val="both"/>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τ≠0</m:t>
                    </m:r>
                  </m:sup>
                </m:sSubSup>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τ-1</m:t>
                    </m:r>
                  </m:sup>
                </m:sSubSup>
                <m:d>
                  <m:dPr>
                    <m:ctrlPr>
                      <w:rPr>
                        <w:rFonts w:ascii="Cambria Math" w:hAnsi="Cambria Math" w:cstheme="majorBidi"/>
                        <w:i/>
                        <w:sz w:val="24"/>
                        <w:szCs w:val="24"/>
                      </w:rPr>
                    </m:ctrlPr>
                  </m:dPr>
                  <m:e>
                    <m:r>
                      <w:rPr>
                        <w:rFonts w:ascii="Cambria Math" w:hAnsi="Cambria Math" w:cstheme="majorBidi"/>
                        <w:sz w:val="24"/>
                        <w:szCs w:val="24"/>
                      </w:rPr>
                      <m:t>t-1</m:t>
                    </m:r>
                  </m:e>
                </m:d>
                <m:r>
                  <w:rPr>
                    <w:rFonts w:ascii="Cambria Math" w:hAnsi="Cambria Math" w:cstheme="majorBidi"/>
                    <w:sz w:val="24"/>
                    <w:szCs w:val="24"/>
                  </w:rPr>
                  <m:t>.</m:t>
                </m:r>
              </m:oMath>
            </m:oMathPara>
          </w:p>
          <w:p w14:paraId="3440041B" w14:textId="77777777" w:rsidR="00285089" w:rsidRPr="002838BE" w:rsidRDefault="00285089" w:rsidP="00365097">
            <w:pPr>
              <w:spacing w:after="214" w:line="360" w:lineRule="auto"/>
              <w:ind w:right="45"/>
              <w:rPr>
                <w:rFonts w:asciiTheme="majorBidi" w:hAnsiTheme="majorBidi" w:cstheme="majorBidi"/>
                <w:sz w:val="24"/>
                <w:szCs w:val="24"/>
              </w:rPr>
            </w:pPr>
            <w:r w:rsidRPr="002838BE">
              <w:rPr>
                <w:rFonts w:asciiTheme="majorBidi" w:hAnsiTheme="majorBidi" w:cstheme="majorBidi"/>
                <w:sz w:val="24"/>
                <w:szCs w:val="24"/>
              </w:rPr>
              <w:t>With initial conditions:</w:t>
            </w:r>
          </w:p>
          <w:p w14:paraId="16EA5827" w14:textId="77777777" w:rsidR="00285089" w:rsidRPr="00153A9C" w:rsidRDefault="00365097" w:rsidP="00365097">
            <w:pPr>
              <w:spacing w:after="214" w:line="360" w:lineRule="auto"/>
              <w:ind w:right="45"/>
              <w:jc w:val="both"/>
              <w:rPr>
                <w:rFonts w:asciiTheme="majorBidi" w:hAnsiTheme="majorBidi" w:cstheme="majorBidi"/>
                <w:i/>
                <w:iCs/>
                <w:sz w:val="24"/>
                <w:szCs w:val="24"/>
              </w:rPr>
            </w:pPr>
            <m:oMathPara>
              <m:oMathParaPr>
                <m:jc m:val="left"/>
              </m:oMathParaPr>
              <m:oMath>
                <m:sSub>
                  <m:sSubPr>
                    <m:ctrlPr>
                      <w:rPr>
                        <w:rFonts w:ascii="Cambria Math" w:hAnsi="Cambria Math" w:cstheme="majorBidi"/>
                        <w:i/>
                        <w:iCs/>
                        <w:sz w:val="24"/>
                        <w:szCs w:val="24"/>
                      </w:rPr>
                    </m:ctrlPr>
                  </m:sSubPr>
                  <m:e>
                    <m:r>
                      <w:rPr>
                        <w:rFonts w:ascii="Cambria Math" w:hAnsi="Cambria Math" w:cstheme="majorBidi"/>
                        <w:sz w:val="24"/>
                        <w:szCs w:val="24"/>
                      </w:rPr>
                      <m:t>S</m:t>
                    </m:r>
                  </m:e>
                  <m:sub>
                    <m:d>
                      <m:dPr>
                        <m:ctrlPr>
                          <w:rPr>
                            <w:rFonts w:ascii="Cambria Math" w:hAnsi="Cambria Math" w:cstheme="majorBidi"/>
                            <w:i/>
                            <w:iCs/>
                            <w:sz w:val="24"/>
                            <w:szCs w:val="24"/>
                          </w:rPr>
                        </m:ctrlPr>
                      </m:dPr>
                      <m:e>
                        <m:r>
                          <w:rPr>
                            <w:rFonts w:ascii="Cambria Math" w:hAnsi="Cambria Math" w:cstheme="majorBidi"/>
                            <w:sz w:val="24"/>
                            <w:szCs w:val="24"/>
                          </w:rPr>
                          <m:t>j,k</m:t>
                        </m:r>
                      </m:e>
                    </m:d>
                  </m:sub>
                </m:sSub>
                <m:d>
                  <m:dPr>
                    <m:ctrlPr>
                      <w:rPr>
                        <w:rFonts w:ascii="Cambria Math" w:hAnsi="Cambria Math" w:cstheme="majorBidi"/>
                        <w:i/>
                        <w:iCs/>
                        <w:sz w:val="24"/>
                        <w:szCs w:val="24"/>
                      </w:rPr>
                    </m:ctrlPr>
                  </m:dPr>
                  <m:e>
                    <m:r>
                      <w:rPr>
                        <w:rFonts w:ascii="Cambria Math" w:hAnsi="Cambria Math" w:cstheme="majorBidi"/>
                        <w:sz w:val="24"/>
                        <w:szCs w:val="24"/>
                      </w:rPr>
                      <m:t>0</m:t>
                    </m:r>
                  </m:e>
                </m:d>
                <m:r>
                  <w:rPr>
                    <w:rFonts w:ascii="Cambria Math" w:hAnsi="Cambria Math" w:cstheme="majorBidi"/>
                    <w:sz w:val="24"/>
                    <w:szCs w:val="24"/>
                  </w:rPr>
                  <m:t xml:space="preserve">= </m:t>
                </m:r>
                <m:sSub>
                  <m:sSubPr>
                    <m:ctrlPr>
                      <w:rPr>
                        <w:rFonts w:ascii="Cambria Math" w:hAnsi="Cambria Math" w:cstheme="majorBidi"/>
                        <w:i/>
                        <w:iCs/>
                        <w:sz w:val="24"/>
                        <w:szCs w:val="24"/>
                      </w:rPr>
                    </m:ctrlPr>
                  </m:sSubPr>
                  <m:e>
                    <m:d>
                      <m:dPr>
                        <m:ctrlPr>
                          <w:rPr>
                            <w:rFonts w:ascii="Cambria Math" w:hAnsi="Cambria Math" w:cstheme="majorBidi"/>
                            <w:i/>
                            <w:iCs/>
                            <w:sz w:val="24"/>
                            <w:szCs w:val="24"/>
                          </w:rPr>
                        </m:ctrlPr>
                      </m:dPr>
                      <m:e>
                        <m:r>
                          <w:rPr>
                            <w:rFonts w:ascii="Cambria Math" w:hAnsi="Cambria Math" w:cstheme="majorBidi"/>
                            <w:sz w:val="24"/>
                            <w:szCs w:val="24"/>
                          </w:rPr>
                          <m:t>1-</m:t>
                        </m:r>
                        <m:sSub>
                          <m:sSubPr>
                            <m:ctrlPr>
                              <w:rPr>
                                <w:rFonts w:ascii="Cambria Math" w:hAnsi="Cambria Math" w:cstheme="majorBidi"/>
                                <w:i/>
                                <w:iCs/>
                                <w:sz w:val="24"/>
                                <w:szCs w:val="24"/>
                              </w:rPr>
                            </m:ctrlPr>
                          </m:sSubPr>
                          <m:e>
                            <m:r>
                              <w:rPr>
                                <w:rFonts w:ascii="Cambria Math" w:hAnsi="Cambria Math" w:cstheme="majorBidi"/>
                                <w:sz w:val="24"/>
                                <w:szCs w:val="24"/>
                              </w:rPr>
                              <m:t>ξ</m:t>
                            </m:r>
                          </m:e>
                          <m:sub>
                            <m:r>
                              <w:rPr>
                                <w:rFonts w:ascii="Cambria Math" w:hAnsi="Cambria Math" w:cstheme="majorBidi"/>
                                <w:sz w:val="24"/>
                                <w:szCs w:val="24"/>
                              </w:rPr>
                              <m:t>j</m:t>
                            </m:r>
                          </m:sub>
                        </m:sSub>
                      </m:e>
                    </m:d>
                    <m:r>
                      <w:rPr>
                        <w:rFonts w:ascii="Cambria Math" w:hAnsi="Cambria Math" w:cstheme="majorBidi"/>
                        <w:sz w:val="24"/>
                        <w:szCs w:val="24"/>
                      </w:rPr>
                      <m:t>∙(1-</m:t>
                    </m:r>
                    <m:sSub>
                      <m:sSubPr>
                        <m:ctrlPr>
                          <w:rPr>
                            <w:rFonts w:ascii="Cambria Math" w:hAnsi="Cambria Math" w:cstheme="majorBidi"/>
                            <w:i/>
                            <w:iCs/>
                            <w:sz w:val="24"/>
                            <w:szCs w:val="24"/>
                          </w:rPr>
                        </m:ctrlPr>
                      </m:sSubPr>
                      <m:e>
                        <m:r>
                          <w:rPr>
                            <w:rFonts w:ascii="Cambria Math" w:hAnsi="Cambria Math" w:cstheme="majorBidi"/>
                            <w:sz w:val="24"/>
                            <w:szCs w:val="24"/>
                          </w:rPr>
                          <m:t>ηv</m:t>
                        </m:r>
                      </m:e>
                      <m:sub>
                        <m:r>
                          <w:rPr>
                            <w:rFonts w:ascii="Cambria Math" w:hAnsi="Cambria Math" w:cstheme="majorBidi"/>
                            <w:sz w:val="24"/>
                            <w:szCs w:val="24"/>
                          </w:rPr>
                          <m:t>j,k</m:t>
                        </m:r>
                      </m:sub>
                    </m:sSub>
                    <m:r>
                      <w:rPr>
                        <w:rFonts w:ascii="Cambria Math" w:hAnsi="Cambria Math" w:cstheme="majorBidi"/>
                        <w:sz w:val="24"/>
                        <w:szCs w:val="24"/>
                      </w:rPr>
                      <m:t xml:space="preserve"> )N</m:t>
                    </m:r>
                  </m:e>
                  <m:sub>
                    <m:r>
                      <w:rPr>
                        <w:rFonts w:ascii="Cambria Math" w:hAnsi="Cambria Math" w:cstheme="majorBidi"/>
                        <w:sz w:val="24"/>
                        <w:szCs w:val="24"/>
                      </w:rPr>
                      <m:t>j,k</m:t>
                    </m:r>
                  </m:sub>
                </m:sSub>
                <m:r>
                  <w:rPr>
                    <w:rFonts w:ascii="Cambria Math" w:hAnsi="Cambria Math" w:cstheme="majorBidi"/>
                    <w:sz w:val="24"/>
                    <w:szCs w:val="24"/>
                  </w:rPr>
                  <m:t xml:space="preserve"> ,</m:t>
                </m:r>
              </m:oMath>
            </m:oMathPara>
          </w:p>
          <w:p w14:paraId="37448990" w14:textId="77777777" w:rsidR="00285089" w:rsidRPr="00153A9C" w:rsidRDefault="00365097" w:rsidP="00365097">
            <w:pPr>
              <w:spacing w:after="214" w:line="360" w:lineRule="auto"/>
              <w:ind w:right="45"/>
              <w:jc w:val="both"/>
              <w:rPr>
                <w:rFonts w:asciiTheme="majorBidi" w:hAnsiTheme="majorBidi" w:cstheme="majorBidi"/>
                <w:i/>
                <w:sz w:val="24"/>
                <w:szCs w:val="24"/>
                <w:rtl/>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j,k</m:t>
                    </m:r>
                  </m:sub>
                </m:sSub>
                <m:d>
                  <m:dPr>
                    <m:ctrlPr>
                      <w:rPr>
                        <w:rFonts w:ascii="Cambria Math" w:hAnsi="Cambria Math" w:cstheme="majorBidi"/>
                        <w:i/>
                        <w:sz w:val="24"/>
                        <w:szCs w:val="24"/>
                      </w:rPr>
                    </m:ctrlPr>
                  </m:dPr>
                  <m:e>
                    <m:r>
                      <w:rPr>
                        <w:rFonts w:ascii="Cambria Math" w:hAnsi="Cambria Math" w:cstheme="majorBidi"/>
                        <w:sz w:val="24"/>
                        <w:szCs w:val="24"/>
                      </w:rPr>
                      <m:t>0</m:t>
                    </m:r>
                  </m:e>
                </m:d>
                <m:r>
                  <w:rPr>
                    <w:rFonts w:ascii="Cambria Math" w:hAnsi="Cambria Math" w:cstheme="majorBidi"/>
                    <w:sz w:val="24"/>
                    <w:szCs w:val="24"/>
                  </w:rPr>
                  <m:t xml:space="preserve">= </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ξ</m:t>
                        </m:r>
                      </m:e>
                      <m:sub>
                        <m:r>
                          <w:rPr>
                            <w:rFonts w:ascii="Cambria Math" w:hAnsi="Cambria Math" w:cstheme="majorBidi"/>
                            <w:sz w:val="24"/>
                            <w:szCs w:val="24"/>
                          </w:rPr>
                          <m:t>j</m:t>
                        </m:r>
                      </m:sub>
                    </m:sSub>
                    <m:r>
                      <w:rPr>
                        <w:rFonts w:ascii="Cambria Math" w:hAnsi="Cambria Math" w:cstheme="majorBidi"/>
                        <w:sz w:val="24"/>
                        <w:szCs w:val="24"/>
                      </w:rPr>
                      <m:t>∙N</m:t>
                    </m:r>
                  </m:e>
                  <m:sub>
                    <m:r>
                      <w:rPr>
                        <w:rFonts w:ascii="Cambria Math" w:hAnsi="Cambria Math" w:cstheme="majorBidi"/>
                        <w:sz w:val="24"/>
                        <w:szCs w:val="24"/>
                      </w:rPr>
                      <m:t>j,k</m:t>
                    </m:r>
                  </m:sub>
                </m:sSub>
                <m:r>
                  <w:rPr>
                    <w:rFonts w:ascii="Cambria Math" w:hAnsi="Cambria Math" w:cstheme="majorBidi"/>
                    <w:sz w:val="24"/>
                    <w:szCs w:val="24"/>
                  </w:rPr>
                  <m:t>+</m:t>
                </m:r>
                <m:sSub>
                  <m:sSubPr>
                    <m:ctrlPr>
                      <w:rPr>
                        <w:rFonts w:ascii="Cambria Math" w:hAnsi="Cambria Math" w:cstheme="majorBidi"/>
                        <w:i/>
                        <w:sz w:val="24"/>
                        <w:szCs w:val="24"/>
                      </w:rPr>
                    </m:ctrlPr>
                  </m:sSubPr>
                  <m:e>
                    <m:d>
                      <m:dPr>
                        <m:ctrlPr>
                          <w:rPr>
                            <w:rFonts w:ascii="Cambria Math" w:hAnsi="Cambria Math" w:cstheme="majorBidi"/>
                            <w:i/>
                            <w:sz w:val="24"/>
                            <w:szCs w:val="24"/>
                          </w:rPr>
                        </m:ctrlPr>
                      </m:dPr>
                      <m:e>
                        <m:r>
                          <w:rPr>
                            <w:rFonts w:ascii="Cambria Math" w:hAnsi="Cambria Math" w:cstheme="majorBidi"/>
                            <w:sz w:val="24"/>
                            <w:szCs w:val="24"/>
                          </w:rPr>
                          <m:t>1-</m:t>
                        </m:r>
                        <m:sSub>
                          <m:sSubPr>
                            <m:ctrlPr>
                              <w:rPr>
                                <w:rFonts w:ascii="Cambria Math" w:hAnsi="Cambria Math" w:cstheme="majorBidi"/>
                                <w:i/>
                                <w:sz w:val="24"/>
                                <w:szCs w:val="24"/>
                              </w:rPr>
                            </m:ctrlPr>
                          </m:sSubPr>
                          <m:e>
                            <m:r>
                              <w:rPr>
                                <w:rFonts w:ascii="Cambria Math" w:hAnsi="Cambria Math" w:cstheme="majorBidi"/>
                                <w:sz w:val="24"/>
                                <w:szCs w:val="24"/>
                              </w:rPr>
                              <m:t>ξ</m:t>
                            </m:r>
                          </m:e>
                          <m:sub>
                            <m:r>
                              <w:rPr>
                                <w:rFonts w:ascii="Cambria Math" w:hAnsi="Cambria Math" w:cstheme="majorBidi"/>
                                <w:sz w:val="24"/>
                                <w:szCs w:val="24"/>
                              </w:rPr>
                              <m:t>j</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ηv</m:t>
                        </m:r>
                      </m:e>
                      <m:sub>
                        <m:r>
                          <w:rPr>
                            <w:rFonts w:ascii="Cambria Math" w:hAnsi="Cambria Math" w:cstheme="majorBidi"/>
                            <w:sz w:val="24"/>
                            <w:szCs w:val="24"/>
                          </w:rPr>
                          <m:t>j,k</m:t>
                        </m:r>
                      </m:sub>
                    </m:sSub>
                    <m:r>
                      <w:rPr>
                        <w:rFonts w:ascii="Cambria Math" w:hAnsi="Cambria Math" w:cstheme="majorBidi"/>
                        <w:sz w:val="24"/>
                        <w:szCs w:val="24"/>
                      </w:rPr>
                      <m:t>∙N</m:t>
                    </m:r>
                  </m:e>
                  <m:sub>
                    <m:r>
                      <w:rPr>
                        <w:rFonts w:ascii="Cambria Math" w:hAnsi="Cambria Math" w:cstheme="majorBidi"/>
                        <w:sz w:val="24"/>
                        <w:szCs w:val="24"/>
                      </w:rPr>
                      <m:t>j,k</m:t>
                    </m:r>
                  </m:sub>
                </m:sSub>
                <m:r>
                  <w:rPr>
                    <w:rFonts w:ascii="Cambria Math" w:hAnsi="Cambria Math" w:cstheme="majorBidi"/>
                    <w:sz w:val="24"/>
                    <w:szCs w:val="24"/>
                  </w:rPr>
                  <m:t>,</m:t>
                </m:r>
              </m:oMath>
            </m:oMathPara>
          </w:p>
          <w:p w14:paraId="5B5E3865" w14:textId="77777777" w:rsidR="00285089" w:rsidRPr="00153A9C" w:rsidRDefault="00365097" w:rsidP="00365097">
            <w:pPr>
              <w:spacing w:after="214" w:line="360" w:lineRule="auto"/>
              <w:ind w:right="45"/>
              <w:jc w:val="both"/>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i</m:t>
                    </m:r>
                  </m:e>
                  <m:sub>
                    <m:r>
                      <w:rPr>
                        <w:rFonts w:ascii="Cambria Math" w:hAnsi="Cambria Math" w:cstheme="majorBidi"/>
                        <w:sz w:val="24"/>
                        <w:szCs w:val="24"/>
                      </w:rPr>
                      <m:t>j,k</m:t>
                    </m:r>
                  </m:sub>
                  <m:sup>
                    <m:r>
                      <w:rPr>
                        <w:rFonts w:ascii="Cambria Math" w:hAnsi="Cambria Math" w:cstheme="majorBidi"/>
                        <w:sz w:val="24"/>
                        <w:szCs w:val="24"/>
                      </w:rPr>
                      <m:t>τ</m:t>
                    </m:r>
                  </m:sup>
                </m:sSubSup>
                <m:d>
                  <m:dPr>
                    <m:ctrlPr>
                      <w:rPr>
                        <w:rFonts w:ascii="Cambria Math" w:hAnsi="Cambria Math" w:cstheme="majorBidi"/>
                        <w:i/>
                        <w:sz w:val="24"/>
                        <w:szCs w:val="24"/>
                      </w:rPr>
                    </m:ctrlPr>
                  </m:dPr>
                  <m:e>
                    <m:r>
                      <w:rPr>
                        <w:rFonts w:ascii="Cambria Math" w:hAnsi="Cambria Math" w:cstheme="majorBidi"/>
                        <w:sz w:val="24"/>
                        <w:szCs w:val="24"/>
                      </w:rPr>
                      <m:t>0</m:t>
                    </m:r>
                  </m:e>
                </m:d>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j,k</m:t>
                    </m:r>
                  </m:sub>
                  <m:sup>
                    <m:r>
                      <w:rPr>
                        <w:rFonts w:ascii="Cambria Math" w:hAnsi="Cambria Math" w:cstheme="majorBidi"/>
                        <w:sz w:val="24"/>
                        <w:szCs w:val="24"/>
                      </w:rPr>
                      <m:t>τ</m:t>
                    </m:r>
                  </m:sup>
                </m:sSubSup>
                <m:d>
                  <m:dPr>
                    <m:ctrlPr>
                      <w:rPr>
                        <w:rFonts w:ascii="Cambria Math" w:hAnsi="Cambria Math" w:cstheme="majorBidi"/>
                        <w:i/>
                        <w:sz w:val="24"/>
                        <w:szCs w:val="24"/>
                      </w:rPr>
                    </m:ctrlPr>
                  </m:dPr>
                  <m:e>
                    <m:r>
                      <w:rPr>
                        <w:rFonts w:ascii="Cambria Math" w:hAnsi="Cambria Math" w:cstheme="majorBidi"/>
                        <w:sz w:val="24"/>
                        <w:szCs w:val="24"/>
                      </w:rPr>
                      <m:t>0</m:t>
                    </m:r>
                  </m:e>
                </m:d>
                <m:r>
                  <w:rPr>
                    <w:rFonts w:ascii="Cambria Math" w:hAnsi="Cambria Math" w:cstheme="majorBidi"/>
                    <w:sz w:val="24"/>
                    <w:szCs w:val="24"/>
                  </w:rPr>
                  <m:t>=0.</m:t>
                </m:r>
              </m:oMath>
            </m:oMathPara>
          </w:p>
        </w:tc>
        <w:tc>
          <w:tcPr>
            <w:tcW w:w="855" w:type="dxa"/>
            <w:vAlign w:val="center"/>
          </w:tcPr>
          <w:p w14:paraId="48A667C9" w14:textId="77777777" w:rsidR="00285089" w:rsidRPr="00BE0FA3" w:rsidRDefault="00285089" w:rsidP="00365097">
            <w:pPr>
              <w:spacing w:after="214" w:line="360" w:lineRule="auto"/>
              <w:ind w:right="45"/>
              <w:jc w:val="both"/>
              <w:rPr>
                <w:rFonts w:asciiTheme="majorBidi" w:hAnsiTheme="majorBidi" w:cstheme="majorBidi"/>
                <w:sz w:val="24"/>
                <w:szCs w:val="24"/>
              </w:rPr>
            </w:pPr>
          </w:p>
        </w:tc>
      </w:tr>
    </w:tbl>
    <w:p w14:paraId="1AFDA18F" w14:textId="77777777" w:rsidR="00285089" w:rsidRPr="00BE0FA3" w:rsidRDefault="00285089" w:rsidP="00285089">
      <w:pPr>
        <w:spacing w:line="360" w:lineRule="auto"/>
        <w:ind w:right="45"/>
        <w:jc w:val="both"/>
        <w:rPr>
          <w:rFonts w:asciiTheme="majorBidi" w:hAnsiTheme="majorBidi" w:cstheme="majorBidi"/>
        </w:rPr>
      </w:pPr>
    </w:p>
    <w:p w14:paraId="0F2BA65F" w14:textId="77777777" w:rsidR="00285089" w:rsidRPr="00BE0FA3" w:rsidRDefault="00285089" w:rsidP="00285089">
      <w:pPr>
        <w:pStyle w:val="Heading3"/>
        <w:spacing w:line="360" w:lineRule="auto"/>
        <w:jc w:val="both"/>
        <w:rPr>
          <w:rFonts w:asciiTheme="majorBidi" w:hAnsiTheme="majorBidi" w:cstheme="majorBidi"/>
        </w:rPr>
      </w:pPr>
      <w:r w:rsidRPr="00BE0FA3">
        <w:rPr>
          <w:rFonts w:asciiTheme="majorBidi" w:hAnsiTheme="majorBidi" w:cstheme="majorBidi"/>
        </w:rPr>
        <w:t>Force of infection</w:t>
      </w:r>
    </w:p>
    <w:p w14:paraId="189A3F90" w14:textId="77777777" w:rsidR="00285089" w:rsidRPr="00AC52E1" w:rsidRDefault="00285089" w:rsidP="00285089">
      <w:pPr>
        <w:spacing w:after="0" w:line="360" w:lineRule="auto"/>
        <w:jc w:val="both"/>
        <w:rPr>
          <w:rFonts w:asciiTheme="majorBidi" w:hAnsiTheme="majorBidi" w:cstheme="majorBidi"/>
          <w:sz w:val="24"/>
          <w:szCs w:val="24"/>
        </w:rPr>
      </w:pPr>
      <w:r w:rsidRPr="00AC52E1">
        <w:rPr>
          <w:rFonts w:asciiTheme="majorBidi" w:hAnsiTheme="majorBidi" w:cstheme="majorBidi"/>
          <w:sz w:val="24"/>
          <w:szCs w:val="24"/>
        </w:rPr>
        <w:t xml:space="preserve">The rate at which individuals transmit </w:t>
      </w:r>
      <w:r w:rsidRPr="00AC52E1">
        <w:rPr>
          <w:rFonts w:ascii="Times New Roman" w:eastAsia="Calibri" w:hAnsi="Times New Roman" w:cs="Times New Roman"/>
          <w:sz w:val="24"/>
          <w:szCs w:val="24"/>
        </w:rPr>
        <w:t>influenza</w:t>
      </w:r>
      <w:r w:rsidRPr="00AC52E1">
        <w:rPr>
          <w:rFonts w:asciiTheme="majorBidi" w:hAnsiTheme="majorBidi" w:cstheme="majorBidi"/>
          <w:sz w:val="24"/>
          <w:szCs w:val="24"/>
        </w:rPr>
        <w:t xml:space="preserve"> at time t is </w:t>
      </w:r>
      <m:oMath>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r>
          <w:rPr>
            <w:rFonts w:ascii="Cambria Math" w:hAnsi="Cambria Math" w:cstheme="majorBidi"/>
            <w:sz w:val="24"/>
            <w:szCs w:val="24"/>
          </w:rPr>
          <m:t>(t)</m:t>
        </m:r>
      </m:oMath>
      <w:r w:rsidRPr="00AC52E1">
        <w:rPr>
          <w:rFonts w:asciiTheme="majorBidi" w:hAnsiTheme="majorBidi" w:cstheme="majorBidi"/>
          <w:sz w:val="24"/>
          <w:szCs w:val="24"/>
        </w:rPr>
        <w:t>. This rate depends on the combination of 1) age-specific contact rates between an infected individual and his or her contacts, 2) infectiousness of the infected individual based on his or her daily viral load, and 3) age-specific susceptibility to infection.</w:t>
      </w:r>
    </w:p>
    <w:p w14:paraId="708541DD" w14:textId="77777777" w:rsidR="00285089" w:rsidRPr="00AC52E1" w:rsidRDefault="00285089" w:rsidP="00285089">
      <w:pPr>
        <w:spacing w:after="0" w:line="360" w:lineRule="auto"/>
        <w:jc w:val="both"/>
        <w:rPr>
          <w:rFonts w:asciiTheme="majorBidi" w:hAnsiTheme="majorBidi" w:cstheme="majorBidi"/>
          <w:sz w:val="24"/>
          <w:szCs w:val="24"/>
        </w:rPr>
      </w:pPr>
    </w:p>
    <w:p w14:paraId="433CB139" w14:textId="77777777" w:rsidR="00285089" w:rsidRPr="00AC52E1" w:rsidRDefault="00285089" w:rsidP="00285089">
      <w:pPr>
        <w:spacing w:after="0" w:line="360" w:lineRule="auto"/>
        <w:jc w:val="both"/>
        <w:rPr>
          <w:rFonts w:asciiTheme="majorBidi" w:hAnsiTheme="majorBidi" w:cstheme="majorBidi"/>
          <w:sz w:val="24"/>
          <w:szCs w:val="24"/>
        </w:rPr>
      </w:pPr>
      <w:r w:rsidRPr="00AC52E1">
        <w:rPr>
          <w:rFonts w:asciiTheme="majorBidi" w:hAnsiTheme="majorBidi" w:cstheme="majorBidi"/>
          <w:sz w:val="24"/>
          <w:szCs w:val="24"/>
        </w:rPr>
        <w:t>In the US, influenza incidence is seasonal, with a peak typically occurring in the winter, yet the driver for this seasonality remains uncertain</w:t>
      </w:r>
      <w:r>
        <w:rPr>
          <w:rFonts w:asciiTheme="majorBidi" w:hAnsiTheme="majorBidi" w:cstheme="majorBidi"/>
          <w:sz w:val="24"/>
          <w:szCs w:val="24"/>
        </w:rPr>
        <w:t xml:space="preserve">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{"citationItems":[{"id":"ITEM-1","itemData":{"DOI":"10.1073/pnas.0900933106","ISSN":"00278424","abstract":"Seasonal variation in the incidence of communicable diseases is among the oldest observations in population biology, dating back at least to ancient Greece, yet our understanding of the mechanisms underlying this phenomenon remains hazy at best. Influenza is perhaps the seasonal disease of most profound interest, because it is responsible for much of the seasonal variation in other infectious and noninfectious causes of morbidity and mortality (1–4). Influenza virus activity displays strong seasonal cycles in temperate areas of the world and less defined seasonality in tropical regions (5), suggesting that environmental factors may drive seasonal patterns. In a recent issue of PNAS, Shaman and Kohn (6) move us a step closer to understanding influenza seasonality by clarifying the impact of environmental factors on influenza virus transmission and survival. The authors demonstrate an impressive statistical association between vapor pressure, influenza transmission, and virus survival.","author":[{"dropping-particle":"","family":"Lipsitch","given":"Marc","non-dropping-particle":"","parse-names":false,"suffix":""},{"dropping-particle":"","family":"Viboud","given":"Cécile","non-dropping-particle":"","parse-names":false,"suffix":""}],"container-title":"Proceedings of the National Academy of Sciences of the United States of America","id":"ITEM-1","issued":{"date-parts":[["2009"]]},"title":"Influenza seasonality: Lifting the fog","type":"article"},"uris":["http://www.mendeley.com/documents/?uuid=decaaf80-4d92-4cae-8edd-ffa197863ede"]}],"mendeley":{"formattedCitation":"[51]","plainTextFormattedCitation":"[51]","previouslyFormattedCitation":"[52]"},"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[51]</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Thus, we included general seasonal variation in the susceptibility rate of the model as</w:t>
      </w:r>
    </w:p>
    <w:tbl>
      <w:tblPr>
        <w:tblW w:w="0" w:type="auto"/>
        <w:tblInd w:w="-5" w:type="dxa"/>
        <w:tblLook w:val="04A0" w:firstRow="1" w:lastRow="0" w:firstColumn="1" w:lastColumn="0" w:noHBand="0" w:noVBand="1"/>
      </w:tblPr>
      <w:tblGrid>
        <w:gridCol w:w="776"/>
        <w:gridCol w:w="7418"/>
        <w:gridCol w:w="837"/>
      </w:tblGrid>
      <w:tr w:rsidR="00285089" w:rsidRPr="00AC52E1" w14:paraId="54FE099A" w14:textId="77777777" w:rsidTr="00365097">
        <w:tc>
          <w:tcPr>
            <w:tcW w:w="810" w:type="dxa"/>
            <w:vAlign w:val="center"/>
          </w:tcPr>
          <w:p w14:paraId="0A67ADF4" w14:textId="77777777" w:rsidR="00285089" w:rsidRPr="00AC52E1" w:rsidRDefault="00285089" w:rsidP="00365097">
            <w:pPr>
              <w:spacing w:after="214" w:line="360" w:lineRule="auto"/>
              <w:ind w:right="45"/>
              <w:jc w:val="both"/>
              <w:rPr>
                <w:rFonts w:asciiTheme="majorBidi" w:hAnsiTheme="majorBidi" w:cstheme="majorBidi"/>
                <w:sz w:val="24"/>
                <w:szCs w:val="24"/>
              </w:rPr>
            </w:pPr>
          </w:p>
        </w:tc>
        <w:tc>
          <w:tcPr>
            <w:tcW w:w="7740" w:type="dxa"/>
            <w:vAlign w:val="center"/>
          </w:tcPr>
          <w:p w14:paraId="46891FBD" w14:textId="77777777" w:rsidR="00285089" w:rsidRPr="00AC52E1" w:rsidRDefault="00285089" w:rsidP="00365097">
            <w:pPr>
              <w:spacing w:after="214" w:line="360" w:lineRule="auto"/>
              <w:ind w:right="45"/>
              <w:jc w:val="both"/>
              <w:rPr>
                <w:rFonts w:asciiTheme="majorBidi" w:hAnsiTheme="majorBidi" w:cstheme="majorBidi"/>
                <w:sz w:val="24"/>
                <w:szCs w:val="24"/>
              </w:rPr>
            </w:pPr>
            <m:oMathPara>
              <m:oMath>
                <m:r>
                  <w:rPr>
                    <w:rFonts w:ascii="Cambria Math" w:hAnsi="Cambria Math" w:cstheme="majorBidi"/>
                    <w:sz w:val="24"/>
                    <w:szCs w:val="24"/>
                  </w:rPr>
                  <m:t>T</m:t>
                </m:r>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=1+</m:t>
                </m:r>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d>
                      <m:dPr>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2π(t-ϕ)</m:t>
                            </m:r>
                          </m:num>
                          <m:den>
                            <m:r>
                              <w:rPr>
                                <w:rFonts w:ascii="Cambria Math" w:hAnsi="Cambria Math" w:cstheme="majorBidi"/>
                                <w:sz w:val="24"/>
                                <w:szCs w:val="24"/>
                              </w:rPr>
                              <m:t>365</m:t>
                            </m:r>
                          </m:den>
                        </m:f>
                      </m:e>
                    </m:d>
                  </m:e>
                </m:func>
                <m:r>
                  <w:rPr>
                    <w:rFonts w:ascii="Cambria Math" w:hAnsi="Cambria Math" w:cstheme="majorBidi"/>
                    <w:sz w:val="24"/>
                    <w:szCs w:val="24"/>
                  </w:rPr>
                  <m:t>,</m:t>
                </m:r>
              </m:oMath>
            </m:oMathPara>
          </w:p>
        </w:tc>
        <w:tc>
          <w:tcPr>
            <w:tcW w:w="855" w:type="dxa"/>
            <w:vAlign w:val="center"/>
          </w:tcPr>
          <w:p w14:paraId="1593750C" w14:textId="77777777" w:rsidR="00285089" w:rsidRPr="00AC52E1" w:rsidRDefault="00285089" w:rsidP="00365097">
            <w:pPr>
              <w:spacing w:after="214" w:line="360" w:lineRule="auto"/>
              <w:ind w:right="45"/>
              <w:jc w:val="both"/>
              <w:rPr>
                <w:rFonts w:asciiTheme="majorBidi" w:hAnsiTheme="majorBidi" w:cstheme="majorBidi"/>
                <w:sz w:val="24"/>
                <w:szCs w:val="24"/>
              </w:rPr>
            </w:pPr>
            <w:r w:rsidRPr="00AC52E1">
              <w:rPr>
                <w:rFonts w:asciiTheme="majorBidi" w:hAnsiTheme="majorBidi" w:cstheme="majorBidi"/>
                <w:sz w:val="24"/>
                <w:szCs w:val="24"/>
              </w:rPr>
              <w:t>(</w:t>
            </w:r>
            <w:r w:rsidRPr="00AC52E1">
              <w:rPr>
                <w:rFonts w:asciiTheme="majorBidi" w:hAnsiTheme="majorBidi" w:cstheme="majorBidi" w:hint="cs"/>
                <w:sz w:val="24"/>
                <w:szCs w:val="24"/>
                <w:rtl/>
              </w:rPr>
              <w:t>3</w:t>
            </w:r>
            <w:r w:rsidRPr="00AC52E1">
              <w:rPr>
                <w:rFonts w:asciiTheme="majorBidi" w:hAnsiTheme="majorBidi" w:cstheme="majorBidi"/>
                <w:sz w:val="24"/>
                <w:szCs w:val="24"/>
              </w:rPr>
              <w:t>)</w:t>
            </w:r>
          </w:p>
        </w:tc>
      </w:tr>
    </w:tbl>
    <w:p w14:paraId="30C33449" w14:textId="77777777" w:rsidR="00285089" w:rsidRPr="00AC52E1" w:rsidRDefault="00285089" w:rsidP="00285089">
      <w:pPr>
        <w:spacing w:after="0" w:line="360" w:lineRule="auto"/>
        <w:jc w:val="both"/>
        <w:rPr>
          <w:rFonts w:asciiTheme="majorBidi" w:hAnsiTheme="majorBidi" w:cstheme="majorBidi"/>
          <w:sz w:val="24"/>
          <w:szCs w:val="24"/>
          <w:rtl/>
        </w:rPr>
      </w:pPr>
      <w:r w:rsidRPr="00AC52E1">
        <w:rPr>
          <w:rFonts w:asciiTheme="majorBidi" w:hAnsiTheme="majorBidi" w:cstheme="majorBidi"/>
          <w:sz w:val="24"/>
          <w:szCs w:val="24"/>
        </w:rPr>
        <w:t xml:space="preserve">where </w:t>
      </w:r>
      <m:oMath>
        <m:r>
          <w:rPr>
            <w:rFonts w:ascii="Cambria Math" w:hAnsi="Cambria Math" w:cstheme="majorBidi"/>
            <w:sz w:val="24"/>
            <w:szCs w:val="24"/>
          </w:rPr>
          <m:t>ϕ</m:t>
        </m:r>
      </m:oMath>
      <w:r w:rsidRPr="00AC52E1">
        <w:rPr>
          <w:rFonts w:asciiTheme="majorBidi" w:hAnsiTheme="majorBidi" w:cstheme="majorBidi"/>
          <w:sz w:val="24"/>
          <w:szCs w:val="24"/>
        </w:rPr>
        <w:t xml:space="preserve"> is the seasonal </w:t>
      </w:r>
      <w:proofErr w:type="gramStart"/>
      <w:r w:rsidRPr="00AC52E1">
        <w:rPr>
          <w:rFonts w:asciiTheme="majorBidi" w:hAnsiTheme="majorBidi" w:cstheme="majorBidi"/>
          <w:sz w:val="24"/>
          <w:szCs w:val="24"/>
        </w:rPr>
        <w:t>offset.</w:t>
      </w:r>
      <w:proofErr w:type="gramEnd"/>
      <w:r w:rsidRPr="00AC52E1">
        <w:rPr>
          <w:rFonts w:asciiTheme="majorBidi" w:hAnsiTheme="majorBidi" w:cstheme="majorBidi"/>
          <w:sz w:val="24"/>
          <w:szCs w:val="24"/>
        </w:rPr>
        <w:t xml:space="preserve"> </w:t>
      </w:r>
      <w:r w:rsidRPr="00AC52E1">
        <w:rPr>
          <w:rFonts w:ascii="Times New Roman" w:hAnsi="Times New Roman" w:cs="Times New Roman"/>
          <w:sz w:val="24"/>
          <w:szCs w:val="24"/>
        </w:rPr>
        <w:t xml:space="preserve">This formulation was previously shown to accurately capture the seasonal variation of respiratory infections in the USA </w:t>
      </w:r>
      <w:r w:rsidRPr="00AC52E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{"citationItems":[{"id":"ITEM-1","itemData":{"DOI":"10.1371/journal.ppat.1004591","ISSN":"15537374","abstract":"Epidemics of respiratory syncytial virus (RSV) are known to occur in wintertime in temperate countries including the United States, but there is a limited understanding of the importance of climatic drivers in determining the seasonality of RSV. In the United States, RSV activity is highly spatially structured, with seasonal peaks beginning in Florida in November through December and ending in the upper Midwest in February-March, and prolonged disease activity in the southeastern US. Using data on both age-specific hospitalizations and laboratory reports of RSV in the US, and employing a combination of statistical and mechanistic epidemic modeling, we examined the association between environmental variables and state-specific measures of RSV seasonality. Temperature, vapor pressure, precipitation, and potential evapotranspiration (PET) were significantly associated with the timing of RSV activity across states in univariate exploratory analyses. The amplitude and timing of seasonality in the transmission rate was significantly correlated with seasonal fluctuations in PET, and negatively correlated with mean vapor pressure, minimum temperature, and precipitation. States with low mean vapor pressure and the largest seasonal variation in PET tended to experience biennial patterns of RSV activity, with alternating years of “early-big” and “late-small” epidemics. Our model for the transmission dynamics of RSV was able to replicate these biennial transitions at higher amplitudes of seasonality in the transmission rate. This successfully connects environmental drivers to the epidemic dynamics of RSV; however, it does not fully explain why RSV activity begins in Florida, one of the warmest states, when RSV is a winter-seasonal pathogen. Understanding and predicting the seasonality of RSV is essential in determining the optimal timing of immunoprophylaxis.","author":[{"dropping-particle":"","family":"Pitzer","given":"Virginia E.","non-dropping-particle":"","parse-names":false,"suffix":""},{"dropping-particle":"","family":"Viboud","given":"Cécile","non-dropping-particle":"","parse-names":false,"suffix":""},{"dropping-particle":"","family":"Alonso","given":"Wladimir J.","non-dropping-particle":"","parse-names":false,"suffix":""},{"dropping-particle":"","family":"Wilcox","given":"Tanya","non-dropping-particle":"","parse-names":false,"suffix":""},{"dropping-particle":"","family":"Metcalf","given":"C. Jessica","non-dropping-particle":"","parse-names":false,"suffix":""},{"dropping-particle":"","family":"Steiner","given":"Claudia A.","non-dropping-particle":"","parse-names":false,"suffix":""},{"dropping-particle":"","family":"Haynes","given":"Amber K.","non-dropping-particle":"","parse-names":false,"suffix":""},{"dropping-particle":"","family":"Grenfell","given":"Bryan T.","non-dropping-particle":"","parse-names":false,"suffix":""}],"container-title":"PLoS Pathogens","id":"ITEM-1","issued":{"date-parts":[["2015"]]},"title":"Environmental Drivers of the Spatiotemporal Dynamics of Respiratory Syncytial Virus in the United States","type":"article-journal"},"uris":["http://www.mendeley.com/documents/?uuid=626de89c-5712-482f-9f1c-3b65432e2c3a"]},{"id":"ITEM-2","itemData":{"DOI":"10.1073/pnas.1522597113","ISSN":"10916490","PMID":"27799521","abstract":"Respiratory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vaccination.","author":[{"dropping-particle":"","family":"Yamin","given":"Dan","non-dropping-particle":"","parse-names":false,"suffix":""},{"dropping-particle":"","family":"Jones","given":"Forrest K.","non-dropping-particle":"","parse-names":false,"suffix":""},{"dropping-particle":"","family":"DeVincenzo","given":"John P.","non-dropping-particle":"","parse-names":false,"suffix":""},{"dropping-particle":"","family":"Gertler","given":"Shai","non-dropping-particle":"","parse-names":false,"suffix":""},{"dropping-particle":"","family":"Kobiler","given":"Oren","non-dropping-particle":"","parse-names":false,"suffix":""},{"dropping-particle":"","family":"Townsend","given":"Jeffrey P.","non-dropping-particle":"","parse-names":false,"suffix":""},{"dropping-particle":"","family":"Galvani","given":"Alison P.","non-dropping-particle":"","parse-names":false,"suffix":""}],"container-title":"Proceedings of the National Academy of Sciences of the United States of America","id":"ITEM-2","issued":{"date-parts":[["2016"]]},"title":"Vaccination strategies against respiratory syncytial virus","type":"article-journal"},"uris":["http://www.mendeley.com/documents/?uuid=f9419ece-419d-4b12-965e-0f8d731be791"]}],"mendeley":{"formattedCitation":"[34, 52]","plainTextFormattedCitation":"[34, 52]","previouslyFormattedCitation":"[34, 53]"},"properties":{"noteIndex":0},"schema":"https://github.com/citation-style-language/schema/raw/master/csl-citation.json"}</w:instrText>
      </w:r>
      <w:r w:rsidRPr="00AC52E1">
        <w:rPr>
          <w:rFonts w:ascii="Times New Roman" w:hAnsi="Times New Roman" w:cs="Times New Roman"/>
          <w:sz w:val="24"/>
          <w:szCs w:val="24"/>
        </w:rPr>
        <w:fldChar w:fldCharType="separate"/>
      </w:r>
      <w:r w:rsidRPr="006369F1">
        <w:rPr>
          <w:rFonts w:ascii="Times New Roman" w:hAnsi="Times New Roman" w:cs="Times New Roman"/>
          <w:noProof/>
          <w:sz w:val="24"/>
          <w:szCs w:val="24"/>
        </w:rPr>
        <w:t>[34, 52]</w:t>
      </w:r>
      <w:r w:rsidRPr="00AC52E1">
        <w:rPr>
          <w:rFonts w:ascii="Times New Roman" w:hAnsi="Times New Roman" w:cs="Times New Roman"/>
          <w:sz w:val="24"/>
          <w:szCs w:val="24"/>
        </w:rPr>
        <w:fldChar w:fldCharType="end"/>
      </w:r>
      <w:r w:rsidRPr="00AC52E1">
        <w:rPr>
          <w:rFonts w:ascii="Times New Roman" w:hAnsi="Times New Roman" w:cs="Times New Roman"/>
          <w:sz w:val="24"/>
          <w:szCs w:val="24"/>
        </w:rPr>
        <w:t>.</w:t>
      </w:r>
      <w:r w:rsidRPr="00AC52E1">
        <w:rPr>
          <w:rFonts w:asciiTheme="majorBidi" w:hAnsiTheme="majorBidi" w:cstheme="majorBidi"/>
          <w:sz w:val="24"/>
          <w:szCs w:val="24"/>
        </w:rPr>
        <w:t xml:space="preserve"> We incorporated age-specific contact patterns between individuals, represented by </w:t>
      </w:r>
      <w:r w:rsidRPr="00AC52E1">
        <w:rPr>
          <w:rFonts w:ascii="Times New Roman" w:eastAsia="Calibri" w:hAnsi="Times New Roman" w:cs="Times New Roman"/>
          <w:sz w:val="24"/>
          <w:szCs w:val="24"/>
        </w:rPr>
        <w:t xml:space="preserve">the </w:t>
      </w:r>
      <w:r w:rsidRPr="00AC52E1">
        <w:rPr>
          <w:rFonts w:asciiTheme="majorBidi" w:hAnsiTheme="majorBidi" w:cstheme="majorBidi"/>
          <w:sz w:val="24"/>
          <w:szCs w:val="24"/>
        </w:rPr>
        <w:t>contact rate between an infected individual in age</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group </w:t>
      </w:r>
      <m:oMath>
        <m:r>
          <w:rPr>
            <w:rFonts w:ascii="Cambria Math" w:hAnsi="Cambria Math" w:cstheme="majorBidi"/>
            <w:sz w:val="24"/>
            <w:szCs w:val="24"/>
          </w:rPr>
          <m:t>e</m:t>
        </m:r>
      </m:oMath>
      <w:r w:rsidRPr="00AC52E1">
        <w:rPr>
          <w:rFonts w:asciiTheme="majorBidi" w:hAnsiTheme="majorBidi" w:cstheme="majorBidi"/>
          <w:sz w:val="24"/>
          <w:szCs w:val="24"/>
        </w:rPr>
        <w:t xml:space="preserve"> and each of their contacts with susceptible individuals in age</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group </w:t>
      </w:r>
      <m:oMath>
        <m:r>
          <w:rPr>
            <w:rFonts w:ascii="Cambria Math" w:hAnsi="Cambria Math" w:cstheme="majorBidi"/>
            <w:sz w:val="24"/>
            <w:szCs w:val="24"/>
          </w:rPr>
          <m:t>j</m:t>
        </m:r>
      </m:oMath>
      <w:r w:rsidRPr="00AC52E1">
        <w:rPr>
          <w:rFonts w:asciiTheme="majorBidi" w:hAnsiTheme="majorBidi" w:cstheme="majorBidi"/>
          <w:sz w:val="24"/>
          <w:szCs w:val="24"/>
        </w:rPr>
        <w:t xml:space="preserve">, </w:t>
      </w:r>
      <w:r w:rsidRPr="00AC52E1">
        <w:rPr>
          <w:rFonts w:ascii="Times New Roman" w:eastAsia="Calibri" w:hAnsi="Times New Roman" w:cs="Times New Roman"/>
          <w:sz w:val="24"/>
          <w:szCs w:val="24"/>
        </w:rPr>
        <w:t>denoted</w:t>
      </w:r>
      <w:r w:rsidRPr="00AC52E1">
        <w:rPr>
          <w:rFonts w:asciiTheme="majorBidi" w:hAnsiTheme="majorBidi" w:cstheme="majorBidi"/>
          <w:sz w:val="24"/>
          <w:szCs w:val="24"/>
        </w:rPr>
        <w:t xml:space="preserve"> by</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e,j</m:t>
            </m:r>
          </m:sub>
        </m:sSub>
      </m:oMath>
      <w:r w:rsidRPr="00AC52E1">
        <w:rPr>
          <w:rFonts w:asciiTheme="majorBidi" w:hAnsiTheme="majorBidi" w:cstheme="majorBidi"/>
          <w:sz w:val="24"/>
          <w:szCs w:val="24"/>
        </w:rPr>
        <w:t xml:space="preserve">. </w:t>
      </w:r>
      <w:r w:rsidRPr="00AC52E1">
        <w:rPr>
          <w:rFonts w:ascii="Times New Roman" w:eastAsia="Calibri" w:hAnsi="Times New Roman" w:cs="Times New Roman"/>
          <w:sz w:val="24"/>
          <w:szCs w:val="24"/>
        </w:rPr>
        <w:t>The</w:t>
      </w:r>
      <w:r w:rsidRPr="00AC52E1">
        <w:rPr>
          <w:rFonts w:asciiTheme="majorBidi" w:hAnsiTheme="majorBidi" w:cstheme="majorBidi"/>
          <w:sz w:val="24"/>
          <w:szCs w:val="24"/>
        </w:rPr>
        <w:t xml:space="preserve"> contact matrix parameterization is detailed in the next section.</w:t>
      </w:r>
    </w:p>
    <w:p w14:paraId="4BB9981B" w14:textId="77777777" w:rsidR="00285089" w:rsidRPr="00AC52E1" w:rsidRDefault="00285089" w:rsidP="00285089">
      <w:pPr>
        <w:spacing w:after="0" w:line="360" w:lineRule="auto"/>
        <w:jc w:val="both"/>
        <w:rPr>
          <w:rFonts w:asciiTheme="majorBidi" w:hAnsiTheme="majorBidi" w:cstheme="majorBidi"/>
          <w:sz w:val="24"/>
          <w:szCs w:val="24"/>
          <w:rtl/>
        </w:rPr>
      </w:pPr>
    </w:p>
    <w:p w14:paraId="2A0D1781" w14:textId="77777777" w:rsidR="00285089" w:rsidRPr="00AC52E1" w:rsidRDefault="00285089" w:rsidP="00285089">
      <w:pPr>
        <w:spacing w:after="0" w:line="360" w:lineRule="auto"/>
        <w:jc w:val="both"/>
        <w:rPr>
          <w:rFonts w:asciiTheme="majorBidi" w:hAnsiTheme="majorBidi" w:cstheme="majorBidi"/>
          <w:sz w:val="24"/>
          <w:szCs w:val="24"/>
        </w:rPr>
      </w:pPr>
      <w:r w:rsidRPr="00AC52E1">
        <w:rPr>
          <w:rFonts w:asciiTheme="majorBidi" w:hAnsiTheme="majorBidi" w:cstheme="majorBidi"/>
          <w:sz w:val="24"/>
          <w:szCs w:val="24"/>
        </w:rPr>
        <w:t>For high-risk individuals in age</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group </w:t>
      </w:r>
      <m:oMath>
        <m:r>
          <w:rPr>
            <w:rFonts w:ascii="Cambria Math" w:hAnsi="Cambria Math" w:cstheme="majorBidi"/>
            <w:sz w:val="24"/>
            <w:szCs w:val="24"/>
          </w:rPr>
          <m:t>j</m:t>
        </m:r>
      </m:oMath>
      <w:r w:rsidRPr="00AC52E1">
        <w:rPr>
          <w:rFonts w:asciiTheme="majorBidi" w:hAnsiTheme="majorBidi" w:cstheme="majorBidi"/>
          <w:sz w:val="24"/>
          <w:szCs w:val="24"/>
        </w:rPr>
        <w:t>, we parameterized antiviral treatment uptake (see 2.1 Dataset and parameters). For each day during the exposed and infectious periods</w:t>
      </w:r>
      <w:r w:rsidRPr="00AC52E1">
        <w:rPr>
          <w:rFonts w:asciiTheme="majorBidi" w:hAnsiTheme="majorBidi" w:cstheme="majorBidi"/>
          <w:sz w:val="24"/>
          <w:szCs w:val="24"/>
          <w:rtl/>
        </w:rPr>
        <w:t xml:space="preserve"> </w:t>
      </w:r>
      <m:oMath>
        <m:r>
          <w:rPr>
            <w:rFonts w:ascii="Cambria Math" w:hAnsi="Cambria Math" w:cstheme="majorBidi"/>
            <w:sz w:val="24"/>
            <w:szCs w:val="24"/>
          </w:rPr>
          <m:t>(τ)</m:t>
        </m:r>
      </m:oMath>
      <w:r w:rsidRPr="00AC52E1">
        <w:rPr>
          <w:rFonts w:asciiTheme="majorBidi" w:hAnsiTheme="majorBidi" w:cstheme="majorBidi"/>
          <w:sz w:val="24"/>
          <w:szCs w:val="24"/>
        </w:rPr>
        <w:t>, we incorporated the proportion of untreated or</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high-risk individuals denoted by </w:t>
      </w:r>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r>
              <w:rPr>
                <w:rFonts w:ascii="Cambria Math" w:hAnsi="Cambria Math" w:cstheme="majorBidi"/>
                <w:sz w:val="24"/>
                <w:szCs w:val="24"/>
              </w:rPr>
              <m:t>=0</m:t>
            </m:r>
          </m:sub>
          <m:sup>
            <m:r>
              <w:rPr>
                <w:rFonts w:ascii="Cambria Math" w:hAnsi="Cambria Math" w:cstheme="majorBidi"/>
                <w:sz w:val="24"/>
                <w:szCs w:val="24"/>
              </w:rPr>
              <m:t>τ</m:t>
            </m:r>
          </m:sup>
        </m:sSubSup>
      </m:oMath>
      <w:r w:rsidRPr="00AC52E1">
        <w:rPr>
          <w:rFonts w:asciiTheme="majorBidi" w:hAnsiTheme="majorBidi" w:cstheme="majorBidi"/>
          <w:sz w:val="24"/>
          <w:szCs w:val="24"/>
        </w:rPr>
        <w:t xml:space="preserve">, the proportion of high-risk individuals who received treatment within 48 hours since </w:t>
      </w:r>
      <w:r w:rsidRPr="00AC52E1">
        <w:rPr>
          <w:rFonts w:ascii="Times New Roman" w:eastAsia="Calibri" w:hAnsi="Times New Roman" w:cs="Times New Roman"/>
          <w:sz w:val="24"/>
          <w:szCs w:val="24"/>
        </w:rPr>
        <w:t>symptom</w:t>
      </w:r>
      <w:r w:rsidRPr="00AC52E1">
        <w:rPr>
          <w:rFonts w:asciiTheme="majorBidi" w:hAnsiTheme="majorBidi" w:cstheme="majorBidi"/>
          <w:sz w:val="24"/>
          <w:szCs w:val="24"/>
        </w:rPr>
        <w:t xml:space="preserve"> onset, denoted by </w:t>
      </w:r>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r>
              <w:rPr>
                <w:rFonts w:ascii="Cambria Math" w:hAnsi="Cambria Math" w:cstheme="majorBidi"/>
                <w:sz w:val="24"/>
                <w:szCs w:val="24"/>
              </w:rPr>
              <m:t>=2</m:t>
            </m:r>
          </m:sub>
          <m:sup>
            <m:r>
              <w:rPr>
                <w:rFonts w:ascii="Cambria Math" w:hAnsi="Cambria Math" w:cstheme="majorBidi"/>
                <w:sz w:val="24"/>
                <w:szCs w:val="24"/>
              </w:rPr>
              <m:t>τ</m:t>
            </m:r>
          </m:sup>
        </m:sSubSup>
      </m:oMath>
      <w:r w:rsidRPr="00AC52E1">
        <w:rPr>
          <w:rFonts w:asciiTheme="majorBidi" w:hAnsiTheme="majorBidi" w:cstheme="majorBidi"/>
          <w:sz w:val="24"/>
          <w:szCs w:val="24"/>
        </w:rPr>
        <w:t>, and the proportion of high-risk individuals who initiated treatment within 72 hours</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after </w:t>
      </w:r>
      <w:r w:rsidRPr="00AC52E1">
        <w:rPr>
          <w:rFonts w:ascii="Times New Roman" w:eastAsia="Calibri" w:hAnsi="Times New Roman" w:cs="Times New Roman"/>
          <w:sz w:val="24"/>
          <w:szCs w:val="24"/>
        </w:rPr>
        <w:t>symptom</w:t>
      </w:r>
      <w:r w:rsidRPr="00AC52E1">
        <w:rPr>
          <w:rFonts w:asciiTheme="majorBidi" w:hAnsiTheme="majorBidi" w:cstheme="majorBidi"/>
          <w:sz w:val="24"/>
          <w:szCs w:val="24"/>
        </w:rPr>
        <w:t xml:space="preserve"> onset, denoted by </w:t>
      </w:r>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r>
              <w:rPr>
                <w:rFonts w:ascii="Cambria Math" w:hAnsi="Cambria Math" w:cstheme="majorBidi"/>
                <w:sz w:val="24"/>
                <w:szCs w:val="24"/>
              </w:rPr>
              <m:t>=3</m:t>
            </m:r>
          </m:sub>
          <m:sup>
            <m:r>
              <w:rPr>
                <w:rFonts w:ascii="Cambria Math" w:hAnsi="Cambria Math" w:cstheme="majorBidi"/>
                <w:sz w:val="24"/>
                <w:szCs w:val="24"/>
              </w:rPr>
              <m:t>τ</m:t>
            </m:r>
          </m:sup>
        </m:sSubSup>
      </m:oMath>
      <w:r w:rsidRPr="00AC52E1">
        <w:rPr>
          <w:rFonts w:asciiTheme="majorBidi" w:hAnsiTheme="majorBidi" w:cstheme="majorBidi"/>
          <w:sz w:val="24"/>
          <w:szCs w:val="24"/>
          <w:rtl/>
        </w:rPr>
        <w:t>.</w:t>
      </w:r>
      <w:r w:rsidRPr="00AC52E1">
        <w:rPr>
          <w:rFonts w:asciiTheme="majorBidi" w:hAnsiTheme="majorBidi" w:cstheme="majorBidi"/>
          <w:sz w:val="24"/>
          <w:szCs w:val="24"/>
        </w:rPr>
        <w:t xml:space="preserve"> </w:t>
      </w:r>
      <w:r w:rsidRPr="00AC52E1">
        <w:rPr>
          <w:rFonts w:ascii="Times New Roman" w:eastAsia="Calibri" w:hAnsi="Times New Roman" w:cs="Times New Roman"/>
          <w:sz w:val="24"/>
          <w:szCs w:val="24"/>
        </w:rPr>
        <w:t>High</w:t>
      </w:r>
      <w:r w:rsidRPr="00AC52E1">
        <w:rPr>
          <w:rFonts w:asciiTheme="majorBidi" w:hAnsiTheme="majorBidi" w:cstheme="majorBidi"/>
          <w:sz w:val="24"/>
          <w:szCs w:val="24"/>
        </w:rPr>
        <w:t xml:space="preserve">-risk individuals who initiated treatment more than 72 hours after </w:t>
      </w:r>
      <w:r w:rsidRPr="00AC52E1">
        <w:rPr>
          <w:rFonts w:ascii="Times New Roman" w:eastAsia="Calibri" w:hAnsi="Times New Roman" w:cs="Times New Roman"/>
          <w:sz w:val="24"/>
          <w:szCs w:val="24"/>
        </w:rPr>
        <w:t>symptom</w:t>
      </w:r>
      <w:r w:rsidRPr="00AC52E1">
        <w:rPr>
          <w:rFonts w:asciiTheme="majorBidi" w:hAnsiTheme="majorBidi" w:cstheme="majorBidi"/>
          <w:sz w:val="24"/>
          <w:szCs w:val="24"/>
        </w:rPr>
        <w:t xml:space="preserve"> onset were considered to have been treated ineffectively, with treatment having no impact on disease progression or severity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{"citationItems":[{"id":"ITEM-1","itemData":{"DOI":"10.1093/jac/dkg007","ISSN":"03057453","PMID":"12493796","abstract":"Our objective was to evaluate the benefit of early treatment of influenza illness using oral oseltamivir. This open-label, multicentre international study investigated the relationship between the interval from illness onset to first dose (time-to-treatment) and illness duration in the intent-to-treat infected population using accelerated failure time (AFT) modelling. A total of 1426 patients (12-70 years) presenting within 48 h of the onset of influenza symptoms were treated with oseltamivir 75 mg twice a day for 5 days during the 1999-2000 influenza season; 958 (67%) had laboratory-confirmed influenza virus infection. Earlier intervention was associated with shorter illness duration (P&lt; 0.0001). Initiation of therapy within the first 12 h after fever onset reduced the total median illness duration by 74.6 h (3.1 days; 41%) more than intervention at 48 h. Intermediate interventions reduced the illness proportionately compared with 48 h. In addition, the earlier administration of oseltamivir further reduced the duration of fever, severity of symptoms and the times to return to baseline activity and health scores. Oseltamivir was well tolerated. The most common adverse events were nausea and vomiting, which were transient and generally occurred only with first dosing. When oseltamivir was taken with food, the tolerability was enhanced. The overall discontinuation rate was low (1.8%). In conclusion, the IMPACT study demonstrated that earlier initiation of oral oseltamivir therapy increased its therapeutic effects, which were seen at every time point of intervention and were progressive. Thus, early presentation, diagnosis and treatment of patients with influenza maximized the benefits of oseltamivir therapy.","author":[{"dropping-particle":"","family":"Aoki","given":"F. Y.","non-dropping-particle":"","parse-names":false,"suffix":""},{"dropping-particle":"","family":"Macleod","given":"M. D.","non-dropping-particle":"","parse-names":false,"suffix":""},{"dropping-particle":"","family":"Paggiaro","given":"P.","non-dropping-particle":"","parse-names":false,"suffix":""},{"dropping-particle":"","family":"Carewicz","given":"O.","non-dropping-particle":"","parse-names":false,"suffix":""},{"dropping-particle":"","family":"Sawy","given":"A.","non-dropping-particle":"El","parse-names":false,"suffix":""},{"dropping-particle":"","family":"Wat","given":"C.","non-dropping-particle":"","parse-names":false,"suffix":""},{"dropping-particle":"","family":"Griffiths","given":"M.","non-dropping-particle":"","parse-names":false,"suffix":""},{"dropping-particle":"","family":"Waalberg","given":"E.","non-dropping-particle":"","parse-names":false,"suffix":""},{"dropping-particle":"","family":"Ward","given":"P.","non-dropping-particle":"","parse-names":false,"suffix":""},{"dropping-particle":"","family":"Harding Rains","given":"Charlotte","non-dropping-particle":"","parse-names":false,"suffix":""},{"dropping-particle":"","family":"Kirkwood","given":"Penny","non-dropping-particle":"","parse-names":false,"suffix":""},{"dropping-particle":"","family":"Drabble","given":"Kevin","non-dropping-particle":"","parse-names":false,"suffix":""},{"dropping-particle":"","family":"Merritt","given":"David","non-dropping-particle":"","parse-names":false,"suffix":""},{"dropping-particle":"","family":"Bourdeau","given":"Laurence","non-dropping-particle":"","parse-names":false,"suffix":""},{"dropping-particle":"","family":"Ginn","given":"Diane","non-dropping-particle":"","parse-names":false,"suffix":""},{"dropping-particle":"","family":"Rajan","given":"Shelina","non-dropping-particle":"","parse-names":false,"suffix":""},{"dropping-particle":"","family":"Pawsey","given":"Stephen","non-dropping-particle":"","parse-names":false,"suffix":""},{"dropping-particle":"","family":"Gilbride","given":"Jennifer","non-dropping-particle":"","parse-names":false,"suffix":""},{"dropping-particle":"","family":"Kinnersley","given":"Nelson","non-dropping-particle":"","parse-names":false,"suffix":""},{"dropping-particle":"","family":"Mills","given":"Tracey","non-dropping-particle":"","parse-names":false,"suffix":""},{"dropping-particle":"","family":"Mahoney","given":"Paul","non-dropping-particle":"","parse-names":false,"suffix":""},{"dropping-particle":"","family":"Hoof","given":"Torsten","non-dropping-particle":"","parse-names":false,"suffix":""}],"container-title":"Journal of Antimicrobial Chemotherapy","id":"ITEM-1","issue":"1","issued":{"date-parts":[["2003","1","1"]]},"page":"123-129","title":"Early administration of oral oseltamivir increases the benefits of influenza treatment","type":"article-journal","volume":"51"},"uris":["http://www.mendeley.com/documents/?uuid=20cef72e-6759-34df-a639-aff2239bf525"]},{"id":"ITEM-2","itemData":{"URL":"https://www.cdc.gov/flu/professionals/antivirals/antiviral-use-influenza.htm","accessed":{"date-parts":[["2020","2","3"]]},"id":"ITEM-2","issued":{"date-parts":[["0"]]},"title":"Use of Antivirals | CDC","type":"webpage"},"uris":["http://www.mendeley.com/documents/?uuid=bbfbda83-0640-3585-bc86-1efc802cecc9"]},{"id":"ITEM-3","itemData":{"DOI":"10.1086/656408","ISSN":"1058-4838","author":[{"dropping-particle":"","family":"Heinonen","given":"Santtu","non-dropping-particle":"","parse-names":false,"suffix":""},{"dropping-particle":"","family":"Silvennoinen","given":"Heli","non-dropping-particle":"","parse-names":false,"suffix":""},{"dropping-particle":"","family":"Lehtinen","given":"Pasi","non-dropping-particle":"","parse-names":false,"suffix":""},{"dropping-particle":"","family":"Vainionpää","given":"Raija","non-dropping-particle":"","parse-names":false,"suffix":""},{"dropping-particle":"","family":"Vahlberg","given":"Tero","non-dropping-particle":"","parse-names":false,"suffix":""},{"dropping-particle":"","family":"Ziegler","given":"Thedi","non-dropping-particle":"","parse-names":false,"suffix":""},{"dropping-particle":"","family":"Ikonen","given":"Niina","non-dropping-particle":"","parse-names":false,"suffix":""},{"dropping-particle":"","family":"Puhakka","given":"Tuomo","non-dropping-particle":"","parse-names":false,"suffix":""},{"dropping-particle":"","family":"Heikkinen","given":"Terho","non-dropping-particle":"","parse-names":false,"suffix":""}],"container-title":"Clinical Infectious Diseases","id":"ITEM-3","issue":"8","issued":{"date-parts":[["2010","10","15"]]},"page":"887-894","title":"Early Oseltamivir Treatment of Influenza in Children 1–3 Years of Age: A Randomized Controlled Trial","type":"article-journal","volume":"51"},"uris":["http://www.mendeley.com/documents/?uuid=d6272b91-ec71-38bc-b74e-456bcd7a2587"]}],"mendeley":{"formattedCitation":"[53–55]","plainTextFormattedCitation":"[53–55]","previouslyFormattedCitation":"[54–56]"},"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[53–55]</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xml:space="preserve">. Therefore, we included them in </w:t>
      </w:r>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r>
              <w:rPr>
                <w:rFonts w:ascii="Cambria Math" w:hAnsi="Cambria Math" w:cstheme="majorBidi"/>
                <w:sz w:val="24"/>
                <w:szCs w:val="24"/>
              </w:rPr>
              <m:t>=0</m:t>
            </m:r>
          </m:sub>
          <m:sup>
            <m:r>
              <w:rPr>
                <w:rFonts w:ascii="Cambria Math" w:hAnsi="Cambria Math" w:cstheme="majorBidi"/>
                <w:sz w:val="24"/>
                <w:szCs w:val="24"/>
              </w:rPr>
              <m:t>τ</m:t>
            </m:r>
          </m:sup>
        </m:sSubSup>
      </m:oMath>
      <w:r w:rsidRPr="00AC52E1">
        <w:rPr>
          <w:rFonts w:asciiTheme="majorBidi" w:hAnsiTheme="majorBidi" w:cstheme="majorBidi"/>
          <w:sz w:val="24"/>
          <w:szCs w:val="24"/>
        </w:rPr>
        <w:t>.</w:t>
      </w:r>
    </w:p>
    <w:p w14:paraId="534B8595" w14:textId="77777777" w:rsidR="00285089" w:rsidRPr="00AC52E1" w:rsidRDefault="00285089" w:rsidP="00285089">
      <w:pPr>
        <w:spacing w:after="0" w:line="360" w:lineRule="auto"/>
        <w:jc w:val="both"/>
        <w:rPr>
          <w:rFonts w:asciiTheme="majorBidi" w:hAnsiTheme="majorBidi" w:cstheme="majorBidi"/>
          <w:sz w:val="24"/>
          <w:szCs w:val="24"/>
          <w:rtl/>
        </w:rPr>
      </w:pPr>
    </w:p>
    <w:p w14:paraId="1350772E" w14:textId="296F46A9" w:rsidR="00285089" w:rsidRPr="00AC52E1" w:rsidRDefault="00285089" w:rsidP="00285089">
      <w:pPr>
        <w:spacing w:after="0" w:line="360" w:lineRule="auto"/>
        <w:jc w:val="both"/>
        <w:rPr>
          <w:rFonts w:asciiTheme="majorBidi" w:hAnsiTheme="majorBidi" w:cstheme="majorBidi"/>
          <w:sz w:val="24"/>
          <w:szCs w:val="24"/>
        </w:rPr>
      </w:pPr>
      <w:bookmarkStart w:id="5" w:name="_Hlk56274375"/>
      <w:r w:rsidRPr="00AC52E1">
        <w:rPr>
          <w:rFonts w:asciiTheme="majorBidi" w:hAnsiTheme="majorBidi" w:cstheme="majorBidi"/>
          <w:sz w:val="24"/>
          <w:szCs w:val="24"/>
        </w:rPr>
        <w:lastRenderedPageBreak/>
        <w:t>Given</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contact with an infected host, the infectious viral load's logarithm is correlated with the transmissibility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{"citationItems":[{"id":"ITEM-1","itemData":{"DOI":"10.1073/pnas.1522597113","ISSN":"10916490","PMID":"27799521","abstract":"Respiratory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vaccination.","author":[{"dropping-particle":"","family":"Yamin","given":"Dan","non-dropping-particle":"","parse-names":false,"suffix":""},{"dropping-particle":"","family":"Jones","given":"Forrest K.","non-dropping-particle":"","parse-names":false,"suffix":""},{"dropping-particle":"","family":"DeVincenzo","given":"John P.","non-dropping-particle":"","parse-names":false,"suffix":""},{"dropping-particle":"","family":"Gertler","given":"Shai","non-dropping-particle":"","parse-names":false,"suffix":""},{"dropping-particle":"","family":"Kobiler","given":"Oren","non-dropping-particle":"","parse-names":false,"suffix":""},{"dropping-particle":"","family":"Townsend","given":"Jeffrey P.","non-dropping-particle":"","parse-names":false,"suffix":""},{"dropping-particle":"","family":"Galvani","given":"Alison P.","non-dropping-particle":"","parse-names":false,"suffix":""}],"container-title":"Proceedings of the National Academy of Sciences of the United States of America","id":"ITEM-1","issued":{"date-parts":[["2016"]]},"title":"Vaccination strategies against respiratory syncytial virus","type":"article-journal"},"uris":["http://www.mendeley.com/documents/?uuid=f9419ece-419d-4b12-965e-0f8d731be791"]},{"id":"ITEM-2","itemData":{"DOI":"10.1371/journal.pcbi.1002989","ISSN":"1553734X","PMID":"23555223","abstract":"Successful replication within an infected host and successful transmission between hosts are key to the continued spread of most pathogens. Competing selection pressures exerted at these different scales can lead to evolutionary trade-offs between the determinants of fitness within and between hosts. Here, we examine such a trade-off in the context of influenza A viruses and the differential pressures exerted by temperature-dependent virus persistence. For a panel of avian influenza A virus strains, we find evidence for a trade-off between the persistence at high versus low temperatures. Combining a within-host model of influenza infection dynamics with a between-host transmission model, we study how such a trade-off affects virus fitness on the host population level. We show that conclusions regarding overall fitness are affected by the type of link assumed between the within- and between-host levels and the main route of transmission (direct or environmental). The relative importance of virulence and immune response mediated virus clearance are also found to influence the fitness impacts of virus persistence at low versus high temperatures. Based on our results, we predict that if transmission occurs mainly directly and scales linearly with virus load, and virulence or immune responses are negligible, the evolutionary pressure for influenza viruses to evolve toward good persistence at high within-host temperatures dominates. For all other scenarios, influenza viruses with good environmental persistence at low temperatures seem to be favored. © 2013 Handel et al.","author":[{"dropping-particle":"","family":"Handel","given":"Andreas","non-dropping-particle":"","parse-names":false,"suffix":""},{"dropping-particle":"","family":"Brown","given":"Justin","non-dropping-particle":"","parse-names":false,"suffix":""},{"dropping-particle":"","family":"Stallknecht","given":"David","non-dropping-particle":"","parse-names":false,"suffix":""},{"dropping-particle":"","family":"Rohani","given":"Pejman","non-dropping-particle":"","parse-names":false,"suffix":""}],"container-title":"PLoS Computational Biology","id":"ITEM-2","issue":"3","issued":{"date-parts":[["2013"]]},"page":"e1002989","publisher":"Public Library of Science","title":"A Multi-scale Analysis of Influenza A Virus Fitness Trade-offs due to Temperature-dependent Virus Persistence","type":"article-journal","volume":"9"},"uris":["http://www.mendeley.com/documents/?uuid=b9211f4e-379f-3c2d-bbfa-cfe42a9887f6"]},{"id":"ITEM-3","itemData":{"DOI":"10.1098/rspb.2013.3051","ISSN":"0962-8452","abstract":"&lt;p&gt;Trade-offs between different components of a pathogen's replication and transmission cycle are thought to be common. A number of studies have identified trade-offs that emerge across scales, reflecting the tension between strategies that optimize within-host proliferation and large-scale population spread. Most of these studies are theoretical in nature, with direct experimental tests of such cross-scale trade-offs still rare. Here, we report an analysis of avian influenza A viruses across scales, focusing on the phenotype of temperature-dependent viral persistence. Taking advantage of a unique dataset that reports both environmental virus decay rates and strain-specific viral kinetics from duck challenge experiments, we show that the temperature-dependent environmental decay rate of a strain does not impact within-host virus load. Hence, for this phenotype, the scales of within-host infection dynamics and between-host environmental persistence do not seem to interact: viral fitness may be optimized on each scale without cross-scale trade-offs. Instead, we confirm the existence of a temperature-dependent persistence trade-off on a single scale, with some strains favouring environmental persistence in water at low temperatures while others reduce sensitivity to increasing temperatures. We show that this temperature-dependent trade-off is a robust phenomenon and does not depend on the details of data analysis. Our findings suggest that viruses might employ different environmental persistence strategies, which facilitates the coexistence of diverse strains in ecological niches. We conclude that a better understanding of the transmission and evolutionary dynamics of influenza A viruses probably requires empirical information regarding both within-host dynamics and environmental traits, integrated within a combined ecological and within-host framework.&lt;/p&gt;","author":[{"dropping-particle":"","family":"Handel","given":"Andreas","non-dropping-particle":"","parse-names":false,"suffix":""},{"dropping-particle":"","family":"Lebarbenchon","given":"Camille","non-dropping-particle":"","parse-names":false,"suffix":""},{"dropping-particle":"","family":"Stallknecht","given":"David","non-dropping-particle":"","parse-names":false,"suffix":""},{"dropping-particle":"","family":"Rohani","given":"Pejman","non-dropping-particle":"","parse-names":false,"suffix":""}],"container-title":"Proceedings of the Royal Society B: Biological Sciences","id":"ITEM-3","issue":"1787","issued":{"date-parts":[["2014","7","22"]]},"page":"20133051","publisher":"Royal Society","title":"Trade-offs between and within scales: environmental persistence and within-host fitness of avian influenza viruses","type":"article-journal","volume":"281"},"uris":["http://www.mendeley.com/documents/?uuid=cb50d632-a25d-35bf-bc20-485b1cc6570b"]},{"id":"ITEM-4","itemData":{"ISSN":"00657778","PMID":"4308674","author":[{"dropping-particle":"","family":"Couch","given":"R. B.","non-dropping-particle":"","parse-names":false,"suffix":""},{"dropping-particle":"","family":"Knight","given":"V.","non-dropping-particle":"","parse-names":false,"suffix":""},{"dropping-particle":"","family":"Douglas","given":"R. G.","non-dropping-particle":"","parse-names":false,"suffix":""},{"dropping-particle":"","family":"Black SH HAMORY","given":"B. H.","non-dropping-particle":"","parse-names":false,"suffix":""}],"container-title":"Transactions of the American Clinical and Climatological Association","id":"ITEM-4","issued":{"date-parts":[["1969"]]},"title":"The minimal infectious dose of adenovirus type 4; the case for natural transmission by viral aerosol.","type":"article-journal"},"uris":["http://www.mendeley.com/documents/?uuid=5ce0eece-1699-4a77-8fbf-2be84ec55d8d"]},{"id":"ITEM-5","itemData":{"DOI":"10.1098/rsif.2009.0302.focus","ISSN":"17425662","abstract":"Over the past few years, prompted by pandemic preparedness initiatives, the debate over the modes of transmission of influenza has been rekindled and several reviews have appeared. Arguments supporting an important role for aerosol transmission that were reviewed included prolonged survival of the virus in aerosol suspensions, demonstration of the low infectious dose required for aerosol transmission in human volunteers, and clinical and epidemiological observations were disentanglements of large droplets and aerosol transmission was possible. Since these reviews were published, several new studies have been done and generated new data. These include direct demonstration of the presence of influenza viruses in aerosolized droplets fromthe tidal breathing of infected persons and in the air of an emergency department; the establishment of the guinea pig model for influenza transmission, where it was shown that aerosol transmission is important and probably modulated by temperature and humidity; the demonstration of some genetic determinants of airborne transmission of influenza viruses as assessed using the ferret model; and mathematical modelling studies that strongly support the aerosol route. These recent results and their implication for infection control of influenza are discussed in this review. © 2009 The Royal Society.","author":[{"dropping-particle":"","family":"Tellier","given":"Raymond","non-dropping-particle":"","parse-names":false,"suffix":""}],"container-title":"Journal of the Royal Society Interface","id":"ITEM-5","issue":"SUPPL. 6","issued":{"date-parts":[["2009","12","6"]]},"publisher":"Royal Society","title":"Aerosol transmission of influenza A virus: A review of new studies","type":"article","volume":"6"},"uris":["http://www.mendeley.com/documents/?uuid=4fd2f716-490e-4a27-aec0-b8f63860b76e"]}],"mendeley":{"formattedCitation":"[34–37, 56]","plainTextFormattedCitation":"[34–37, 56]","previouslyFormattedCitation":"[34–37, 57]"},"properties":{"noteIndex":0},"schema":"https://github.com/citation-style-language/schema/raw/master/csl-citation.json"}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[34–37, 56]</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xml:space="preserve">. </w:t>
      </w:r>
      <w:bookmarkEnd w:id="5"/>
      <w:r w:rsidRPr="00AC52E1">
        <w:rPr>
          <w:rFonts w:asciiTheme="majorBidi" w:hAnsiTheme="majorBidi" w:cstheme="majorBidi"/>
          <w:sz w:val="24"/>
          <w:szCs w:val="24"/>
        </w:rPr>
        <w:t>The logarithm of the viral load depends on the risk</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 xml:space="preserve">group of the infected individual </w:t>
      </w:r>
      <m:oMath>
        <m:r>
          <w:rPr>
            <w:rFonts w:ascii="Cambria Math" w:hAnsi="Cambria Math" w:cstheme="majorBidi"/>
            <w:sz w:val="24"/>
            <w:szCs w:val="24"/>
          </w:rPr>
          <m:t>k∈{H,L}</m:t>
        </m:r>
      </m:oMath>
      <w:r w:rsidRPr="00AC52E1">
        <w:rPr>
          <w:rFonts w:asciiTheme="majorBidi" w:eastAsiaTheme="minorEastAsia" w:hAnsiTheme="majorBidi" w:cstheme="majorBidi"/>
          <w:sz w:val="24"/>
          <w:szCs w:val="24"/>
        </w:rPr>
        <w:t>;</w:t>
      </w:r>
      <w:r w:rsidRPr="00AC52E1">
        <w:rPr>
          <w:rFonts w:asciiTheme="majorBidi" w:hAnsiTheme="majorBidi" w:cstheme="majorBidi"/>
          <w:sz w:val="24"/>
          <w:szCs w:val="24"/>
        </w:rPr>
        <w:t xml:space="preserve"> the timing of the antiviral treatment administered to high-risk individuals </w:t>
      </w:r>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sub>
          <m:sup>
            <m:r>
              <w:rPr>
                <w:rFonts w:ascii="Cambria Math" w:hAnsi="Cambria Math" w:cstheme="majorBidi"/>
                <w:sz w:val="24"/>
                <w:szCs w:val="24"/>
              </w:rPr>
              <m:t>τ</m:t>
            </m:r>
          </m:sup>
        </m:sSubSup>
        <m:r>
          <w:rPr>
            <w:rFonts w:ascii="Cambria Math" w:hAnsi="Cambria Math" w:cstheme="majorBidi"/>
            <w:sz w:val="24"/>
            <w:szCs w:val="24"/>
          </w:rPr>
          <m:t>;</m:t>
        </m:r>
      </m:oMath>
      <w:r w:rsidRPr="00AC52E1">
        <w:rPr>
          <w:rFonts w:asciiTheme="majorBidi" w:hAnsiTheme="majorBidi" w:cstheme="majorBidi"/>
          <w:sz w:val="24"/>
          <w:szCs w:val="24"/>
        </w:rPr>
        <w:t xml:space="preserve"> the day of infection </w:t>
      </w:r>
      <m:oMath>
        <m:r>
          <w:rPr>
            <w:rFonts w:ascii="Cambria Math" w:hAnsi="Cambria Math" w:cstheme="majorBidi"/>
            <w:sz w:val="24"/>
            <w:szCs w:val="24"/>
          </w:rPr>
          <m:t>τ</m:t>
        </m:r>
      </m:oMath>
      <w:r w:rsidRPr="00AC52E1">
        <w:rPr>
          <w:rFonts w:asciiTheme="majorBidi" w:hAnsiTheme="majorBidi" w:cstheme="majorBidi"/>
          <w:sz w:val="24"/>
          <w:szCs w:val="24"/>
        </w:rPr>
        <w:t xml:space="preserve">, which includes the exposed and infection periods; and the type of infection (i.e., </w:t>
      </w:r>
      <w:proofErr w:type="gramStart"/>
      <w:r w:rsidRPr="00AC52E1">
        <w:rPr>
          <w:rFonts w:asciiTheme="majorBidi" w:hAnsiTheme="majorBidi" w:cstheme="majorBidi"/>
          <w:sz w:val="24"/>
          <w:szCs w:val="24"/>
        </w:rPr>
        <w:t>symptomatic</w:t>
      </w:r>
      <w:proofErr w:type="gramEnd"/>
      <w:r w:rsidRPr="00AC52E1">
        <w:rPr>
          <w:rFonts w:asciiTheme="majorBidi" w:hAnsiTheme="majorBidi" w:cstheme="majorBidi"/>
          <w:sz w:val="24"/>
          <w:szCs w:val="24"/>
        </w:rPr>
        <w:t xml:space="preserve"> or asymptomatic infection) (see 2.1 Dataset and parameters). In addition, we considered the age-specific susceptibility rate of </w:t>
      </w:r>
      <w:r w:rsidRPr="00AC52E1">
        <w:rPr>
          <w:rFonts w:ascii="Times New Roman" w:eastAsia="Calibri" w:hAnsi="Times New Roman" w:cs="Times New Roman"/>
          <w:sz w:val="24"/>
          <w:szCs w:val="24"/>
        </w:rPr>
        <w:t>individuals</w:t>
      </w:r>
      <w:r w:rsidRPr="00AC52E1">
        <w:rPr>
          <w:rFonts w:asciiTheme="majorBidi" w:hAnsiTheme="majorBidi" w:cstheme="majorBidi"/>
          <w:sz w:val="24"/>
          <w:szCs w:val="24"/>
        </w:rPr>
        <w:t>,</w:t>
      </w:r>
      <w:r w:rsidRPr="00AC52E1">
        <w:rPr>
          <w:rFonts w:asciiTheme="majorBidi" w:eastAsiaTheme="minorEastAsia" w:hAnsiTheme="majorBidi" w:cstheme="majorBidi"/>
          <w:sz w:val="24"/>
          <w:szCs w:val="24"/>
        </w:rPr>
        <w:t xml:space="preserve"> denoted by </w:t>
      </w: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j</m:t>
            </m:r>
          </m:sub>
        </m:sSub>
      </m:oMath>
      <w:r w:rsidRPr="00AC52E1">
        <w:rPr>
          <w:rFonts w:asciiTheme="majorBidi" w:hAnsiTheme="majorBidi" w:cstheme="majorBidi"/>
          <w:sz w:val="24"/>
          <w:szCs w:val="24"/>
        </w:rPr>
        <w:t xml:space="preserve">. We calibrated the susceptibility rates to the weekly influenza records (2.2. Calibrated parameters). </w:t>
      </w:r>
      <w:bookmarkStart w:id="6" w:name="_Hlk56274849"/>
      <w:r w:rsidRPr="00AC52E1">
        <w:rPr>
          <w:rFonts w:asciiTheme="majorBidi" w:hAnsiTheme="majorBidi" w:cstheme="majorBidi"/>
          <w:sz w:val="24"/>
          <w:szCs w:val="24"/>
        </w:rPr>
        <w:t xml:space="preserve">Taken together, the force of infection </w:t>
      </w:r>
      <m:oMath>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j</m:t>
            </m:r>
          </m:sub>
        </m:sSub>
        <m:r>
          <w:rPr>
            <w:rFonts w:ascii="Cambria Math" w:hAnsi="Cambria Math" w:cstheme="majorBidi"/>
            <w:sz w:val="24"/>
            <w:szCs w:val="24"/>
          </w:rPr>
          <m:t>(t)</m:t>
        </m:r>
      </m:oMath>
      <w:r w:rsidRPr="00AC52E1">
        <w:rPr>
          <w:rFonts w:asciiTheme="majorBidi" w:hAnsiTheme="majorBidi" w:cstheme="majorBidi"/>
          <w:sz w:val="24"/>
          <w:szCs w:val="24"/>
        </w:rPr>
        <w:t xml:space="preserve"> is given by:</w:t>
      </w:r>
      <w:bookmarkEnd w:id="6"/>
    </w:p>
    <w:tbl>
      <w:tblPr>
        <w:tblW w:w="0" w:type="auto"/>
        <w:tblInd w:w="-5" w:type="dxa"/>
        <w:tblLook w:val="04A0" w:firstRow="1" w:lastRow="0" w:firstColumn="1" w:lastColumn="0" w:noHBand="0" w:noVBand="1"/>
      </w:tblPr>
      <w:tblGrid>
        <w:gridCol w:w="744"/>
        <w:gridCol w:w="7469"/>
        <w:gridCol w:w="818"/>
      </w:tblGrid>
      <w:tr w:rsidR="00285089" w14:paraId="31CA40CB" w14:textId="77777777" w:rsidTr="00365097">
        <w:tc>
          <w:tcPr>
            <w:tcW w:w="810" w:type="dxa"/>
            <w:vAlign w:val="center"/>
          </w:tcPr>
          <w:p w14:paraId="10F8CF38" w14:textId="77777777" w:rsidR="00285089" w:rsidRPr="00BE0FA3" w:rsidRDefault="00285089" w:rsidP="00365097">
            <w:pPr>
              <w:spacing w:after="214" w:line="360" w:lineRule="auto"/>
              <w:ind w:right="45"/>
              <w:jc w:val="both"/>
              <w:rPr>
                <w:rFonts w:asciiTheme="majorBidi" w:hAnsiTheme="majorBidi" w:cstheme="majorBidi"/>
              </w:rPr>
            </w:pPr>
            <w:bookmarkStart w:id="7" w:name="_Hlk56274860"/>
          </w:p>
        </w:tc>
        <w:tc>
          <w:tcPr>
            <w:tcW w:w="7740" w:type="dxa"/>
            <w:vAlign w:val="center"/>
          </w:tcPr>
          <w:p w14:paraId="343250F7" w14:textId="77777777" w:rsidR="00285089" w:rsidRPr="00BE0FA3" w:rsidRDefault="00365097" w:rsidP="00365097">
            <w:pPr>
              <w:spacing w:after="214" w:line="360" w:lineRule="auto"/>
              <w:ind w:right="45"/>
              <w:jc w:val="both"/>
              <w:rPr>
                <w:rFonts w:asciiTheme="majorBidi" w:hAnsiTheme="majorBidi" w:cstheme="majorBidi"/>
                <w:i/>
                <w:rtl/>
              </w:rPr>
            </w:pPr>
            <m:oMathPara>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j</m:t>
                    </m:r>
                  </m:sub>
                </m:sSub>
                <m:r>
                  <w:rPr>
                    <w:rFonts w:ascii="Cambria Math" w:hAnsi="Cambria Math" w:cstheme="majorBidi"/>
                  </w:rPr>
                  <m:t>∙T</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d>
                  <m:dPr>
                    <m:ctrlPr>
                      <w:rPr>
                        <w:rFonts w:ascii="Cambria Math" w:hAnsi="Cambria Math" w:cstheme="majorBidi"/>
                        <w:i/>
                      </w:rPr>
                    </m:ctrlPr>
                  </m:dPr>
                  <m:e>
                    <m:nary>
                      <m:naryPr>
                        <m:chr m:val="∑"/>
                        <m:limLoc m:val="undOvr"/>
                        <m:ctrlPr>
                          <w:rPr>
                            <w:rFonts w:ascii="Cambria Math" w:hAnsi="Cambria Math" w:cstheme="majorBidi"/>
                            <w:i/>
                          </w:rPr>
                        </m:ctrlPr>
                      </m:naryPr>
                      <m:sub>
                        <m:r>
                          <w:rPr>
                            <w:rFonts w:ascii="Cambria Math" w:hAnsi="Cambria Math" w:cstheme="majorBidi"/>
                          </w:rPr>
                          <m:t>e=1</m:t>
                        </m:r>
                      </m:sub>
                      <m:sup>
                        <m:r>
                          <w:rPr>
                            <w:rFonts w:ascii="Cambria Math" w:hAnsi="Cambria Math" w:cstheme="majorBidi"/>
                          </w:rPr>
                          <m:t>5</m:t>
                        </m:r>
                      </m:sup>
                      <m:e>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e,j</m:t>
                            </m:r>
                          </m:sub>
                        </m:sSub>
                      </m:e>
                    </m:nary>
                    <m:d>
                      <m:dPr>
                        <m:ctrlPr>
                          <w:rPr>
                            <w:rFonts w:ascii="Cambria Math" w:hAnsi="Cambria Math" w:cstheme="majorBidi"/>
                            <w:i/>
                          </w:rPr>
                        </m:ctrlPr>
                      </m:dPr>
                      <m:e>
                        <m:nary>
                          <m:naryPr>
                            <m:chr m:val="∑"/>
                            <m:limLoc m:val="undOvr"/>
                            <m:ctrlPr>
                              <w:rPr>
                                <w:rFonts w:ascii="Cambria Math" w:hAnsi="Cambria Math" w:cstheme="majorBidi"/>
                                <w:i/>
                              </w:rPr>
                            </m:ctrlPr>
                          </m:naryPr>
                          <m:sub>
                            <m:r>
                              <w:rPr>
                                <w:rFonts w:ascii="Cambria Math" w:hAnsi="Cambria Math" w:cstheme="majorBidi"/>
                              </w:rPr>
                              <m:t>τ=0</m:t>
                            </m:r>
                          </m:sub>
                          <m:sup>
                            <m:r>
                              <w:rPr>
                                <w:rFonts w:ascii="Cambria Math" w:hAnsi="Cambria Math" w:cstheme="majorBidi"/>
                              </w:rPr>
                              <m:t>φ</m:t>
                            </m:r>
                          </m:sup>
                          <m:e>
                            <m:nary>
                              <m:naryPr>
                                <m:chr m:val="∑"/>
                                <m:limLoc m:val="undOvr"/>
                                <m:supHide m:val="1"/>
                                <m:ctrlPr>
                                  <w:rPr>
                                    <w:rFonts w:ascii="Cambria Math" w:hAnsi="Cambria Math" w:cstheme="majorBidi"/>
                                    <w:i/>
                                  </w:rPr>
                                </m:ctrlPr>
                              </m:naryPr>
                              <m:sub>
                                <m:r>
                                  <m:rPr>
                                    <m:scr m:val="script"/>
                                  </m:rPr>
                                  <w:rPr>
                                    <w:rFonts w:ascii="Cambria Math" w:hAnsi="Cambria Math" w:cstheme="majorBidi"/>
                                  </w:rPr>
                                  <m:t>T∈</m:t>
                                </m:r>
                                <m:d>
                                  <m:dPr>
                                    <m:begChr m:val="{"/>
                                    <m:endChr m:val="}"/>
                                    <m:ctrlPr>
                                      <w:rPr>
                                        <w:rFonts w:ascii="Cambria Math" w:hAnsi="Cambria Math" w:cstheme="majorBidi"/>
                                        <w:i/>
                                      </w:rPr>
                                    </m:ctrlPr>
                                  </m:dPr>
                                  <m:e>
                                    <m:r>
                                      <w:rPr>
                                        <w:rFonts w:ascii="Cambria Math" w:hAnsi="Cambria Math" w:cstheme="majorBidi"/>
                                      </w:rPr>
                                      <m:t>0,2,3</m:t>
                                    </m:r>
                                  </m:e>
                                </m:d>
                              </m:sub>
                              <m:sup/>
                              <m:e>
                                <m:func>
                                  <m:funcPr>
                                    <m:ctrlPr>
                                      <w:rPr>
                                        <w:rFonts w:ascii="Cambria Math" w:hAnsi="Cambria Math" w:cstheme="majorBidi"/>
                                        <w:i/>
                                      </w:rPr>
                                    </m:ctrlPr>
                                  </m:funcPr>
                                  <m:fName>
                                    <m:r>
                                      <m:rPr>
                                        <m:sty m:val="p"/>
                                      </m:rPr>
                                      <w:rPr>
                                        <w:rFonts w:ascii="Cambria Math" w:hAnsi="Cambria Math" w:cstheme="majorBidi"/>
                                      </w:rPr>
                                      <m:t>log</m:t>
                                    </m:r>
                                  </m:fName>
                                  <m:e>
                                    <m:d>
                                      <m:dPr>
                                        <m:ctrlPr>
                                          <w:rPr>
                                            <w:rFonts w:ascii="Cambria Math" w:hAnsi="Cambria Math" w:cstheme="majorBidi"/>
                                            <w:i/>
                                          </w:rPr>
                                        </m:ctrlPr>
                                      </m:dPr>
                                      <m:e>
                                        <m:r>
                                          <w:rPr>
                                            <w:rFonts w:ascii="Cambria Math" w:hAnsi="Cambria Math" w:cstheme="majorBidi"/>
                                          </w:rPr>
                                          <m:t>VL</m:t>
                                        </m:r>
                                        <m:d>
                                          <m:dPr>
                                            <m:ctrlPr>
                                              <w:rPr>
                                                <w:rFonts w:ascii="Cambria Math" w:hAnsi="Cambria Math" w:cstheme="majorBidi"/>
                                                <w:i/>
                                              </w:rPr>
                                            </m:ctrlPr>
                                          </m:dPr>
                                          <m:e>
                                            <m:r>
                                              <w:rPr>
                                                <w:rFonts w:ascii="Cambria Math" w:hAnsi="Cambria Math" w:cstheme="majorBidi"/>
                                              </w:rPr>
                                              <m:t>H,τ,</m:t>
                                            </m:r>
                                            <m:r>
                                              <m:rPr>
                                                <m:scr m:val="script"/>
                                              </m:rPr>
                                              <w:rPr>
                                                <w:rFonts w:ascii="Cambria Math" w:hAnsi="Cambria Math" w:cstheme="majorBidi"/>
                                              </w:rPr>
                                              <m:t>T,</m:t>
                                            </m:r>
                                            <m:r>
                                              <w:rPr>
                                                <w:rFonts w:ascii="Cambria Math" w:hAnsi="Cambria Math" w:cstheme="majorBidi"/>
                                              </w:rPr>
                                              <m:t>symptomatic</m:t>
                                            </m:r>
                                          </m:e>
                                        </m:d>
                                      </m:e>
                                    </m:d>
                                  </m:e>
                                </m:func>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P</m:t>
                                    </m:r>
                                  </m:e>
                                  <m:sub>
                                    <m:r>
                                      <w:rPr>
                                        <w:rFonts w:ascii="Cambria Math" w:hAnsi="Cambria Math" w:cstheme="majorBidi"/>
                                      </w:rPr>
                                      <m:t>e,</m:t>
                                    </m:r>
                                    <m:r>
                                      <m:rPr>
                                        <m:scr m:val="script"/>
                                      </m:rPr>
                                      <w:rPr>
                                        <w:rFonts w:ascii="Cambria Math" w:hAnsi="Cambria Math" w:cstheme="majorBidi"/>
                                      </w:rPr>
                                      <m:t>T</m:t>
                                    </m:r>
                                  </m:sub>
                                  <m:sup>
                                    <m:r>
                                      <w:rPr>
                                        <w:rFonts w:ascii="Cambria Math" w:hAnsi="Cambria Math" w:cstheme="majorBidi"/>
                                      </w:rPr>
                                      <m:t>τ</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i</m:t>
                                    </m:r>
                                  </m:e>
                                  <m:sub>
                                    <m:r>
                                      <w:rPr>
                                        <w:rFonts w:ascii="Cambria Math" w:hAnsi="Cambria Math" w:cstheme="majorBidi"/>
                                      </w:rPr>
                                      <m:t>e,H</m:t>
                                    </m:r>
                                  </m:sub>
                                  <m:sup>
                                    <m:r>
                                      <w:rPr>
                                        <w:rFonts w:ascii="Cambria Math" w:hAnsi="Cambria Math" w:cstheme="majorBidi"/>
                                      </w:rPr>
                                      <m:t>τ</m:t>
                                    </m:r>
                                  </m:sup>
                                </m:sSubSup>
                                <m:d>
                                  <m:dPr>
                                    <m:ctrlPr>
                                      <w:rPr>
                                        <w:rFonts w:ascii="Cambria Math" w:hAnsi="Cambria Math" w:cstheme="majorBidi"/>
                                        <w:i/>
                                      </w:rPr>
                                    </m:ctrlPr>
                                  </m:dPr>
                                  <m:e>
                                    <m:r>
                                      <w:rPr>
                                        <w:rFonts w:ascii="Cambria Math" w:hAnsi="Cambria Math" w:cstheme="majorBidi"/>
                                      </w:rPr>
                                      <m:t>t-1</m:t>
                                    </m:r>
                                  </m:e>
                                </m:d>
                              </m:e>
                            </m:nary>
                          </m:e>
                        </m:nary>
                        <m:r>
                          <w:rPr>
                            <w:rFonts w:ascii="Cambria Math" w:hAnsi="Cambria Math" w:cstheme="majorBidi"/>
                          </w:rPr>
                          <m:t>+</m:t>
                        </m:r>
                        <m:nary>
                          <m:naryPr>
                            <m:chr m:val="∑"/>
                            <m:limLoc m:val="undOvr"/>
                            <m:ctrlPr>
                              <w:rPr>
                                <w:rFonts w:ascii="Cambria Math" w:hAnsi="Cambria Math" w:cstheme="majorBidi"/>
                                <w:i/>
                              </w:rPr>
                            </m:ctrlPr>
                          </m:naryPr>
                          <m:sub>
                            <m:r>
                              <w:rPr>
                                <w:rFonts w:ascii="Cambria Math" w:hAnsi="Cambria Math" w:cstheme="majorBidi"/>
                              </w:rPr>
                              <m:t>τ=0</m:t>
                            </m:r>
                          </m:sub>
                          <m:sup>
                            <m:r>
                              <w:rPr>
                                <w:rFonts w:ascii="Cambria Math" w:hAnsi="Cambria Math" w:cstheme="majorBidi"/>
                              </w:rPr>
                              <m:t>φ</m:t>
                            </m:r>
                          </m:sup>
                          <m:e>
                            <m:func>
                              <m:funcPr>
                                <m:ctrlPr>
                                  <w:rPr>
                                    <w:rFonts w:ascii="Cambria Math" w:hAnsi="Cambria Math" w:cstheme="majorBidi"/>
                                    <w:i/>
                                  </w:rPr>
                                </m:ctrlPr>
                              </m:funcPr>
                              <m:fName>
                                <m:r>
                                  <m:rPr>
                                    <m:sty m:val="p"/>
                                  </m:rPr>
                                  <w:rPr>
                                    <w:rFonts w:ascii="Cambria Math" w:hAnsi="Cambria Math" w:cstheme="majorBidi"/>
                                  </w:rPr>
                                  <m:t>log</m:t>
                                </m:r>
                              </m:fName>
                              <m:e>
                                <m:d>
                                  <m:dPr>
                                    <m:ctrlPr>
                                      <w:rPr>
                                        <w:rFonts w:ascii="Cambria Math" w:hAnsi="Cambria Math" w:cstheme="majorBidi"/>
                                        <w:i/>
                                      </w:rPr>
                                    </m:ctrlPr>
                                  </m:dPr>
                                  <m:e>
                                    <m:r>
                                      <w:rPr>
                                        <w:rFonts w:ascii="Cambria Math" w:hAnsi="Cambria Math" w:cstheme="majorBidi"/>
                                      </w:rPr>
                                      <m:t>VL</m:t>
                                    </m:r>
                                    <m:d>
                                      <m:dPr>
                                        <m:ctrlPr>
                                          <w:rPr>
                                            <w:rFonts w:ascii="Cambria Math" w:hAnsi="Cambria Math" w:cstheme="majorBidi"/>
                                            <w:i/>
                                          </w:rPr>
                                        </m:ctrlPr>
                                      </m:dPr>
                                      <m:e>
                                        <m:r>
                                          <w:rPr>
                                            <w:rFonts w:ascii="Cambria Math" w:hAnsi="Cambria Math" w:cstheme="majorBidi"/>
                                          </w:rPr>
                                          <m:t>L,τ,</m:t>
                                        </m:r>
                                        <m:r>
                                          <m:rPr>
                                            <m:scr m:val="script"/>
                                          </m:rPr>
                                          <w:rPr>
                                            <w:rFonts w:ascii="Cambria Math" w:hAnsi="Cambria Math" w:cstheme="majorBidi"/>
                                          </w:rPr>
                                          <m:t>T</m:t>
                                        </m:r>
                                        <m:r>
                                          <w:rPr>
                                            <w:rFonts w:ascii="Cambria Math" w:hAnsi="Cambria Math" w:cstheme="majorBidi"/>
                                          </w:rPr>
                                          <m:t>=0,symptomatic</m:t>
                                        </m:r>
                                      </m:e>
                                    </m:d>
                                  </m:e>
                                </m:d>
                              </m:e>
                            </m:func>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i</m:t>
                                </m:r>
                              </m:e>
                              <m:sub>
                                <m:r>
                                  <w:rPr>
                                    <w:rFonts w:ascii="Cambria Math" w:hAnsi="Cambria Math" w:cstheme="majorBidi"/>
                                  </w:rPr>
                                  <m:t>e,L</m:t>
                                </m:r>
                              </m:sub>
                              <m:sup>
                                <m:r>
                                  <w:rPr>
                                    <w:rFonts w:ascii="Cambria Math" w:hAnsi="Cambria Math" w:cstheme="majorBidi"/>
                                  </w:rPr>
                                  <m:t>τ</m:t>
                                </m:r>
                              </m:sup>
                            </m:sSubSup>
                            <m:d>
                              <m:dPr>
                                <m:ctrlPr>
                                  <w:rPr>
                                    <w:rFonts w:ascii="Cambria Math" w:hAnsi="Cambria Math" w:cstheme="majorBidi"/>
                                    <w:i/>
                                  </w:rPr>
                                </m:ctrlPr>
                              </m:dPr>
                              <m:e>
                                <m:r>
                                  <w:rPr>
                                    <w:rFonts w:ascii="Cambria Math" w:hAnsi="Cambria Math" w:cstheme="majorBidi"/>
                                  </w:rPr>
                                  <m:t>t-1</m:t>
                                </m:r>
                              </m:e>
                            </m:d>
                          </m:e>
                        </m:nary>
                        <m:r>
                          <w:rPr>
                            <w:rFonts w:ascii="Cambria Math" w:hAnsi="Cambria Math" w:cstheme="majorBidi"/>
                          </w:rPr>
                          <m:t xml:space="preserve">+ </m:t>
                        </m:r>
                        <m:nary>
                          <m:naryPr>
                            <m:chr m:val="∑"/>
                            <m:limLoc m:val="undOvr"/>
                            <m:supHide m:val="1"/>
                            <m:ctrlPr>
                              <w:rPr>
                                <w:rFonts w:ascii="Cambria Math" w:hAnsi="Cambria Math" w:cstheme="majorBidi"/>
                                <w:i/>
                              </w:rPr>
                            </m:ctrlPr>
                          </m:naryPr>
                          <m:sub>
                            <m:r>
                              <w:rPr>
                                <w:rFonts w:ascii="Cambria Math" w:hAnsi="Cambria Math" w:cstheme="majorBidi"/>
                              </w:rPr>
                              <m:t>k∈</m:t>
                            </m:r>
                            <m:d>
                              <m:dPr>
                                <m:begChr m:val="{"/>
                                <m:endChr m:val="}"/>
                                <m:ctrlPr>
                                  <w:rPr>
                                    <w:rFonts w:ascii="Cambria Math" w:hAnsi="Cambria Math" w:cstheme="majorBidi"/>
                                    <w:i/>
                                  </w:rPr>
                                </m:ctrlPr>
                              </m:dPr>
                              <m:e>
                                <m:r>
                                  <w:rPr>
                                    <w:rFonts w:ascii="Cambria Math" w:hAnsi="Cambria Math" w:cstheme="majorBidi"/>
                                  </w:rPr>
                                  <m:t>H,L</m:t>
                                </m:r>
                              </m:e>
                            </m:d>
                          </m:sub>
                          <m:sup/>
                          <m:e>
                            <m:nary>
                              <m:naryPr>
                                <m:chr m:val="∑"/>
                                <m:limLoc m:val="undOvr"/>
                                <m:ctrlPr>
                                  <w:rPr>
                                    <w:rFonts w:ascii="Cambria Math" w:hAnsi="Cambria Math" w:cstheme="majorBidi"/>
                                    <w:i/>
                                  </w:rPr>
                                </m:ctrlPr>
                              </m:naryPr>
                              <m:sub>
                                <m:r>
                                  <w:rPr>
                                    <w:rFonts w:ascii="Cambria Math" w:hAnsi="Cambria Math" w:cstheme="majorBidi"/>
                                  </w:rPr>
                                  <m:t>τ=0</m:t>
                                </m:r>
                              </m:sub>
                              <m:sup>
                                <m:r>
                                  <w:rPr>
                                    <w:rFonts w:ascii="Cambria Math" w:hAnsi="Cambria Math" w:cstheme="majorBidi"/>
                                  </w:rPr>
                                  <m:t>φ</m:t>
                                </m:r>
                              </m:sup>
                              <m:e>
                                <m:func>
                                  <m:funcPr>
                                    <m:ctrlPr>
                                      <w:rPr>
                                        <w:rFonts w:ascii="Cambria Math" w:hAnsi="Cambria Math" w:cstheme="majorBidi"/>
                                        <w:i/>
                                      </w:rPr>
                                    </m:ctrlPr>
                                  </m:funcPr>
                                  <m:fName>
                                    <m:r>
                                      <m:rPr>
                                        <m:sty m:val="p"/>
                                      </m:rPr>
                                      <w:rPr>
                                        <w:rFonts w:ascii="Cambria Math" w:hAnsi="Cambria Math" w:cstheme="majorBidi"/>
                                      </w:rPr>
                                      <m:t>log</m:t>
                                    </m:r>
                                  </m:fName>
                                  <m:e>
                                    <m:d>
                                      <m:dPr>
                                        <m:ctrlPr>
                                          <w:rPr>
                                            <w:rFonts w:ascii="Cambria Math" w:hAnsi="Cambria Math" w:cstheme="majorBidi"/>
                                            <w:i/>
                                          </w:rPr>
                                        </m:ctrlPr>
                                      </m:dPr>
                                      <m:e>
                                        <m:r>
                                          <w:rPr>
                                            <w:rFonts w:ascii="Cambria Math" w:hAnsi="Cambria Math" w:cstheme="majorBidi"/>
                                          </w:rPr>
                                          <m:t>VL</m:t>
                                        </m:r>
                                        <m:d>
                                          <m:dPr>
                                            <m:ctrlPr>
                                              <w:rPr>
                                                <w:rFonts w:ascii="Cambria Math" w:hAnsi="Cambria Math" w:cstheme="majorBidi"/>
                                                <w:i/>
                                              </w:rPr>
                                            </m:ctrlPr>
                                          </m:dPr>
                                          <m:e>
                                            <m:r>
                                              <w:rPr>
                                                <w:rFonts w:ascii="Cambria Math" w:hAnsi="Cambria Math" w:cstheme="majorBidi"/>
                                              </w:rPr>
                                              <m:t>k,τ,</m:t>
                                            </m:r>
                                            <m:r>
                                              <m:rPr>
                                                <m:scr m:val="script"/>
                                              </m:rPr>
                                              <w:rPr>
                                                <w:rFonts w:ascii="Cambria Math" w:hAnsi="Cambria Math" w:cstheme="majorBidi"/>
                                              </w:rPr>
                                              <m:t>T</m:t>
                                            </m:r>
                                            <m:r>
                                              <w:rPr>
                                                <w:rFonts w:ascii="Cambria Math" w:hAnsi="Cambria Math" w:cstheme="majorBidi"/>
                                              </w:rPr>
                                              <m:t>=0,asymptomatic</m:t>
                                            </m:r>
                                          </m:e>
                                        </m:d>
                                      </m:e>
                                    </m:d>
                                  </m:e>
                                </m:func>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a</m:t>
                                    </m:r>
                                  </m:e>
                                  <m:sub>
                                    <m:r>
                                      <w:rPr>
                                        <w:rFonts w:ascii="Cambria Math" w:hAnsi="Cambria Math" w:cstheme="majorBidi"/>
                                      </w:rPr>
                                      <m:t>e,k</m:t>
                                    </m:r>
                                  </m:sub>
                                  <m:sup>
                                    <m:r>
                                      <w:rPr>
                                        <w:rFonts w:ascii="Cambria Math" w:hAnsi="Cambria Math" w:cstheme="majorBidi"/>
                                      </w:rPr>
                                      <m:t>τ</m:t>
                                    </m:r>
                                  </m:sup>
                                </m:sSubSup>
                                <m:d>
                                  <m:dPr>
                                    <m:ctrlPr>
                                      <w:rPr>
                                        <w:rFonts w:ascii="Cambria Math" w:hAnsi="Cambria Math" w:cstheme="majorBidi"/>
                                        <w:i/>
                                      </w:rPr>
                                    </m:ctrlPr>
                                  </m:dPr>
                                  <m:e>
                                    <m:r>
                                      <w:rPr>
                                        <w:rFonts w:ascii="Cambria Math" w:hAnsi="Cambria Math" w:cstheme="majorBidi"/>
                                      </w:rPr>
                                      <m:t>t-1</m:t>
                                    </m:r>
                                  </m:e>
                                </m:d>
                              </m:e>
                            </m:nary>
                          </m:e>
                        </m:nary>
                      </m:e>
                    </m:d>
                  </m:e>
                </m:d>
                <m:r>
                  <w:rPr>
                    <w:rFonts w:ascii="Cambria Math" w:hAnsi="Cambria Math" w:cstheme="majorBidi"/>
                  </w:rPr>
                  <m:t>.</m:t>
                </m:r>
              </m:oMath>
            </m:oMathPara>
          </w:p>
        </w:tc>
        <w:tc>
          <w:tcPr>
            <w:tcW w:w="855" w:type="dxa"/>
            <w:vAlign w:val="center"/>
          </w:tcPr>
          <w:p w14:paraId="0958E15C" w14:textId="77777777" w:rsidR="00285089" w:rsidRPr="00BE0FA3" w:rsidRDefault="00285089" w:rsidP="00365097">
            <w:pPr>
              <w:spacing w:after="214" w:line="360" w:lineRule="auto"/>
              <w:ind w:right="45"/>
              <w:jc w:val="both"/>
              <w:rPr>
                <w:rFonts w:asciiTheme="majorBidi" w:hAnsiTheme="majorBidi" w:cstheme="majorBidi"/>
              </w:rPr>
            </w:pPr>
            <w:r w:rsidRPr="00BE0FA3">
              <w:rPr>
                <w:rFonts w:asciiTheme="majorBidi" w:hAnsiTheme="majorBidi" w:cstheme="majorBidi"/>
              </w:rPr>
              <w:t>(4)</w:t>
            </w:r>
          </w:p>
        </w:tc>
      </w:tr>
      <w:bookmarkEnd w:id="7"/>
    </w:tbl>
    <w:p w14:paraId="37247254" w14:textId="77777777" w:rsidR="00285089" w:rsidRPr="00BE0FA3" w:rsidRDefault="00285089" w:rsidP="00285089">
      <w:pPr>
        <w:spacing w:after="399" w:line="360" w:lineRule="auto"/>
        <w:jc w:val="both"/>
        <w:rPr>
          <w:rFonts w:asciiTheme="majorBidi" w:hAnsiTheme="majorBidi" w:cstheme="majorBidi"/>
          <w:rtl/>
        </w:rPr>
      </w:pPr>
    </w:p>
    <w:p w14:paraId="0C42DE67" w14:textId="77777777" w:rsidR="00285089" w:rsidRPr="00BE0FA3" w:rsidRDefault="00285089" w:rsidP="00285089">
      <w:pPr>
        <w:pStyle w:val="Heading2"/>
        <w:spacing w:line="360" w:lineRule="auto"/>
        <w:jc w:val="both"/>
        <w:rPr>
          <w:rFonts w:asciiTheme="majorBidi" w:hAnsiTheme="majorBidi" w:cstheme="majorBidi"/>
        </w:rPr>
      </w:pPr>
      <w:bookmarkStart w:id="8" w:name="_Toc60620862"/>
      <w:r w:rsidRPr="00BE0FA3">
        <w:rPr>
          <w:rFonts w:asciiTheme="majorBidi" w:hAnsiTheme="majorBidi" w:cstheme="majorBidi"/>
        </w:rPr>
        <w:t>Data set and parameters</w:t>
      </w:r>
      <w:bookmarkEnd w:id="8"/>
    </w:p>
    <w:p w14:paraId="7C5ADFBE" w14:textId="77777777" w:rsidR="00285089" w:rsidRPr="00BE0FA3" w:rsidRDefault="00285089" w:rsidP="00285089">
      <w:pPr>
        <w:pStyle w:val="Heading3"/>
        <w:spacing w:line="360" w:lineRule="auto"/>
        <w:jc w:val="both"/>
        <w:rPr>
          <w:rFonts w:asciiTheme="majorBidi" w:hAnsiTheme="majorBidi" w:cstheme="majorBidi"/>
        </w:rPr>
      </w:pPr>
      <w:r w:rsidRPr="00BE0FA3">
        <w:rPr>
          <w:rFonts w:asciiTheme="majorBidi" w:hAnsiTheme="majorBidi" w:cstheme="majorBidi"/>
        </w:rPr>
        <w:t>Fixed parameters</w:t>
      </w:r>
    </w:p>
    <w:p w14:paraId="4546836B" w14:textId="77777777" w:rsidR="00285089" w:rsidRPr="00D75061" w:rsidRDefault="00285089" w:rsidP="00285089">
      <w:pPr>
        <w:tabs>
          <w:tab w:val="center" w:pos="4707"/>
        </w:tabs>
        <w:spacing w:line="360" w:lineRule="auto"/>
        <w:jc w:val="both"/>
        <w:rPr>
          <w:rFonts w:asciiTheme="majorBidi" w:hAnsiTheme="majorBidi" w:cstheme="majorBidi"/>
          <w:i/>
          <w:iCs/>
          <w:sz w:val="24"/>
          <w:szCs w:val="24"/>
        </w:rPr>
      </w:pPr>
      <w:r w:rsidRPr="00D75061">
        <w:rPr>
          <w:rFonts w:asciiTheme="majorBidi" w:hAnsiTheme="majorBidi" w:cstheme="majorBidi"/>
          <w:i/>
          <w:iCs/>
          <w:sz w:val="24"/>
          <w:szCs w:val="24"/>
        </w:rPr>
        <w:t>Contact mixing</w:t>
      </w:r>
    </w:p>
    <w:p w14:paraId="3D2C8267" w14:textId="77777777" w:rsidR="00285089" w:rsidRPr="00BE0FA3" w:rsidRDefault="00285089" w:rsidP="00285089">
      <w:pPr>
        <w:autoSpaceDE w:val="0"/>
        <w:autoSpaceDN w:val="0"/>
        <w:adjustRightInd w:val="0"/>
        <w:spacing w:after="0" w:line="360" w:lineRule="auto"/>
        <w:jc w:val="both"/>
        <w:rPr>
          <w:rFonts w:asciiTheme="majorBidi" w:eastAsia="CIDFont+F3" w:hAnsiTheme="majorBidi" w:cstheme="majorBidi"/>
          <w:sz w:val="24"/>
          <w:szCs w:val="24"/>
        </w:rPr>
      </w:pPr>
      <w:bookmarkStart w:id="9" w:name="_Hlk54606908"/>
      <w:r w:rsidRPr="00D75061">
        <w:rPr>
          <w:rFonts w:asciiTheme="majorBidi" w:hAnsiTheme="majorBidi" w:cstheme="majorBidi"/>
          <w:sz w:val="24"/>
          <w:szCs w:val="24"/>
        </w:rPr>
        <w:t xml:space="preserve">We parameterized the age-specific contact rates between an infected individual </w:t>
      </w:r>
      <m:oMath>
        <m:r>
          <w:rPr>
            <w:rFonts w:ascii="Cambria Math" w:hAnsi="Cambria Math" w:cstheme="majorBidi"/>
            <w:sz w:val="24"/>
            <w:szCs w:val="24"/>
          </w:rPr>
          <m:t>e</m:t>
        </m:r>
      </m:oMath>
      <w:r w:rsidRPr="00D75061">
        <w:rPr>
          <w:rFonts w:asciiTheme="majorBidi" w:hAnsiTheme="majorBidi" w:cstheme="majorBidi"/>
          <w:sz w:val="24"/>
          <w:szCs w:val="24"/>
        </w:rPr>
        <w:t xml:space="preserve"> and their contact </w:t>
      </w:r>
      <m:oMath>
        <m:r>
          <w:rPr>
            <w:rFonts w:ascii="Cambria Math" w:hAnsi="Cambria Math" w:cstheme="majorBidi"/>
            <w:sz w:val="24"/>
            <w:szCs w:val="24"/>
          </w:rPr>
          <m:t xml:space="preserve">j, </m:t>
        </m:r>
        <m:sSub>
          <m:sSubPr>
            <m:ctrlPr>
              <w:rPr>
                <w:rFonts w:ascii="Cambria Math" w:hAnsi="Cambria Math" w:cstheme="majorBidi"/>
                <w:i/>
                <w:sz w:val="24"/>
                <w:szCs w:val="24"/>
                <w:vertAlign w:val="subscript"/>
              </w:rPr>
            </m:ctrlPr>
          </m:sSubPr>
          <m:e>
            <m:r>
              <w:rPr>
                <w:rFonts w:ascii="Cambria Math" w:hAnsi="Cambria Math" w:cstheme="majorBidi"/>
                <w:sz w:val="24"/>
                <w:szCs w:val="24"/>
                <w:vertAlign w:val="subscript"/>
              </w:rPr>
              <m:t>C</m:t>
            </m:r>
            <m:ctrlPr>
              <w:rPr>
                <w:rFonts w:ascii="Cambria Math" w:hAnsi="Cambria Math" w:cstheme="majorBidi"/>
                <w:i/>
                <w:sz w:val="24"/>
                <w:szCs w:val="24"/>
              </w:rPr>
            </m:ctrlPr>
          </m:e>
          <m:sub>
            <m:r>
              <w:rPr>
                <w:rFonts w:ascii="Cambria Math" w:hAnsi="Cambria Math" w:cstheme="majorBidi"/>
                <w:sz w:val="24"/>
                <w:szCs w:val="24"/>
                <w:vertAlign w:val="subscript"/>
              </w:rPr>
              <m:t>e,j</m:t>
            </m:r>
          </m:sub>
        </m:sSub>
      </m:oMath>
      <w:r>
        <w:rPr>
          <w:rFonts w:asciiTheme="majorBidi" w:hAnsiTheme="majorBidi" w:cstheme="majorBidi"/>
          <w:sz w:val="24"/>
          <w:szCs w:val="24"/>
        </w:rPr>
        <w:t xml:space="preserve"> based on the contact matrix parameterized by previous studies </w:t>
      </w:r>
      <w:r w:rsidRPr="00D7506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{"citationItems":[{"id":"ITEM-1","itemData":{"DOI":"10.1073/pnas.1522597113","ISSN":"10916490","PMID":"27799521","abstract":"Respiratory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vaccination.","author":[{"dropping-particle":"","family":"Yamin","given":"Dan","non-dropping-particle":"","parse-names":false,"suffix":""},{"dropping-particle":"","family":"Jones","given":"Forrest K.","non-dropping-particle":"","parse-names":false,"suffix":""},{"dropping-particle":"","family":"DeVincenzo","given":"John P.","non-dropping-particle":"","parse-names":false,"suffix":""},{"dropping-particle":"","family":"Gertler","given":"Shai","non-dropping-particle":"","parse-names":false,"suffix":""},{"dropping-particle":"","family":"Kobiler","given":"Oren","non-dropping-particle":"","parse-names":false,"suffix":""},{"dropping-particle":"","family":"Townsend","given":"Jeffrey P.","non-dropping-particle":"","parse-names":false,"suffix":""},{"dropping-particle":"","family":"Galvani","given":"Alison P.","non-dropping-particle":"","parse-names":false,"suffix":""}],"container-title":"Proceedings of the National Academy of Sciences of the United States of America","id":"ITEM-1","issued":{"date-parts":[["2016"]]},"title":"Vaccination strategies against respiratory syncytial virus","type":"article-journal"},"uris":["http://www.mendeley.com/documents/?uuid=f9419ece-419d-4b12-965e-0f8d731be791"]},{"id":"ITEM-2","itemData":{"DOI":"10.1371/journal.pmed.0050074","ISSN":"15491277","abstract":"Background: Mathematical modelling of infectious diseases transmitted by the respiratory or close-contact route (e.g., pandemic influenza) is increasingly being used to determine the impact of possible interventions. Although mixing patterns are known to be crucial determinants for model outcome, researchers often rely on a priori contact assumptions with little or no empirical basis. We conducted a population-based prospective survey of mixing patterns in eight European countries using a common paper-diary methodology. Methods and Findings: 7,290 participants recorded characteristics of 97,904 contacts with different individuals during one day, including age, sex, location, duration, frequency, and occurrence of physical contact. We found that mixing patterns and contact characteristics were remarkably similar across different European countries. Contact patterns were highly assortative with age: schoolchildren and young adults in particular tended to mix with people of the same age. Contacts lasting at least one hour or occurring on a daily basis mostly involved physical contact, while short duration and infrequent contacts tended to be nonphysical. Contacts at home, school, or leisure were more likely to be physical than contacts at the workplace or while travelling. Preliminary modelling indicates that 5- to 19-year-olds are expected to suffer the highest incidence during the initial epidemic phase of an emerging infection transmitted through social contacts measured here when the population is completely susceptible. Conclusions: To our knowledge, our study provides the first large-scale quantitative approach to contact patterns relevant for infections transmitted by the respiratory or close-contact route, and the results should lead to improved parameterisation of mathematical models used to design control strategies. © 2008 Mossong et al.","author":[{"dropping-particle":"","family":"Mossong","given":"Joël L","non-dropping-particle":"","parse-names":false,"suffix":""},{"dropping-particle":"","family":"Hens","given":"Niel","non-dropping-particle":"","parse-names":false,"suffix":""},{"dropping-particle":"","family":"Jit","given":"Mark","non-dropping-particle":"","parse-names":false,"suffix":""},{"dropping-particle":"","family":"Beutels","given":"Philippe","non-dropping-particle":"","parse-names":false,"suffix":""},{"dropping-particle":"","family":"Auranen","given":"Kari","non-dropping-particle":"","parse-names":false,"suffix":""},{"dropping-particle":"","family":"Mikolajczyk","given":"Rafael","non-dropping-particle":"","parse-names":false,"suffix":""},{"dropping-particle":"","family":"Massari","given":"Marco","non-dropping-particle":"","parse-names":false,"suffix":""},{"dropping-particle":"","family":"Salmaso","given":"Stefania","non-dropping-particle":"","parse-names":false,"suffix":""},{"dropping-particle":"","family":"Tomba","given":"Gianpaolo Scalia","non-dropping-particle":"","parse-names":false,"suffix":""},{"dropping-particle":"","family":"Wallinga","given":"Jacco","non-dropping-particle":"","parse-names":false,"suffix":""},{"dropping-particle":"","family":"Heijne","given":"Janneke","non-dropping-particle":"","parse-names":false,"suffix":""},{"dropping-particle":"","family":"Sadkowska-Todys","given":"Malgorzata","non-dropping-particle":"","parse-names":false,"suffix":""},{"dropping-particle":"","family":"Rosinska","given":"Magdalena","non-dropping-particle":"","parse-names":false,"suffix":""},{"dropping-particle":"","family":"Edmunds","given":"W. John","non-dropping-particle":"","parse-names":false,"suffix":""},{"dropping-particle":"","family":"Scalia Tomba","given":"Gianpaolo","non-dropping-particle":"","parse-names":false,"suffix":""},{"dropping-particle":"","family":"Wallinga","given":"Jacco","non-dropping-particle":"","parse-names":false,"suffix":""},{"dropping-particle":"","family":"Heijne","given":"Janneke","non-dropping-particle":"","parse-names":false,"suffix":""},{"dropping-particle":"","family":"Sadkowska-Todys","given":"Malgorzata","non-dropping-particle":"","parse-names":false,"suffix":""},{"dropping-particle":"","family":"Rosinska","given":"Magdalena","non-dropping-particle":"","parse-names":false,"suffix":""},{"dropping-particle":"","family":"Edmunds","given":"W. John","non-dropping-particle":"","parse-names":false,"suffix":""},{"dropping-particle":"","family":"Riley","given":"Steven","non-dropping-particle":"","parse-names":false,"suffix":""}],"container-title":"PLoS Medicine","id":"ITEM-2","issued":{"date-parts":[["2008"]]},"title":"Social contacts and mixing patterns relevant to the spread of infectious diseases","type":"article-journal","volume":"5"},"uris":["http://www.mendeley.com/documents/?uuid=6bc5dae9-e626-4c90-9d30-5e952c112d80"]}],"mendeley":{"formattedCitation":"[34, 57]","plainTextFormattedCitation":"[34, 57]","previouslyFormattedCitation":"[34, 58]"},"properties":{"noteIndex":0},"schema":"https://github.com/citation-style-language/schema/raw/master/csl-citation.json"}</w:instrText>
      </w:r>
      <w:r w:rsidRPr="00D75061">
        <w:rPr>
          <w:rFonts w:asciiTheme="majorBidi" w:hAnsiTheme="majorBidi" w:cstheme="majorBidi"/>
          <w:sz w:val="24"/>
          <w:szCs w:val="24"/>
        </w:rPr>
        <w:fldChar w:fldCharType="separate"/>
      </w:r>
      <w:r w:rsidRPr="006369F1">
        <w:rPr>
          <w:rFonts w:asciiTheme="majorBidi" w:hAnsiTheme="majorBidi" w:cstheme="majorBidi"/>
          <w:noProof/>
          <w:sz w:val="24"/>
          <w:szCs w:val="24"/>
        </w:rPr>
        <w:t>[34, 57]</w:t>
      </w:r>
      <w:r w:rsidRPr="00D75061">
        <w:rPr>
          <w:rFonts w:asciiTheme="majorBidi" w:hAnsiTheme="majorBidi" w:cstheme="majorBidi"/>
          <w:sz w:val="24"/>
          <w:szCs w:val="24"/>
        </w:rPr>
        <w:fldChar w:fldCharType="end"/>
      </w:r>
      <w:r w:rsidRPr="00D75061">
        <w:rPr>
          <w:rFonts w:asciiTheme="majorBidi" w:hAnsiTheme="majorBidi" w:cstheme="majorBidi"/>
          <w:sz w:val="24"/>
          <w:szCs w:val="24"/>
        </w:rPr>
        <w:t>.</w:t>
      </w:r>
      <w:bookmarkEnd w:id="9"/>
      <w:r w:rsidRPr="00D75061">
        <w:rPr>
          <w:rFonts w:asciiTheme="majorBidi" w:hAnsiTheme="majorBidi" w:cstheme="majorBidi"/>
          <w:sz w:val="24"/>
          <w:szCs w:val="24"/>
        </w:rPr>
        <w:t xml:space="preserve"> We adjusted the contact mixing matrix to our model age</w:t>
      </w:r>
      <w:r>
        <w:rPr>
          <w:rFonts w:ascii="Times New Roman" w:eastAsia="Calibri" w:hAnsi="Times New Roman" w:cs="Times New Roman"/>
          <w:sz w:val="24"/>
          <w:szCs w:val="24"/>
        </w:rPr>
        <w:t xml:space="preserve"> </w:t>
      </w:r>
      <w:r w:rsidRPr="00D75061">
        <w:rPr>
          <w:rFonts w:asciiTheme="majorBidi" w:hAnsiTheme="majorBidi" w:cstheme="majorBidi"/>
          <w:sz w:val="24"/>
          <w:szCs w:val="24"/>
        </w:rPr>
        <w:t>groups. For age</w:t>
      </w:r>
      <w:r>
        <w:rPr>
          <w:rFonts w:ascii="Times New Roman" w:eastAsia="Calibri" w:hAnsi="Times New Roman" w:cs="Times New Roman"/>
          <w:sz w:val="24"/>
          <w:szCs w:val="24"/>
        </w:rPr>
        <w:t xml:space="preserve"> </w:t>
      </w:r>
      <w:r w:rsidRPr="00D75061">
        <w:rPr>
          <w:rFonts w:asciiTheme="majorBidi" w:hAnsiTheme="majorBidi" w:cstheme="majorBidi"/>
          <w:sz w:val="24"/>
          <w:szCs w:val="24"/>
        </w:rPr>
        <w:t xml:space="preserve">groups, </w:t>
      </w:r>
      <m:oMath>
        <m:r>
          <w:rPr>
            <w:rFonts w:ascii="Cambria Math" w:hAnsi="Cambria Math" w:cstheme="majorBidi"/>
            <w:sz w:val="24"/>
            <w:szCs w:val="24"/>
          </w:rPr>
          <m:t>5-19y</m:t>
        </m:r>
      </m:oMath>
      <w:r w:rsidRPr="00D75061">
        <w:rPr>
          <w:rFonts w:asciiTheme="majorBidi" w:hAnsiTheme="majorBidi" w:cstheme="majorBidi"/>
          <w:sz w:val="24"/>
          <w:szCs w:val="24"/>
        </w:rPr>
        <w:t xml:space="preserve">, </w:t>
      </w:r>
      <m:oMath>
        <m:r>
          <w:rPr>
            <w:rFonts w:ascii="Cambria Math" w:hAnsi="Cambria Math" w:cstheme="majorBidi"/>
            <w:sz w:val="24"/>
            <w:szCs w:val="24"/>
          </w:rPr>
          <m:t>20-49y</m:t>
        </m:r>
      </m:oMath>
      <w:r>
        <w:rPr>
          <w:rFonts w:asciiTheme="majorBidi" w:hAnsiTheme="majorBidi" w:cstheme="majorBidi"/>
          <w:sz w:val="24"/>
          <w:szCs w:val="24"/>
        </w:rPr>
        <w:t xml:space="preserve"> we analysed the data used to build the contact matrix using the same methods described in a previous study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{"citationItems":[{"id":"ITEM-1","itemData":{"DOI":"10.1073/pnas.1522597113","ISSN":"10916490","PMID":"27799521","abstract":"Respiratory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vaccination.","author":[{"dropping-particle":"","family":"Yamin","given":"Dan","non-dropping-particle":"","parse-names":false,"suffix":""},{"dropping-particle":"","family":"Jones","given":"Forrest K.","non-dropping-particle":"","parse-names":false,"suffix":""},{"dropping-particle":"","family":"DeVincenzo","given":"John P.","non-dropping-particle":"","parse-names":false,"suffix":""},{"dropping-particle":"","family":"Gertler","given":"Shai","non-dropping-particle":"","parse-names":false,"suffix":""},{"dropping-particle":"","family":"Kobiler","given":"Oren","non-dropping-particle":"","parse-names":false,"suffix":""},{"dropping-particle":"","family":"Townsend","given":"Jeffrey P.","non-dropping-particle":"","parse-names":false,"suffix":""},{"dropping-particle":"","family":"Galvani","given":"Alison P.","non-dropping-particle":"","parse-names":false,"suffix":""}],"container-title":"Proceedings of the National Academy of Sciences of the United States of America","id":"ITEM-1","issued":{"date-parts":[["2016"]]},"title":"Vaccination strategies against respiratory syncytial virus","type":"article-journal"},"uris":["http://www.mendeley.com/documents/?uuid=f9419ece-419d-4b12-965e-0f8d731be791"]}],"mendeley":{"formattedCitation":"[34]","plainTextFormattedCitation":"[34]","previouslyFormattedCitation":"[34]"},"properties":{"noteIndex":0},"schema":"https://github.com/citation-style-language/schema/raw/master/csl-citation.json"}</w:instrText>
      </w:r>
      <w:r>
        <w:rPr>
          <w:rFonts w:asciiTheme="majorBidi" w:hAnsiTheme="majorBidi" w:cstheme="majorBidi"/>
          <w:sz w:val="24"/>
          <w:szCs w:val="24"/>
        </w:rPr>
        <w:fldChar w:fldCharType="separate"/>
      </w:r>
      <w:r w:rsidRPr="000D560C">
        <w:rPr>
          <w:rFonts w:asciiTheme="majorBidi" w:hAnsiTheme="majorBidi" w:cstheme="majorBidi"/>
          <w:noProof/>
          <w:sz w:val="24"/>
          <w:szCs w:val="24"/>
        </w:rPr>
        <w:t>[34]</w:t>
      </w:r>
      <w:r>
        <w:rPr>
          <w:rFonts w:asciiTheme="majorBidi" w:hAnsiTheme="majorBidi" w:cstheme="majorBidi"/>
          <w:sz w:val="24"/>
          <w:szCs w:val="24"/>
        </w:rPr>
        <w:fldChar w:fldCharType="end"/>
      </w:r>
      <w:r w:rsidRPr="00D75061">
        <w:rPr>
          <w:rFonts w:asciiTheme="majorBidi" w:hAnsiTheme="majorBidi" w:cstheme="majorBidi"/>
          <w:sz w:val="24"/>
          <w:szCs w:val="24"/>
        </w:rPr>
        <w:t>.</w:t>
      </w:r>
      <w:r w:rsidRPr="00D75061">
        <w:rPr>
          <w:rFonts w:asciiTheme="majorBidi" w:eastAsia="CIDFont+F3" w:hAnsiTheme="majorBidi" w:cstheme="majorBidi"/>
        </w:rPr>
        <w:t xml:space="preserve"> </w:t>
      </w:r>
      <w:bookmarkStart w:id="10" w:name="_Hlk54606967"/>
      <w:r>
        <w:rPr>
          <w:rFonts w:ascii="Times New Roman" w:eastAsia="CIDFont+F3" w:hAnsi="Times New Roman" w:cs="Times New Roman"/>
          <w:sz w:val="24"/>
          <w:szCs w:val="24"/>
        </w:rPr>
        <w:t>These</w:t>
      </w:r>
      <w:r w:rsidRPr="00BE0FA3">
        <w:rPr>
          <w:rFonts w:asciiTheme="majorBidi" w:eastAsia="CIDFont+F3" w:hAnsiTheme="majorBidi" w:cstheme="majorBidi"/>
          <w:sz w:val="24"/>
          <w:szCs w:val="24"/>
        </w:rPr>
        <w:t xml:space="preserve"> contact data </w:t>
      </w:r>
      <w:r>
        <w:rPr>
          <w:rFonts w:ascii="Times New Roman" w:eastAsia="CIDFont+F3" w:hAnsi="Times New Roman" w:cs="Times New Roman"/>
          <w:sz w:val="24"/>
          <w:szCs w:val="24"/>
        </w:rPr>
        <w:t>exhibit</w:t>
      </w:r>
      <w:r w:rsidRPr="00BE0FA3">
        <w:rPr>
          <w:rFonts w:asciiTheme="majorBidi" w:eastAsia="CIDFont+F3" w:hAnsiTheme="majorBidi" w:cstheme="majorBidi"/>
          <w:sz w:val="24"/>
          <w:szCs w:val="24"/>
        </w:rPr>
        <w:t xml:space="preserve"> frequent mixing between similar age</w:t>
      </w:r>
      <w:r>
        <w:rPr>
          <w:rFonts w:ascii="Times New Roman" w:eastAsia="CIDFont+F3" w:hAnsi="Times New Roman" w:cs="Times New Roman"/>
          <w:sz w:val="24"/>
          <w:szCs w:val="24"/>
        </w:rPr>
        <w:t xml:space="preserve"> </w:t>
      </w:r>
      <w:r w:rsidRPr="00BE0FA3">
        <w:rPr>
          <w:rFonts w:asciiTheme="majorBidi" w:eastAsia="CIDFont+F3" w:hAnsiTheme="majorBidi" w:cstheme="majorBidi"/>
          <w:sz w:val="24"/>
          <w:szCs w:val="24"/>
        </w:rPr>
        <w:t>groups, moderate mixing between children and adults in their thirties (likely their parents), and infrequent mixing between other groups.</w:t>
      </w:r>
      <w:bookmarkEnd w:id="10"/>
    </w:p>
    <w:p w14:paraId="6F937DC9" w14:textId="77777777" w:rsidR="00285089" w:rsidRPr="00BE0FA3" w:rsidRDefault="00285089" w:rsidP="00285089">
      <w:pPr>
        <w:autoSpaceDE w:val="0"/>
        <w:autoSpaceDN w:val="0"/>
        <w:adjustRightInd w:val="0"/>
        <w:spacing w:after="0" w:line="360" w:lineRule="auto"/>
        <w:jc w:val="both"/>
        <w:rPr>
          <w:rFonts w:asciiTheme="majorBidi" w:eastAsia="CIDFont+F3" w:hAnsiTheme="majorBidi" w:cstheme="majorBidi"/>
          <w:sz w:val="24"/>
          <w:szCs w:val="24"/>
        </w:rPr>
      </w:pPr>
    </w:p>
    <w:tbl>
      <w:tblPr>
        <w:tblW w:w="0" w:type="auto"/>
        <w:jc w:val="center"/>
        <w:tblLook w:val="04A0" w:firstRow="1" w:lastRow="0" w:firstColumn="1" w:lastColumn="0" w:noHBand="0" w:noVBand="1"/>
      </w:tblPr>
      <w:tblGrid>
        <w:gridCol w:w="7398"/>
      </w:tblGrid>
      <w:tr w:rsidR="00285089" w14:paraId="1EB823C1" w14:textId="77777777" w:rsidTr="00365097">
        <w:trPr>
          <w:trHeight w:val="266"/>
          <w:jc w:val="center"/>
        </w:trPr>
        <w:tc>
          <w:tcPr>
            <w:tcW w:w="7390" w:type="dxa"/>
          </w:tcPr>
          <w:p w14:paraId="084D7618" w14:textId="77777777" w:rsidR="00285089" w:rsidRPr="006B402A" w:rsidRDefault="00285089" w:rsidP="00365097">
            <w:pPr>
              <w:autoSpaceDE w:val="0"/>
              <w:autoSpaceDN w:val="0"/>
              <w:adjustRightInd w:val="0"/>
              <w:spacing w:line="360" w:lineRule="auto"/>
              <w:jc w:val="both"/>
              <w:rPr>
                <w:rFonts w:asciiTheme="majorBidi" w:eastAsia="CIDFont+F3" w:hAnsiTheme="majorBidi" w:cstheme="majorBidi"/>
                <w:sz w:val="20"/>
                <w:szCs w:val="20"/>
              </w:rPr>
            </w:pPr>
            <w:r w:rsidRPr="006B402A">
              <w:rPr>
                <w:rFonts w:asciiTheme="majorBidi" w:eastAsia="CIDFont+F3" w:hAnsiTheme="majorBidi" w:cstheme="majorBidi"/>
                <w:b/>
                <w:bCs/>
                <w:sz w:val="20"/>
                <w:szCs w:val="20"/>
              </w:rPr>
              <w:t>Table S1.</w:t>
            </w:r>
            <w:r w:rsidRPr="006B402A">
              <w:rPr>
                <w:rFonts w:asciiTheme="majorBidi" w:eastAsia="CIDFont+F3" w:hAnsiTheme="majorBidi" w:cstheme="majorBidi"/>
                <w:sz w:val="20"/>
                <w:szCs w:val="20"/>
              </w:rPr>
              <w:t xml:space="preserve"> Age-specific </w:t>
            </w:r>
            <w:r w:rsidRPr="006B402A">
              <w:rPr>
                <w:rFonts w:asciiTheme="majorBidi" w:hAnsiTheme="majorBidi" w:cstheme="majorBidi"/>
                <w:sz w:val="20"/>
                <w:szCs w:val="20"/>
              </w:rPr>
              <w:t>rates</w:t>
            </w:r>
            <m:oMath>
              <m:r>
                <w:rPr>
                  <w:rFonts w:ascii="Cambria Math" w:hAnsi="Cambria Math" w:cstheme="majorBidi"/>
                  <w:sz w:val="20"/>
                  <w:szCs w:val="20"/>
                </w:rPr>
                <m:t xml:space="preserve"> </m:t>
              </m:r>
              <m:sSub>
                <m:sSubPr>
                  <m:ctrlPr>
                    <w:rPr>
                      <w:rFonts w:ascii="Cambria Math" w:hAnsi="Cambria Math" w:cstheme="majorBidi"/>
                      <w:i/>
                      <w:sz w:val="20"/>
                      <w:szCs w:val="20"/>
                      <w:vertAlign w:val="subscript"/>
                    </w:rPr>
                  </m:ctrlPr>
                </m:sSubPr>
                <m:e>
                  <m:r>
                    <w:rPr>
                      <w:rFonts w:ascii="Cambria Math" w:hAnsi="Cambria Math" w:cstheme="majorBidi"/>
                      <w:sz w:val="20"/>
                      <w:szCs w:val="20"/>
                      <w:vertAlign w:val="subscript"/>
                    </w:rPr>
                    <m:t>C</m:t>
                  </m:r>
                  <m:ctrlPr>
                    <w:rPr>
                      <w:rFonts w:ascii="Cambria Math" w:hAnsi="Cambria Math" w:cstheme="majorBidi"/>
                      <w:i/>
                      <w:sz w:val="20"/>
                      <w:szCs w:val="20"/>
                    </w:rPr>
                  </m:ctrlPr>
                </m:e>
                <m:sub>
                  <m:r>
                    <w:rPr>
                      <w:rFonts w:ascii="Cambria Math" w:hAnsi="Cambria Math" w:cstheme="majorBidi"/>
                      <w:sz w:val="20"/>
                      <w:szCs w:val="20"/>
                      <w:vertAlign w:val="subscript"/>
                    </w:rPr>
                    <m:t>e,j</m:t>
                  </m:r>
                </m:sub>
              </m:sSub>
            </m:oMath>
            <w:r w:rsidRPr="006B402A">
              <w:rPr>
                <w:rFonts w:asciiTheme="majorBidi" w:hAnsiTheme="majorBidi" w:cstheme="majorBidi"/>
                <w:sz w:val="20"/>
                <w:szCs w:val="20"/>
              </w:rPr>
              <w:t xml:space="preserve"> between an infected individual </w:t>
            </w:r>
            <m:oMath>
              <m:r>
                <w:rPr>
                  <w:rFonts w:ascii="Cambria Math" w:hAnsi="Cambria Math" w:cstheme="majorBidi"/>
                  <w:sz w:val="20"/>
                  <w:szCs w:val="20"/>
                </w:rPr>
                <m:t>e</m:t>
              </m:r>
            </m:oMath>
            <w:r w:rsidRPr="006B402A">
              <w:rPr>
                <w:rFonts w:asciiTheme="majorBidi" w:hAnsiTheme="majorBidi" w:cstheme="majorBidi"/>
                <w:sz w:val="20"/>
                <w:szCs w:val="20"/>
              </w:rPr>
              <w:t xml:space="preserve"> and their contact </w:t>
            </w:r>
            <m:oMath>
              <m:r>
                <w:rPr>
                  <w:rFonts w:ascii="Cambria Math" w:hAnsi="Cambria Math" w:cstheme="majorBidi"/>
                  <w:sz w:val="20"/>
                  <w:szCs w:val="20"/>
                </w:rPr>
                <m:t>j</m:t>
              </m:r>
            </m:oMath>
            <w:r>
              <w:rPr>
                <w:rFonts w:asciiTheme="majorBidi" w:eastAsiaTheme="minorEastAsia" w:hAnsiTheme="majorBidi" w:cstheme="majorBidi"/>
                <w:sz w:val="20"/>
                <w:szCs w:val="20"/>
              </w:rPr>
              <w:t>.</w:t>
            </w:r>
          </w:p>
        </w:tc>
      </w:tr>
      <w:tr w:rsidR="00285089" w14:paraId="553B0589" w14:textId="77777777" w:rsidTr="00365097">
        <w:trPr>
          <w:trHeight w:val="3942"/>
          <w:jc w:val="center"/>
        </w:trPr>
        <w:tc>
          <w:tcPr>
            <w:tcW w:w="7390" w:type="dxa"/>
          </w:tcPr>
          <w:p w14:paraId="19405CF6" w14:textId="77777777" w:rsidR="00285089" w:rsidRPr="00BE0FA3" w:rsidRDefault="00285089" w:rsidP="00365097">
            <w:pPr>
              <w:autoSpaceDE w:val="0"/>
              <w:autoSpaceDN w:val="0"/>
              <w:adjustRightInd w:val="0"/>
              <w:spacing w:line="360" w:lineRule="auto"/>
              <w:jc w:val="both"/>
              <w:rPr>
                <w:rFonts w:asciiTheme="majorBidi" w:eastAsia="CIDFont+F3" w:hAnsiTheme="majorBidi" w:cstheme="majorBidi"/>
                <w:sz w:val="24"/>
                <w:szCs w:val="24"/>
              </w:rPr>
            </w:pPr>
            <w:r w:rsidRPr="00D75061">
              <w:rPr>
                <w:rFonts w:asciiTheme="majorBidi" w:hAnsiTheme="majorBidi" w:cstheme="majorBidi"/>
                <w:noProof/>
                <w:lang w:val="en-US"/>
              </w:rPr>
              <w:drawing>
                <wp:inline distT="0" distB="0" distL="0" distR="0" wp14:anchorId="37CDE009" wp14:editId="701897AD">
                  <wp:extent cx="4561114" cy="2562935"/>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61371" name="Picture 94"/>
                          <pic:cNvPicPr>
                            <a:picLocks noChangeAspect="1" noChangeArrowheads="1"/>
                          </pic:cNvPicPr>
                        </pic:nvPicPr>
                        <pic:blipFill>
                          <a:blip r:embed="rId8" cstate="print">
                            <a:extLst>
                              <a:ext uri="{28A0092B-C50C-407E-A947-70E740481C1C}">
                                <a14:useLocalDpi xmlns:a14="http://schemas.microsoft.com/office/drawing/2010/main" val="0"/>
                              </a:ext>
                            </a:extLst>
                          </a:blip>
                          <a:srcRect l="1092" t="11266" r="16062" b="7268"/>
                          <a:stretch>
                            <a:fillRect/>
                          </a:stretch>
                        </pic:blipFill>
                        <pic:spPr bwMode="auto">
                          <a:xfrm>
                            <a:off x="0" y="0"/>
                            <a:ext cx="4579775" cy="25734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4502D23" w14:textId="77777777" w:rsidR="00285089" w:rsidRPr="00D75061" w:rsidRDefault="00285089" w:rsidP="00285089">
      <w:pPr>
        <w:spacing w:after="0" w:line="360" w:lineRule="auto"/>
        <w:jc w:val="both"/>
        <w:rPr>
          <w:rFonts w:asciiTheme="majorBidi" w:hAnsiTheme="majorBidi" w:cstheme="majorBidi"/>
          <w:sz w:val="24"/>
          <w:szCs w:val="24"/>
        </w:rPr>
      </w:pPr>
    </w:p>
    <w:p w14:paraId="22E085C9" w14:textId="77777777" w:rsidR="00285089" w:rsidRPr="00D75061" w:rsidRDefault="00285089" w:rsidP="00285089">
      <w:pPr>
        <w:spacing w:after="185" w:line="360" w:lineRule="auto"/>
        <w:ind w:left="-5" w:right="45"/>
        <w:jc w:val="both"/>
        <w:rPr>
          <w:rFonts w:asciiTheme="majorBidi" w:hAnsiTheme="majorBidi" w:cstheme="majorBidi"/>
          <w:i/>
          <w:iCs/>
          <w:sz w:val="24"/>
          <w:szCs w:val="24"/>
        </w:rPr>
      </w:pPr>
      <w:r w:rsidRPr="00D75061">
        <w:rPr>
          <w:rFonts w:asciiTheme="majorBidi" w:hAnsiTheme="majorBidi" w:cstheme="majorBidi"/>
          <w:i/>
          <w:iCs/>
          <w:sz w:val="24"/>
          <w:szCs w:val="24"/>
        </w:rPr>
        <w:t>Viral load</w:t>
      </w:r>
    </w:p>
    <w:p w14:paraId="1A794358" w14:textId="77777777" w:rsidR="00285089" w:rsidRPr="00D75061" w:rsidRDefault="00285089" w:rsidP="00285089">
      <w:pPr>
        <w:spacing w:after="185" w:line="360" w:lineRule="auto"/>
        <w:ind w:left="-5" w:right="45"/>
        <w:jc w:val="both"/>
        <w:rPr>
          <w:rFonts w:asciiTheme="majorBidi" w:hAnsiTheme="majorBidi" w:cstheme="majorBidi"/>
          <w:sz w:val="24"/>
          <w:szCs w:val="24"/>
        </w:rPr>
      </w:pPr>
      <w:bookmarkStart w:id="11" w:name="_Hlk56274413"/>
      <w:bookmarkStart w:id="12" w:name="_Hlk54617306"/>
      <w:r>
        <w:rPr>
          <w:rFonts w:asciiTheme="majorBidi" w:hAnsiTheme="majorBidi" w:cstheme="majorBidi"/>
          <w:sz w:val="24"/>
          <w:szCs w:val="24"/>
        </w:rPr>
        <w:t xml:space="preserve">Using recent prospective studies of the course of </w:t>
      </w:r>
      <w:r>
        <w:rPr>
          <w:rFonts w:ascii="Times New Roman" w:eastAsia="Calibri" w:hAnsi="Times New Roman" w:cs="Times New Roman"/>
          <w:sz w:val="24"/>
          <w:szCs w:val="24"/>
        </w:rPr>
        <w:t>influenza</w:t>
      </w:r>
      <w:r>
        <w:rPr>
          <w:rFonts w:asciiTheme="majorBidi" w:hAnsiTheme="majorBidi" w:cstheme="majorBidi"/>
          <w:sz w:val="24"/>
          <w:szCs w:val="24"/>
        </w:rPr>
        <w:t xml:space="preserve"> infections in young children and adults, we estimated the viral loads in asymptomatic, symptomatic high- and low-risk and treated high-risk </w:t>
      </w:r>
      <w:r>
        <w:rPr>
          <w:rFonts w:ascii="Times New Roman" w:eastAsia="Calibri" w:hAnsi="Times New Roman" w:cs="Times New Roman"/>
          <w:sz w:val="24"/>
          <w:szCs w:val="24"/>
        </w:rPr>
        <w:t xml:space="preserve">patients </w:t>
      </w:r>
      <w:r>
        <w:rPr>
          <w:rFonts w:asciiTheme="majorBidi" w:hAnsiTheme="majorBidi" w:cstheme="majorBidi"/>
          <w:sz w:val="24"/>
          <w:szCs w:val="24"/>
        </w:rPr>
        <w:t xml:space="preserve">who </w:t>
      </w:r>
      <w:r>
        <w:rPr>
          <w:rFonts w:ascii="Times New Roman" w:eastAsia="Calibri" w:hAnsi="Times New Roman" w:cs="Times New Roman"/>
          <w:sz w:val="24"/>
          <w:szCs w:val="24"/>
        </w:rPr>
        <w:t>received treatment</w:t>
      </w:r>
      <w:r>
        <w:rPr>
          <w:rFonts w:asciiTheme="majorBidi" w:hAnsiTheme="majorBidi" w:cstheme="majorBidi"/>
          <w:sz w:val="24"/>
          <w:szCs w:val="24"/>
        </w:rPr>
        <w:t xml:space="preserve"> within the first three days </w:t>
      </w:r>
      <w:r>
        <w:rPr>
          <w:rFonts w:ascii="Times New Roman" w:eastAsia="Calibri" w:hAnsi="Times New Roman" w:cs="Times New Roman"/>
          <w:sz w:val="24"/>
          <w:szCs w:val="24"/>
        </w:rPr>
        <w:t>after symptom</w:t>
      </w:r>
      <w:r>
        <w:rPr>
          <w:rFonts w:asciiTheme="majorBidi" w:hAnsiTheme="majorBidi" w:cstheme="majorBidi"/>
          <w:sz w:val="24"/>
          <w:szCs w:val="24"/>
        </w:rPr>
        <w:t xml:space="preserve"> onset </w:t>
      </w:r>
      <w:r w:rsidRPr="00D7506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{"citationItems":[{"id":"ITEM-1","itemData":{"DOI":"10.1093/cid/ciw841","ISSN":"15376591","PMID":"28011603","abstract":"Background: Influenza virus infections are associated with a wide spectrum of disease. However, few studies have investigated in detail the epidemiological and virological characteristics of asymptomatic and mild illness with influenza virus infections.\nMethods: In a community-based study in Hong Kong from 2008 to 2014, we followed up initially healthy individuals who were household contacts of symptomatic persons with laboratory-confirmed influenza, to identify secondary infections. Information from daily symptom diaries was used to classify infections as symptomatic (≥2 signs/symptoms, including fever ≥37.8°C, headache, myalgia, cough, sore throat, runny nose and sputum), paucisymptomatic (1 symptom only), or asymptomatic (none of these symptoms). We compared the patterns of influenza viral shedding between these groups.\nResults: We identified 235 virologically confirmed secondary cases of influenza virus infection in the household setting, including 31 (13%) paucisymptomatic and 25 (11%) asymptomatic cases. The duration of viral RNA shedding was shorter and declined more rapidly in paucisymptomatic and asymptomatic than in symptomatic cases. The mean levels of influenza viral RNA shedding in asymptomatic and paucisymptomatic cases were approximately 1-2 log10 copies lower than in symptomatic cases.\nConclusions: The presence of influenza viral shedding in patients with influenza who have very few or no symptoms reflects their potential for transmitting the virus to close contacts. These findings suggest that further research is needed to investigate the contribution of persons with asymptomatic or clinically mild influenza virus infections to influenza virus transmission in household, institutional, and community settings.","author":[{"dropping-particle":"","family":"Ip","given":"Dennis K.M.","non-dropping-particle":"","parse-names":false,"suffix":""},{"dropping-particle":"","family":"Lau","given":"Lincoln L.H. H.","non-dropping-particle":"","parse-names":false,"suffix":""},{"dropping-particle":"","family":"Leung","given":"Nancy H.L. L.","non-dropping-particle":"","parse-names":false,"suffix":""},{"dropping-particle":"","family":"Fang","given":"Vicky J.","non-dropping-particle":"","parse-names":false,"suffix":""},{"dropping-particle":"","family":"Chan","given":"Kwok-Hung Hung","non-dropping-particle":"","parse-names":false,"suffix":""},{"dropping-particle":"","family":"Chu","given":"Daniel K.W. W.","non-dropping-particle":"","parse-names":false,"suffix":""},{"dropping-particle":"","family":"Leung","given":"Gabriel M.","non-dropping-particle":"","parse-names":false,"suffix":""},{"dropping-particle":"","family":"Peiris","given":"J. S.Malik Malik","non-dropping-particle":"","parse-names":false,"suffix":""},{"dropping-particle":"","family":"Uyeki","given":"Timothy M.","non-dropping-particle":"","parse-names":false,"suffix":""},{"dropping-particle":"","family":"Cowling","given":"Benjamin J.","non-dropping-particle":"","parse-names":false,"suffix":""}],"container-title":"Clinical infectious diseases : an official publication of the Infectious Diseases Society of America","id":"ITEM-1","issue":"6","issued":{"date-parts":[["2017","12"]]},"page":"736-742","publisher":"Oxford University Press","title":"Viral Shedding and Transmission Potential of Asymptomatic and Paucisymptomatic Influenza Virus Infections in the Community","type":"article-journal","volume":"64"},"uris":["http://www.mendeley.com/documents/?uuid=aaaa5289-ee43-4bae-8093-05847f6a6646"]},{"id":"ITEM-2","itemData":{"ISSN":"10242708","abstract":"1. Hospitalised patients with severe influenza have persistently high viral loads, for whom a different therapeutic approach may be needed. 2. Active screening of influenza infection should be performed in all high-risk patients hospitalised with febrile respiratory illness. Early diagnosis and treatment to suppress the high viral load may maximise clinical benefit. 3. For late presenting high risk patients with severe symptoms, their viral load may remain high, and initiation of antiviral treatment may still be worthwhile. 4. More stringent infection control measures, including strict droplet precautions and preferably isolation for an extended period of time may be necessary owing to prolonged viral shedding. 5. Randomised, controlled trials are indicated to address timing and dosage of treatment for severe influenza infection.","author":[{"dropping-particle":"","family":"Lee","given":"N.","non-dropping-particle":"","parse-names":false,"suffix":""},{"dropping-particle":"","family":"Chan","given":"P. K.","non-dropping-particle":"","parse-names":false,"suffix":""},{"dropping-particle":"","family":"Rainer","given":"T. H.","non-dropping-particle":"","parse-names":false,"suffix":""},{"dropping-particle":"","family":"Hui","given":"D.","non-dropping-particle":"","parse-names":false,"suffix":""},{"dropping-particle":"","family":"Choi","given":"K. W.","non-dropping-particle":"","parse-names":false,"suffix":""},{"dropping-particle":"","family":"Cockram","given":"C. S.","non-dropping-particle":"","parse-names":false,"suffix":""}],"container-title":"Hong Kong medical journal = Xianggang yi xue za zhi / Hong Kong Academy of Medicine","id":"ITEM-2","issued":{"date-parts":[["2013"]]},"title":"Influenza virus load in hospitalised patients.","type":"article-journal"},"uris":["http://www.mendeley.com/documents/?uuid=e252a5be-7c24-4a2f-abb5-4996a5444de7"]}],"mendeley":{"formattedCitation":"[58, 59]","plainTextFormattedCitation":"[58, 59]","previouslyFormattedCitation":"[59, 60]"},"properties":{"noteIndex":0},"schema":"https://github.com/citation-style-language/schema/raw/master/csl-citation.json"}</w:instrText>
      </w:r>
      <w:r w:rsidRPr="00D75061">
        <w:rPr>
          <w:rFonts w:asciiTheme="majorBidi" w:hAnsiTheme="majorBidi" w:cstheme="majorBidi"/>
          <w:sz w:val="24"/>
          <w:szCs w:val="24"/>
        </w:rPr>
        <w:fldChar w:fldCharType="separate"/>
      </w:r>
      <w:r w:rsidRPr="006369F1">
        <w:rPr>
          <w:rFonts w:asciiTheme="majorBidi" w:hAnsiTheme="majorBidi" w:cstheme="majorBidi"/>
          <w:noProof/>
          <w:sz w:val="24"/>
          <w:szCs w:val="24"/>
        </w:rPr>
        <w:t>[58, 59]</w:t>
      </w:r>
      <w:r w:rsidRPr="00D75061">
        <w:rPr>
          <w:rFonts w:asciiTheme="majorBidi" w:hAnsiTheme="majorBidi" w:cstheme="majorBidi"/>
          <w:sz w:val="24"/>
          <w:szCs w:val="24"/>
        </w:rPr>
        <w:fldChar w:fldCharType="end"/>
      </w:r>
      <w:r w:rsidRPr="00D75061">
        <w:rPr>
          <w:rFonts w:asciiTheme="majorBidi" w:hAnsiTheme="majorBidi" w:cstheme="majorBidi"/>
          <w:sz w:val="24"/>
          <w:szCs w:val="24"/>
        </w:rPr>
        <w:t>.</w:t>
      </w:r>
      <w:bookmarkEnd w:id="11"/>
    </w:p>
    <w:p w14:paraId="391939D9" w14:textId="77777777" w:rsidR="00285089" w:rsidRPr="00D75061" w:rsidRDefault="00285089" w:rsidP="00285089">
      <w:pPr>
        <w:spacing w:after="185" w:line="360" w:lineRule="auto"/>
        <w:ind w:left="-5" w:right="45"/>
        <w:jc w:val="both"/>
        <w:rPr>
          <w:rFonts w:asciiTheme="majorBidi" w:hAnsiTheme="majorBidi" w:cstheme="majorBidi"/>
          <w:sz w:val="24"/>
          <w:szCs w:val="24"/>
        </w:rPr>
      </w:pPr>
      <w:r>
        <w:rPr>
          <w:rFonts w:ascii="Times New Roman" w:eastAsia="Calibri" w:hAnsi="Times New Roman" w:cs="Times New Roman"/>
          <w:sz w:val="24"/>
          <w:szCs w:val="24"/>
        </w:rPr>
        <w:t>The viral</w:t>
      </w:r>
      <w:r w:rsidRPr="00D75061">
        <w:rPr>
          <w:rFonts w:asciiTheme="majorBidi" w:hAnsiTheme="majorBidi" w:cstheme="majorBidi"/>
          <w:sz w:val="24"/>
          <w:szCs w:val="24"/>
        </w:rPr>
        <w:t xml:space="preserve"> load </w:t>
      </w:r>
      <w:r>
        <w:rPr>
          <w:rFonts w:asciiTheme="majorBidi" w:hAnsiTheme="majorBidi" w:cstheme="majorBidi"/>
          <w:sz w:val="24"/>
          <w:szCs w:val="24"/>
        </w:rPr>
        <w:t>in</w:t>
      </w:r>
      <w:r w:rsidRPr="00D75061">
        <w:rPr>
          <w:rFonts w:asciiTheme="majorBidi" w:hAnsiTheme="majorBidi" w:cstheme="majorBidi"/>
          <w:sz w:val="24"/>
          <w:szCs w:val="24"/>
        </w:rPr>
        <w:t xml:space="preserve"> asymptomatic</w:t>
      </w:r>
      <w:r>
        <w:rPr>
          <w:rFonts w:ascii="Times New Roman" w:eastAsia="Calibri" w:hAnsi="Times New Roman" w:cs="Times New Roman"/>
          <w:sz w:val="24"/>
          <w:szCs w:val="24"/>
        </w:rPr>
        <w:t xml:space="preserve"> patients was</w:t>
      </w:r>
      <w:r w:rsidRPr="00D75061">
        <w:rPr>
          <w:rFonts w:asciiTheme="majorBidi" w:hAnsiTheme="majorBidi" w:cstheme="majorBidi"/>
          <w:sz w:val="24"/>
          <w:szCs w:val="24"/>
        </w:rPr>
        <w:t xml:space="preserve"> estimated using </w:t>
      </w:r>
      <w:r>
        <w:rPr>
          <w:rFonts w:asciiTheme="majorBidi" w:hAnsiTheme="majorBidi" w:cstheme="majorBidi"/>
          <w:sz w:val="24"/>
          <w:szCs w:val="24"/>
        </w:rPr>
        <w:t>a prospective study that tracked households in Hong Kong with patients with confirmed influenza cases</w:t>
      </w:r>
      <w:r w:rsidRPr="00D75061">
        <w:rPr>
          <w:rFonts w:asciiTheme="majorBidi" w:hAnsiTheme="majorBidi" w:cstheme="majorBidi"/>
          <w:sz w:val="24"/>
          <w:szCs w:val="24"/>
        </w:rPr>
        <w:t xml:space="preserve"> </w:t>
      </w:r>
      <w:r w:rsidRPr="00D7506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{"citationItems":[{"id":"ITEM-1","itemData":{"DOI":"10.1093/cid/ciw841","ISSN":"15376591","PMID":"28011603","abstract":"Background: Influenza virus infections are associated with a wide spectrum of disease. However, few studies have investigated in detail the epidemiological and virological characteristics of asymptomatic and mild illness with influenza virus infections.\nMethods: In a community-based study in Hong Kong from 2008 to 2014, we followed up initially healthy individuals who were household contacts of symptomatic persons with laboratory-confirmed influenza, to identify secondary infections. Information from daily symptom diaries was used to classify infections as symptomatic (≥2 signs/symptoms, including fever ≥37.8°C, headache, myalgia, cough, sore throat, runny nose and sputum), paucisymptomatic (1 symptom only), or asymptomatic (none of these symptoms). We compared the patterns of influenza viral shedding between these groups.\nResults: We identified 235 virologically confirmed secondary cases of influenza virus infection in the household setting, including 31 (13%) paucisymptomatic and 25 (11%) asymptomatic cases. The duration of viral RNA shedding was shorter and declined more rapidly in paucisymptomatic and asymptomatic than in symptomatic cases. The mean levels of influenza viral RNA shedding in asymptomatic and paucisymptomatic cases were approximately 1-2 log10 copies lower than in symptomatic cases.\nConclusions: The presence of influenza viral shedding in patients with influenza who have very few or no symptoms reflects their potential for transmitting the virus to close contacts. These findings suggest that further research is needed to investigate the contribution of persons with asymptomatic or clinically mild influenza virus infections to influenza virus transmission in household, institutional, and community settings.","author":[{"dropping-particle":"","family":"Ip","given":"Dennis K.M.","non-dropping-particle":"","parse-names":false,"suffix":""},{"dropping-particle":"","family":"Lau","given":"Lincoln L.H. H.","non-dropping-particle":"","parse-names":false,"suffix":""},{"dropping-particle":"","family":"Leung","given":"Nancy H.L. L.","non-dropping-particle":"","parse-names":false,"suffix":""},{"dropping-particle":"","family":"Fang","given":"Vicky J.","non-dropping-particle":"","parse-names":false,"suffix":""},{"dropping-particle":"","family":"Chan","given":"Kwok-Hung Hung","non-dropping-particle":"","parse-names":false,"suffix":""},{"dropping-particle":"","family":"Chu","given":"Daniel K.W. W.","non-dropping-particle":"","parse-names":false,"suffix":""},{"dropping-particle":"","family":"Leung","given":"Gabriel M.","non-dropping-particle":"","parse-names":false,"suffix":""},{"dropping-particle":"","family":"Peiris","given":"J. S.Malik Malik","non-dropping-particle":"","parse-names":false,"suffix":""},{"dropping-particle":"","family":"Uyeki","given":"Timothy M.","non-dropping-particle":"","parse-names":false,"suffix":""},{"dropping-particle":"","family":"Cowling","given":"Benjamin J.","non-dropping-particle":"","parse-names":false,"suffix":""}],"container-title":"Clinical infectious diseases : an official publication of the Infectious Diseases Society of America","id":"ITEM-1","issue":"6","issued":{"date-parts":[["2017","12"]]},"page":"736-742","publisher":"Oxford University Press","title":"Viral Shedding and Transmission Potential of Asymptomatic and Paucisymptomatic Influenza Virus Infections in the Community","type":"article-journal","volume":"64"},"uris":["http://www.mendeley.com/documents/?uuid=aaaa5289-ee43-4bae-8093-05847f6a6646"]}],"mendeley":{"formattedCitation":"[58]","plainTextFormattedCitation":"[58]","previouslyFormattedCitation":"[59]"},"properties":{"noteIndex":0},"schema":"https://github.com/citation-style-language/schema/raw/master/csl-citation.json"}</w:instrText>
      </w:r>
      <w:r w:rsidRPr="00D75061">
        <w:rPr>
          <w:rFonts w:asciiTheme="majorBidi" w:hAnsiTheme="majorBidi" w:cstheme="majorBidi"/>
          <w:sz w:val="24"/>
          <w:szCs w:val="24"/>
        </w:rPr>
        <w:fldChar w:fldCharType="separate"/>
      </w:r>
      <w:r w:rsidRPr="006369F1">
        <w:rPr>
          <w:rFonts w:asciiTheme="majorBidi" w:hAnsiTheme="majorBidi" w:cstheme="majorBidi"/>
          <w:noProof/>
          <w:sz w:val="24"/>
          <w:szCs w:val="24"/>
        </w:rPr>
        <w:t>[58]</w:t>
      </w:r>
      <w:r w:rsidRPr="00D75061">
        <w:rPr>
          <w:rFonts w:asciiTheme="majorBidi" w:hAnsiTheme="majorBidi" w:cstheme="majorBidi"/>
          <w:sz w:val="24"/>
          <w:szCs w:val="24"/>
        </w:rPr>
        <w:fldChar w:fldCharType="end"/>
      </w:r>
      <w:r w:rsidRPr="00D75061">
        <w:rPr>
          <w:rFonts w:asciiTheme="majorBidi" w:hAnsiTheme="majorBidi" w:cstheme="majorBidi"/>
          <w:sz w:val="24"/>
          <w:szCs w:val="24"/>
        </w:rPr>
        <w:t xml:space="preserve">. </w:t>
      </w:r>
    </w:p>
    <w:p w14:paraId="17CCFA20" w14:textId="77777777" w:rsidR="00285089" w:rsidRDefault="00285089" w:rsidP="00285089">
      <w:pPr>
        <w:spacing w:after="185" w:line="360" w:lineRule="auto"/>
        <w:ind w:left="-5" w:right="45"/>
        <w:jc w:val="both"/>
        <w:rPr>
          <w:rFonts w:asciiTheme="majorBidi" w:hAnsiTheme="majorBidi" w:cstheme="majorBidi"/>
          <w:sz w:val="24"/>
          <w:szCs w:val="24"/>
        </w:rPr>
      </w:pPr>
      <w:r w:rsidRPr="00D75061">
        <w:rPr>
          <w:rFonts w:asciiTheme="majorBidi" w:hAnsiTheme="majorBidi" w:cstheme="majorBidi"/>
          <w:sz w:val="24"/>
          <w:szCs w:val="24"/>
        </w:rPr>
        <w:t xml:space="preserve">For symptomatic high- and low-risk and treated high-risk </w:t>
      </w:r>
      <w:r>
        <w:rPr>
          <w:rFonts w:ascii="Times New Roman" w:eastAsia="Calibri" w:hAnsi="Times New Roman" w:cs="Times New Roman"/>
          <w:sz w:val="24"/>
          <w:szCs w:val="24"/>
        </w:rPr>
        <w:t xml:space="preserve">patients </w:t>
      </w:r>
      <w:r w:rsidRPr="00D75061">
        <w:rPr>
          <w:rFonts w:asciiTheme="majorBidi" w:hAnsiTheme="majorBidi" w:cstheme="majorBidi"/>
          <w:sz w:val="24"/>
          <w:szCs w:val="24"/>
        </w:rPr>
        <w:t xml:space="preserve">within the first three days </w:t>
      </w:r>
      <w:r>
        <w:rPr>
          <w:rFonts w:asciiTheme="majorBidi" w:hAnsiTheme="majorBidi" w:cstheme="majorBidi"/>
          <w:sz w:val="24"/>
          <w:szCs w:val="24"/>
        </w:rPr>
        <w:t>after</w:t>
      </w:r>
      <w:r w:rsidRPr="00D75061">
        <w:rPr>
          <w:rFonts w:asciiTheme="majorBidi" w:hAnsiTheme="majorBidi" w:cstheme="majorBidi"/>
          <w:sz w:val="24"/>
          <w:szCs w:val="24"/>
        </w:rPr>
        <w:t xml:space="preserve"> </w:t>
      </w:r>
      <w:r>
        <w:rPr>
          <w:rFonts w:ascii="Times New Roman" w:eastAsia="Calibri" w:hAnsi="Times New Roman" w:cs="Times New Roman"/>
          <w:sz w:val="24"/>
          <w:szCs w:val="24"/>
        </w:rPr>
        <w:t>symptom</w:t>
      </w:r>
      <w:r w:rsidRPr="00D75061">
        <w:rPr>
          <w:rFonts w:asciiTheme="majorBidi" w:hAnsiTheme="majorBidi" w:cstheme="majorBidi"/>
          <w:sz w:val="24"/>
          <w:szCs w:val="24"/>
        </w:rPr>
        <w:t xml:space="preserve"> onset, we estimated the viral load using the data </w:t>
      </w:r>
      <w:r>
        <w:rPr>
          <w:rFonts w:asciiTheme="majorBidi" w:hAnsiTheme="majorBidi" w:cstheme="majorBidi"/>
          <w:sz w:val="24"/>
          <w:szCs w:val="24"/>
        </w:rPr>
        <w:t>from</w:t>
      </w:r>
      <w:r w:rsidRPr="00D75061">
        <w:rPr>
          <w:rFonts w:asciiTheme="majorBidi" w:hAnsiTheme="majorBidi" w:cstheme="majorBidi"/>
          <w:sz w:val="24"/>
          <w:szCs w:val="24"/>
        </w:rPr>
        <w:t xml:space="preserve"> a prospective study</w:t>
      </w:r>
      <w:bookmarkEnd w:id="12"/>
      <w:r>
        <w:rPr>
          <w:rFonts w:asciiTheme="majorBidi" w:hAnsiTheme="majorBidi" w:cstheme="majorBidi"/>
          <w:sz w:val="24"/>
          <w:szCs w:val="24"/>
        </w:rPr>
        <w:t xml:space="preserve"> </w:t>
      </w:r>
      <w:r w:rsidRPr="00D7506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{"citationItems":[{"id":"ITEM-1","itemData":{"ISSN":"10242708","abstract":"1. Hospitalised patients with severe influenza have persistently high viral loads, for whom a different therapeutic approach may be needed. 2. Active screening of influenza infection should be performed in all high-risk patients hospitalised with febrile respiratory illness. Early diagnosis and treatment to suppress the high viral load may maximise clinical benefit. 3. For late presenting high risk patients with severe symptoms, their viral load may remain high, and initiation of antiviral treatment may still be worthwhile. 4. More stringent infection control measures, including strict droplet precautions and preferably isolation for an extended period of time may be necessary owing to prolonged viral shedding. 5. Randomised, controlled trials are indicated to address timing and dosage of treatment for severe influenza infection.","author":[{"dropping-particle":"","family":"Lee","given":"N.","non-dropping-particle":"","parse-names":false,"suffix":""},{"dropping-particle":"","family":"Chan","given":"P. K.","non-dropping-particle":"","parse-names":false,"suffix":""},{"dropping-particle":"","family":"Rainer","given":"T. H.","non-dropping-particle":"","parse-names":false,"suffix":""},{"dropping-particle":"","family":"Hui","given":"D.","non-dropping-particle":"","parse-names":false,"suffix":""},{"dropping-particle":"","family":"Choi","given":"K. W.","non-dropping-particle":"","parse-names":false,"suffix":""},{"dropping-particle":"","family":"Cockram","given":"C. S.","non-dropping-particle":"","parse-names":false,"suffix":""}],"container-title":"Hong Kong medical journal = Xianggang yi xue za zhi / Hong Kong Academy of Medicine","id":"ITEM-1","issued":{"date-parts":[["2013"]]},"title":"Influenza virus load in hospitalised patients.","type":"article-journal"},"uris":["http://www.mendeley.com/documents/?uuid=e252a5be-7c24-4a2f-abb5-4996a5444de7"]}],"mendeley":{"formattedCitation":"[59]","plainTextFormattedCitation":"[59]","previouslyFormattedCitation":"[60]"},"properties":{"noteIndex":0},"schema":"https://github.com/citation-style-language/schema/raw/master/csl-citation.json"}</w:instrText>
      </w:r>
      <w:r w:rsidRPr="00D75061">
        <w:rPr>
          <w:rFonts w:asciiTheme="majorBidi" w:hAnsiTheme="majorBidi" w:cstheme="majorBidi"/>
          <w:sz w:val="24"/>
          <w:szCs w:val="24"/>
        </w:rPr>
        <w:fldChar w:fldCharType="separate"/>
      </w:r>
      <w:r w:rsidRPr="006369F1">
        <w:rPr>
          <w:rFonts w:asciiTheme="majorBidi" w:hAnsiTheme="majorBidi" w:cstheme="majorBidi"/>
          <w:noProof/>
          <w:sz w:val="24"/>
          <w:szCs w:val="24"/>
        </w:rPr>
        <w:t>[59]</w:t>
      </w:r>
      <w:r w:rsidRPr="00D75061">
        <w:rPr>
          <w:rFonts w:asciiTheme="majorBidi" w:hAnsiTheme="majorBidi" w:cstheme="majorBidi"/>
          <w:sz w:val="24"/>
          <w:szCs w:val="24"/>
        </w:rPr>
        <w:fldChar w:fldCharType="end"/>
      </w:r>
      <w:r>
        <w:rPr>
          <w:rFonts w:asciiTheme="majorBidi" w:hAnsiTheme="majorBidi" w:cstheme="majorBidi"/>
          <w:sz w:val="24"/>
          <w:szCs w:val="24"/>
        </w:rPr>
        <w:t>. Concerning treated high-risk</w:t>
      </w:r>
      <w:r>
        <w:rPr>
          <w:rFonts w:ascii="Times New Roman" w:eastAsia="Calibri" w:hAnsi="Times New Roman" w:cs="Times New Roman"/>
          <w:sz w:val="24"/>
          <w:szCs w:val="24"/>
        </w:rPr>
        <w:t xml:space="preserve"> individuals</w:t>
      </w:r>
      <w:r>
        <w:rPr>
          <w:rFonts w:asciiTheme="majorBidi" w:hAnsiTheme="majorBidi" w:cstheme="majorBidi"/>
          <w:sz w:val="24"/>
          <w:szCs w:val="24"/>
        </w:rPr>
        <w:t xml:space="preserve">, the viral load before initiating treatment was set to be the same as </w:t>
      </w:r>
      <w:r>
        <w:rPr>
          <w:rFonts w:ascii="Times New Roman" w:eastAsia="Calibri" w:hAnsi="Times New Roman" w:cs="Times New Roman"/>
          <w:sz w:val="24"/>
          <w:szCs w:val="24"/>
        </w:rPr>
        <w:t xml:space="preserve">that </w:t>
      </w:r>
      <w:r>
        <w:rPr>
          <w:rFonts w:asciiTheme="majorBidi" w:hAnsiTheme="majorBidi" w:cstheme="majorBidi"/>
          <w:sz w:val="24"/>
          <w:szCs w:val="24"/>
        </w:rPr>
        <w:t xml:space="preserve">for </w:t>
      </w:r>
      <w:r>
        <w:rPr>
          <w:rFonts w:ascii="Times New Roman" w:eastAsia="Calibri" w:hAnsi="Times New Roman" w:cs="Times New Roman"/>
          <w:sz w:val="24"/>
          <w:szCs w:val="24"/>
        </w:rPr>
        <w:t>untreated</w:t>
      </w:r>
      <w:r>
        <w:rPr>
          <w:rFonts w:asciiTheme="majorBidi" w:hAnsiTheme="majorBidi" w:cstheme="majorBidi"/>
          <w:sz w:val="24"/>
          <w:szCs w:val="24"/>
        </w:rPr>
        <w:t xml:space="preserve"> individuals who were at high</w:t>
      </w:r>
      <w:r>
        <w:rPr>
          <w:rFonts w:ascii="Times New Roman" w:eastAsia="Calibri" w:hAnsi="Times New Roman" w:cs="Times New Roman"/>
          <w:sz w:val="24"/>
          <w:szCs w:val="24"/>
        </w:rPr>
        <w:t xml:space="preserve"> </w:t>
      </w:r>
      <w:r>
        <w:rPr>
          <w:rFonts w:asciiTheme="majorBidi" w:hAnsiTheme="majorBidi" w:cstheme="majorBidi"/>
          <w:sz w:val="24"/>
          <w:szCs w:val="24"/>
        </w:rPr>
        <w:t>risk (Fig. S1).</w:t>
      </w:r>
    </w:p>
    <w:p w14:paraId="2DA44B42" w14:textId="77777777" w:rsidR="00285089" w:rsidRPr="00D75061" w:rsidRDefault="00285089" w:rsidP="00285089">
      <w:pPr>
        <w:spacing w:after="185" w:line="360" w:lineRule="auto"/>
        <w:ind w:left="-5" w:right="45"/>
        <w:jc w:val="both"/>
        <w:rPr>
          <w:rFonts w:asciiTheme="majorBidi" w:hAnsiTheme="majorBidi" w:cstheme="majorBidi"/>
          <w:sz w:val="24"/>
          <w:szCs w:val="24"/>
        </w:rPr>
      </w:pPr>
      <w:r w:rsidRPr="007F0E88">
        <w:rPr>
          <w:rFonts w:asciiTheme="majorBidi" w:hAnsiTheme="majorBidi" w:cstheme="majorBidi"/>
          <w:sz w:val="24"/>
          <w:szCs w:val="24"/>
        </w:rPr>
        <w:t xml:space="preserve">These studies suggest that the viral load </w:t>
      </w:r>
      <w:r>
        <w:rPr>
          <w:rFonts w:asciiTheme="majorBidi" w:hAnsiTheme="majorBidi" w:cstheme="majorBidi"/>
          <w:sz w:val="24"/>
          <w:szCs w:val="24"/>
        </w:rPr>
        <w:t>in</w:t>
      </w:r>
      <w:r w:rsidRPr="007F0E88">
        <w:rPr>
          <w:rFonts w:asciiTheme="majorBidi" w:hAnsiTheme="majorBidi" w:cstheme="majorBidi"/>
          <w:sz w:val="24"/>
          <w:szCs w:val="24"/>
        </w:rPr>
        <w:t xml:space="preserve"> infected </w:t>
      </w:r>
      <w:proofErr w:type="gramStart"/>
      <w:r>
        <w:rPr>
          <w:rFonts w:ascii="Times New Roman" w:eastAsia="Calibri" w:hAnsi="Times New Roman" w:cs="Times New Roman"/>
          <w:sz w:val="24"/>
          <w:szCs w:val="24"/>
        </w:rPr>
        <w:t>individuals</w:t>
      </w:r>
      <w:proofErr w:type="gramEnd"/>
      <w:r w:rsidRPr="007F0E88">
        <w:rPr>
          <w:rFonts w:asciiTheme="majorBidi" w:hAnsiTheme="majorBidi" w:cstheme="majorBidi"/>
          <w:sz w:val="24"/>
          <w:szCs w:val="24"/>
        </w:rPr>
        <w:t xml:space="preserve"> peaks </w:t>
      </w:r>
      <w:r>
        <w:rPr>
          <w:rFonts w:asciiTheme="majorBidi" w:hAnsiTheme="majorBidi" w:cstheme="majorBidi"/>
          <w:sz w:val="24"/>
          <w:szCs w:val="24"/>
        </w:rPr>
        <w:t>on approximately</w:t>
      </w:r>
      <w:r w:rsidRPr="007F0E88">
        <w:rPr>
          <w:rFonts w:asciiTheme="majorBidi" w:hAnsiTheme="majorBidi" w:cstheme="majorBidi"/>
          <w:sz w:val="24"/>
          <w:szCs w:val="24"/>
        </w:rPr>
        <w:t xml:space="preserve"> the day of </w:t>
      </w:r>
      <w:r>
        <w:rPr>
          <w:rFonts w:ascii="Times New Roman" w:eastAsia="Calibri" w:hAnsi="Times New Roman" w:cs="Times New Roman"/>
          <w:sz w:val="24"/>
          <w:szCs w:val="24"/>
        </w:rPr>
        <w:t>symptom</w:t>
      </w:r>
      <w:r w:rsidRPr="007F0E88">
        <w:rPr>
          <w:rFonts w:asciiTheme="majorBidi" w:hAnsiTheme="majorBidi" w:cstheme="majorBidi"/>
          <w:sz w:val="24"/>
          <w:szCs w:val="24"/>
        </w:rPr>
        <w:t xml:space="preserve"> onset. Moreover, untreated infected individuals at high</w:t>
      </w:r>
      <w:r>
        <w:rPr>
          <w:rFonts w:ascii="Times New Roman" w:eastAsia="Calibri" w:hAnsi="Times New Roman" w:cs="Times New Roman"/>
          <w:sz w:val="24"/>
          <w:szCs w:val="24"/>
        </w:rPr>
        <w:t xml:space="preserve"> </w:t>
      </w:r>
      <w:r w:rsidRPr="007F0E88">
        <w:rPr>
          <w:rFonts w:asciiTheme="majorBidi" w:hAnsiTheme="majorBidi" w:cstheme="majorBidi"/>
          <w:sz w:val="24"/>
          <w:szCs w:val="24"/>
        </w:rPr>
        <w:t xml:space="preserve">risk </w:t>
      </w:r>
      <w:r>
        <w:rPr>
          <w:rFonts w:ascii="Times New Roman" w:eastAsia="Calibri" w:hAnsi="Times New Roman" w:cs="Times New Roman"/>
          <w:sz w:val="24"/>
          <w:szCs w:val="24"/>
        </w:rPr>
        <w:t>have</w:t>
      </w:r>
      <w:r w:rsidRPr="007F0E88">
        <w:rPr>
          <w:rFonts w:asciiTheme="majorBidi" w:hAnsiTheme="majorBidi" w:cstheme="majorBidi"/>
          <w:sz w:val="24"/>
          <w:szCs w:val="24"/>
        </w:rPr>
        <w:t xml:space="preserve"> the highest </w:t>
      </w:r>
      <w:r>
        <w:rPr>
          <w:rFonts w:asciiTheme="majorBidi" w:hAnsiTheme="majorBidi" w:cstheme="majorBidi"/>
          <w:sz w:val="24"/>
          <w:szCs w:val="24"/>
        </w:rPr>
        <w:t xml:space="preserve">level of </w:t>
      </w:r>
      <w:r w:rsidRPr="007F0E88">
        <w:rPr>
          <w:rFonts w:asciiTheme="majorBidi" w:hAnsiTheme="majorBidi" w:cstheme="majorBidi"/>
          <w:sz w:val="24"/>
          <w:szCs w:val="24"/>
        </w:rPr>
        <w:t xml:space="preserve">viral shedding, while asymptomatic individuals </w:t>
      </w:r>
      <w:r>
        <w:rPr>
          <w:rFonts w:ascii="Times New Roman" w:eastAsia="Calibri" w:hAnsi="Times New Roman" w:cs="Times New Roman"/>
          <w:sz w:val="24"/>
          <w:szCs w:val="24"/>
        </w:rPr>
        <w:t>have</w:t>
      </w:r>
      <w:r w:rsidRPr="007F0E88">
        <w:rPr>
          <w:rFonts w:asciiTheme="majorBidi" w:hAnsiTheme="majorBidi" w:cstheme="majorBidi"/>
          <w:sz w:val="24"/>
          <w:szCs w:val="24"/>
        </w:rPr>
        <w:t xml:space="preserve"> the lowest. Additionally, the viral shedding </w:t>
      </w:r>
      <w:r>
        <w:rPr>
          <w:rFonts w:asciiTheme="majorBidi" w:hAnsiTheme="majorBidi" w:cstheme="majorBidi"/>
          <w:sz w:val="24"/>
          <w:szCs w:val="24"/>
        </w:rPr>
        <w:t>in</w:t>
      </w:r>
      <w:r w:rsidRPr="007F0E88">
        <w:rPr>
          <w:rFonts w:asciiTheme="majorBidi" w:hAnsiTheme="majorBidi" w:cstheme="majorBidi"/>
          <w:sz w:val="24"/>
          <w:szCs w:val="24"/>
        </w:rPr>
        <w:t xml:space="preserve"> individuals at high</w:t>
      </w:r>
      <w:r>
        <w:rPr>
          <w:rFonts w:ascii="Times New Roman" w:eastAsia="Calibri" w:hAnsi="Times New Roman" w:cs="Times New Roman"/>
          <w:sz w:val="24"/>
          <w:szCs w:val="24"/>
        </w:rPr>
        <w:t xml:space="preserve"> </w:t>
      </w:r>
      <w:r w:rsidRPr="007F0E88">
        <w:rPr>
          <w:rFonts w:asciiTheme="majorBidi" w:hAnsiTheme="majorBidi" w:cstheme="majorBidi"/>
          <w:sz w:val="24"/>
          <w:szCs w:val="24"/>
        </w:rPr>
        <w:t xml:space="preserve">risk </w:t>
      </w:r>
      <w:r>
        <w:rPr>
          <w:rFonts w:ascii="Times New Roman" w:eastAsia="Calibri" w:hAnsi="Times New Roman" w:cs="Times New Roman"/>
          <w:sz w:val="24"/>
          <w:szCs w:val="24"/>
        </w:rPr>
        <w:t>who</w:t>
      </w:r>
      <w:r w:rsidRPr="007F0E88">
        <w:rPr>
          <w:rFonts w:asciiTheme="majorBidi" w:hAnsiTheme="majorBidi" w:cstheme="majorBidi"/>
          <w:sz w:val="24"/>
          <w:szCs w:val="24"/>
        </w:rPr>
        <w:t xml:space="preserve"> are treated within 48 hours </w:t>
      </w:r>
      <w:r>
        <w:rPr>
          <w:rFonts w:asciiTheme="majorBidi" w:hAnsiTheme="majorBidi" w:cstheme="majorBidi"/>
          <w:sz w:val="24"/>
          <w:szCs w:val="24"/>
        </w:rPr>
        <w:t>after</w:t>
      </w:r>
      <w:r w:rsidRPr="007F0E88">
        <w:rPr>
          <w:rFonts w:asciiTheme="majorBidi" w:hAnsiTheme="majorBidi" w:cstheme="majorBidi"/>
          <w:sz w:val="24"/>
          <w:szCs w:val="24"/>
        </w:rPr>
        <w:t xml:space="preserve"> symptom onset is reduced by 23% (CI 10-34%) compared to</w:t>
      </w:r>
      <w:r>
        <w:rPr>
          <w:rFonts w:ascii="Times New Roman" w:eastAsia="Calibri" w:hAnsi="Times New Roman" w:cs="Times New Roman"/>
          <w:sz w:val="24"/>
          <w:szCs w:val="24"/>
        </w:rPr>
        <w:t xml:space="preserve"> that in</w:t>
      </w:r>
      <w:r w:rsidRPr="007F0E88">
        <w:rPr>
          <w:rFonts w:asciiTheme="majorBidi" w:hAnsiTheme="majorBidi" w:cstheme="majorBidi"/>
          <w:sz w:val="24"/>
          <w:szCs w:val="24"/>
        </w:rPr>
        <w:t xml:space="preserve"> untreated</w:t>
      </w:r>
      <w:r>
        <w:rPr>
          <w:rFonts w:ascii="Times New Roman" w:eastAsia="Calibri" w:hAnsi="Times New Roman" w:cs="Times New Roman"/>
          <w:sz w:val="24"/>
          <w:szCs w:val="24"/>
        </w:rPr>
        <w:t xml:space="preserve"> individuals</w:t>
      </w:r>
      <w:r w:rsidRPr="007F0E88">
        <w:rPr>
          <w:rFonts w:asciiTheme="majorBidi" w:hAnsiTheme="majorBidi" w:cstheme="majorBidi"/>
          <w:sz w:val="24"/>
          <w:szCs w:val="24"/>
        </w:rPr>
        <w:t>.</w:t>
      </w:r>
    </w:p>
    <w:tbl>
      <w:tblPr>
        <w:tblW w:w="0" w:type="auto"/>
        <w:jc w:val="center"/>
        <w:tblLook w:val="04A0" w:firstRow="1" w:lastRow="0" w:firstColumn="1" w:lastColumn="0" w:noHBand="0" w:noVBand="1"/>
      </w:tblPr>
      <w:tblGrid>
        <w:gridCol w:w="8211"/>
      </w:tblGrid>
      <w:tr w:rsidR="00285089" w14:paraId="66AA28D0" w14:textId="77777777" w:rsidTr="004D6617">
        <w:trPr>
          <w:trHeight w:val="5120"/>
          <w:jc w:val="center"/>
        </w:trPr>
        <w:tc>
          <w:tcPr>
            <w:tcW w:w="8005" w:type="dxa"/>
          </w:tcPr>
          <w:p w14:paraId="12E7EE35" w14:textId="77777777" w:rsidR="00285089" w:rsidRPr="00BE0FA3" w:rsidRDefault="00285089" w:rsidP="00365097">
            <w:pPr>
              <w:spacing w:after="0" w:line="360" w:lineRule="auto"/>
              <w:ind w:right="45"/>
              <w:jc w:val="both"/>
              <w:rPr>
                <w:rFonts w:asciiTheme="majorBidi" w:hAnsiTheme="majorBidi" w:cstheme="majorBidi"/>
                <w:sz w:val="24"/>
                <w:szCs w:val="24"/>
              </w:rPr>
            </w:pPr>
            <w:r w:rsidRPr="00BE0FA3">
              <w:rPr>
                <w:rFonts w:asciiTheme="majorBidi" w:hAnsiTheme="majorBidi" w:cstheme="majorBidi"/>
                <w:noProof/>
                <w:lang w:val="en-US"/>
              </w:rPr>
              <w:lastRenderedPageBreak/>
              <w:drawing>
                <wp:inline distT="0" distB="0" distL="0" distR="0" wp14:anchorId="7A7FC2F4" wp14:editId="1266F544">
                  <wp:extent cx="5043805" cy="31813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043805" cy="3181350"/>
                          </a:xfrm>
                          <a:prstGeom prst="rect">
                            <a:avLst/>
                          </a:prstGeom>
                          <a:noFill/>
                          <a:ln>
                            <a:noFill/>
                          </a:ln>
                        </pic:spPr>
                      </pic:pic>
                    </a:graphicData>
                  </a:graphic>
                </wp:inline>
              </w:drawing>
            </w:r>
          </w:p>
        </w:tc>
      </w:tr>
      <w:tr w:rsidR="00285089" w14:paraId="1B5A5C25" w14:textId="77777777" w:rsidTr="004D6617">
        <w:trPr>
          <w:jc w:val="center"/>
        </w:trPr>
        <w:tc>
          <w:tcPr>
            <w:tcW w:w="8005" w:type="dxa"/>
          </w:tcPr>
          <w:p w14:paraId="28ECB14B" w14:textId="77777777" w:rsidR="00285089" w:rsidRPr="00BE0FA3" w:rsidRDefault="00285089" w:rsidP="00365097">
            <w:pPr>
              <w:spacing w:after="0" w:line="360" w:lineRule="auto"/>
              <w:ind w:right="45"/>
              <w:jc w:val="both"/>
              <w:rPr>
                <w:rFonts w:asciiTheme="majorBidi" w:hAnsiTheme="majorBidi" w:cstheme="majorBidi"/>
                <w:sz w:val="24"/>
                <w:szCs w:val="24"/>
                <w:rtl/>
              </w:rPr>
            </w:pPr>
            <w:r w:rsidRPr="00BE0FA3">
              <w:rPr>
                <w:rFonts w:asciiTheme="majorBidi" w:hAnsiTheme="majorBidi" w:cstheme="majorBidi"/>
                <w:b/>
                <w:bCs/>
                <w:sz w:val="20"/>
                <w:szCs w:val="20"/>
              </w:rPr>
              <w:t xml:space="preserve">Fig. S1. </w:t>
            </w:r>
            <w:r w:rsidRPr="00BE0FA3">
              <w:rPr>
                <w:rFonts w:asciiTheme="majorBidi" w:hAnsiTheme="majorBidi" w:cstheme="majorBidi"/>
                <w:sz w:val="20"/>
                <w:szCs w:val="20"/>
              </w:rPr>
              <w:t>Daily</w:t>
            </w:r>
            <w:r w:rsidRPr="00BE0FA3">
              <w:rPr>
                <w:rFonts w:asciiTheme="majorBidi" w:hAnsiTheme="majorBidi" w:cstheme="majorBidi"/>
                <w:b/>
                <w:bCs/>
                <w:sz w:val="20"/>
                <w:szCs w:val="20"/>
              </w:rPr>
              <w:t xml:space="preserve"> </w:t>
            </w:r>
            <w:r w:rsidRPr="00BE0FA3">
              <w:rPr>
                <w:rFonts w:asciiTheme="majorBidi" w:hAnsiTheme="majorBidi" w:cstheme="majorBidi"/>
                <w:color w:val="333333"/>
                <w:sz w:val="20"/>
                <w:szCs w:val="20"/>
              </w:rPr>
              <w:t xml:space="preserve">log viral load following influenza infection for </w:t>
            </w:r>
            <w:r w:rsidRPr="00BE0FA3">
              <w:rPr>
                <w:rFonts w:asciiTheme="majorBidi" w:hAnsiTheme="majorBidi" w:cstheme="majorBidi"/>
                <w:sz w:val="20"/>
                <w:szCs w:val="20"/>
              </w:rPr>
              <w:t>asymptomatic, symptomatic high and low-risk and treated high risk who got treated on the first three days since symptoms onset.</w:t>
            </w:r>
            <w:r>
              <w:rPr>
                <w:rFonts w:asciiTheme="majorBidi" w:hAnsiTheme="majorBidi" w:cstheme="majorBidi"/>
                <w:sz w:val="20"/>
                <w:szCs w:val="20"/>
              </w:rPr>
              <w:t xml:space="preserve"> Initiating antiviral treatment following 72 hours after symptom onset: viral load will mimic symptomatic high-risk infection until three days of symptom onset. At that point, the viral load will mimic the antiviral treatment curve.</w:t>
            </w:r>
          </w:p>
        </w:tc>
      </w:tr>
    </w:tbl>
    <w:p w14:paraId="748DBF5F" w14:textId="77777777" w:rsidR="00285089" w:rsidRPr="00BE0FA3" w:rsidRDefault="00285089" w:rsidP="00285089">
      <w:pPr>
        <w:spacing w:line="360" w:lineRule="auto"/>
        <w:ind w:right="45"/>
        <w:jc w:val="both"/>
        <w:rPr>
          <w:rFonts w:asciiTheme="majorBidi" w:hAnsiTheme="majorBidi" w:cstheme="majorBidi"/>
          <w:i/>
          <w:iCs/>
          <w:sz w:val="24"/>
          <w:szCs w:val="24"/>
        </w:rPr>
      </w:pPr>
    </w:p>
    <w:p w14:paraId="7CF387BC" w14:textId="77777777" w:rsidR="00285089" w:rsidRPr="00AC52E1" w:rsidRDefault="00285089" w:rsidP="00285089">
      <w:pPr>
        <w:spacing w:line="360" w:lineRule="auto"/>
        <w:ind w:right="45"/>
        <w:jc w:val="both"/>
        <w:rPr>
          <w:rFonts w:asciiTheme="majorBidi" w:hAnsiTheme="majorBidi" w:cstheme="majorBidi"/>
          <w:i/>
          <w:iCs/>
          <w:sz w:val="24"/>
          <w:szCs w:val="24"/>
        </w:rPr>
      </w:pPr>
      <w:r w:rsidRPr="00AC52E1">
        <w:rPr>
          <w:rFonts w:asciiTheme="majorBidi" w:hAnsiTheme="majorBidi" w:cstheme="majorBidi"/>
          <w:i/>
          <w:iCs/>
          <w:sz w:val="24"/>
          <w:szCs w:val="24"/>
        </w:rPr>
        <w:t>Hospitalizations</w:t>
      </w:r>
    </w:p>
    <w:p w14:paraId="25AB2A9D" w14:textId="77777777" w:rsidR="00285089" w:rsidRPr="00AC52E1" w:rsidRDefault="00285089" w:rsidP="00285089">
      <w:pPr>
        <w:spacing w:line="360" w:lineRule="auto"/>
        <w:ind w:right="45"/>
        <w:jc w:val="both"/>
        <w:rPr>
          <w:rFonts w:asciiTheme="majorBidi" w:hAnsiTheme="majorBidi" w:cstheme="majorBidi"/>
          <w:sz w:val="24"/>
          <w:szCs w:val="24"/>
        </w:rPr>
      </w:pPr>
      <w:r w:rsidRPr="00AC52E1">
        <w:rPr>
          <w:rFonts w:asciiTheme="majorBidi" w:hAnsiTheme="majorBidi" w:cstheme="majorBidi"/>
          <w:sz w:val="24"/>
          <w:szCs w:val="24"/>
        </w:rPr>
        <w:t>To obtain the number of hospitalizations for each age and risk</w:t>
      </w:r>
      <w:r w:rsidRPr="00AC52E1">
        <w:rPr>
          <w:rFonts w:ascii="Times New Roman" w:eastAsia="Calibri" w:hAnsi="Times New Roman" w:cs="Times New Roman"/>
          <w:sz w:val="24"/>
          <w:szCs w:val="24"/>
        </w:rPr>
        <w:t xml:space="preserve"> </w:t>
      </w:r>
      <w:r w:rsidRPr="00AC52E1">
        <w:rPr>
          <w:rFonts w:asciiTheme="majorBidi" w:hAnsiTheme="majorBidi" w:cstheme="majorBidi"/>
          <w:sz w:val="24"/>
          <w:szCs w:val="24"/>
        </w:rPr>
        <w:t>group</w:t>
      </w:r>
      <w:r w:rsidRPr="00AC52E1">
        <w:rPr>
          <w:rFonts w:ascii="Times New Roman" w:eastAsia="Calibri" w:hAnsi="Times New Roman" w:cs="Times New Roman"/>
          <w:sz w:val="24"/>
          <w:szCs w:val="24"/>
        </w:rPr>
        <w:t>,</w:t>
      </w:r>
      <w:r w:rsidRPr="00AC52E1">
        <w:rPr>
          <w:rFonts w:asciiTheme="majorBidi" w:hAnsiTheme="majorBidi" w:cstheme="majorBidi"/>
          <w:sz w:val="24"/>
          <w:szCs w:val="24"/>
        </w:rPr>
        <w:t xml:space="preserve"> we multiplied the number of symptomatic infected individuals by the probability of hospitalization given influenza infection (</w:t>
      </w:r>
      <w:r w:rsidRPr="00AC52E1">
        <w:rPr>
          <w:rFonts w:ascii="Times New Roman" w:eastAsia="Calibri" w:hAnsi="Times New Roman" w:cs="Times New Roman"/>
          <w:sz w:val="24"/>
          <w:szCs w:val="24"/>
        </w:rPr>
        <w:t>see</w:t>
      </w:r>
      <w:r w:rsidRPr="00AC52E1">
        <w:rPr>
          <w:rFonts w:asciiTheme="majorBidi" w:hAnsiTheme="majorBidi" w:cstheme="majorBidi"/>
          <w:sz w:val="24"/>
          <w:szCs w:val="24"/>
        </w:rPr>
        <w:t xml:space="preserve"> Table S3). Using data from an epidemiological study, we computed the ratio between hospitalizations and symptomatic infections stratified by age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{"citationItems":[{"id":"ITEM-1","itemData":{"ISSN":"1545-861X","PMID":"25503917","author":[{"dropping-particle":"","family":"Reed","given":"Carrie","non-dropping-particle":"","parse-names":false,"suffix":""},{"dropping-particle":"","family":"Kim","given":"Inkyu Kevin","non-dropping-particle":"","parse-names":false,"suffix":""},{"dropping-particle":"","family":"Singleton","given":"James A.","non-dropping-particle":"","parse-names":false,"suffix":""},{"dropping-particle":"","family":"Chaves","given":"Sandra S.","non-dropping-particle":"","parse-names":false,"suffix":""},{"dropping-particle":"","family":"Flannery","given":"Brendan","non-dropping-particle":"","parse-names":false,"suffix":""},{"dropping-particle":"","family":"Finelli","given":"Lyn","non-dropping-particle":"","parse-names":false,"suffix":""},{"dropping-particle":"","family":"Fry","given":"Alicia","non-dropping-particle":"","parse-names":false,"suffix":""},{"dropping-particle":"","family":"Burns","given":"Erin","non-dropping-particle":"","parse-names":false,"suffix":""},{"dropping-particle":"","family":"Gargiullo","given":"Paul","non-dropping-particle":"","parse-names":false,"suffix":""},{"dropping-particle":"","family":"Jernigan","given":"Daniel","non-dropping-particle":"","parse-names":false,"suffix":""},{"dropping-particle":"","family":"Cox","given":"Nancy","non-dropping-particle":"","parse-names":false,"suffix":""},{"dropping-particle":"","family":"Bresee","given":"Joseph","non-dropping-particle":"","parse-names":false,"suffix":""}],"container-title":"Morbidity and Mortality Weekly Report","id":"ITEM-1","issue":"49","issued":{"date-parts":[["2014"]]},"page":"1151-1154","publisher":"Centers for Disease Control and Prevention","title":"Estimated influenza illnesses and hospitalizations averted by vaccination — united states, 2013–14 influenza season","type":"article-journal","volume":"63"},"uris":["http://www.mendeley.com/documents/?uuid=ea285941-9a02-3561-8cf1-92f9044d131f"]}],"mendeley":{"formattedCitation":"[60]","plainTextFormattedCitation":"[60]","previouslyFormattedCitation":"[61]"},"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[60]</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xml:space="preserve">.  For each age group, we also estimated the risk of hospitalization for individuals at low-risk versus high-risk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{"citationItems":[{"id":"ITEM-1","itemData":{"DOI":"10.1016/j.vaccine.2006.09.041","ISSN":"0264410X","abstract":"We estimated influenza- and respiratory syncytial virus (RSV)-associated hospitalizations by age, high-risk status and outcome, during the 1996/1997-1999/2000 respiratory seasons among adults who did not receive influenza vaccine. Using three health maintenance organization (HMO) databases and local viral surveillance data, we identified weeks when influenza and RSV were circulating and estimated influenza- and RSV-associated hospitalizations. Persons aged ≥65 years with and without high-risk conditions had significantly increased rates of influenza-associated hospitalizations for pneumonia and influenza, and circulatory and respiratory diseases. Persons aged ≥65 years with high-risk conditions also had significantly increased rates of influenza-associated hospitalizations for cardiac conditions (16.9 per 10,000 person periods). Relative to the influenza estimates for high-risk persons ≥65 years, we found lower rates of RSV-associated hospitalizations for pneumonia and influenza diseases (23.4 per 10,000 person periods), cardiac diseases (4.3 per 10,000 person periods) and circulatory and respiratory diseases (44.0 per 10,000 person periods). Among low-risk persons aged 50-64 years, we did not identify significantly elevated rates of influenza- or RSV-associated hospitalizations. Excess hospitalization estimates among adults aged ≥65 years and high-risk 50-64 year olds during the influenza season suggest that these groups should have priority for influenza vaccine during vaccine shortages. © 2006 Elsevier Ltd. All rights reserved.","author":[{"dropping-particle":"","family":"Mullooly","given":"John P.","non-dropping-particle":"","parse-names":false,"suffix":""},{"dropping-particle":"","family":"Bridges","given":"Carolyn B.","non-dropping-particle":"","parse-names":false,"suffix":""},{"dropping-particle":"","family":"Thompson","given":"William W.","non-dropping-particle":"","parse-names":false,"suffix":""},{"dropping-particle":"","family":"Chen","given":"Jufu","non-dropping-particle":"","parse-names":false,"suffix":""},{"dropping-particle":"","family":"Weintraub","given":"Eric","non-dropping-particle":"","parse-names":false,"suffix":""},{"dropping-particle":"","family":"Jackson","given":"Lisa A.","non-dropping-particle":"","parse-names":false,"suffix":""},{"dropping-particle":"","family":"Black","given":"Steve","non-dropping-particle":"","parse-names":false,"suffix":""},{"dropping-particle":"","family":"Shay","given":"David K.","non-dropping-particle":"","parse-names":false,"suffix":""}],"container-title":"Vaccine","id":"ITEM-1","issue":"5","issued":{"date-parts":[["2007","1","15"]]},"page":"846-855","title":"Influenza- and RSV-associated hospitalizations among adults","type":"article-journal","volume":"25"},"uris":["http://www.mendeley.com/documents/?uuid=93f74acd-806b-3e01-a058-a7994c3bc551"]},{"id":"ITEM-2","itemData":{"DOI":"10.1542/peds.2006-1475","ISSN":"00314005","PMID":"17142526","abstract":"BACKGROUND. Influenza causes significant morbidity among children. Previous studies used indirect case ascertainment methods with little cost data. We sought to measure the burden of laboratory-confirmed influenza from hospitalized children. METHODS. We conducted a retrospective cohort study during 3 viral seasons at Primary Children's Medical Center (Salt Lake City, UT). Children ≤18 years of age who were hospitalized with laboratory-confirmed influenza infection were included. Outcomes included hospitalization rates, complications including intensive care unit stays, mechanical ventilation, length of stay, and total hospital costs. RESULTS. A total of 325 children had hospitalizations attributable to influenza over 3 viral seasons: 28% &lt;6 months of age, 33% between 6 and 23 months of age; and 39% &gt;2 years of age; 37% had high-risk medical conditions. Population-based rates of hospitalization for Salt Lake County residents ranged from 6.3 to 252.7 per 100 000 children. The highest rates were in children younger than 6 months, and rates decreased with increasing age. Forty-nine (15%) children had an ICU stay; 27 required mechanical ventilation, and half of these patients were &gt;2 years of age. Total hospital cost for the cohort was $2 million; 55% was accounted for by children &gt;2 years of age. Length of stay and total hospital costs were significantly higher in all children &gt;2 years of age compared with children &lt;6 months of age and were comparable to all children 6 to 23 months of age. CONCLUSIONS. Proven influenza infection in children results in substantial hospital resource utilization and morbidity. Nationwide, the median hospital costs may total $55 million. Our data support the Advisory Committee on Immunization's recommendations to expand the use of influenza vaccine to children &gt;2 years of age. Copyright © 2006 by the American Academy of Pediatrics.","author":[{"dropping-particle":"","family":"Ampofo","given":"Krow","non-dropping-particle":"","parse-names":false,"suffix":""},{"dropping-particle":"","family":"Gesteland","given":"Per H.","non-dropping-particle":"","parse-names":false,"suffix":""},{"dropping-particle":"","family":"Bender","given":"Jeffery","non-dropping-particle":"","parse-names":false,"suffix":""},{"dropping-particle":"","family":"Mills","given":"Michelle","non-dropping-particle":"","parse-names":false,"suffix":""},{"dropping-particle":"","family":"Daly","given":"Judy","non-dropping-particle":"","parse-names":false,"suffix":""},{"dropping-particle":"","family":"Samore","given":"Matthew","non-dropping-particle":"","parse-names":false,"suffix":""},{"dropping-particle":"","family":"Byington","given":"Carrie","non-dropping-particle":"","parse-names":false,"suffix":""},{"dropping-particle":"","family":"Pavia","given":"Andrew T.","non-dropping-particle":"","parse-names":false,"suffix":""},{"dropping-particle":"","family":"Srivastava","given":"Rajendu","non-dropping-particle":"","parse-names":false,"suffix":""}],"container-title":"Pediatrics","id":"ITEM-2","issue":"6","issued":{"date-parts":[["2006","12","1"]]},"page":"2409-2417","publisher":"American Academy of Pediatrics","title":"Epidemiology, complications, and cost of hospitalization in children with laboratory-confirmed influenza infection","type":"article-journal","volume":"118"},"uris":["http://www.mendeley.com/documents/?uuid=5f0e0512-1a6d-4f26-beb2-d57fef5d4e61"]}],"mendeley":{"formattedCitation":"[61, 62]","plainTextFormattedCitation":"[61, 62]","previouslyFormattedCitation":"[62, 63]"},"properties":{"noteIndex":0},"schema":"https://github.com/citation-style-language/schema/raw/master/csl-citation.json"}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[61, 62]</w:t>
      </w:r>
      <w:r>
        <w:rPr>
          <w:rFonts w:asciiTheme="majorBidi" w:hAnsiTheme="majorBidi" w:cstheme="majorBidi"/>
          <w:sz w:val="24"/>
          <w:szCs w:val="24"/>
        </w:rPr>
        <w:fldChar w:fldCharType="end"/>
      </w:r>
      <w:r w:rsidRPr="00AC52E1">
        <w:rPr>
          <w:rFonts w:asciiTheme="majorBidi" w:hAnsiTheme="majorBidi" w:cstheme="majorBidi"/>
          <w:sz w:val="24"/>
          <w:szCs w:val="24"/>
        </w:rPr>
        <w:t xml:space="preserve">. Estimates are consistent with the US </w:t>
      </w:r>
      <w:r w:rsidRPr="00AC52E1">
        <w:rPr>
          <w:rFonts w:ascii="Times New Roman" w:eastAsia="Calibri" w:hAnsi="Times New Roman" w:cs="Times New Roman"/>
          <w:sz w:val="24"/>
          <w:szCs w:val="24"/>
        </w:rPr>
        <w:t>influenza</w:t>
      </w:r>
      <w:r w:rsidRPr="00AC52E1">
        <w:rPr>
          <w:rFonts w:asciiTheme="majorBidi" w:hAnsiTheme="majorBidi" w:cstheme="majorBidi"/>
          <w:sz w:val="24"/>
          <w:szCs w:val="24"/>
        </w:rPr>
        <w:t xml:space="preserve"> hospitalization surveillance network data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{"citationItems":[{"id":"ITEM-1","itemData":{"DOI":"10.3201/eid2109.141912","abstract":"In 2003, surveillance for influenza in hospitalized persons was added to the Centers for Disease Control and Prevention Emerging Infections Program network. This surveillance enabled monitoring of the severity of influenza seasons and provided a platform for addressing priority questions associated with influenza. For enhanced surveillance capacity during the 2009 influenza pandemic, new sites were added to this platform. The combined surveillance platform is called the Influenza Hospitalization Surveillance Network (FluSurv-NET). FluSurv-NET has helped to determine the risk for influenza-associated illness in various segments of the US population, define the severity of influenza seasons and the 2009 pandemic, and guide recommendations for treatment and vaccination programs. E very year, influenza virus circulates worldwide, causing substantial illness and death and leading to considerable economic losses (1). From time to time, new strains of influenza A viruses emerge and cause a global pandemic with devastating consequences (2-4). Therefore, influenza surveillance programs are crucial for monitoring the timing and severity of seasonal influenza, which virus strains are circulating in a community, and changes in the epidemiology or risk associated with influenza virus infection. These data can be used to plan for vaccine strain selection, to alert the medical community and public health officials about the intensity and magnitude of an epidemic, and to evaluate the effects of intervention programs. In the event of an influenza pandemic, surveillance programs are essential for guiding response efforts and assisting with resource prioritization. In response to the 2003-04 influenza season, which was relatively severe and caused a large number of deaths among healthy children, the Centers for Disease Control and Prevention (CDC) and 10 state health departments initiated a population-based surveillance system for laboratory confirmed influenza in hospitalized children &lt;18 years of age (5). Surveillance for influenza-associated hospitalizations among children proved to have useful public health implications, such as informing influenza vaccine recommendations over the years (6,7). Two years later, in 2005, the system was expanded to include surveillance for influenza hospitalizations among adults and was named the Influenza Hospitalization Surveillance Network (FluSurv-NET). FluSurv-NET data have helped determine the risk for illness in various segments o…","author":[{"dropping-particle":"","family":"Chaves","given":"Sandra S","non-dropping-particle":"","parse-names":false,"suffix":""},{"dropping-particle":"","family":"Lynfield","given":"Ruth","non-dropping-particle":"","parse-names":false,"suffix":""},{"dropping-particle":"Lou","family":"Lindegren","given":"Mary","non-dropping-particle":"","parse-names":false,"suffix":""},{"dropping-particle":"","family":"Bresee","given":"Joseph","non-dropping-particle":"","parse-names":false,"suffix":""},{"dropping-particle":"","family":"Finelli","given":"Lyn","non-dropping-particle":"","parse-names":false,"suffix":""}],"id":"ITEM-1","issue":"9","issued":{"date-parts":[["2015"]]},"title":"The US Influenza Hospitalization Surveillance Network","type":"article-journal","volume":"21"},"uris":["http://www.mendeley.com/documents/?uuid=e7a213aa-4fcd-3d7d-b53f-494b476a4667"]}],"mendeley":{"formattedCitation":"[63]","plainTextFormattedCitation":"[63]","previouslyFormattedCitation":"[64]"},"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[63]</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w:t>
      </w:r>
    </w:p>
    <w:p w14:paraId="328E917E" w14:textId="77777777" w:rsidR="00285089" w:rsidRPr="00AC52E1" w:rsidRDefault="00285089" w:rsidP="00285089">
      <w:pPr>
        <w:spacing w:line="360" w:lineRule="auto"/>
        <w:ind w:left="-5" w:right="45"/>
        <w:jc w:val="both"/>
        <w:rPr>
          <w:rFonts w:asciiTheme="majorBidi" w:hAnsiTheme="majorBidi" w:cstheme="majorBidi"/>
          <w:sz w:val="24"/>
          <w:szCs w:val="24"/>
        </w:rPr>
      </w:pPr>
      <w:r w:rsidRPr="00AC52E1">
        <w:rPr>
          <w:rFonts w:asciiTheme="majorBidi" w:hAnsiTheme="majorBidi" w:cstheme="majorBidi"/>
          <w:sz w:val="24"/>
          <w:szCs w:val="24"/>
        </w:rPr>
        <w:t xml:space="preserve">Infected high-risk individuals treated within three days after </w:t>
      </w:r>
      <w:r w:rsidRPr="00AC52E1">
        <w:rPr>
          <w:rFonts w:ascii="Times New Roman" w:eastAsia="Calibri" w:hAnsi="Times New Roman" w:cs="Times New Roman"/>
          <w:sz w:val="24"/>
          <w:szCs w:val="24"/>
        </w:rPr>
        <w:t>symptom</w:t>
      </w:r>
      <w:r w:rsidRPr="00AC52E1">
        <w:rPr>
          <w:rFonts w:asciiTheme="majorBidi" w:hAnsiTheme="majorBidi" w:cstheme="majorBidi"/>
          <w:sz w:val="24"/>
          <w:szCs w:val="24"/>
        </w:rPr>
        <w:t xml:space="preserve"> onset have a lower probability of hospitalization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{"citationItems":[{"id":"ITEM-1","itemData":{"DOI":"10.1001/archinte.163.14.1667","ISSN":"00039926","abstract":"Background: Influenza causes lower respiratory tract complications (LRTCs), particularly bronchitis and pneumonia, in both otherwise healthy adults and those with underlying conditions. The aim of this study was to assess the effect of oseltamivir treatment on the incidence of LRTCs leading to antibiotic treatment and hospitalizations following influenza illness. Methods: We analyzed prospectively collected data on LRTCs and antibiotic use from 3564 subjects (age range, 13-97 years) with influenzalike illness enrolled in 10 placebo-controlled, double-blind trials of oseltamivir treatment. Results: In adults and adolescents with a proven influenza illness, oseltamivir treatment reduced overall antibiotic use for any reason by 26.7% (14.0% vs 19.1% with placebo; P&lt;.001) and the incidence of influenza-related LRTCs resulting in antibiotic therapy by 55% (4.6% vs 10.3% with placebo; P&lt;.001). In those subjects considered at increased risk of complications, 74 (18.5%) of 401 placebo recipients developed an LRTC leading to antibiotic use compared with 45 (12.2%) of 368 oseltamivir recipients (34.0% reduction; P=.02). Hospitalization for any cause occurred in 18 (1.7%) of 1063 placebo recipients compared with 9 (0.7%) of 1350 oseltamivir-treated patients (59% reduction; P=.02). In contrast, among subjects with an influenzalike illness but without a confirmed influenza infection, the incidence of LRTCs (6.7% vs 5.3%), overall antibiotic use (19.7% vs 19.3%), or hospitalizations (1.7% vs 1.9%) was similar between placebo and oseltamivir recipients, respectively. Conclusion: Oseltamivir treatment of influenza illness reduces LRTCs, antibiotic use, and hospitalization in both healthy and \"at-risk\" adults.","author":[{"dropping-particle":"","family":"Kaiser","given":"Laurent","non-dropping-particle":"","parse-names":false,"suffix":""},{"dropping-particle":"","family":"Wat","given":"Cynthia","non-dropping-particle":"","parse-names":false,"suffix":""},{"dropping-particle":"","family":"Mills","given":"Tracy","non-dropping-particle":"","parse-names":false,"suffix":""},{"dropping-particle":"","family":"Mahoney","given":"Paul","non-dropping-particle":"","parse-names":false,"suffix":""},{"dropping-particle":"","family":"Ward","given":"Penelope","non-dropping-particle":"","parse-names":false,"suffix":""},{"dropping-particle":"","family":"Hayden","given":"Frederick","non-dropping-particle":"","parse-names":false,"suffix":""}],"container-title":"Archives of Internal Medicine","id":"ITEM-1","issue":"14","issued":{"date-parts":[["2003","7","28"]]},"page":"1667-1672","title":"Impact of oseltamivir treatment on influenza-related lower respiratory tract complications and hospitalizations","type":"article-journal","volume":"163"},"uris":["http://www.mendeley.com/documents/?uuid=a268ffa4-3177-4646-a6fc-d48f65c9b9c1"]},{"id":"ITEM-2","itemData":{"DOI":"10.1542/peds.2008-0977","ISSN":"00314005","abstract":"OBJECTIVE: This study investigated the influence of oseltamivir on influenza-related complications and hospitalizations for children and adolescents, 1 to 17 years of age, with chronic medical conditions or neurologic or neuromuscular disease. METHODS: In a retrospective study, outcomes for patients who were given oseltamivir within 1 day after influenza diagnosis were compared with those for patients who received no antiviral therapy. Anonymous data from MarketScan databases (Thomson Reuters, Cambridge, MA) were used to identify patients from 6 influenza seasons between 2000 and 2006. The study outcomes were frequencies of pneumonia, respiratory illnesses other than pneumonia, otitis media, and hospitalization. RESULTS: Oseltamivir was prescribed for 1634 patients according to the study criteria, and 3721 patients received no antiviral therapy for their influenza. After adjustment for demographic and medical history variables, oseltamivir was associated with significant reductions in the risks of respiratory illnesses other than pneumonia, otitis media and its complications, and all-cause hospitalization in the 14 days after influenza diagnosis. Analyses for 30 days after influenza diagnosis also showed significant risk reductions for respiratory illnesses other than pneumonia, otitis media and its complications, and all-cause hospitalization with oseltamivir. CONCLUSION: When it was prescribed at influenza diagnosis, oseltamivir was associated with reduced risks of influenza-related complications and hospitalizations for children and adolescents at high risk of influenza complications. Copyright © 2009 by the American Academy of Pediatrics.","author":[{"dropping-particle":"","family":"Piedra","given":"Pedro A.","non-dropping-particle":"","parse-names":false,"suffix":""},{"dropping-particle":"","family":"Schulman","given":"Kathy L.","non-dropping-particle":"","parse-names":false,"suffix":""},{"dropping-particle":"","family":"Blumentals","given":"William A.","non-dropping-particle":"","parse-names":false,"suffix":""}],"container-title":"Pediatrics","id":"ITEM-2","issue":"1","issued":{"date-parts":[["2009","7"]]},"page":"170-178","title":"Effects of oseltamivir on influenza-related complications in children with chronic medical conditions","type":"article-journal","volume":"124"},"uris":["http://www.mendeley.com/documents/?uuid=5738fb88-2a9c-4bca-9e0d-2c73d089dd61"]}],"mendeley":{"formattedCitation":"[64, 65]","plainTextFormattedCitation":"[64, 65]","previouslyFormattedCitation":"[65, 66]"},"properties":{"noteIndex":0},"schema":"https://github.com/citation-style-language/schema/raw/master/csl-citation.json"}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[64, 65]</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xml:space="preserve">. For individuals younger than </w:t>
      </w:r>
      <w:r w:rsidRPr="00AC52E1">
        <w:rPr>
          <w:rFonts w:ascii="Times New Roman" w:eastAsia="Calibri" w:hAnsi="Times New Roman" w:cs="Times New Roman"/>
          <w:sz w:val="24"/>
          <w:szCs w:val="24"/>
        </w:rPr>
        <w:t>19 y</w:t>
      </w:r>
      <w:r w:rsidRPr="00AC52E1">
        <w:rPr>
          <w:rFonts w:asciiTheme="majorBidi" w:hAnsiTheme="majorBidi" w:cstheme="majorBidi"/>
          <w:sz w:val="24"/>
          <w:szCs w:val="24"/>
        </w:rPr>
        <w:t xml:space="preserve"> (children), we reduced hospitalization probability given an infection by 75%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{"citationItems":[{"id":"ITEM-1","itemData":{"DOI":"10.1542/peds.2008-0977","ISSN":"00314005","abstract":"OBJECTIVE: This study investigated the influence of oseltamivir on influenza-related complications and hospitalizations for children and adolescents, 1 to 17 years of age, with chronic medical conditions or neurologic or neuromuscular disease. METHODS: In a retrospective study, outcomes for patients who were given oseltamivir within 1 day after influenza diagnosis were compared with those for patients who received no antiviral therapy. Anonymous data from MarketScan databases (Thomson Reuters, Cambridge, MA) were used to identify patients from 6 influenza seasons between 2000 and 2006. The study outcomes were frequencies of pneumonia, respiratory illnesses other than pneumonia, otitis media, and hospitalization. RESULTS: Oseltamivir was prescribed for 1634 patients according to the study criteria, and 3721 patients received no antiviral therapy for their influenza. After adjustment for demographic and medical history variables, oseltamivir was associated with significant reductions in the risks of respiratory illnesses other than pneumonia, otitis media and its complications, and all-cause hospitalization in the 14 days after influenza diagnosis. Analyses for 30 days after influenza diagnosis also showed significant risk reductions for respiratory illnesses other than pneumonia, otitis media and its complications, and all-cause hospitalization with oseltamivir. CONCLUSION: When it was prescribed at influenza diagnosis, oseltamivir was associated with reduced risks of influenza-related complications and hospitalizations for children and adolescents at high risk of influenza complications. Copyright © 2009 by the American Academy of Pediatrics.","author":[{"dropping-particle":"","family":"Piedra","given":"Pedro A.","non-dropping-particle":"","parse-names":false,"suffix":""},{"dropping-particle":"","family":"Schulman","given":"Kathy L.","non-dropping-particle":"","parse-names":false,"suffix":""},{"dropping-particle":"","family":"Blumentals","given":"William A.","non-dropping-particle":"","parse-names":false,"suffix":""}],"container-title":"Pediatrics","id":"ITEM-1","issue":"1","issued":{"date-parts":[["2009","7"]]},"page":"170-178","title":"Effects of oseltamivir on influenza-related complications in children with chronic medical conditions","type":"article-journal","volume":"124"},"uris":["http://www.mendeley.com/documents/?uuid=5738fb88-2a9c-4bca-9e0d-2c73d089dd61"]}],"mendeley":{"formattedCitation":"[65]","plainTextFormattedCitation":"[65]","previouslyFormattedCitation":"[66]"},"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[65]</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For adults older than</w:t>
      </w:r>
      <w:r w:rsidRPr="00AC52E1">
        <w:rPr>
          <w:rFonts w:ascii="Times New Roman" w:eastAsia="Calibri" w:hAnsi="Times New Roman" w:cs="Times New Roman"/>
          <w:sz w:val="24"/>
          <w:szCs w:val="24"/>
        </w:rPr>
        <w:t xml:space="preserve"> 19 y</w:t>
      </w:r>
      <w:r w:rsidRPr="00AC52E1">
        <w:rPr>
          <w:rFonts w:asciiTheme="majorBidi" w:hAnsiTheme="majorBidi" w:cstheme="majorBidi"/>
          <w:sz w:val="24"/>
          <w:szCs w:val="24"/>
        </w:rPr>
        <w:t xml:space="preserve">, we reduced the probability by 59% </w:t>
      </w:r>
      <w:r w:rsidRPr="00AC52E1">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{"citationItems":[{"id":"ITEM-1","itemData":{"DOI":"10.1001/archinte.163.14.1667","ISSN":"00039926","abstract":"Background: Influenza causes lower respiratory tract complications (LRTCs), particularly bronchitis and pneumonia, in both otherwise healthy adults and those with underlying conditions. The aim of this study was to assess the effect of oseltamivir treatment on the incidence of LRTCs leading to antibiotic treatment and hospitalizations following influenza illness. Methods: We analyzed prospectively collected data on LRTCs and antibiotic use from 3564 subjects (age range, 13-97 years) with influenzalike illness enrolled in 10 placebo-controlled, double-blind trials of oseltamivir treatment. Results: In adults and adolescents with a proven influenza illness, oseltamivir treatment reduced overall antibiotic use for any reason by 26.7% (14.0% vs 19.1% with placebo; P&lt;.001) and the incidence of influenza-related LRTCs resulting in antibiotic therapy by 55% (4.6% vs 10.3% with placebo; P&lt;.001). In those subjects considered at increased risk of complications, 74 (18.5%) of 401 placebo recipients developed an LRTC leading to antibiotic use compared with 45 (12.2%) of 368 oseltamivir recipients (34.0% reduction; P=.02). Hospitalization for any cause occurred in 18 (1.7%) of 1063 placebo recipients compared with 9 (0.7%) of 1350 oseltamivir-treated patients (59% reduction; P=.02). In contrast, among subjects with an influenzalike illness but without a confirmed influenza infection, the incidence of LRTCs (6.7% vs 5.3%), overall antibiotic use (19.7% vs 19.3%), or hospitalizations (1.7% vs 1.9%) was similar between placebo and oseltamivir recipients, respectively. Conclusion: Oseltamivir treatment of influenza illness reduces LRTCs, antibiotic use, and hospitalization in both healthy and \"at-risk\" adults.","author":[{"dropping-particle":"","family":"Kaiser","given":"Laurent","non-dropping-particle":"","parse-names":false,"suffix":""},{"dropping-particle":"","family":"Wat","given":"Cynthia","non-dropping-particle":"","parse-names":false,"suffix":""},{"dropping-particle":"","family":"Mills","given":"Tracy","non-dropping-particle":"","parse-names":false,"suffix":""},{"dropping-particle":"","family":"Mahoney","given":"Paul","non-dropping-particle":"","parse-names":false,"suffix":""},{"dropping-particle":"","family":"Ward","given":"Penelope","non-dropping-particle":"","parse-names":false,"suffix":""},{"dropping-particle":"","family":"Hayden","given":"Frederick","non-dropping-particle":"","parse-names":false,"suffix":""}],"container-title":"Archives of Internal Medicine","id":"ITEM-1","issue":"14","issued":{"date-parts":[["2003","7","28"]]},"page":"1667-1672","title":"Impact of oseltamivir treatment on influenza-related lower respiratory tract complications and hospitalizations","type":"article-journal","volume":"163"},"uris":["http://www.mendeley.com/documents/?uuid=a268ffa4-3177-4646-a6fc-d48f65c9b9c1"]}],"mendeley":{"formattedCitation":"[64]","plainTextFormattedCitation":"[64]","previouslyFormattedCitation":"[65]"},"properties":{"noteIndex":0},"schema":"https://github.com/citation-style-language/schema/raw/master/csl-citation.json"}</w:instrText>
      </w:r>
      <w:r w:rsidRPr="00AC52E1">
        <w:rPr>
          <w:rFonts w:asciiTheme="majorBidi" w:hAnsiTheme="majorBidi" w:cstheme="majorBidi"/>
          <w:sz w:val="24"/>
          <w:szCs w:val="24"/>
        </w:rPr>
        <w:fldChar w:fldCharType="separate"/>
      </w:r>
      <w:r w:rsidRPr="006369F1">
        <w:rPr>
          <w:rFonts w:asciiTheme="majorBidi" w:hAnsiTheme="majorBidi" w:cstheme="majorBidi"/>
          <w:noProof/>
          <w:sz w:val="24"/>
          <w:szCs w:val="24"/>
        </w:rPr>
        <w:t>[64]</w:t>
      </w:r>
      <w:r w:rsidRPr="00AC52E1">
        <w:rPr>
          <w:rFonts w:asciiTheme="majorBidi" w:hAnsiTheme="majorBidi" w:cstheme="majorBidi"/>
          <w:sz w:val="24"/>
          <w:szCs w:val="24"/>
        </w:rPr>
        <w:fldChar w:fldCharType="end"/>
      </w:r>
      <w:r w:rsidRPr="00AC52E1">
        <w:rPr>
          <w:rFonts w:asciiTheme="majorBidi" w:hAnsiTheme="majorBidi" w:cstheme="majorBidi"/>
          <w:sz w:val="24"/>
          <w:szCs w:val="24"/>
        </w:rPr>
        <w:t xml:space="preserve">. </w:t>
      </w:r>
      <w:r w:rsidRPr="00AC52E1">
        <w:rPr>
          <w:rFonts w:ascii="Times New Roman" w:eastAsia="Calibri" w:hAnsi="Times New Roman" w:cs="Times New Roman"/>
          <w:sz w:val="24"/>
          <w:szCs w:val="24"/>
        </w:rPr>
        <w:t>We</w:t>
      </w:r>
      <w:r w:rsidRPr="00AC52E1">
        <w:rPr>
          <w:rFonts w:asciiTheme="majorBidi" w:hAnsiTheme="majorBidi" w:cstheme="majorBidi"/>
          <w:sz w:val="24"/>
          <w:szCs w:val="24"/>
          <w:shd w:val="clear" w:color="auto" w:fill="FFFFFF"/>
        </w:rPr>
        <w:t xml:space="preserve"> also conducted a sensitivity analysis that considered the uncertainty of the effectiveness of treatment concerning preventing hospitalizations. We considered early treatment's effectiveness to range between 11-89% in adults and 11-81% in children </w:t>
      </w:r>
      <w:r w:rsidRPr="00AC52E1">
        <w:rPr>
          <w:sz w:val="24"/>
          <w:szCs w:val="24"/>
        </w:rPr>
        <w:fldChar w:fldCharType="begin" w:fldLock="1"/>
      </w:r>
      <w:r>
        <w:rPr>
          <w:rFonts w:asciiTheme="majorBidi" w:eastAsia="Times New Roman" w:hAnsiTheme="majorBidi" w:cstheme="majorBidi"/>
          <w:color w:val="000000"/>
          <w:sz w:val="24"/>
          <w:szCs w:val="24"/>
        </w:rPr>
        <w:instrText>ADDIN CSL_CITATION {"citationItems":[{"id":"ITEM-1","itemData":{"DOI":"10.1542/peds.2008-0977","ISSN":"00314005","abstract":"OBJECTIVE: This study investigated the influence of oseltamivir on influenza-related complications and hospitalizations for children and adolescents, 1 to 17 years of age, with chronic medical conditions or neurologic or neuromuscular disease. METHODS: In a retrospective study, outcomes for patients who were given oseltamivir within 1 day after influenza diagnosis were compared with those for patients who received no antiviral therapy. Anonymous data from MarketScan databases (Thomson Reuters, Cambridge, MA) were used to identify patients from 6 influenza seasons between 2000 and 2006. The study outcomes were frequencies of pneumonia, respiratory illnesses other than pneumonia, otitis media, and hospitalization. RESULTS: Oseltamivir was prescribed for 1634 patients according to the study criteria, and 3721 patients received no antiviral therapy for their influenza. After adjustment for demographic and medical history variables, oseltamivir was associated with significant reductions in the risks of respiratory illnesses other than pneumonia, otitis media and its complications, and all-cause hospitalization in the 14 days after influenza diagnosis. Analyses for 30 days after influenza diagnosis also showed significant risk reductions for respiratory illnesses other than pneumonia, otitis media and its complications, and all-cause hospitalization with oseltamivir. CONCLUSION: When it was prescribed at influenza diagnosis, oseltamivir was associated with reduced risks of influenza-related complications and hospitalizations for children and adolescents at high risk of influenza complications. Copyright © 2009 by the American Academy of Pediatrics.","author":[{"dropping-particle":"","family":"Piedra","given":"Pedro A.","non-dropping-particle":"","parse-names":false,"suffix":""},{"dropping-particle":"","family":"Schulman","given":"Kathy L.","non-dropping-particle":"","parse-names":false,"suffix":""},{"dropping-particle":"","family":"Blumentals","given":"William A.","non-dropping-particle":"","parse-names":false,"suffix":""}],"container-title":"Pediatrics","id":"ITEM-1","issue":"1","issued":{"date-parts":[["2009","7"]]},"page":"170-178","title":"Effects of oseltamivir on influenza-related complications in children with chronic medical conditions","type":"article-journal","volume":"124"},"uris":["http://www.mendeley.com/documents/?uuid=5738fb88-2a9c-4bca-9e0d-2c73d089dd61"]},{"id":"ITEM-2","itemData":{"DOI":"10.1001/archinte.163.14.1667","ISSN":"00039926","abstract":"Background: Influenza causes lower respiratory tract complications (LRTCs), particularly bronchitis and pneumonia, in both otherwise healthy adults and those with underlying conditions. The aim of this study was to assess the effect of oseltamivir treatment on the incidence of LRTCs leading to antibiotic treatment and hospitalizations following influenza illness. Methods: We analyzed prospectively collected data on LRTCs and antibiotic use from 3564 subjects (age range, 13-97 years) with influenzalike illness enrolled in 10 placebo-controlled, double-blind trials of oseltamivir treatment. Results: In adults and adolescents with a proven influenza illness, oseltamivir treatment reduced overall antibiotic use for any reason by 26.7% (14.0% vs 19.1% with placebo; P&lt;.001) and the incidence of influenza-related LRTCs resulting in antibiotic therapy by 55% (4.6% vs 10.3% with placebo; P&lt;.001). In those subjects considered at increased risk of complications, 74 (18.5%) of 401 placebo recipients developed an LRTC leading to antibiotic use compared with 45 (12.2%) of 368 oseltamivir recipients (34.0% reduction; P=.02). Hospitalization for any cause occurred in 18 (1.7%) of 1063 placebo recipients compared with 9 (0.7%) of 1350 oseltamivir-treated patients (59% reduction; P=.02). In contrast, among subjects with an influenzalike illness but without a confirmed influenza infection, the incidence of LRTCs (6.7% vs 5.3%), overall antibiotic use (19.7% vs 19.3%), or hospitalizations (1.7% vs 1.9%) was similar between placebo and oseltamivir recipients, respectively. Conclusion: Oseltamivir treatment of influenza illness reduces LRTCs, antibiotic use, and hospitalization in both healthy and \"at-risk\" adults.","author":[{"dropping-particle":"","family":"Kaiser","given":"Laurent","non-dropping-particle":"","parse-names":false,"suffix":""},{"dropping-particle":"","family":"Wat","given":"Cynthia","non-dropping-particle":"","parse-names":false,"suffix":""},{"dropping-particle":"","family":"Mills","given":"Tracy","non-dropping-particle":"","parse-names":false,"suffix":""},{"dropping-particle":"","family":"Mahoney","given":"Paul","non-dropping-particle":"","parse-names":false,"suffix":""},{"dropping-particle":"","family":"Ward","given":"Penelope","non-dropping-particle":"","parse-names":false,"suffix":""},{"dropping-particle":"","family":"Hayden","given":"Frederick","non-dropping-particle":"","parse-names":false,"suffix":""}],"container-title":"Archives of Internal Medicine","id":"ITEM-2","issue":"14","issued":{"date-parts":[["2003","7","28"]]},"page":"1667-1672","title":"Impact of oseltamivir treatment on influenza-related lower respiratory tract complications and hospitalizations","type":"article-journal","volume":"163"},"uris":["http://www.mendeley.com/documents/?uuid=a268ffa4-3177-4646-a6fc-d48f65c9b9c1"]},{"id":"ITEM-3","itemData":{"DOI":"10.1093/cid/cix127","ISSN":"15376591","PMID":"28199524","abstract":"Background. While evidence exists to support the effectiveness of neuraminidase inhibitors (NAIs) in reducing mortality when given to hospitalized patients with A(H1N1)pdm09 virus infection, the impact of outpatient treatment on hospitalization has not been clearly established. We investigated the impact of outpatient NAI treatment on subsequent hospitalization in patients with A(H1N1)pdm09 virus infection. Methods. We assembled general community and outpatient data from 9 clinical centers in different countries collected between January 2009 and December 2010. We standardized data from each study center to create a pooled dataset and then used mixed-effects logistic regression modeling to determine the effect of NAI treatment on hospitalization. We adjusted for NAI treatment propensity and preadmission antibiotic use, including \"study center\" as a random intercept to account for differences in baseline hospitalization rate between centers. Results. We included 3376 patients with influenza A(H1N1)pdm09, of whom 3085 (91.4%) had laboratory-confirmed infection. Eight hundred seventy-three patients (25.8%) received outpatient or community-based NAI treatment, 928 of 2395 (38.8%) with available data had dyspnea or respiratory distress, and hospitalizations occurred in 1705 (50.5%). After adjustment for preadmission antibiotics and NAI treatment propensity, preadmission NAI treatment was associated with decreased odds of hospital admission compared to no NAI treatment (adjusted odds ratio, 0.24; 95% confidence interval, 0.20-0.30). Conclusions. In a population with confirmed or suspected A(H1N1)pdm09 and at high risk of hospitalization, outpatient or community-based NAI treatment significantly reduced the likelihood of requiring hospital admission. These data suggest that community patients with severe influenza should receive NAI treatment.","author":[{"dropping-particle":"","family":"Venkatesan","given":"Sudhir","non-dropping-particle":"","parse-names":false,"suffix":""},{"dropping-particle":"","family":"Myles","given":"Puja R.","non-dropping-particle":"","parse-names":false,"suffix":""},{"dropping-particle":"","family":"Leonardi-Bee","given":"Jo","non-dropping-particle":"","parse-names":false,"suffix":""},{"dropping-particle":"","family":"Muthuri","given":"Stella G.","non-dropping-particle":"","parse-names":false,"suffix":""},{"dropping-particle":"","family":"Masri","given":"Malak","non-dropping-particle":"Al","parse-names":false,"suffix":""},{"dropping-particle":"","family":"Andrews","given":"Nick","non-dropping-particle":"","parse-names":false,"suffix":""},{"dropping-particle":"","family":"Bantar","given":"Carlos","non-dropping-particle":"","parse-names":false,"suffix":""},{"dropping-particle":"","family":"Dubnov-Raz","given":"Gal","non-dropping-particle":"","parse-names":false,"suffix":""},{"dropping-particle":"","family":"Grardin","given":"Patrick","non-dropping-particle":"","parse-names":false,"suffix":""},{"dropping-particle":"","family":"Koay","given":"Evelyn S.C.","non-dropping-particle":"","parse-names":false,"suffix":""},{"dropping-particle":"","family":"Loh","given":"Tze Ping","non-dropping-particle":"","parse-names":false,"suffix":""},{"dropping-particle":"","family":"Memish","given":"Ziad","non-dropping-particle":"","parse-names":false,"suffix":""},{"dropping-particle":"","family":"Miller","given":"Elizabeth","non-dropping-particle":"","parse-names":false,"suffix":""},{"dropping-particle":"","family":"Oliva","given":"Maria E.","non-dropping-particle":"","parse-names":false,"suffix":""},{"dropping-particle":"","family":"Rath","given":"Barbara A.","non-dropping-particle":"","parse-names":false,"suffix":""},{"dropping-particle":"","family":"Schweiger","given":"Brunhilde","non-dropping-particle":"","parse-names":false,"suffix":""},{"dropping-particle":"","family":"Tang","given":"Julian W.","non-dropping-particle":"","parse-names":false,"suffix":""},{"dropping-particle":"","family":"Tran","given":"Dat","non-dropping-particle":"","parse-names":false,"suffix":""},{"dropping-particle":"","family":"Vidmar","given":"Tjasa","non-dropping-particle":"","parse-names":false,"suffix":""},{"dropping-particle":"","family":"Waight","given":"Pauline A.","non-dropping-particle":"","parse-names":false,"suffix":""},{"dropping-particle":"","family":"Nguyen-Van-Tam","given":"Jonathan S.","non-dropping-particle":"","parse-names":false,"suffix":""}],"container-title":"Clinical Infectious Diseases","id":"ITEM-3","issue":"10","issued":{"date-parts":[["2017","5","15"]]},"page":"1328-1334","publisher":"Oxford University Press","title":"Impact of Outpatient Neuraminidase Inhibitor Treatment in Patients Infected with Influenza A(H1N1)pdm09 at High Risk of Hospitalization: An Individual Participant Data Metaanalysis","type":"article-journal","volume":"64"},"uris":["http://www.mendeley.com/documents/?uuid=5b03e7d4-0178-3f17-aa27-aec8dbd40de5"]},{"id":"ITEM-4","itemData":{"DOI":"10.1093/cid/ciaa074","ISSN":"1058-4838","abstract":"BACKGROUND: Clinicians may prescribe antibiotics to influenza patients at high risk  for bacterial complications. We explored the association between antibiotics, antivirals and hospitalization among influenza patients. METHODS: A retrospective cohort study of confirmed influenza patients with encounters during January 2011-January 2019 was conducted using data from the VA Informatics and Computing Infrastructure (VINCI). We compared inpatient hospitalizations (all-cause and respiratory) within 30 days of influenza diagnosis between four patient cohorts: (1) no treatment (n=4,228); 2) antibiotic only (n=671); 3) antiviral only (n=6,492); and 4) antibiotic + antiviral (n=1,415). We estimate relative risk for hospitalization using Poisson generalized linear model and robust standard errors. RESULTS: Among 12,806 influenza cases, most were white males with a mean age between 57 and 60 years. Those with antivirals only, antibiotic + antiviral, and antibiotics only all have a statistically significant lower risk of all-cause and respiratory hospitalization compared to those without treatment. Comparing the antibiotic + antiviral cohort to those who were prescribed an antiviral alone, there was 47% lower risk for respiratory hospitalization (RR=0.53, 95% CI=0.31-0.94) and no other statistical differences were detected. CONCLUSIONS: Those prescribed an antiviral, antibiotic, or both had a lower risk of hospitalization within 30 days compared to those without therapy. Furthermore, intervention with both an antibiotic and antiviral had a lower risk of respiratory hospitalization within 30 days compared to those with an antiviral alone. Importantly, the absolute magnitude of decreased risk with antibiotic + antiviral therapy is small and must be interpreted within the context of the overall risk of antibiotic usage.","author":[{"dropping-particle":"","family":"Sutton","given":"S Scott","non-dropping-particle":"","parse-names":false,"suffix":""},{"dropping-particle":"","family":"Magagnoli","given":"Joseph","non-dropping-particle":"","parse-names":false,"suffix":""},{"dropping-particle":"","family":"Cummings","given":"Tammy","non-dropping-particle":"","parse-names":false,"suffix":""},{"dropping-particle":"","family":"Hardin","given":"James","non-dropping-particle":"","parse-names":false,"suffix":""}],"container-title":"Clinical Infectious Diseases","id":"ITEM-4","issued":{"date-parts":[["2020","1","24"]]},"publisher":"Oxford University Press (OUP)","title":"Association between the Use of Antibiotics, Antivirals, and Hospitalizations among Patients with Laboratory Confirmed Influenza","type":"article-journal"},"uris":["http://www.mendeley.com/documents/?uuid=ad1b4d8a-df75-4e4c-bcaf-4b28291120e2"]},{"id":"ITEM-5","itemData":{"abstract":"Background: Systematic reviews of randomized, controlled trials in patients with influenza suggest a lack of evidence about the effects of antiviral therapy on several patient-important outcomes of influenza.","author":[{"dropping-particle":"","family":"Hsu","given":"Jonathan","non-dropping-particle":"","parse-names":false,"suffix":""},{"dropping-particle":"","family":"Santesso","given":"Nancy","non-dropping-particle":"","parse-names":false,"suffix":""},{"dropping-particle":"","family":"Mustafa","given":"Reem","non-dropping-particle":"","parse-names":false,"suffix":""},{"dropping-particle":"","family":"Brozek","given":"Jan","non-dropping-particle":"","parse-names":false,"suffix":""},{"dropping-particle":"","family":"Long Chen","given":"Yao","non-dropping-particle":"","parse-names":false,"suffix":""},{"dropping-particle":"","family":"Hopkins","given":"Jessica P","non-dropping-particle":"","parse-names":false,"suffix":""},{"dropping-particle":"","family":"Cheung","given":"Adrienne","non-dropping-particle":"","parse-names":false,"suffix":""},{"dropping-particle":"","family":"Hovhannisyan","given":"Gayane","non-dropping-particle":"","parse-names":false,"suffix":""},{"dropping-particle":"","family":"Ivanova","given":"Liudmila","non-dropping-particle":"","parse-names":false,"suffix":""},{"dropping-particle":"","family":"Flottorp","given":"Signe A","non-dropping-particle":"","parse-names":false,"suffix":""},{"dropping-particle":"","family":"Saeterdal","given":"Ingvil","non-dropping-particle":"","parse-names":false,"suffix":""},{"dropping-particle":"","family":"Wong","given":"Arthur D","non-dropping-particle":"","parse-names":false,"suffix":""},{"dropping-particle":"","family":"Tian","given":"Jinhui","non-dropping-particle":"","parse-names":false,"suffix":""},{"dropping-particle":"","family":"Uyeki","given":"Timothy M","non-dropping-particle":"","parse-names":false,"suffix":""},{"dropping-particle":"","family":"Akl","given":"Elie A","non-dropping-particle":"","parse-names":false,"suffix":""},{"dropping-particle":"","family":"Alonso-Coello","given":"Pablo","non-dropping-particle":"","parse-names":false,"suffix":""},{"dropping-particle":"","family":"Smaill","given":"Fiona","non-dropping-particle":"","parse-names":false,"suffix":""},{"dropping-particle":"","family":"Schü nemann","given":"Holger J","non-dropping-particle":"","parse-names":false,"suffix":""}],"id":"ITEM-5","issued":{"date-parts":[["2012"]]},"title":"Antivirals for Treatment of Influenza A Systematic Review and Meta-analysis of Observational Studies","type":"report"},"uris":["http://www.mendeley.com/documents/?uuid=b005feab-26dd-3721-92ea-4291bc0bdc20"]},{"id":"ITEM-6","itemData":{"DOI":"10.1093/cid/cir400","ISSN":"10584838","PMID":"21677258","abstract":"An independent reanalysis of 11 randomized clinical trials shows that oseltamivir treatment reduces the risk of lower respiratory tract complications requiring antibiotic treatment by 28% overall (95% confidence interval [CI], 11%-42%) and by 37% among patients with confirmed influenza infections (95% CI, 18%-52%). © 2011 The Author Published by Oxford University Press on behalf of the Infectious Diseases Society of America. All rights reserved.","author":[{"dropping-particle":"","family":"Hernán","given":"Miguel A.","non-dropping-particle":"","parse-names":false,"suffix":""},{"dropping-particle":"","family":"Lipsitch","given":"Marc","non-dropping-particle":"","parse-names":false,"suffix":""}],"container-title":"Clinical Infectious Diseases","id":"ITEM-6","issue":"3","issued":{"date-parts":[["2011","8","1"]]},"page":"277-279","publisher":"Oxford University Press","title":"Oseltamivir and risk of lower respiratory tract complications in patients with flu symptoms: A meta-analysis of eleven randomized clinical trials","type":"article-journal","volume":"53"},"uris":["http://www.mendeley.com/documents/?uuid=9fa703b0-4a88-38b0-8a95-a909897a64c6"]}],"mendeley":{"formattedCitation":"[20, 64–68]","plainTextFormattedCitation":"[20, 64–68]","previouslyFormattedCitation":"[20, 65–69]"},"properties":{"noteIndex":0},"schema":"https://github.com/citation-style-language/schema/raw/master/csl-citation.json"}</w:instrText>
      </w:r>
      <w:r w:rsidRPr="00AC52E1">
        <w:rPr>
          <w:sz w:val="24"/>
          <w:szCs w:val="24"/>
        </w:rPr>
        <w:fldChar w:fldCharType="separate"/>
      </w:r>
      <w:r w:rsidRPr="006369F1">
        <w:rPr>
          <w:rFonts w:asciiTheme="majorBidi" w:eastAsia="Times New Roman" w:hAnsiTheme="majorBidi" w:cstheme="majorBidi"/>
          <w:noProof/>
          <w:color w:val="000000"/>
          <w:sz w:val="24"/>
          <w:szCs w:val="24"/>
        </w:rPr>
        <w:t>[20, 64–68]</w:t>
      </w:r>
      <w:r w:rsidRPr="00AC52E1">
        <w:rPr>
          <w:sz w:val="24"/>
          <w:szCs w:val="24"/>
        </w:rPr>
        <w:fldChar w:fldCharType="end"/>
      </w:r>
      <w:r w:rsidRPr="00AC52E1">
        <w:rPr>
          <w:rFonts w:asciiTheme="majorBidi" w:hAnsiTheme="majorBidi" w:cstheme="majorBidi"/>
          <w:sz w:val="24"/>
          <w:szCs w:val="24"/>
          <w:shd w:val="clear" w:color="auto" w:fill="FFFFFF"/>
        </w:rPr>
        <w:t>.</w:t>
      </w:r>
    </w:p>
    <w:p w14:paraId="22705B0D" w14:textId="77777777" w:rsidR="00285089" w:rsidRPr="00BE0FA3" w:rsidRDefault="00285089" w:rsidP="00285089">
      <w:pPr>
        <w:spacing w:line="360" w:lineRule="auto"/>
        <w:ind w:right="45"/>
        <w:jc w:val="both"/>
        <w:rPr>
          <w:rFonts w:asciiTheme="majorBidi" w:hAnsiTheme="majorBidi" w:cstheme="majorBidi"/>
          <w:i/>
          <w:iCs/>
          <w:sz w:val="24"/>
          <w:szCs w:val="24"/>
        </w:rPr>
      </w:pPr>
      <w:r w:rsidRPr="00BE0FA3">
        <w:rPr>
          <w:rFonts w:asciiTheme="majorBidi" w:hAnsiTheme="majorBidi" w:cstheme="majorBidi"/>
          <w:i/>
          <w:iCs/>
          <w:sz w:val="24"/>
          <w:szCs w:val="24"/>
        </w:rPr>
        <w:lastRenderedPageBreak/>
        <w:t>Vaccination coverage</w:t>
      </w:r>
    </w:p>
    <w:p w14:paraId="4B61D81D" w14:textId="77777777" w:rsidR="00285089" w:rsidRDefault="00285089" w:rsidP="00285089">
      <w:pPr>
        <w:spacing w:line="360" w:lineRule="auto"/>
        <w:ind w:left="-5" w:right="45"/>
        <w:jc w:val="both"/>
        <w:rPr>
          <w:rFonts w:asciiTheme="majorBidi" w:hAnsiTheme="majorBidi" w:cstheme="majorBidi"/>
          <w:sz w:val="24"/>
          <w:szCs w:val="24"/>
        </w:rPr>
      </w:pPr>
      <w:r w:rsidRPr="00BE0FA3">
        <w:rPr>
          <w:rFonts w:asciiTheme="majorBidi" w:hAnsiTheme="majorBidi" w:cstheme="majorBidi"/>
          <w:sz w:val="24"/>
          <w:szCs w:val="24"/>
        </w:rPr>
        <w:t xml:space="preserve">We estimated the vaccination coverage based on the </w:t>
      </w:r>
      <w:proofErr w:type="spellStart"/>
      <w:r w:rsidRPr="00BE0FA3">
        <w:rPr>
          <w:rFonts w:asciiTheme="majorBidi" w:hAnsiTheme="majorBidi" w:cstheme="majorBidi"/>
          <w:sz w:val="24"/>
          <w:szCs w:val="24"/>
        </w:rPr>
        <w:t>Centers</w:t>
      </w:r>
      <w:proofErr w:type="spellEnd"/>
      <w:r w:rsidRPr="00BE0FA3">
        <w:rPr>
          <w:rFonts w:asciiTheme="majorBidi" w:hAnsiTheme="majorBidi" w:cstheme="majorBidi"/>
          <w:sz w:val="24"/>
          <w:szCs w:val="24"/>
        </w:rPr>
        <w:t xml:space="preserve"> for Disease Control and Prevention (CDC) data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{"citationItems":[{"id":"ITEM-1","itemData":{"URL":"https://www.cdc.gov/flu/fluvaxview/reportshtml/trends/index.html","accessed":{"date-parts":[["2020","1","28"]]},"id":"ITEM-1","issued":{"date-parts":[["0"]]},"title":"2010-11 through 2018-19 Influenza Seasons Vaccination Coverage Trend Report | FluVaxView | Seasonal Influenza (Flu) | CDC","type":"webpage"},"uris":["http://www.mendeley.com/documents/?uuid=cb421fdc-3610-3e74-850c-d00d84c01b41"]}],"mendeley":{"formattedCitation":"[69]","plainTextFormattedCitation":"[69]","previouslyFormattedCitation":"[70]"},"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[69]</w:t>
      </w:r>
      <w:r w:rsidRPr="00BE0FA3">
        <w:rPr>
          <w:rFonts w:asciiTheme="majorBidi" w:hAnsiTheme="majorBidi" w:cstheme="majorBidi"/>
          <w:sz w:val="24"/>
          <w:szCs w:val="24"/>
        </w:rPr>
        <w:fldChar w:fldCharType="end"/>
      </w:r>
      <w:r w:rsidRPr="00BE0FA3">
        <w:rPr>
          <w:rFonts w:asciiTheme="majorBidi" w:hAnsiTheme="majorBidi" w:cstheme="majorBidi"/>
          <w:sz w:val="24"/>
          <w:szCs w:val="24"/>
        </w:rPr>
        <w:t xml:space="preserve">. The data </w:t>
      </w:r>
      <w:r>
        <w:rPr>
          <w:rFonts w:ascii="Times New Roman" w:eastAsia="Calibri" w:hAnsi="Times New Roman" w:cs="Times New Roman"/>
          <w:sz w:val="24"/>
          <w:szCs w:val="24"/>
        </w:rPr>
        <w:t>were</w:t>
      </w:r>
      <w:r w:rsidRPr="00BE0FA3">
        <w:rPr>
          <w:rFonts w:asciiTheme="majorBidi" w:hAnsiTheme="majorBidi" w:cstheme="majorBidi"/>
          <w:sz w:val="24"/>
          <w:szCs w:val="24"/>
        </w:rPr>
        <w:t xml:space="preserve"> stratified by state, age, season, and risk</w:t>
      </w:r>
      <w:r>
        <w:rPr>
          <w:rFonts w:ascii="Times New Roman" w:eastAsia="Calibri" w:hAnsi="Times New Roman" w:cs="Times New Roman"/>
          <w:sz w:val="24"/>
          <w:szCs w:val="24"/>
        </w:rPr>
        <w:t xml:space="preserve"> </w:t>
      </w:r>
      <w:r>
        <w:rPr>
          <w:rFonts w:asciiTheme="majorBidi" w:hAnsiTheme="majorBidi" w:cstheme="majorBidi"/>
          <w:sz w:val="24"/>
          <w:szCs w:val="24"/>
        </w:rPr>
        <w:t>group</w:t>
      </w:r>
      <w:r w:rsidRPr="00BE0FA3">
        <w:rPr>
          <w:rFonts w:asciiTheme="majorBidi" w:hAnsiTheme="majorBidi" w:cstheme="majorBidi"/>
          <w:sz w:val="24"/>
          <w:szCs w:val="24"/>
        </w:rPr>
        <w:t>. We parametrize</w:t>
      </w:r>
      <w:r>
        <w:rPr>
          <w:rFonts w:asciiTheme="majorBidi" w:hAnsiTheme="majorBidi" w:cstheme="majorBidi"/>
          <w:sz w:val="24"/>
          <w:szCs w:val="24"/>
        </w:rPr>
        <w:t>d</w:t>
      </w:r>
      <w:r w:rsidRPr="00BE0FA3">
        <w:rPr>
          <w:rFonts w:asciiTheme="majorBidi" w:hAnsiTheme="majorBidi" w:cstheme="majorBidi"/>
          <w:sz w:val="24"/>
          <w:szCs w:val="24"/>
        </w:rPr>
        <w:t xml:space="preserve"> the vaccination coverage for each season at both</w:t>
      </w:r>
      <w:r>
        <w:rPr>
          <w:rFonts w:ascii="Times New Roman" w:eastAsia="Calibri" w:hAnsi="Times New Roman" w:cs="Times New Roman"/>
          <w:sz w:val="24"/>
          <w:szCs w:val="24"/>
        </w:rPr>
        <w:t xml:space="preserve"> the</w:t>
      </w:r>
      <w:r w:rsidRPr="00BE0FA3">
        <w:rPr>
          <w:rFonts w:asciiTheme="majorBidi" w:hAnsiTheme="majorBidi" w:cstheme="majorBidi"/>
          <w:sz w:val="24"/>
          <w:szCs w:val="24"/>
        </w:rPr>
        <w:t xml:space="preserve"> national and state</w:t>
      </w:r>
      <w:r>
        <w:rPr>
          <w:rFonts w:ascii="Times New Roman" w:eastAsia="Calibri" w:hAnsi="Times New Roman" w:cs="Times New Roman"/>
          <w:sz w:val="24"/>
          <w:szCs w:val="24"/>
        </w:rPr>
        <w:t xml:space="preserve"> levels</w:t>
      </w:r>
      <w:r w:rsidRPr="00BE0FA3">
        <w:rPr>
          <w:rFonts w:asciiTheme="majorBidi" w:hAnsiTheme="majorBidi" w:cstheme="majorBidi"/>
          <w:sz w:val="24"/>
          <w:szCs w:val="24"/>
        </w:rPr>
        <w:t xml:space="preserve"> as observed </w:t>
      </w:r>
      <w:r>
        <w:rPr>
          <w:rFonts w:asciiTheme="majorBidi" w:hAnsiTheme="majorBidi" w:cstheme="majorBidi"/>
          <w:sz w:val="24"/>
          <w:szCs w:val="24"/>
        </w:rPr>
        <w:t>in</w:t>
      </w:r>
      <w:r w:rsidRPr="00BE0FA3">
        <w:rPr>
          <w:rFonts w:asciiTheme="majorBidi" w:hAnsiTheme="majorBidi" w:cstheme="majorBidi"/>
          <w:sz w:val="24"/>
          <w:szCs w:val="24"/>
        </w:rPr>
        <w:t xml:space="preserve"> 2013-2018 (</w:t>
      </w:r>
      <w:r>
        <w:rPr>
          <w:rFonts w:ascii="Times New Roman" w:eastAsia="Calibri" w:hAnsi="Times New Roman" w:cs="Times New Roman"/>
          <w:sz w:val="24"/>
          <w:szCs w:val="24"/>
        </w:rPr>
        <w:t>see</w:t>
      </w:r>
      <w:r w:rsidRPr="00BE0FA3">
        <w:rPr>
          <w:rFonts w:asciiTheme="majorBidi" w:hAnsiTheme="majorBidi" w:cstheme="majorBidi"/>
          <w:sz w:val="24"/>
          <w:szCs w:val="24"/>
        </w:rPr>
        <w:t xml:space="preserve"> Table S2). For national coverage, we used the median vaccination coverage in each season. As some states </w:t>
      </w:r>
      <w:r>
        <w:rPr>
          <w:rFonts w:asciiTheme="majorBidi" w:hAnsiTheme="majorBidi" w:cstheme="majorBidi"/>
          <w:sz w:val="24"/>
          <w:szCs w:val="24"/>
        </w:rPr>
        <w:t>did</w:t>
      </w:r>
      <w:r w:rsidRPr="00BE0FA3">
        <w:rPr>
          <w:rFonts w:asciiTheme="majorBidi" w:hAnsiTheme="majorBidi" w:cstheme="majorBidi"/>
          <w:sz w:val="24"/>
          <w:szCs w:val="24"/>
        </w:rPr>
        <w:t xml:space="preserve"> not have data for </w:t>
      </w:r>
      <w:r>
        <w:rPr>
          <w:rFonts w:ascii="Times New Roman" w:eastAsia="Calibri" w:hAnsi="Times New Roman" w:cs="Times New Roman"/>
          <w:sz w:val="24"/>
          <w:szCs w:val="24"/>
        </w:rPr>
        <w:t>the</w:t>
      </w:r>
      <w:r w:rsidRPr="00BE0FA3">
        <w:rPr>
          <w:rFonts w:asciiTheme="majorBidi" w:hAnsiTheme="majorBidi" w:cstheme="majorBidi"/>
          <w:sz w:val="24"/>
          <w:szCs w:val="24"/>
        </w:rPr>
        <w:t xml:space="preserve"> 2013-14</w:t>
      </w:r>
      <w:r>
        <w:rPr>
          <w:rFonts w:ascii="Times New Roman" w:eastAsia="Calibri" w:hAnsi="Times New Roman" w:cs="Times New Roman"/>
          <w:sz w:val="24"/>
          <w:szCs w:val="24"/>
        </w:rPr>
        <w:t xml:space="preserve"> season</w:t>
      </w:r>
      <w:r w:rsidRPr="00BE0FA3">
        <w:rPr>
          <w:rFonts w:asciiTheme="majorBidi" w:hAnsiTheme="majorBidi" w:cstheme="majorBidi"/>
          <w:sz w:val="24"/>
          <w:szCs w:val="24"/>
        </w:rPr>
        <w:t>, we used the average coverage of seasons 2012-13</w:t>
      </w:r>
      <w:r>
        <w:rPr>
          <w:rFonts w:ascii="Times New Roman" w:eastAsia="Calibri" w:hAnsi="Times New Roman" w:cs="Times New Roman"/>
          <w:sz w:val="24"/>
          <w:szCs w:val="24"/>
        </w:rPr>
        <w:t xml:space="preserve"> and </w:t>
      </w:r>
      <w:r w:rsidRPr="00BE0FA3">
        <w:rPr>
          <w:rFonts w:asciiTheme="majorBidi" w:hAnsiTheme="majorBidi" w:cstheme="majorBidi"/>
          <w:sz w:val="24"/>
          <w:szCs w:val="24"/>
        </w:rPr>
        <w:t xml:space="preserve">2014-15 as the vaccination coverage for </w:t>
      </w:r>
      <w:r>
        <w:rPr>
          <w:rFonts w:asciiTheme="majorBidi" w:hAnsiTheme="majorBidi" w:cstheme="majorBidi"/>
          <w:sz w:val="24"/>
          <w:szCs w:val="24"/>
        </w:rPr>
        <w:t>that</w:t>
      </w:r>
      <w:r w:rsidRPr="00BE0FA3">
        <w:rPr>
          <w:rFonts w:asciiTheme="majorBidi" w:hAnsiTheme="majorBidi" w:cstheme="majorBidi"/>
          <w:sz w:val="24"/>
          <w:szCs w:val="24"/>
        </w:rPr>
        <w:t xml:space="preserve"> season. </w:t>
      </w:r>
      <w:r>
        <w:rPr>
          <w:rFonts w:asciiTheme="majorBidi" w:hAnsiTheme="majorBidi" w:cstheme="majorBidi"/>
          <w:sz w:val="24"/>
          <w:szCs w:val="24"/>
        </w:rPr>
        <w:t>We used the mean coverage over the five seasons as our baseline scenario. T</w:t>
      </w:r>
      <w:r w:rsidRPr="00BE0FA3">
        <w:rPr>
          <w:rFonts w:asciiTheme="majorBidi" w:hAnsiTheme="majorBidi" w:cstheme="majorBidi"/>
          <w:sz w:val="24"/>
          <w:szCs w:val="24"/>
        </w:rPr>
        <w:t xml:space="preserve">o calculate the effective vaccination coverage </w:t>
      </w:r>
      <w:r>
        <w:rPr>
          <w:rFonts w:asciiTheme="majorBidi" w:hAnsiTheme="majorBidi" w:cstheme="majorBidi"/>
          <w:sz w:val="24"/>
          <w:szCs w:val="24"/>
        </w:rPr>
        <w:t>(see eq.</w:t>
      </w:r>
      <w:r w:rsidRPr="00BE0FA3">
        <w:rPr>
          <w:rFonts w:asciiTheme="majorBidi" w:hAnsiTheme="majorBidi" w:cstheme="majorBidi"/>
          <w:sz w:val="24"/>
          <w:szCs w:val="24"/>
        </w:rPr>
        <w:t xml:space="preserve"> (2)</w:t>
      </w:r>
      <w:r>
        <w:rPr>
          <w:rFonts w:asciiTheme="majorBidi" w:hAnsiTheme="majorBidi" w:cstheme="majorBidi"/>
          <w:sz w:val="24"/>
          <w:szCs w:val="24"/>
        </w:rPr>
        <w:t>)</w:t>
      </w:r>
      <w:r w:rsidRPr="00BE0FA3">
        <w:rPr>
          <w:rFonts w:asciiTheme="majorBidi" w:hAnsiTheme="majorBidi" w:cstheme="majorBidi"/>
          <w:sz w:val="24"/>
          <w:szCs w:val="24"/>
        </w:rPr>
        <w:t xml:space="preserve">, the vaccination coverage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j,k</m:t>
            </m:r>
          </m:sub>
        </m:sSub>
        <m:r>
          <w:rPr>
            <w:rFonts w:ascii="Cambria Math" w:hAnsi="Cambria Math" w:cstheme="majorBidi"/>
            <w:sz w:val="24"/>
            <w:szCs w:val="24"/>
          </w:rPr>
          <m:t xml:space="preserve"> </m:t>
        </m:r>
      </m:oMath>
      <w:r w:rsidRPr="00BE0FA3">
        <w:rPr>
          <w:rFonts w:asciiTheme="majorBidi" w:hAnsiTheme="majorBidi" w:cstheme="majorBidi"/>
          <w:sz w:val="24"/>
          <w:szCs w:val="24"/>
        </w:rPr>
        <w:t xml:space="preserve">is multiplied by the vaccination efficacy </w:t>
      </w:r>
      <m:oMath>
        <m:r>
          <w:rPr>
            <w:rFonts w:ascii="Cambria Math" w:hAnsi="Cambria Math" w:cstheme="majorBidi"/>
            <w:sz w:val="24"/>
            <w:szCs w:val="24"/>
          </w:rPr>
          <m:t>η</m:t>
        </m:r>
      </m:oMath>
      <w:r w:rsidRPr="00BE0FA3">
        <w:rPr>
          <w:rFonts w:asciiTheme="majorBidi" w:hAnsiTheme="majorBidi" w:cstheme="majorBidi"/>
          <w:sz w:val="24"/>
          <w:szCs w:val="24"/>
        </w:rPr>
        <w:t>.</w:t>
      </w:r>
    </w:p>
    <w:p w14:paraId="03ACBAF0" w14:textId="77777777" w:rsidR="00285089" w:rsidRPr="00BE0FA3" w:rsidRDefault="00285089" w:rsidP="00285089">
      <w:pPr>
        <w:spacing w:line="360" w:lineRule="auto"/>
        <w:ind w:right="45"/>
        <w:jc w:val="both"/>
        <w:rPr>
          <w:rFonts w:asciiTheme="majorBidi" w:hAnsiTheme="majorBidi" w:cstheme="majorBidi"/>
          <w:sz w:val="24"/>
          <w:szCs w:val="24"/>
        </w:rPr>
      </w:pPr>
    </w:p>
    <w:p w14:paraId="148C39F8" w14:textId="77777777" w:rsidR="00285089" w:rsidRPr="006B402A" w:rsidRDefault="00285089" w:rsidP="00285089">
      <w:pPr>
        <w:spacing w:after="350" w:line="360" w:lineRule="auto"/>
        <w:ind w:right="158"/>
        <w:rPr>
          <w:rFonts w:asciiTheme="majorBidi" w:hAnsiTheme="majorBidi" w:cstheme="majorBidi"/>
          <w:sz w:val="20"/>
          <w:szCs w:val="20"/>
        </w:rPr>
      </w:pPr>
      <w:r w:rsidRPr="006B402A">
        <w:rPr>
          <w:rFonts w:asciiTheme="majorBidi" w:hAnsiTheme="majorBidi" w:cstheme="majorBidi"/>
          <w:b/>
          <w:bCs/>
          <w:sz w:val="20"/>
          <w:szCs w:val="20"/>
        </w:rPr>
        <w:t>Table S2</w:t>
      </w:r>
      <w:r w:rsidRPr="006B402A">
        <w:rPr>
          <w:rFonts w:asciiTheme="majorBidi" w:hAnsiTheme="majorBidi" w:cstheme="majorBidi"/>
          <w:sz w:val="20"/>
          <w:szCs w:val="20"/>
        </w:rPr>
        <w:t xml:space="preserve">. </w:t>
      </w:r>
      <w:r>
        <w:rPr>
          <w:rFonts w:asciiTheme="majorBidi" w:hAnsiTheme="majorBidi" w:cstheme="majorBidi"/>
          <w:sz w:val="20"/>
          <w:szCs w:val="20"/>
        </w:rPr>
        <w:t>mean</w:t>
      </w:r>
      <w:r w:rsidRPr="006B402A">
        <w:rPr>
          <w:rFonts w:asciiTheme="majorBidi" w:hAnsiTheme="majorBidi" w:cstheme="majorBidi"/>
          <w:sz w:val="20"/>
          <w:szCs w:val="20"/>
        </w:rPr>
        <w:t xml:space="preserve"> </w:t>
      </w:r>
      <w:r>
        <w:rPr>
          <w:rFonts w:asciiTheme="majorBidi" w:hAnsiTheme="majorBidi" w:cstheme="majorBidi"/>
          <w:sz w:val="20"/>
          <w:szCs w:val="20"/>
        </w:rPr>
        <w:t>v</w:t>
      </w:r>
      <w:r w:rsidRPr="006B402A">
        <w:rPr>
          <w:rFonts w:asciiTheme="majorBidi" w:hAnsiTheme="majorBidi" w:cstheme="majorBidi"/>
          <w:sz w:val="20"/>
          <w:szCs w:val="20"/>
        </w:rPr>
        <w:t xml:space="preserve">accination coverage </w:t>
      </w:r>
      <w:r w:rsidRPr="006B402A">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{"citationItems":[{"id":"ITEM-1","itemData":{"URL":"https://www.cdc.gov/flu/fluvaxview/reportshtml/trends/index.html","accessed":{"date-parts":[["2020","1","28"]]},"id":"ITEM-1","issued":{"date-parts":[["0"]]},"title":"2010-11 through 2018-19 Influenza Seasons Vaccination Coverage Trend Report | FluVaxView | Seasonal Influenza (Flu) | CDC","type":"webpage"},"uris":["http://www.mendeley.com/documents/?uuid=cb421fdc-3610-3e74-850c-d00d84c01b41"]}],"mendeley":{"formattedCitation":"[69]","plainTextFormattedCitation":"[69]","previouslyFormattedCitation":"[70]"},"properties":{"noteIndex":0},"schema":"https://github.com/citation-style-language/schema/raw/master/csl-citation.json"}</w:instrText>
      </w:r>
      <w:r w:rsidRPr="006B402A">
        <w:rPr>
          <w:rFonts w:asciiTheme="majorBidi" w:hAnsiTheme="majorBidi" w:cstheme="majorBidi"/>
          <w:sz w:val="20"/>
          <w:szCs w:val="20"/>
        </w:rPr>
        <w:fldChar w:fldCharType="separate"/>
      </w:r>
      <w:r w:rsidRPr="006369F1">
        <w:rPr>
          <w:rFonts w:asciiTheme="majorBidi" w:hAnsiTheme="majorBidi" w:cstheme="majorBidi"/>
          <w:noProof/>
          <w:sz w:val="20"/>
          <w:szCs w:val="20"/>
        </w:rPr>
        <w:t>[69]</w:t>
      </w:r>
      <w:r w:rsidRPr="006B402A">
        <w:rPr>
          <w:rFonts w:asciiTheme="majorBidi" w:hAnsiTheme="majorBidi" w:cstheme="majorBidi"/>
          <w:sz w:val="20"/>
          <w:szCs w:val="20"/>
        </w:rPr>
        <w:fldChar w:fldCharType="end"/>
      </w:r>
      <w:r>
        <w:rPr>
          <w:rFonts w:asciiTheme="majorBidi" w:hAnsiTheme="majorBidi" w:cstheme="majorBidi"/>
          <w:sz w:val="20"/>
          <w:szCs w:val="20"/>
        </w:rPr>
        <w:t>.</w:t>
      </w:r>
    </w:p>
    <w:tbl>
      <w:tblPr>
        <w:tblpPr w:leftFromText="180" w:rightFromText="180" w:vertAnchor="text" w:horzAnchor="margin" w:tblpXSpec="center" w:tblpY="-66"/>
        <w:tblW w:w="11016" w:type="dxa"/>
        <w:tblLook w:val="04A0" w:firstRow="1" w:lastRow="0" w:firstColumn="1" w:lastColumn="0" w:noHBand="0" w:noVBand="1"/>
      </w:tblPr>
      <w:tblGrid>
        <w:gridCol w:w="1456"/>
        <w:gridCol w:w="956"/>
        <w:gridCol w:w="956"/>
        <w:gridCol w:w="956"/>
        <w:gridCol w:w="956"/>
        <w:gridCol w:w="956"/>
        <w:gridCol w:w="956"/>
        <w:gridCol w:w="956"/>
        <w:gridCol w:w="956"/>
        <w:gridCol w:w="956"/>
        <w:gridCol w:w="956"/>
      </w:tblGrid>
      <w:tr w:rsidR="00285089" w14:paraId="50F54C1E" w14:textId="77777777" w:rsidTr="00365097">
        <w:trPr>
          <w:trHeight w:val="254"/>
        </w:trPr>
        <w:tc>
          <w:tcPr>
            <w:tcW w:w="1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2989C15"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Age-group</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3A8CC4A"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0-4 years</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DB1F39F"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5-19 years</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EDBF234"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20-49 years</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6E78DC2"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50-64 years</w:t>
            </w:r>
          </w:p>
        </w:tc>
        <w:tc>
          <w:tcPr>
            <w:tcW w:w="19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C360F49" w14:textId="77777777" w:rsidR="00285089" w:rsidRPr="00BE0FA3" w:rsidRDefault="00285089" w:rsidP="00365097">
            <w:pPr>
              <w:spacing w:line="360" w:lineRule="auto"/>
              <w:jc w:val="both"/>
              <w:rPr>
                <w:rFonts w:asciiTheme="majorBidi" w:hAnsiTheme="majorBidi" w:cstheme="majorBidi"/>
                <w:b/>
                <w:bCs/>
                <w:sz w:val="24"/>
                <w:szCs w:val="24"/>
              </w:rPr>
            </w:pPr>
            <m:oMath>
              <m:r>
                <m:rPr>
                  <m:sty m:val="bi"/>
                </m:rPr>
                <w:rPr>
                  <w:rFonts w:ascii="Cambria Math" w:hAnsi="Cambria Math" w:cstheme="majorBidi"/>
                  <w:sz w:val="24"/>
                  <w:szCs w:val="24"/>
                </w:rPr>
                <m:t>≥65</m:t>
              </m:r>
            </m:oMath>
            <w:r w:rsidRPr="00BE0FA3">
              <w:rPr>
                <w:rFonts w:asciiTheme="majorBidi" w:hAnsiTheme="majorBidi" w:cstheme="majorBidi"/>
                <w:b/>
                <w:bCs/>
                <w:sz w:val="24"/>
                <w:szCs w:val="24"/>
              </w:rPr>
              <w:t xml:space="preserve"> years</w:t>
            </w:r>
          </w:p>
        </w:tc>
      </w:tr>
      <w:tr w:rsidR="00285089" w14:paraId="75E7558E" w14:textId="77777777" w:rsidTr="00365097">
        <w:trPr>
          <w:trHeight w:val="254"/>
        </w:trPr>
        <w:tc>
          <w:tcPr>
            <w:tcW w:w="1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D760A9D"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Risk-group</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4822291" w14:textId="77777777" w:rsidR="00285089" w:rsidRPr="00BE0FA3" w:rsidRDefault="00285089" w:rsidP="0036509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H</w:t>
            </w:r>
            <w:r w:rsidRPr="00BE0FA3">
              <w:rPr>
                <w:rFonts w:asciiTheme="majorBidi" w:hAnsiTheme="majorBidi" w:cstheme="majorBidi"/>
                <w:b/>
                <w:bCs/>
                <w:sz w:val="24"/>
                <w:szCs w:val="24"/>
              </w:rPr>
              <w:t>igh</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F75067D" w14:textId="77777777" w:rsidR="00285089" w:rsidRPr="00BE0FA3" w:rsidRDefault="00285089" w:rsidP="0036509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L</w:t>
            </w:r>
            <w:r w:rsidRPr="00BE0FA3">
              <w:rPr>
                <w:rFonts w:asciiTheme="majorBidi" w:hAnsiTheme="majorBidi" w:cstheme="majorBidi"/>
                <w:b/>
                <w:bCs/>
                <w:sz w:val="24"/>
                <w:szCs w:val="24"/>
              </w:rPr>
              <w:t>ow</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786E63D"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high</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D3BA3AE"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low</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40304E1"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high</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2DF0E32"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low</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306192"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high</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51BC382"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low</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527FECF"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high</w:t>
            </w:r>
          </w:p>
        </w:tc>
        <w:tc>
          <w:tcPr>
            <w:tcW w:w="9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A673EF7"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low</w:t>
            </w:r>
          </w:p>
        </w:tc>
      </w:tr>
      <w:tr w:rsidR="00285089" w14:paraId="3934365D" w14:textId="77777777" w:rsidTr="00365097">
        <w:trPr>
          <w:trHeight w:val="242"/>
        </w:trPr>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CA21E5"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US</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832B07"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70.08%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168767"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70.08%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556EC7"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55.92%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87CBDE"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55.92%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A4DBFD"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45.90%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9858AC"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33.99%</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8E7734"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45.90%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7FF2FD"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33.99%</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99995E"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64.56%</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9D9398"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64.56%</w:t>
            </w:r>
          </w:p>
        </w:tc>
      </w:tr>
      <w:tr w:rsidR="00285089" w14:paraId="1D392A88" w14:textId="77777777" w:rsidTr="00365097">
        <w:trPr>
          <w:trHeight w:val="242"/>
        </w:trPr>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166946"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California</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D173F4"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71.26%</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5A2318"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71.26%</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8012630"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57.44%</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22CA71"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57.44%</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4BD2413"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44.45%</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1DAA45"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32.20%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19E9D8"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44.45%</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2CAF99"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32.20%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59804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63.14%</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9A5199"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63.14%</w:t>
            </w:r>
          </w:p>
        </w:tc>
      </w:tr>
      <w:tr w:rsidR="00285089" w14:paraId="07CD1AFE" w14:textId="77777777" w:rsidTr="00365097">
        <w:trPr>
          <w:trHeight w:val="242"/>
        </w:trPr>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2175FA"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Connecticut</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B7D81A"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85.60%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EA46F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85.60%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B08229"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64.97%</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7E4D57"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64.97%</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69D28E"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52.02%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BF6428"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37.62%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7232D1"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52.02%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143F11"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37.62%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C4190F"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66.80%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0242E6"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66.80%</w:t>
            </w:r>
          </w:p>
        </w:tc>
      </w:tr>
      <w:tr w:rsidR="00285089" w14:paraId="5E1C86B9" w14:textId="77777777" w:rsidTr="00365097">
        <w:trPr>
          <w:trHeight w:val="242"/>
        </w:trPr>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29146E8"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Virginia</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5A1ACE"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75.58%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C33995"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75.58%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8506EE"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59.10%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67D7C5"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59.10%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CD450F"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48.54%</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DF1589"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39.92%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49EE6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48.54%</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4ACF43"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39.92%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FE16E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67.72%</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C0A8E7"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67.72%</w:t>
            </w:r>
          </w:p>
        </w:tc>
      </w:tr>
      <w:tr w:rsidR="00285089" w14:paraId="255ACE4B" w14:textId="77777777" w:rsidTr="00365097">
        <w:trPr>
          <w:trHeight w:val="242"/>
        </w:trPr>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695B20" w14:textId="77777777" w:rsidR="00285089" w:rsidRPr="00BE0FA3" w:rsidRDefault="00285089" w:rsidP="00365097">
            <w:pPr>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Texas</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D98E06"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71.60%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2A6D40"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71.60%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ADE778"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57.87%</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95E1C6"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57.87%</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1035A73"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45.38%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B1A860"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31.60%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951FFF"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45.38%</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F97185"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31.60%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84ED2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63.10%</w:t>
            </w:r>
          </w:p>
        </w:tc>
        <w:tc>
          <w:tcPr>
            <w:tcW w:w="95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8A07D2" w14:textId="77777777" w:rsidR="00285089" w:rsidRPr="00BE0FA3" w:rsidRDefault="00285089" w:rsidP="00365097">
            <w:pPr>
              <w:spacing w:line="360" w:lineRule="auto"/>
              <w:jc w:val="both"/>
              <w:rPr>
                <w:rFonts w:asciiTheme="majorBidi" w:hAnsiTheme="majorBidi" w:cstheme="majorBidi"/>
                <w:sz w:val="24"/>
                <w:szCs w:val="24"/>
              </w:rPr>
            </w:pPr>
            <w:r w:rsidRPr="00BE0FA3">
              <w:rPr>
                <w:rFonts w:asciiTheme="majorBidi" w:hAnsiTheme="majorBidi" w:cstheme="majorBidi"/>
                <w:sz w:val="24"/>
                <w:szCs w:val="24"/>
              </w:rPr>
              <w:t>63.10</w:t>
            </w:r>
          </w:p>
        </w:tc>
      </w:tr>
    </w:tbl>
    <w:p w14:paraId="27A8E645" w14:textId="77777777" w:rsidR="00285089" w:rsidRPr="00BE0FA3" w:rsidRDefault="00285089" w:rsidP="00285089">
      <w:pPr>
        <w:spacing w:line="360" w:lineRule="auto"/>
        <w:ind w:left="-5" w:right="45"/>
        <w:jc w:val="both"/>
        <w:rPr>
          <w:rFonts w:asciiTheme="majorBidi" w:hAnsiTheme="majorBidi" w:cstheme="majorBidi"/>
          <w:sz w:val="24"/>
          <w:szCs w:val="24"/>
        </w:rPr>
      </w:pPr>
    </w:p>
    <w:p w14:paraId="1596A270" w14:textId="77777777" w:rsidR="00285089" w:rsidRPr="00BE0FA3" w:rsidRDefault="00285089" w:rsidP="00285089">
      <w:pPr>
        <w:spacing w:line="360" w:lineRule="auto"/>
        <w:ind w:left="-5" w:right="45"/>
        <w:jc w:val="both"/>
        <w:rPr>
          <w:rFonts w:asciiTheme="majorBidi" w:hAnsiTheme="majorBidi" w:cstheme="majorBidi"/>
          <w:i/>
          <w:iCs/>
          <w:sz w:val="24"/>
          <w:szCs w:val="24"/>
        </w:rPr>
      </w:pPr>
      <w:r w:rsidRPr="00BE0FA3">
        <w:rPr>
          <w:rFonts w:asciiTheme="majorBidi" w:hAnsiTheme="majorBidi" w:cstheme="majorBidi"/>
          <w:i/>
          <w:iCs/>
          <w:sz w:val="24"/>
          <w:szCs w:val="24"/>
        </w:rPr>
        <w:t>Treatment coverage</w:t>
      </w:r>
    </w:p>
    <w:p w14:paraId="4EE24D19" w14:textId="77777777" w:rsidR="00285089" w:rsidRPr="00BE0FA3" w:rsidRDefault="00285089" w:rsidP="00285089">
      <w:pPr>
        <w:spacing w:line="360" w:lineRule="auto"/>
        <w:ind w:left="-5" w:right="45"/>
        <w:jc w:val="both"/>
        <w:rPr>
          <w:rFonts w:asciiTheme="majorBidi" w:hAnsiTheme="majorBidi" w:cstheme="majorBidi"/>
          <w:sz w:val="24"/>
          <w:szCs w:val="24"/>
        </w:rPr>
      </w:pPr>
      <w:r>
        <w:rPr>
          <w:rFonts w:asciiTheme="majorBidi" w:hAnsiTheme="majorBidi" w:cstheme="majorBidi"/>
          <w:sz w:val="24"/>
          <w:szCs w:val="24"/>
        </w:rPr>
        <w:t xml:space="preserve">Antiviral treatment is provided only to high-risk individuals </w:t>
      </w:r>
      <w:r>
        <w:rPr>
          <w:rFonts w:ascii="Times New Roman" w:eastAsia="Calibri" w:hAnsi="Times New Roman" w:cs="Times New Roman"/>
          <w:sz w:val="24"/>
          <w:szCs w:val="24"/>
        </w:rPr>
        <w:t>who</w:t>
      </w:r>
      <w:r>
        <w:rPr>
          <w:rFonts w:asciiTheme="majorBidi" w:hAnsiTheme="majorBidi" w:cstheme="majorBidi"/>
          <w:sz w:val="24"/>
          <w:szCs w:val="24"/>
        </w:rPr>
        <w:t xml:space="preserve"> seek care in health clinics and hospitals. We assumed that following a clinic or hospital visit and treatment prescription, it would take at least one day for a patient to initiate the course of treatment. Therefore, conservatively to our findings, we assumed that the earliest effect of treatment would take place after 48 hours from </w:t>
      </w:r>
      <w:r>
        <w:rPr>
          <w:rFonts w:ascii="Times New Roman" w:eastAsia="Calibri" w:hAnsi="Times New Roman" w:cs="Times New Roman"/>
          <w:sz w:val="24"/>
          <w:szCs w:val="24"/>
        </w:rPr>
        <w:t>symptom</w:t>
      </w:r>
      <w:r>
        <w:rPr>
          <w:rFonts w:asciiTheme="majorBidi" w:hAnsiTheme="majorBidi" w:cstheme="majorBidi"/>
          <w:sz w:val="24"/>
          <w:szCs w:val="24"/>
        </w:rPr>
        <w:t xml:space="preserve"> onset. Likewise, for people who sought care following 48-72 hours following symptoms onset, the effect of treatment was initiated following 72 hours from symptoms onset (figure S1). People who sought care following more than 72 hours from </w:t>
      </w:r>
      <w:r>
        <w:rPr>
          <w:rFonts w:ascii="Times New Roman" w:eastAsia="Calibri" w:hAnsi="Times New Roman" w:cs="Times New Roman"/>
          <w:sz w:val="24"/>
          <w:szCs w:val="24"/>
        </w:rPr>
        <w:lastRenderedPageBreak/>
        <w:t>symptom</w:t>
      </w:r>
      <w:r>
        <w:rPr>
          <w:rFonts w:asciiTheme="majorBidi" w:hAnsiTheme="majorBidi" w:cstheme="majorBidi"/>
          <w:sz w:val="24"/>
          <w:szCs w:val="24"/>
        </w:rPr>
        <w:t xml:space="preserve"> onset were considered to be treated </w:t>
      </w:r>
      <w:r>
        <w:rPr>
          <w:rFonts w:ascii="Times New Roman" w:eastAsia="Calibri" w:hAnsi="Times New Roman" w:cs="Times New Roman"/>
          <w:sz w:val="24"/>
          <w:szCs w:val="24"/>
        </w:rPr>
        <w:t>ineffectively</w:t>
      </w:r>
      <w:r>
        <w:rPr>
          <w:rFonts w:asciiTheme="majorBidi" w:hAnsiTheme="majorBidi" w:cstheme="majorBidi"/>
          <w:sz w:val="24"/>
          <w:szCs w:val="24"/>
        </w:rPr>
        <w:t xml:space="preserve">, with treatment having no impact on disease progression and severity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{"citationItems":[{"id":"ITEM-1","itemData":{"DOI":"10.1093/jac/dkg007","ISSN":"03057453","PMID":"12493796","abstract":"Our objective was to evaluate the benefit of early treatment of influenza illness using oral oseltamivir. This open-label, multicentre international study investigated the relationship between the interval from illness onset to first dose (time-to-treatment) and illness duration in the intent-to-treat infected population using accelerated failure time (AFT) modelling. A total of 1426 patients (12-70 years) presenting within 48 h of the onset of influenza symptoms were treated with oseltamivir 75 mg twice a day for 5 days during the 1999-2000 influenza season; 958 (67%) had laboratory-confirmed influenza virus infection. Earlier intervention was associated with shorter illness duration (P&lt; 0.0001). Initiation of therapy within the first 12 h after fever onset reduced the total median illness duration by 74.6 h (3.1 days; 41%) more than intervention at 48 h. Intermediate interventions reduced the illness proportionately compared with 48 h. In addition, the earlier administration of oseltamivir further reduced the duration of fever, severity of symptoms and the times to return to baseline activity and health scores. Oseltamivir was well tolerated. The most common adverse events were nausea and vomiting, which were transient and generally occurred only with first dosing. When oseltamivir was taken with food, the tolerability was enhanced. The overall discontinuation rate was low (1.8%). In conclusion, the IMPACT study demonstrated that earlier initiation of oral oseltamivir therapy increased its therapeutic effects, which were seen at every time point of intervention and were progressive. Thus, early presentation, diagnosis and treatment of patients with influenza maximized the benefits of oseltamivir therapy.","author":[{"dropping-particle":"","family":"Aoki","given":"F. Y.","non-dropping-particle":"","parse-names":false,"suffix":""},{"dropping-particle":"","family":"Macleod","given":"M. D.","non-dropping-particle":"","parse-names":false,"suffix":""},{"dropping-particle":"","family":"Paggiaro","given":"P.","non-dropping-particle":"","parse-names":false,"suffix":""},{"dropping-particle":"","family":"Carewicz","given":"O.","non-dropping-particle":"","parse-names":false,"suffix":""},{"dropping-particle":"","family":"Sawy","given":"A.","non-dropping-particle":"El","parse-names":false,"suffix":""},{"dropping-particle":"","family":"Wat","given":"C.","non-dropping-particle":"","parse-names":false,"suffix":""},{"dropping-particle":"","family":"Griffiths","given":"M.","non-dropping-particle":"","parse-names":false,"suffix":""},{"dropping-particle":"","family":"Waalberg","given":"E.","non-dropping-particle":"","parse-names":false,"suffix":""},{"dropping-particle":"","family":"Ward","given":"P.","non-dropping-particle":"","parse-names":false,"suffix":""},{"dropping-particle":"","family":"Harding Rains","given":"Charlotte","non-dropping-particle":"","parse-names":false,"suffix":""},{"dropping-particle":"","family":"Kirkwood","given":"Penny","non-dropping-particle":"","parse-names":false,"suffix":""},{"dropping-particle":"","family":"Drabble","given":"Kevin","non-dropping-particle":"","parse-names":false,"suffix":""},{"dropping-particle":"","family":"Merritt","given":"David","non-dropping-particle":"","parse-names":false,"suffix":""},{"dropping-particle":"","family":"Bourdeau","given":"Laurence","non-dropping-particle":"","parse-names":false,"suffix":""},{"dropping-particle":"","family":"Ginn","given":"Diane","non-dropping-particle":"","parse-names":false,"suffix":""},{"dropping-particle":"","family":"Rajan","given":"Shelina","non-dropping-particle":"","parse-names":false,"suffix":""},{"dropping-particle":"","family":"Pawsey","given":"Stephen","non-dropping-particle":"","parse-names":false,"suffix":""},{"dropping-particle":"","family":"Gilbride","given":"Jennifer","non-dropping-particle":"","parse-names":false,"suffix":""},{"dropping-particle":"","family":"Kinnersley","given":"Nelson","non-dropping-particle":"","parse-names":false,"suffix":""},{"dropping-particle":"","family":"Mills","given":"Tracey","non-dropping-particle":"","parse-names":false,"suffix":""},{"dropping-particle":"","family":"Mahoney","given":"Paul","non-dropping-particle":"","parse-names":false,"suffix":""},{"dropping-particle":"","family":"Hoof","given":"Torsten","non-dropping-particle":"","parse-names":false,"suffix":""}],"container-title":"Journal of Antimicrobial Chemotherapy","id":"ITEM-1","issue":"1","issued":{"date-parts":[["2003","1","1"]]},"page":"123-129","title":"Early administration of oral oseltamivir increases the benefits of influenza treatment","type":"article-journal","volume":"51"},"uris":["http://www.mendeley.com/documents/?uuid=20cef72e-6759-34df-a639-aff2239bf525"]},{"id":"ITEM-2","itemData":{"URL":"https://www.cdc.gov/flu/professionals/antivirals/antiviral-use-influenza.htm","accessed":{"date-parts":[["2020","2","3"]]},"id":"ITEM-2","issued":{"date-parts":[["0"]]},"title":"Use of Antivirals | CDC","type":"webpage"},"uris":["http://www.mendeley.com/documents/?uuid=bbfbda83-0640-3585-bc86-1efc802cecc9"]},{"id":"ITEM-3","itemData":{"DOI":"10.1086/656408","ISSN":"1058-4838","author":[{"dropping-particle":"","family":"Heinonen","given":"Santtu","non-dropping-particle":"","parse-names":false,"suffix":""},{"dropping-particle":"","family":"Silvennoinen","given":"Heli","non-dropping-particle":"","parse-names":false,"suffix":""},{"dropping-particle":"","family":"Lehtinen","given":"Pasi","non-dropping-particle":"","parse-names":false,"suffix":""},{"dropping-particle":"","family":"Vainionpää","given":"Raija","non-dropping-particle":"","parse-names":false,"suffix":""},{"dropping-particle":"","family":"Vahlberg","given":"Tero","non-dropping-particle":"","parse-names":false,"suffix":""},{"dropping-particle":"","family":"Ziegler","given":"Thedi","non-dropping-particle":"","parse-names":false,"suffix":""},{"dropping-particle":"","family":"Ikonen","given":"Niina","non-dropping-particle":"","parse-names":false,"suffix":""},{"dropping-particle":"","family":"Puhakka","given":"Tuomo","non-dropping-particle":"","parse-names":false,"suffix":""},{"dropping-particle":"","family":"Heikkinen","given":"Terho","non-dropping-particle":"","parse-names":false,"suffix":""}],"container-title":"Clinical Infectious Diseases","id":"ITEM-3","issue":"8","issued":{"date-parts":[["2010","10","15"]]},"page":"887-894","title":"Early Oseltamivir Treatment of Influenza in Children 1–3 Years of Age: A Randomized Controlled Trial","type":"article-journal","volume":"51"},"uris":["http://www.mendeley.com/documents/?uuid=d6272b91-ec71-38bc-b74e-456bcd7a2587"]}],"mendeley":{"formattedCitation":"[53–55]","plainTextFormattedCitation":"[53–55]","previouslyFormattedCitation":"[54–56]"},"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[53–55]</w:t>
      </w:r>
      <w:r>
        <w:rPr>
          <w:rFonts w:asciiTheme="majorBidi" w:hAnsiTheme="majorBidi" w:cstheme="majorBidi"/>
          <w:sz w:val="24"/>
          <w:szCs w:val="24"/>
        </w:rPr>
        <w:fldChar w:fldCharType="end"/>
      </w:r>
      <w:r w:rsidRPr="00A46FA2">
        <w:rPr>
          <w:rFonts w:asciiTheme="majorBidi" w:hAnsiTheme="majorBidi" w:cstheme="majorBidi"/>
          <w:sz w:val="24"/>
          <w:szCs w:val="24"/>
        </w:rPr>
        <w:t>. Thus, we included them with untreated individuals.</w:t>
      </w:r>
      <w:bookmarkStart w:id="13" w:name="_Hlk54617383"/>
      <w:r>
        <w:rPr>
          <w:rFonts w:asciiTheme="majorBidi" w:hAnsiTheme="majorBidi" w:cstheme="majorBidi"/>
          <w:sz w:val="24"/>
          <w:szCs w:val="24"/>
        </w:rPr>
        <w:t xml:space="preserve"> </w:t>
      </w:r>
      <w:r w:rsidRPr="00BE0FA3">
        <w:rPr>
          <w:rFonts w:asciiTheme="majorBidi" w:hAnsiTheme="majorBidi" w:cstheme="majorBidi"/>
          <w:sz w:val="24"/>
          <w:szCs w:val="24"/>
        </w:rPr>
        <w:t xml:space="preserve">Hence, the probability of infected high-risk </w:t>
      </w:r>
      <w:r>
        <w:rPr>
          <w:rFonts w:ascii="Times New Roman" w:eastAsia="Calibri" w:hAnsi="Times New Roman" w:cs="Times New Roman"/>
          <w:sz w:val="24"/>
          <w:szCs w:val="24"/>
        </w:rPr>
        <w:t>individuals seeking</w:t>
      </w:r>
      <w:r w:rsidRPr="00BE0FA3">
        <w:rPr>
          <w:rFonts w:asciiTheme="majorBidi" w:hAnsiTheme="majorBidi" w:cstheme="majorBidi"/>
          <w:sz w:val="24"/>
          <w:szCs w:val="24"/>
        </w:rPr>
        <w:t xml:space="preserve"> care and </w:t>
      </w:r>
      <w:r>
        <w:rPr>
          <w:rFonts w:ascii="Times New Roman" w:eastAsia="Calibri" w:hAnsi="Times New Roman" w:cs="Times New Roman"/>
          <w:sz w:val="24"/>
          <w:szCs w:val="24"/>
        </w:rPr>
        <w:t xml:space="preserve">receiving </w:t>
      </w:r>
      <w:r w:rsidRPr="00BE0FA3">
        <w:rPr>
          <w:rFonts w:asciiTheme="majorBidi" w:hAnsiTheme="majorBidi" w:cstheme="majorBidi"/>
          <w:sz w:val="24"/>
          <w:szCs w:val="24"/>
        </w:rPr>
        <w:t xml:space="preserve">effective </w:t>
      </w:r>
      <w:r>
        <w:rPr>
          <w:rFonts w:ascii="Times New Roman" w:eastAsia="Calibri" w:hAnsi="Times New Roman" w:cs="Times New Roman"/>
          <w:sz w:val="24"/>
          <w:szCs w:val="24"/>
        </w:rPr>
        <w:t>treatment</w:t>
      </w:r>
      <w:r w:rsidRPr="00BE0FA3">
        <w:rPr>
          <w:rFonts w:asciiTheme="majorBidi" w:hAnsiTheme="majorBidi" w:cstheme="majorBidi"/>
          <w:sz w:val="24"/>
          <w:szCs w:val="24"/>
        </w:rPr>
        <w:t xml:space="preserve"> (</w:t>
      </w:r>
      <w:r>
        <w:rPr>
          <w:rFonts w:ascii="Times New Roman" w:eastAsia="Calibri" w:hAnsi="Times New Roman" w:cs="Times New Roman"/>
          <w:sz w:val="24"/>
          <w:szCs w:val="24"/>
        </w:rPr>
        <w:t>initiating a</w:t>
      </w:r>
      <w:r w:rsidRPr="00BE0FA3">
        <w:rPr>
          <w:rFonts w:asciiTheme="majorBidi" w:hAnsiTheme="majorBidi" w:cstheme="majorBidi"/>
          <w:sz w:val="24"/>
          <w:szCs w:val="24"/>
        </w:rPr>
        <w:t xml:space="preserve"> treatment course within 72 hours </w:t>
      </w:r>
      <w:r>
        <w:rPr>
          <w:rFonts w:asciiTheme="majorBidi" w:hAnsiTheme="majorBidi" w:cstheme="majorBidi"/>
          <w:sz w:val="24"/>
          <w:szCs w:val="24"/>
        </w:rPr>
        <w:t>after</w:t>
      </w:r>
      <w:r w:rsidRPr="00BE0FA3">
        <w:rPr>
          <w:rFonts w:asciiTheme="majorBidi" w:hAnsiTheme="majorBidi" w:cstheme="majorBidi"/>
          <w:sz w:val="24"/>
          <w:szCs w:val="24"/>
        </w:rPr>
        <w:t xml:space="preserve"> </w:t>
      </w:r>
      <w:r>
        <w:rPr>
          <w:rFonts w:ascii="Times New Roman" w:eastAsia="Calibri" w:hAnsi="Times New Roman" w:cs="Times New Roman"/>
          <w:sz w:val="24"/>
          <w:szCs w:val="24"/>
        </w:rPr>
        <w:t>symptom</w:t>
      </w:r>
      <w:r w:rsidRPr="00BE0FA3">
        <w:rPr>
          <w:rFonts w:asciiTheme="majorBidi" w:hAnsiTheme="majorBidi" w:cstheme="majorBidi"/>
          <w:sz w:val="24"/>
          <w:szCs w:val="24"/>
        </w:rPr>
        <w:t xml:space="preserve"> onset) is given by equation (5):</w:t>
      </w:r>
    </w:p>
    <w:tbl>
      <w:tblPr>
        <w:tblW w:w="0" w:type="auto"/>
        <w:tblInd w:w="-5" w:type="dxa"/>
        <w:tblLook w:val="04A0" w:firstRow="1" w:lastRow="0" w:firstColumn="1" w:lastColumn="0" w:noHBand="0" w:noVBand="1"/>
      </w:tblPr>
      <w:tblGrid>
        <w:gridCol w:w="414"/>
        <w:gridCol w:w="7973"/>
        <w:gridCol w:w="644"/>
      </w:tblGrid>
      <w:tr w:rsidR="00285089" w14:paraId="4001C157" w14:textId="77777777" w:rsidTr="00365097">
        <w:tc>
          <w:tcPr>
            <w:tcW w:w="810" w:type="dxa"/>
            <w:vAlign w:val="center"/>
          </w:tcPr>
          <w:p w14:paraId="5AB48A94" w14:textId="77777777" w:rsidR="00285089" w:rsidRPr="00BE0FA3" w:rsidRDefault="00285089" w:rsidP="00365097">
            <w:pPr>
              <w:spacing w:after="214" w:line="360" w:lineRule="auto"/>
              <w:ind w:right="45"/>
              <w:jc w:val="both"/>
              <w:rPr>
                <w:rFonts w:asciiTheme="majorBidi" w:hAnsiTheme="majorBidi" w:cstheme="majorBidi"/>
                <w:sz w:val="24"/>
                <w:szCs w:val="24"/>
              </w:rPr>
            </w:pPr>
          </w:p>
        </w:tc>
        <w:tc>
          <w:tcPr>
            <w:tcW w:w="7740" w:type="dxa"/>
            <w:vAlign w:val="center"/>
          </w:tcPr>
          <w:p w14:paraId="5B352914" w14:textId="77777777" w:rsidR="00285089" w:rsidRPr="00BE0FA3" w:rsidRDefault="00365097" w:rsidP="00365097">
            <w:pPr>
              <w:spacing w:line="360" w:lineRule="auto"/>
              <w:ind w:left="-5" w:right="45"/>
              <w:jc w:val="both"/>
              <w:rPr>
                <w:rFonts w:asciiTheme="majorBidi" w:hAnsiTheme="majorBidi" w:cstheme="majorBidi"/>
                <w:sz w:val="24"/>
                <w:szCs w:val="24"/>
              </w:rPr>
            </w:pPr>
            <m:oMath>
              <m:func>
                <m:funcPr>
                  <m:ctrlPr>
                    <w:rPr>
                      <w:rFonts w:ascii="Cambria Math" w:hAnsi="Cambria Math" w:cstheme="majorBidi"/>
                      <w:i/>
                      <w:sz w:val="24"/>
                      <w:szCs w:val="24"/>
                    </w:rPr>
                  </m:ctrlPr>
                </m:funcPr>
                <m:fName>
                  <m:r>
                    <m:rPr>
                      <m:sty m:val="p"/>
                    </m:rPr>
                    <w:rPr>
                      <w:rFonts w:ascii="Cambria Math" w:hAnsi="Cambria Math" w:cstheme="majorBidi"/>
                      <w:sz w:val="24"/>
                      <w:szCs w:val="24"/>
                    </w:rPr>
                    <m:t>Pr</m:t>
                  </m:r>
                </m:fName>
                <m:e>
                  <m:d>
                    <m:dPr>
                      <m:ctrlPr>
                        <w:rPr>
                          <w:rFonts w:ascii="Cambria Math" w:hAnsi="Cambria Math" w:cstheme="majorBidi"/>
                          <w:i/>
                          <w:sz w:val="24"/>
                          <w:szCs w:val="24"/>
                        </w:rPr>
                      </m:ctrlPr>
                    </m:dPr>
                    <m:e>
                      <m:r>
                        <w:rPr>
                          <w:rFonts w:ascii="Cambria Math" w:hAnsi="Cambria Math" w:cstheme="majorBidi"/>
                          <w:sz w:val="24"/>
                          <w:szCs w:val="24"/>
                        </w:rPr>
                        <m:t>getting treatment effectively</m:t>
                      </m:r>
                    </m:e>
                  </m:d>
                </m:e>
              </m:func>
              <m:r>
                <w:rPr>
                  <w:rFonts w:ascii="Cambria Math" w:hAnsi="Cambria Math" w:cstheme="majorBidi"/>
                  <w:sz w:val="24"/>
                  <w:szCs w:val="24"/>
                </w:rPr>
                <m:t>=</m:t>
              </m:r>
              <m:func>
                <m:funcPr>
                  <m:ctrlPr>
                    <w:rPr>
                      <w:rFonts w:ascii="Cambria Math" w:hAnsi="Cambria Math" w:cstheme="majorBidi"/>
                      <w:sz w:val="24"/>
                      <w:szCs w:val="24"/>
                    </w:rPr>
                  </m:ctrlPr>
                </m:funcPr>
                <m:fName>
                  <m:r>
                    <m:rPr>
                      <m:sty m:val="p"/>
                    </m:rPr>
                    <w:rPr>
                      <w:rFonts w:ascii="Cambria Math" w:hAnsi="Cambria Math" w:cstheme="majorBidi"/>
                      <w:sz w:val="24"/>
                      <w:szCs w:val="24"/>
                    </w:rPr>
                    <m:t>Pr</m:t>
                  </m:r>
                </m:fName>
                <m:e>
                  <m:d>
                    <m:dPr>
                      <m:ctrlPr>
                        <w:rPr>
                          <w:rFonts w:ascii="Cambria Math" w:hAnsi="Cambria Math" w:cstheme="majorBidi"/>
                          <w:i/>
                          <w:sz w:val="24"/>
                          <w:szCs w:val="24"/>
                        </w:rPr>
                      </m:ctrlPr>
                    </m:dPr>
                    <m:e>
                      <m:r>
                        <w:rPr>
                          <w:rFonts w:ascii="Cambria Math" w:hAnsi="Cambria Math" w:cstheme="majorBidi"/>
                          <w:sz w:val="24"/>
                          <w:szCs w:val="24"/>
                        </w:rPr>
                        <m:t>Seeking care|infected high-risk</m:t>
                      </m:r>
                    </m:e>
                  </m:d>
                </m:e>
              </m:func>
              <m:r>
                <w:rPr>
                  <w:rFonts w:ascii="Cambria Math" w:hAnsi="Cambria Math" w:cstheme="majorBidi"/>
                  <w:sz w:val="24"/>
                  <w:szCs w:val="24"/>
                </w:rPr>
                <m:t>∙</m:t>
              </m:r>
              <m:func>
                <m:funcPr>
                  <m:ctrlPr>
                    <w:rPr>
                      <w:rFonts w:ascii="Cambria Math" w:hAnsi="Cambria Math" w:cstheme="majorBidi"/>
                      <w:sz w:val="24"/>
                      <w:szCs w:val="24"/>
                    </w:rPr>
                  </m:ctrlPr>
                </m:funcPr>
                <m:fName>
                  <m:r>
                    <m:rPr>
                      <m:sty m:val="p"/>
                    </m:rPr>
                    <w:rPr>
                      <w:rFonts w:ascii="Cambria Math" w:hAnsi="Cambria Math" w:cstheme="majorBidi"/>
                      <w:sz w:val="24"/>
                      <w:szCs w:val="24"/>
                    </w:rPr>
                    <m:t>Pr</m:t>
                  </m:r>
                  <m:ctrlPr>
                    <w:rPr>
                      <w:rFonts w:ascii="Cambria Math" w:hAnsi="Cambria Math" w:cstheme="majorBidi"/>
                      <w:i/>
                      <w:sz w:val="24"/>
                      <w:szCs w:val="24"/>
                    </w:rPr>
                  </m:ctrlPr>
                </m:fName>
                <m:e>
                  <m:d>
                    <m:dPr>
                      <m:ctrlPr>
                        <w:rPr>
                          <w:rFonts w:ascii="Cambria Math" w:hAnsi="Cambria Math" w:cstheme="majorBidi"/>
                          <w:i/>
                          <w:sz w:val="24"/>
                          <w:szCs w:val="24"/>
                        </w:rPr>
                      </m:ctrlPr>
                    </m:dPr>
                    <m:e>
                      <m:r>
                        <w:rPr>
                          <w:rFonts w:ascii="Cambria Math" w:hAnsi="Cambria Math" w:cstheme="majorBidi"/>
                          <w:sz w:val="24"/>
                          <w:szCs w:val="24"/>
                        </w:rPr>
                        <m:t>Seeking care≤ 2 days from symptoms onset</m:t>
                      </m:r>
                    </m:e>
                    <m:e>
                      <m:r>
                        <w:rPr>
                          <w:rFonts w:ascii="Cambria Math" w:hAnsi="Cambria Math" w:cstheme="majorBidi"/>
                          <w:sz w:val="24"/>
                          <w:szCs w:val="24"/>
                        </w:rPr>
                        <m:t>Seeking care</m:t>
                      </m:r>
                    </m:e>
                  </m:d>
                </m:e>
              </m:func>
              <m:r>
                <w:rPr>
                  <w:rFonts w:ascii="Cambria Math" w:hAnsi="Cambria Math" w:cstheme="majorBidi"/>
                  <w:sz w:val="24"/>
                  <w:szCs w:val="24"/>
                </w:rPr>
                <m:t>∙</m:t>
              </m:r>
              <m:func>
                <m:funcPr>
                  <m:ctrlPr>
                    <w:rPr>
                      <w:rFonts w:ascii="Cambria Math" w:hAnsi="Cambria Math" w:cstheme="majorBidi"/>
                      <w:sz w:val="24"/>
                      <w:szCs w:val="24"/>
                    </w:rPr>
                  </m:ctrlPr>
                </m:funcPr>
                <m:fName>
                  <m:r>
                    <m:rPr>
                      <m:sty m:val="p"/>
                    </m:rPr>
                    <w:rPr>
                      <w:rFonts w:ascii="Cambria Math" w:hAnsi="Cambria Math" w:cstheme="majorBidi"/>
                      <w:sz w:val="24"/>
                      <w:szCs w:val="24"/>
                    </w:rPr>
                    <m:t>Pr</m:t>
                  </m:r>
                  <m:ctrlPr>
                    <w:rPr>
                      <w:rFonts w:ascii="Cambria Math" w:hAnsi="Cambria Math" w:cstheme="majorBidi"/>
                      <w:i/>
                      <w:sz w:val="24"/>
                      <w:szCs w:val="24"/>
                    </w:rPr>
                  </m:ctrlPr>
                </m:fName>
                <m:e>
                  <m:d>
                    <m:dPr>
                      <m:ctrlPr>
                        <w:rPr>
                          <w:rFonts w:ascii="Cambria Math" w:hAnsi="Cambria Math" w:cstheme="majorBidi"/>
                          <w:i/>
                          <w:sz w:val="24"/>
                          <w:szCs w:val="24"/>
                        </w:rPr>
                      </m:ctrlPr>
                    </m:dPr>
                    <m:e>
                      <m:r>
                        <w:rPr>
                          <w:rFonts w:ascii="Cambria Math" w:hAnsi="Cambria Math" w:cstheme="majorBidi"/>
                          <w:sz w:val="24"/>
                          <w:szCs w:val="24"/>
                        </w:rPr>
                        <m:t>getting treated</m:t>
                      </m:r>
                    </m:e>
                    <m:e>
                      <m:r>
                        <w:rPr>
                          <w:rFonts w:ascii="Cambria Math" w:hAnsi="Cambria Math" w:cstheme="majorBidi"/>
                          <w:sz w:val="24"/>
                          <w:szCs w:val="24"/>
                        </w:rPr>
                        <m:t>Seeking care≤ 2 days from symptoms onset care</m:t>
                      </m:r>
                    </m:e>
                  </m:d>
                  <m:r>
                    <w:rPr>
                      <w:rFonts w:ascii="Cambria Math" w:hAnsi="Cambria Math" w:cstheme="majorBidi"/>
                      <w:sz w:val="24"/>
                      <w:szCs w:val="24"/>
                    </w:rPr>
                    <m:t>.</m:t>
                  </m:r>
                </m:e>
              </m:func>
            </m:oMath>
            <w:r w:rsidR="00285089" w:rsidRPr="00BE0FA3">
              <w:rPr>
                <w:rFonts w:asciiTheme="majorBidi" w:hAnsiTheme="majorBidi" w:cstheme="majorBidi"/>
                <w:sz w:val="24"/>
                <w:szCs w:val="24"/>
              </w:rPr>
              <w:t xml:space="preserve"> </w:t>
            </w:r>
          </w:p>
        </w:tc>
        <w:tc>
          <w:tcPr>
            <w:tcW w:w="855" w:type="dxa"/>
            <w:vAlign w:val="center"/>
          </w:tcPr>
          <w:p w14:paraId="2175D1E3" w14:textId="77777777" w:rsidR="00285089" w:rsidRPr="00BE0FA3" w:rsidRDefault="00285089" w:rsidP="00365097">
            <w:pPr>
              <w:spacing w:after="214" w:line="360" w:lineRule="auto"/>
              <w:ind w:right="45"/>
              <w:jc w:val="both"/>
              <w:rPr>
                <w:rFonts w:asciiTheme="majorBidi" w:hAnsiTheme="majorBidi" w:cstheme="majorBidi"/>
                <w:sz w:val="24"/>
                <w:szCs w:val="24"/>
              </w:rPr>
            </w:pPr>
            <w:r w:rsidRPr="00BE0FA3">
              <w:rPr>
                <w:rFonts w:asciiTheme="majorBidi" w:hAnsiTheme="majorBidi" w:cstheme="majorBidi"/>
                <w:sz w:val="24"/>
                <w:szCs w:val="24"/>
              </w:rPr>
              <w:t>(5)</w:t>
            </w:r>
          </w:p>
        </w:tc>
      </w:tr>
    </w:tbl>
    <w:p w14:paraId="1E62F236" w14:textId="77777777" w:rsidR="00285089" w:rsidRPr="00BE0FA3" w:rsidRDefault="00285089" w:rsidP="00285089">
      <w:pPr>
        <w:spacing w:line="360" w:lineRule="auto"/>
        <w:ind w:left="-5" w:right="45"/>
        <w:jc w:val="both"/>
        <w:rPr>
          <w:rFonts w:asciiTheme="majorBidi" w:hAnsiTheme="majorBidi" w:cstheme="majorBidi"/>
          <w:sz w:val="24"/>
          <w:szCs w:val="24"/>
        </w:rPr>
      </w:pPr>
    </w:p>
    <w:p w14:paraId="54F2BFA8" w14:textId="77777777" w:rsidR="00285089" w:rsidRDefault="00285089" w:rsidP="00285089">
      <w:pPr>
        <w:spacing w:line="360" w:lineRule="auto"/>
        <w:ind w:left="-5" w:right="45"/>
        <w:jc w:val="both"/>
        <w:rPr>
          <w:rFonts w:asciiTheme="majorBidi" w:hAnsiTheme="majorBidi" w:cstheme="majorBidi"/>
          <w:sz w:val="24"/>
          <w:szCs w:val="24"/>
        </w:rPr>
      </w:pPr>
      <w:r>
        <w:rPr>
          <w:rFonts w:asciiTheme="majorBidi" w:hAnsiTheme="majorBidi" w:cstheme="majorBidi"/>
          <w:sz w:val="24"/>
          <w:szCs w:val="24"/>
        </w:rPr>
        <w:t xml:space="preserve">Estimates for these probabilities are based on large scale epidemiological studies in the US </w:t>
      </w: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{"citationItems":[{"id":"ITEM-1","itemData":{"DOI":"10.1016/j.vaccine.2007.03.046","ISSN":"0264410X","abstract":"Background: Despite preventive efforts, influenza epidemics are responsible for substantial morbidity and mortality every year in the United States (US). Vaccination strategies to reduce disease burden have been implemented. However, no previous studies have systematically estimated the annual economic burden of influenza epidemics, an estimate necessary to guide policy makers effectively. Objective: We estimate age- and risk-specific disease burden, and medical and indirect costs attributable to annual influenza epidemics in the United States. Methods: Using a probabilistic model and publicly available epidemiological data we estimated the number of influenza-attributable cases leading to outpatient visits, hospitalization, and mortality, as well as time lost from work absenteeism or premature death. With data from health insurance claims and projections of either earnings or statistical life values, we then estimated healthcare resource utilization associated with influenza cases as were their medical and productivity (indirect) costs in $2003. Results: Based on 2003 US population, we estimated that annual influenza epidemics resulted in an average of 610,660 life-years lost (undiscounted), 3.1 million hospitalized days, and 31.4 million outpatient visits. Direct medical costs averaged $10.4 billion (95% confidence interval [C.I.], $4.1, $22.2) annually. Projected lost earnings due to illness and loss of life amounted to $16.3 billion (C.I., $8.7, $31.0) annually. The total economic burden of annual influenza epidemics using projected statistical life values amounted to $87.1 billion (C.I., $47.2, $149.5). Conclusions: These results highlight the enormous annual burden of influenza in the US. While hospitalization costs are important contributors, lost productivity from missed work days and lost lives comprise the bulk of the economic burden of influenza. © 2007 Elsevier Ltd. All rights reserved.","author":[{"dropping-particle":"","family":"Molinari","given":"Noelle Angelique M.","non-dropping-particle":"","parse-names":false,"suffix":""},{"dropping-particle":"","family":"Ortega-Sanchez","given":"Ismael R.","non-dropping-particle":"","parse-names":false,"suffix":""},{"dropping-particle":"","family":"Messonnier","given":"Mark L.","non-dropping-particle":"","parse-names":false,"suffix":""},{"dropping-particle":"","family":"Thompson","given":"William W.","non-dropping-particle":"","parse-names":false,"suffix":""},{"dropping-particle":"","family":"Wortley","given":"Pascale M.","non-dropping-particle":"","parse-names":false,"suffix":""},{"dropping-particle":"","family":"Weintraub","given":"Eric","non-dropping-particle":"","parse-names":false,"suffix":""},{"dropping-particle":"","family":"Bridges","given":"Carolyn B.","non-dropping-particle":"","parse-names":false,"suffix":""}],"container-title":"Vaccine","id":"ITEM-1","issued":{"date-parts":[["2007"]]},"title":"The annual impact of seasonal influenza in the US: Measuring disease burden and costs","type":"article-journal"},"uris":["http://www.mendeley.com/documents/?uuid=02863a39-7e25-4afb-8f48-a40695e0e556"]}],"mendeley":{"formattedCitation":"[1]","plainTextFormattedCitation":"[1]","previouslyFormattedCitation":"[1]"},"properties":{"noteIndex":0},"schema":"https://github.com/citation-style-language/schema/raw/master/csl-citation.json"}</w:instrText>
      </w:r>
      <w:r w:rsidRPr="00BE0FA3">
        <w:rPr>
          <w:rFonts w:asciiTheme="majorBidi" w:hAnsiTheme="majorBidi" w:cstheme="majorBidi"/>
          <w:sz w:val="24"/>
          <w:szCs w:val="24"/>
        </w:rPr>
        <w:fldChar w:fldCharType="separate"/>
      </w:r>
      <w:r w:rsidRPr="000D560C">
        <w:rPr>
          <w:rFonts w:asciiTheme="majorBidi" w:hAnsiTheme="majorBidi" w:cstheme="majorBidi"/>
          <w:noProof/>
          <w:sz w:val="24"/>
          <w:szCs w:val="24"/>
        </w:rPr>
        <w:t>[1]</w:t>
      </w:r>
      <w:r w:rsidRPr="00BE0FA3">
        <w:rPr>
          <w:rFonts w:asciiTheme="majorBidi" w:hAnsiTheme="majorBidi" w:cstheme="majorBidi"/>
          <w:sz w:val="24"/>
          <w:szCs w:val="24"/>
        </w:rPr>
        <w:fldChar w:fldCharType="end"/>
      </w:r>
      <w:r w:rsidRPr="00BE0FA3">
        <w:rPr>
          <w:rFonts w:asciiTheme="majorBidi" w:hAnsiTheme="majorBidi" w:cstheme="majorBidi"/>
          <w:sz w:val="24"/>
          <w:szCs w:val="24"/>
        </w:rPr>
        <w:t xml:space="preserve"> </w:t>
      </w:r>
      <w:bookmarkEnd w:id="13"/>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{"citationItems":[{"id":"ITEM-1","itemData":{"DOI":"10.1093/infdis/jiu224","ISSN":"15376613","abstract":"Background. Few data exist describing healthcare-seeking behaviors among persons with influenza-like illness (ILI) or adherence to influenza antiviral treatment recommendations. Methods. We analyzed adult responses to the Behavioral Risk Factor Surveillance System in 31 states and the District of Columbia (DC) and pediatric responses in 25 states and DC for January-April 2011 by demographics and underlying health conditions. Results. Among 75 088 adult and 15 649 child respondents, 8.9% and 33.9%, respectively, reported ILI. ILI was more frequent among adults with asthma (16%), chronic obstruction pulmonary disease (COPD; 26%), diabetes (12%), heart disease (19%), kidney disease (16%), or obesity (11%). Forty-five percent of adults and 57% of children sought healthcare for ILI. Thirty-five percent of adults sought care ≤2 days after ILI onset. Seeking care ≤2 days was more frequent among adults with COPD (48%) or heart disease (55%). Among adults with a self-reported physician diagnosis of influenza, 34% received treatment with antiviral medications. The only underlying health condition with a higher rate of treatment was diabetes (46%). Conclusions. Adults with underlying health conditions were more likely to report ILI, but the majority did not seek care promptly, missing opportunities for early influenza antiviral treatment. © 2014 Published by Oxford University Press on behalf of the Infectious Diseases Society of America 2014. This work is written by (a) US Government employee(s) and is in the public domain in the US.","author":[{"dropping-particle":"","family":"Biggerstaff","given":"Matthew","non-dropping-particle":"","parse-names":false,"suffix":""},{"dropping-particle":"","family":"Jhung","given":"Michael A.","non-dropping-particle":"","parse-names":false,"suffix":""},{"dropping-particle":"","family":"Reed","given":"Carrie","non-dropping-particle":"","parse-names":false,"suffix":""},{"dropping-particle":"","family":"Fry","given":"Alicia M.","non-dropping-particle":"","parse-names":false,"suffix":""},{"dropping-particle":"","family":"Balluz","given":"Lina","non-dropping-particle":"","parse-names":false,"suffix":""},{"dropping-particle":"","family":"Finelli","given":"Lyn","non-dropping-particle":"","parse-names":false,"suffix":""}],"container-title":"Journal of Infectious Diseases","id":"ITEM-1","issued":{"date-parts":[["2014"]]},"title":"Influenza-like illness, the time to seek healthcare, and influenza antiviral receipt during the 2010-2011 influenza season - United States","type":"article-journal"},"uris":["http://www.mendeley.com/documents/?uuid=94534acd-a2c2-4b9f-bde6-77d930caae96"]},{"id":"ITEM-2","itemData":{"DOI":"10.1093/cid/cix922","ISSN":"15376591","abstract":"Background. Influenza causes millions of illnesses annually; certain groups are at higher risk for complications. Early antiviral treatment can reduce the risk of complications and is recommended for outpatients at increased risk. We describe antiviral prescribing among high-risk outpatients for 5 influenza seasons and explore factors that may influence prescribing. Methods. We analyzed antiviral prescription and clinical data for high-risk outpatients aged ?6 months with an acute respiratory illness (ARI) and enrolled in the US Influenza Vaccine Effectiveness Network during the 2011 2012 through 2015 2016 influenza seasons. We obtained clinical information from interviews and electronic medical records and tested all enrollees for influenza with real-time reverse-transcription polymerase chain reaction (rRT-PCR). We calculated the number of patients with ARI that must be treated to treat 1 patient with influenza. Results. Among high-risk outpatients with ARI who presented to care within 2 days of symptom onset (early), 15% (718/4861) were prescribed an antiviral medication, including 472 of 1292 (37%) of those with rRT-PCR confirmed influenza. Forty percent of high-risk outpatients with influenza presented to care early. Earlier presentation was associated with antiviral treatment (odds ratio [OR], 4.1; 95% confidence interval [CI], 3.5 4.8), as was fever (OR, 3.2; 95% CI, 2.7 3.8), although 25% of high-risk outpatients with influenza were afebrile. Empiric treatment of 4 high-risk outpatients with ARI was needed to treat 1 patient with influenza. Conclusions. Influenza antiviral medications were infrequently prescribed for high-risk outpatients with ARI who would benefit most. Efforts to increase appropriate antiviral prescribing are needed to reduce influenza-associated complications.","author":[{"dropping-particle":"","family":"Stewart","given":"Rebekah J.","non-dropping-particle":"","parse-names":false,"suffix":""},{"dropping-particle":"","family":"Flannery","given":"Brendan","non-dropping-particle":"","parse-names":false,"suffix":""},{"dropping-particle":"","family":"Chung","given":"Jessie R.","non-dropping-particle":"","parse-names":false,"suffix":""},{"dropping-particle":"","family":"Gaglani","given":"Manjusha","non-dropping-particle":"","parse-names":false,"suffix":""},{"dropping-particle":"","family":"Reis","given":"Michael","non-dropping-particle":"","parse-names":false,"suffix":""},{"dropping-particle":"","family":"Zimmerman","given":"Richard K.","non-dropping-particle":"","parse-names":false,"suffix":""},{"dropping-particle":"","family":"Nowalk","given":"Mary Patricia","non-dropping-particle":"","parse-names":false,"suffix":""},{"dropping-particle":"","family":"Jackson","given":"Lisa","non-dropping-particle":"","parse-names":false,"suffix":""},{"dropping-particle":"","family":"Jackson","given":"Michael L.","non-dropping-particle":"","parse-names":false,"suffix":""},{"dropping-particle":"","family":"Monto","given":"Arnold S.","non-dropping-particle":"","parse-names":false,"suffix":""},{"dropping-particle":"","family":"Martin","given":"Emily T.","non-dropping-particle":"","parse-names":false,"suffix":""},{"dropping-particle":"","family":"Belongia","given":"Edward A.","non-dropping-particle":"","parse-names":false,"suffix":""},{"dropping-particle":"","family":"McLean","given":"Huong Q.","non-dropping-particle":"","parse-names":false,"suffix":""},{"dropping-particle":"","family":"Fry","given":"Alicia M.","non-dropping-particle":"","parse-names":false,"suffix":""},{"dropping-particle":"","family":"Havers","given":"Fiona P.","non-dropping-particle":"","parse-names":false,"suffix":""}],"container-title":"Clinical Infectious Diseases","id":"ITEM-2","issue":"7","issued":{"date-parts":[["2018","3","19"]]},"page":"1035-1041","title":"Influenza Antiviral Prescribing for Outpatients with an Acute Respiratory Illness and at High Risk for Influenza-Associated Complications during 5 Influenza Seasons-United States, 2011-2016","type":"article-journal","volume":"66"},"uris":["http://www.mendeley.com/documents/?uuid=8a33a6d9-bbc4-46a2-b01d-29ee7c8c41c2"]}],"mendeley":{"formattedCitation":"[23, 24]","plainTextFormattedCitation":"[23, 24]","previouslyFormattedCitation":"[23, 24]"},"properties":{"noteIndex":0},"schema":"https://github.com/citation-style-language/schema/raw/master/csl-citation.json"}</w:instrText>
      </w:r>
      <w:r w:rsidRPr="00BE0FA3">
        <w:rPr>
          <w:rFonts w:asciiTheme="majorBidi" w:hAnsiTheme="majorBidi" w:cstheme="majorBidi"/>
          <w:sz w:val="24"/>
          <w:szCs w:val="24"/>
        </w:rPr>
        <w:fldChar w:fldCharType="separate"/>
      </w:r>
      <w:r w:rsidRPr="000D560C">
        <w:rPr>
          <w:rFonts w:asciiTheme="majorBidi" w:hAnsiTheme="majorBidi" w:cstheme="majorBidi"/>
          <w:noProof/>
          <w:sz w:val="24"/>
          <w:szCs w:val="24"/>
        </w:rPr>
        <w:t>[23, 24]</w:t>
      </w:r>
      <w:r w:rsidRPr="00BE0FA3">
        <w:rPr>
          <w:rFonts w:asciiTheme="majorBidi" w:hAnsiTheme="majorBidi" w:cstheme="majorBidi"/>
          <w:sz w:val="24"/>
          <w:szCs w:val="24"/>
        </w:rPr>
        <w:fldChar w:fldCharType="end"/>
      </w:r>
      <w:r>
        <w:rPr>
          <w:rFonts w:asciiTheme="majorBidi" w:hAnsiTheme="majorBidi" w:cstheme="majorBidi"/>
          <w:sz w:val="24"/>
          <w:szCs w:val="24"/>
        </w:rPr>
        <w:t xml:space="preserve"> </w:t>
      </w:r>
      <w:r w:rsidRPr="00BE0FA3">
        <w:rPr>
          <w:rFonts w:asciiTheme="majorBidi" w:hAnsiTheme="majorBidi" w:cstheme="majorBidi"/>
          <w:sz w:val="24"/>
          <w:szCs w:val="24"/>
        </w:rPr>
        <w:t>(Table S3).</w:t>
      </w:r>
      <w:r>
        <w:rPr>
          <w:rFonts w:asciiTheme="majorBidi" w:hAnsiTheme="majorBidi" w:cstheme="majorBidi"/>
          <w:sz w:val="24"/>
          <w:szCs w:val="24"/>
        </w:rPr>
        <w:t xml:space="preserve"> </w:t>
      </w:r>
    </w:p>
    <w:p w14:paraId="7FAF7927" w14:textId="77777777" w:rsidR="00285089" w:rsidRDefault="00285089" w:rsidP="00285089">
      <w:pPr>
        <w:spacing w:after="0" w:line="360" w:lineRule="auto"/>
        <w:ind w:left="-5" w:right="45"/>
        <w:jc w:val="both"/>
        <w:rPr>
          <w:rFonts w:asciiTheme="majorBidi" w:hAnsiTheme="majorBidi" w:cstheme="majorBidi"/>
          <w:sz w:val="24"/>
          <w:szCs w:val="24"/>
        </w:rPr>
      </w:pPr>
    </w:p>
    <w:p w14:paraId="09C7C74E" w14:textId="77777777" w:rsidR="00285089" w:rsidRDefault="00285089" w:rsidP="00285089">
      <w:pPr>
        <w:spacing w:after="0" w:line="360" w:lineRule="auto"/>
        <w:ind w:left="-5" w:right="45"/>
        <w:jc w:val="both"/>
        <w:rPr>
          <w:rFonts w:asciiTheme="majorBidi" w:hAnsiTheme="majorBidi" w:cstheme="majorBidi"/>
          <w:sz w:val="24"/>
          <w:szCs w:val="24"/>
        </w:rPr>
      </w:pPr>
    </w:p>
    <w:p w14:paraId="5035B1CF" w14:textId="77777777" w:rsidR="00285089" w:rsidRDefault="00285089" w:rsidP="00285089">
      <w:pPr>
        <w:spacing w:after="0" w:line="360" w:lineRule="auto"/>
        <w:ind w:left="-5" w:right="45"/>
        <w:jc w:val="both"/>
        <w:rPr>
          <w:rFonts w:asciiTheme="majorBidi" w:hAnsiTheme="majorBidi" w:cstheme="majorBidi"/>
          <w:sz w:val="24"/>
          <w:szCs w:val="24"/>
        </w:rPr>
      </w:pPr>
    </w:p>
    <w:p w14:paraId="36F32E10" w14:textId="77777777" w:rsidR="00285089" w:rsidRDefault="00285089" w:rsidP="00285089">
      <w:pPr>
        <w:spacing w:after="0" w:line="360" w:lineRule="auto"/>
        <w:ind w:left="-5" w:right="45"/>
        <w:jc w:val="both"/>
        <w:rPr>
          <w:rFonts w:asciiTheme="majorBidi" w:hAnsiTheme="majorBidi" w:cstheme="majorBidi"/>
          <w:sz w:val="24"/>
          <w:szCs w:val="24"/>
        </w:rPr>
      </w:pPr>
    </w:p>
    <w:p w14:paraId="2A3AE9D1" w14:textId="77777777" w:rsidR="00285089" w:rsidRPr="001442F3" w:rsidRDefault="00285089" w:rsidP="00285089">
      <w:pPr>
        <w:spacing w:after="0" w:line="360" w:lineRule="auto"/>
        <w:ind w:left="-5" w:right="45"/>
        <w:jc w:val="both"/>
        <w:rPr>
          <w:rFonts w:asciiTheme="majorBidi" w:hAnsiTheme="majorBidi" w:cstheme="majorBidi"/>
          <w:sz w:val="24"/>
          <w:szCs w:val="24"/>
        </w:rPr>
      </w:pPr>
    </w:p>
    <w:p w14:paraId="3128ADC6" w14:textId="77777777" w:rsidR="00285089" w:rsidRPr="006B402A" w:rsidRDefault="00285089" w:rsidP="00285089">
      <w:pPr>
        <w:spacing w:after="0" w:line="360" w:lineRule="auto"/>
        <w:ind w:right="158"/>
        <w:jc w:val="both"/>
        <w:rPr>
          <w:rFonts w:asciiTheme="majorBidi" w:hAnsiTheme="majorBidi" w:cstheme="majorBidi"/>
          <w:sz w:val="20"/>
          <w:szCs w:val="20"/>
        </w:rPr>
      </w:pPr>
      <w:r w:rsidRPr="006B402A">
        <w:rPr>
          <w:rFonts w:asciiTheme="majorBidi" w:hAnsiTheme="majorBidi" w:cstheme="majorBidi"/>
          <w:b/>
          <w:bCs/>
          <w:sz w:val="20"/>
          <w:szCs w:val="20"/>
        </w:rPr>
        <w:t>Table S3</w:t>
      </w:r>
      <w:r w:rsidRPr="006B402A">
        <w:rPr>
          <w:rFonts w:asciiTheme="majorBidi" w:hAnsiTheme="majorBidi" w:cstheme="majorBidi"/>
          <w:sz w:val="20"/>
          <w:szCs w:val="20"/>
        </w:rPr>
        <w:t>: Fixed parameters used in the transmission model.</w:t>
      </w: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5755"/>
        <w:gridCol w:w="2160"/>
        <w:gridCol w:w="1170"/>
      </w:tblGrid>
      <w:tr w:rsidR="00285089" w14:paraId="71DEA92D" w14:textId="77777777" w:rsidTr="00365097">
        <w:trPr>
          <w:jc w:val="center"/>
        </w:trPr>
        <w:tc>
          <w:tcPr>
            <w:tcW w:w="1620" w:type="dxa"/>
            <w:shd w:val="clear" w:color="auto" w:fill="BFBFBF" w:themeFill="background1" w:themeFillShade="BF"/>
          </w:tcPr>
          <w:p w14:paraId="009F5D46"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Parameter</w:t>
            </w:r>
          </w:p>
        </w:tc>
        <w:tc>
          <w:tcPr>
            <w:tcW w:w="5755" w:type="dxa"/>
            <w:shd w:val="clear" w:color="auto" w:fill="BFBFBF" w:themeFill="background1" w:themeFillShade="BF"/>
          </w:tcPr>
          <w:p w14:paraId="7CC9FFD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Description</w:t>
            </w:r>
          </w:p>
        </w:tc>
        <w:tc>
          <w:tcPr>
            <w:tcW w:w="2160" w:type="dxa"/>
            <w:shd w:val="clear" w:color="auto" w:fill="BFBFBF" w:themeFill="background1" w:themeFillShade="BF"/>
          </w:tcPr>
          <w:p w14:paraId="6C6820BC"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b/>
                <w:bCs/>
                <w:sz w:val="24"/>
                <w:szCs w:val="24"/>
              </w:rPr>
            </w:pPr>
            <w:r w:rsidRPr="00BE0FA3">
              <w:rPr>
                <w:rFonts w:asciiTheme="majorBidi" w:hAnsiTheme="majorBidi" w:cstheme="majorBidi"/>
                <w:b/>
                <w:bCs/>
                <w:sz w:val="24"/>
                <w:szCs w:val="24"/>
              </w:rPr>
              <w:t>Value</w:t>
            </w:r>
          </w:p>
        </w:tc>
        <w:tc>
          <w:tcPr>
            <w:tcW w:w="1170" w:type="dxa"/>
            <w:shd w:val="clear" w:color="auto" w:fill="BFBFBF" w:themeFill="background1" w:themeFillShade="BF"/>
          </w:tcPr>
          <w:p w14:paraId="71BCC501"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Justification</w:t>
            </w:r>
          </w:p>
        </w:tc>
      </w:tr>
      <w:tr w:rsidR="00285089" w14:paraId="5C6A45EB" w14:textId="77777777" w:rsidTr="00365097">
        <w:trPr>
          <w:jc w:val="center"/>
        </w:trPr>
        <w:tc>
          <w:tcPr>
            <w:tcW w:w="1620" w:type="dxa"/>
          </w:tcPr>
          <w:p w14:paraId="060D2042" w14:textId="77777777" w:rsidR="00285089" w:rsidRPr="00BE0FA3" w:rsidRDefault="00365097"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ξ</m:t>
                    </m:r>
                  </m:e>
                  <m:sub>
                    <m:r>
                      <w:rPr>
                        <w:rFonts w:ascii="Cambria Math" w:hAnsi="Cambria Math" w:cstheme="majorBidi"/>
                        <w:sz w:val="24"/>
                        <w:szCs w:val="24"/>
                      </w:rPr>
                      <m:t>j</m:t>
                    </m:r>
                  </m:sub>
                </m:sSub>
              </m:oMath>
            </m:oMathPara>
          </w:p>
        </w:tc>
        <w:tc>
          <w:tcPr>
            <w:tcW w:w="5755" w:type="dxa"/>
          </w:tcPr>
          <w:p w14:paraId="409B2FA9"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P</w:t>
            </w:r>
            <w:r w:rsidRPr="00BE0FA3">
              <w:rPr>
                <w:rFonts w:asciiTheme="majorBidi" w:hAnsiTheme="majorBidi" w:cstheme="majorBidi"/>
                <w:sz w:val="24"/>
                <w:szCs w:val="24"/>
              </w:rPr>
              <w:t xml:space="preserve">roportion of individuals in age-group </w:t>
            </w:r>
            <m:oMath>
              <m:r>
                <w:rPr>
                  <w:rFonts w:ascii="Cambria Math" w:hAnsi="Cambria Math" w:cstheme="majorBidi"/>
                  <w:sz w:val="24"/>
                  <w:szCs w:val="24"/>
                </w:rPr>
                <m:t>j</m:t>
              </m:r>
            </m:oMath>
            <w:r w:rsidRPr="00BE0FA3">
              <w:rPr>
                <w:rFonts w:asciiTheme="majorBidi" w:hAnsiTheme="majorBidi" w:cstheme="majorBidi"/>
                <w:sz w:val="24"/>
                <w:szCs w:val="24"/>
              </w:rPr>
              <w:t xml:space="preserve"> who are immune due to preexisting serum influenza neutralizing antibodies from previous exposure.</w:t>
            </w:r>
          </w:p>
        </w:tc>
        <w:tc>
          <w:tcPr>
            <w:tcW w:w="2160" w:type="dxa"/>
          </w:tcPr>
          <w:p w14:paraId="1C803C44"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0-4: 0</w:t>
            </w:r>
          </w:p>
          <w:p w14:paraId="7E94B65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5-19: 0.2</w:t>
            </w:r>
          </w:p>
          <w:p w14:paraId="2A235BC8"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20-49: 0.3</w:t>
            </w:r>
          </w:p>
          <w:p w14:paraId="2984C207"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50-64: 0.25</w:t>
            </w:r>
          </w:p>
          <w:p w14:paraId="65144D2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65+: 0.25</w:t>
            </w:r>
          </w:p>
        </w:tc>
        <w:tc>
          <w:tcPr>
            <w:tcW w:w="1170" w:type="dxa"/>
            <w:vAlign w:val="center"/>
          </w:tcPr>
          <w:p w14:paraId="56DFA282"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{"citationItems":[{"id":"ITEM-1","itemData":{"DOI":"10.1186/1471-2334-14-346","ISBN":"1471-2334 (Electronic); 1471-2334 (Linking)","ISSN":"14712334","PMID":"24950742","author":[{"dropping-particle":"","family":"Mandelboim","given":"Michal","non-dropping-particle":"","parse-names":false,"suffix":""},{"dropping-particle":"","family":"Bromberg","given":"Michal","non-dropping-particle":"","parse-names":false,"suffix":""},{"dropping-particle":"","family":"Sherbany","given":"Hilda","non-dropping-particle":"","parse-names":false,"suffix":""},{"dropping-particle":"","family":"Zucker","given":"Inbar","non-dropping-particle":"","parse-names":false,"suffix":""},{"dropping-particle":"","family":"Yaary","given":"Karnit","non-dropping-particle":"","parse-names":false,"suffix":""},{"dropping-particle":"","family":"Bassal","given":"Ravit","non-dropping-particle":"","parse-names":false,"suffix":""},{"dropping-particle":"","family":"Dichtiar","given":"Rita","non-dropping-particle":"","parse-names":false,"suffix":""},{"dropping-particle":"","family":"Cohen","given":"Danny","non-dropping-particle":"","parse-names":false,"suffix":""},{"dropping-particle":"","family":"Shohat","given":"Tamar","non-dropping-particle":"","parse-names":false,"suffix":""},{"dropping-particle":"","family":"Mendelson","given":"Ella","non-dropping-particle":"","parse-names":false,"suffix":""},{"dropping-particle":"","family":"Green","given":"Manfred S","non-dropping-particle":"","parse-names":false,"suffix":""}],"container-title":"BMC Infectious Diseases","id":"ITEM-1","issue":"1","issued":{"date-parts":[["2014"]]},"title":"Significant cross reactive antibodies to influenza virus in adults and children during a period of marked antigenic drift","type":"bill","volume":"14"},"uris":["http://www.mendeley.com/documents/?uuid=c155e0bd-08df-403f-a87b-ffc25e534d1f"]},{"id":"ITEM-2","itemData":{"ISSN":"01492195","author":[{"dropping-particle":"","family":"Branch","given":"Alicia","non-dropping-particle":"","parse-names":false,"suffix":""},{"dropping-particle":"","family":"Veguilla","given":"Vic","non-dropping-particle":"","parse-names":false,"suffix":""},{"dropping-particle":"","family":"Gillis","given":"Eric","non-dropping-particle":"","parse-names":false,"suffix":""},{"dropping-particle":"","family":"Reed","given":"Carrie","non-dropping-particle":"","parse-names":false,"suffix":""},{"dropping-particle":"","family":"Noland","given":"Heather","non-dropping-particle":"","parse-names":false,"suffix":""},{"dropping-particle":"","family":"Thomas","given":"Leilani","non-dropping-particle":"","parse-names":false,"suffix":""},{"dropping-particle":"","family":"Browning","given":"Peter","non-dropping-particle":"","parse-names":false,"suffix":""},{"dropping-particle":"","family":"Balish","given":"Amanda","non-dropping-particle":"","parse-names":false,"suffix":""},{"dropping-particle":"","family":"Fry","given":"Alicia","non-dropping-particle":"","parse-names":false,"suffix":""},{"dropping-particle":"","family":"Cox","given":"Nancy","non-dropping-particle":"","parse-names":false,"suffix":""},{"dropping-particle":"","family":"Katz","given":"Jacqueline M.","non-dropping-particle":"","parse-names":false,"suffix":""},{"dropping-particle":"","family":"Hancock","given":"Kathy","non-dropping-particle":"","parse-names":false,"suffix":""}],"container-title":"Morbidity and Mortality Weekly Report","id":"ITEM-2","issued":{"date-parts":[["2012"]]},"title":"Antibodies cross-reactive to influenza a (H3N2) variant virus and impact of 2010-11 seasonal influenza vaccine on cross-reactive antibodies - United States","type":"article-journal"},"uris":["http://www.mendeley.com/documents/?uuid=e9dc7547-ffc2-485e-b63d-b68fefb28f54"]},{"id":"ITEM-3","itemData":{"DOI":"10.1056/NEJMoa0906453","ISSN":"0028-4793","author":[{"dropping-particle":"","family":"Hancock","given":"Kathy","non-dropping-particle":"","parse-names":false,"suffix":""},{"dropping-particle":"","family":"Veguilla","given":"Vic","non-dropping-particle":"","parse-names":false,"suffix":""},{"dropping-particle":"","family":"Lu","given":"Xiuhua","non-dropping-particle":"","parse-names":false,"suffix":""},{"dropping-particle":"","family":"Zhong","given":"Weimin","non-dropping-particle":"","parse-names":false,"suffix":""},{"dropping-particle":"","family":"Butler","given":"Eboneé N.","non-dropping-particle":"","parse-names":false,"suffix":""},{"dropping-particle":"","family":"Sun","given":"Hong","non-dropping-particle":"","parse-names":false,"suffix":""},{"dropping-particle":"","family":"Liu","given":"Feng","non-dropping-particle":"","parse-names":false,"suffix":""},{"dropping-particle":"","family":"Dong","given":"Libo","non-dropping-particle":"","parse-names":false,"suffix":""},{"dropping-particle":"","family":"DeVos","given":"Joshua R.","non-dropping-particle":"","parse-names":false,"suffix":""},{"dropping-particle":"","family":"Gargiullo","given":"Paul M.","non-dropping-particle":"","parse-names":false,"suffix":""},{"dropping-particle":"","family":"Brammer","given":"T. Lynnette","non-dropping-particle":"","parse-names":false,"suffix":""},{"dropping-particle":"","family":"Cox","given":"Nancy J.","non-dropping-particle":"","parse-names":false,"suffix":""},{"dropping-particle":"","family":"Tumpey","given":"Terrence M.","non-dropping-particle":"","parse-names":false,"suffix":""},{"dropping-particle":"","family":"Katz","given":"Jacqueline M.","non-dropping-particle":"","parse-names":false,"suffix":""}],"container-title":"New England Journal of Medicine","id":"ITEM-3","issue":"20","issued":{"date-parts":[["2009","11","12"]]},"page":"1945-1952","title":"Cross-Reactive Antibody Responses to the 2009 Pandemic H1N1 Influenza Virus","type":"article-journal","volume":"361"},"uris":["http://www.mendeley.com/documents/?uuid=70580090-6bd0-3db8-8172-1558f9c5ce14"]},{"id":"ITEM-4","itemData":{"DOI":"10.1371/journal.pone.0161195","ISSN":"19326203","abstract":"While influenza A viruses comprise a heterogeneous group of clinically relevant influenza viruses, influenza B viruses form a more homogeneous cluster, divided mainly into two lineages: Victoria and Yamagata. This divergence has complicated seasonal influenza vaccine design, which traditionally contained two seasonal influenza A virus strains and one influenza B virus strain. We examined the distribution of the two influenza B virus lineages in Israel, between 2011-2014, in hospitalized and in non-hospitalized (community) influenza B virus-infected patients. We showed that influenza B virus infections can lead to hospitalization and demonstrated that during some winter seasons, both influenza B virus lineages circulated simultaneously in Israel. We further show that the influenza B virus Yamagata lineage was dominant, circulating in the county in the last few years of the study period, consistent with the anti-Yamagata influenza B virus antibodies detected in the serum samples of affected individuals residing in Israel in the year 2014. Interestingly, we found that elderly people were particularly vulnerable to Yamagata lineage influenza B virus infections.","author":[{"dropping-particle":"","family":"Sharabi","given":"Sivan","non-dropping-particle":"","parse-names":false,"suffix":""},{"dropping-particle":"","family":"Drori","given":"Yaron","non-dropping-particle":"","parse-names":false,"suffix":""},{"dropping-particle":"","family":"Micheli","given":"Michal","non-dropping-particle":"","parse-names":false,"suffix":""},{"dropping-particle":"","family":"Friedman","given":"Nehemya","non-dropping-particle":"","parse-names":false,"suffix":""},{"dropping-particle":"","family":"Orzitzer","given":"Sara","non-dropping-particle":"","parse-names":false,"suffix":""},{"dropping-particle":"","family":"Bassal","given":"Ravit","non-dropping-particle":"","parse-names":false,"suffix":""},{"dropping-particle":"","family":"Glatman-Freedman","given":"Aharona","non-dropping-particle":"","parse-names":false,"suffix":""},{"dropping-particle":"","family":"Shohat","given":"Tamar","non-dropping-particle":"","parse-names":false,"suffix":""},{"dropping-particle":"","family":"Mendelson","given":"Ella","non-dropping-particle":"","parse-names":false,"suffix":""},{"dropping-particle":"","family":"Hindiyeh","given":"Musa","non-dropping-particle":"","parse-names":false,"suffix":""},{"dropping-particle":"","family":"Mandelboim","given":"Michal","non-dropping-particle":"","parse-names":false,"suffix":""}],"container-title":"PLoS ONE","id":"ITEM-4","issue":"8","issued":{"date-parts":[["2016","8","1"]]},"publisher":"Public Library of Science","title":"Epidemiological and virological characterization of influenza B virus infections","type":"article-journal","volume":"11"},"uris":["http://www.mendeley.com/documents/?uuid=dbf53dbb-52ed-3a79-bb1c-549f039e8c84"]}],"mendeley":{"formattedCitation":"[41–44]","plainTextFormattedCitation":"[41–44]","previouslyFormattedCitation":"[42–45]"},"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[41–44]</w:t>
            </w:r>
            <w:r>
              <w:rPr>
                <w:rFonts w:asciiTheme="majorBidi" w:hAnsiTheme="majorBidi" w:cstheme="majorBidi"/>
                <w:sz w:val="24"/>
                <w:szCs w:val="24"/>
              </w:rPr>
              <w:fldChar w:fldCharType="end"/>
            </w:r>
          </w:p>
        </w:tc>
      </w:tr>
      <w:tr w:rsidR="00285089" w14:paraId="532A8DFD" w14:textId="77777777" w:rsidTr="00365097">
        <w:trPr>
          <w:jc w:val="center"/>
        </w:trPr>
        <w:tc>
          <w:tcPr>
            <w:tcW w:w="1620" w:type="dxa"/>
          </w:tcPr>
          <w:p w14:paraId="74092966" w14:textId="77777777" w:rsidR="00285089" w:rsidRPr="00BE0FA3" w:rsidRDefault="00365097"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j,k</m:t>
                    </m:r>
                  </m:sub>
                </m:sSub>
              </m:oMath>
            </m:oMathPara>
          </w:p>
        </w:tc>
        <w:tc>
          <w:tcPr>
            <w:tcW w:w="5755" w:type="dxa"/>
          </w:tcPr>
          <w:p w14:paraId="1E8636E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P</w:t>
            </w:r>
            <w:r w:rsidRPr="00BE0FA3">
              <w:rPr>
                <w:rFonts w:asciiTheme="majorBidi" w:hAnsiTheme="majorBidi" w:cstheme="majorBidi"/>
                <w:sz w:val="24"/>
                <w:szCs w:val="24"/>
              </w:rPr>
              <w:t>opulation size of risk</w:t>
            </w:r>
            <w:r>
              <w:rPr>
                <w:rFonts w:asciiTheme="majorBidi" w:hAnsiTheme="majorBidi" w:cstheme="majorBidi"/>
                <w:sz w:val="24"/>
                <w:szCs w:val="24"/>
              </w:rPr>
              <w:t xml:space="preserve"> </w:t>
            </w:r>
            <w:r w:rsidRPr="00BE0FA3">
              <w:rPr>
                <w:rFonts w:asciiTheme="majorBidi" w:hAnsiTheme="majorBidi" w:cstheme="majorBidi"/>
                <w:sz w:val="24"/>
                <w:szCs w:val="24"/>
              </w:rPr>
              <w:t>group k age</w:t>
            </w:r>
            <w:r>
              <w:rPr>
                <w:rFonts w:asciiTheme="majorBidi" w:hAnsiTheme="majorBidi" w:cstheme="majorBidi"/>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j</m:t>
              </m:r>
            </m:oMath>
            <w:r w:rsidRPr="00BE0FA3">
              <w:rPr>
                <w:rFonts w:asciiTheme="majorBidi" w:hAnsiTheme="majorBidi" w:cstheme="majorBidi"/>
                <w:sz w:val="24"/>
                <w:szCs w:val="24"/>
              </w:rPr>
              <w:t>.</w:t>
            </w:r>
          </w:p>
        </w:tc>
        <w:tc>
          <w:tcPr>
            <w:tcW w:w="2160" w:type="dxa"/>
          </w:tcPr>
          <w:p w14:paraId="1DF3FCEE"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Varies between states</w:t>
            </w:r>
          </w:p>
        </w:tc>
        <w:tc>
          <w:tcPr>
            <w:tcW w:w="1170" w:type="dxa"/>
            <w:vAlign w:val="center"/>
          </w:tcPr>
          <w:p w14:paraId="343AE9DD"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{"citationItems":[{"id":"ITEM-1","itemData":{"DOI":"10.1016/j.vaccine.2007.03.046","ISSN":"0264410X","abstract":"Background: Despite preventive efforts, influenza epidemics are responsible for substantial morbidity and mortality every year in the United States (US). Vaccination strategies to reduce disease burden have been implemented. However, no previous studies have systematically estimated the annual economic burden of influenza epidemics, an estimate necessary to guide policy makers effectively. Objective: We estimate age- and risk-specific disease burden, and medical and indirect costs attributable to annual influenza epidemics in the United States. Methods: Using a probabilistic model and publicly available epidemiological data we estimated the number of influenza-attributable cases leading to outpatient visits, hospitalization, and mortality, as well as time lost from work absenteeism or premature death. With data from health insurance claims and projections of either earnings or statistical life values, we then estimated healthcare resource utilization associated with influenza cases as were their medical and productivity (indirect) costs in $2003. Results: Based on 2003 US population, we estimated that annual influenza epidemics resulted in an average of 610,660 life-years lost (undiscounted), 3.1 million hospitalized days, and 31.4 million outpatient visits. Direct medical costs averaged $10.4 billion (95% confidence interval [C.I.], $4.1, $22.2) annually. Projected lost earnings due to illness and loss of life amounted to $16.3 billion (C.I., $8.7, $31.0) annually. The total economic burden of annual influenza epidemics using projected statistical life values amounted to $87.1 billion (C.I., $47.2, $149.5). Conclusions: These results highlight the enormous annual burden of influenza in the US. While hospitalization costs are important contributors, lost productivity from missed work days and lost lives comprise the bulk of the economic burden of influenza. © 2007 Elsevier Ltd. All rights reserved.","author":[{"dropping-particle":"","family":"Molinari","given":"Noelle Angelique M.","non-dropping-particle":"","parse-names":false,"suffix":""},{"dropping-particle":"","family":"Ortega-Sanchez","given":"Ismael R.","non-dropping-particle":"","parse-names":false,"suffix":""},{"dropping-particle":"","family":"Messonnier","given":"Mark L.","non-dropping-particle":"","parse-names":false,"suffix":""},{"dropping-particle":"","family":"Thompson","given":"William W.","non-dropping-particle":"","parse-names":false,"suffix":""},{"dropping-particle":"","family":"Wortley","given":"Pascale M.","non-dropping-particle":"","parse-names":false,"suffix":""},{"dropping-particle":"","family":"Weintraub","given":"Eric","non-dropping-particle":"","parse-names":false,"suffix":""},{"dropping-particle":"","family":"Bridges","given":"Carolyn B.","non-dropping-particle":"","parse-names":false,"suffix":""}],"container-title":"Vaccine","id":"ITEM-1","issued":{"date-parts":[["2007"]]},"title":"The annual impact of seasonal influenza in the US: Measuring disease burden and costs","type":"article-journal"},"uris":["http://www.mendeley.com/documents/?uuid=02863a39-7e25-4afb-8f48-a40695e0e556"]},{"id":"ITEM-2","itemData":{"URL":"https://www.kff.org/other/state-indicator/distribution-by-age/?currentTimeframe=1&amp;sortModel=%7B%22colId%22:%22Location%22,%22sort%22:%22asc%22%7D","accessed":{"date-parts":[["2020","1","29"]]},"id":"ITEM-2","issued":{"date-parts":[["0"]]},"title":"Population Distribution by Age | The Henry J. Kaiser Family Foundation","type":"webpage"},"uris":["http://www.mendeley.com/documents/?uuid=b04a07ba-27f4-3d75-817e-d671903e1e1c"]}],"mendeley":{"formattedCitation":"[1, 70]","plainTextFormattedCitation":"[1, 70]","previouslyFormattedCitation":"[1, 71]"},"properties":{"noteIndex":0},"schema":"https://github.com/citation-style-language/schema/raw/master/csl-citation.json"}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[1, 70]</w:t>
            </w:r>
            <w:r>
              <w:rPr>
                <w:rFonts w:asciiTheme="majorBidi" w:hAnsiTheme="majorBidi" w:cstheme="majorBidi"/>
                <w:sz w:val="24"/>
                <w:szCs w:val="24"/>
              </w:rPr>
              <w:fldChar w:fldCharType="end"/>
            </w:r>
          </w:p>
        </w:tc>
      </w:tr>
      <w:tr w:rsidR="00285089" w14:paraId="7247E044" w14:textId="77777777" w:rsidTr="00365097">
        <w:trPr>
          <w:jc w:val="center"/>
        </w:trPr>
        <w:tc>
          <w:tcPr>
            <w:tcW w:w="1620" w:type="dxa"/>
          </w:tcPr>
          <w:p w14:paraId="2296006C"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r>
                  <w:rPr>
                    <w:rFonts w:ascii="Cambria Math" w:hAnsi="Cambria Math" w:cstheme="majorBidi"/>
                    <w:sz w:val="24"/>
                    <w:szCs w:val="24"/>
                  </w:rPr>
                  <m:t>η</m:t>
                </m:r>
              </m:oMath>
            </m:oMathPara>
          </w:p>
        </w:tc>
        <w:tc>
          <w:tcPr>
            <w:tcW w:w="5755" w:type="dxa"/>
          </w:tcPr>
          <w:p w14:paraId="6F9AFD15"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Mean influenza vaccination efficacy.</w:t>
            </w:r>
          </w:p>
        </w:tc>
        <w:tc>
          <w:tcPr>
            <w:tcW w:w="2160" w:type="dxa"/>
          </w:tcPr>
          <w:p w14:paraId="27EC0445"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0.45</w:t>
            </w:r>
          </w:p>
        </w:tc>
        <w:tc>
          <w:tcPr>
            <w:tcW w:w="1170" w:type="dxa"/>
            <w:vAlign w:val="center"/>
          </w:tcPr>
          <w:p w14:paraId="246C8570"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{"citationItems":[{"id":"ITEM-1","itemData":{"URL":"https://www.cdc.gov/flu/vaccines-work/effectiveness-studies.htm","accessed":{"date-parts":[["2020","1","3"]]},"id":"ITEM-1","issued":{"date-parts":[["0"]]},"title":"CDC Seasonal Flu Vaccine Effectiveness Studies | CDC","type":"webpage"},"uris":["http://www.mendeley.com/documents/?uuid=c1a76a2d-d345-41e9-8c52-386647b6a67c"]},{"id":"ITEM-2","itemData":{"DOI":"10.15585/mmwr.mm6806a2","ISSN":"1545861X","PMID":"23425960","abstract":"In the United States, annual vaccination against seasonal influenza is recommended for all persons aged ≥6 months (https://www.cdc.gov/flu/protect/whoshouldvax.htm). Effectiveness of seasonal influenza vaccine varies by season. During each influenza season since 2004-05, CDC has estimated the effectiveness of seasonal influenza vaccine to prevent laboratory-confirmed influenza associated with medically attended acute respiratory illness (ARI). This interim report uses data from 3,254 children and adults enrolled in the U.S. Influenza Vaccine Effectiveness Network (U.S. Flu VE Network) during November 23, 2018-February 2, 2019. During this period, overall adjusted vaccine effectiveness against all influenza virus infection associated with medically attended ARI was 47% (95% confidence interval [CI] = 34%-57%). For children aged 6 months-17 years, overall vaccine effectiveness was 61% (44%-73%). Seventy-four percent of influenza A infections for which subtype information was available were caused by A(H1N1)pdm09 viruses. Vaccine effectiveness was estimated to be 46% (30%-58%) against illness caused by influenza A(H1N1)pdm09 viruses. CDC recommends that health care providers continue to administer influenza vaccine because influenza activity is ongoing and the vaccine can still prevent illness, hospitalization, and death associated with currently circulating influenza viruses, or other influenza viruses that might circulate later in the season. During the 2017-18 influenza season, in which influenza A(H3N2) predominated, vaccination was estimated to prevent 7.1 million illnesses, 3.7 million medical visits, 109,000 hospitalizations, and 8,000 deaths (1). Vaccination can also reduce the severity of influenza-associated illness (2). Persons aged ≥6 months who have not yet been vaccinated this season should be vaccinated.","author":[{"dropping-particle":"","family":"Doyle","given":"Joshua D.","non-dropping-particle":"","parse-names":false,"suffix":""},{"dropping-particle":"","family":"Chung","given":"Jessie R.","non-dropping-particle":"","parse-names":false,"suffix":""},{"dropping-particle":"","family":"Kim","given":"Sara S.","non-dropping-particle":"","parse-names":false,"suffix":""},{"dropping-particle":"","family":"Gaglani","given":"Manjusha","non-dropping-particle":"","parse-names":false,"suffix":""},{"dropping-particle":"","family":"Raiyani","given":"Chandni","non-dropping-particle":"","parse-names":false,"suffix":""},{"dropping-particle":"","family":"Zimmerman","given":"Richard K.","non-dropping-particle":"","parse-names":false,"suffix":""},{"dropping-particle":"","family":"Nowalk","given":"Mary Patricia","non-dropping-particle":"","parse-names":false,"suffix":""},{"dropping-particle":"","family":"Jackson","given":"Michael L.","non-dropping-particle":"","parse-names":false,"suffix":""},{"dropping-particle":"","family":"Jackson","given":"Lisa A.","non-dropping-particle":"","parse-names":false,"suffix":""},{"dropping-particle":"","family":"Monto","given":"Arnold S.","non-dropping-particle":"","parse-names":false,"suffix":""},{"dropping-particle":"","family":"Martin","given":"Emily T.","non-dropping-particle":"","parse-names":false,"suffix":""},{"dropping-particle":"","family":"Belongia","given":"Edward A.","non-dropping-particle":"","parse-names":false,"suffix":""},{"dropping-particle":"","family":"McLean","given":"Huong Q.","non-dropping-particle":"","parse-names":false,"suffix":""},{"dropping-particle":"","family":"Foust","given":"Angie","non-dropping-particle":"","parse-names":false,"suffix":""},{"dropping-particle":"","family":"Sessions","given":"Wendy","non-dropping-particle":"","parse-names":false,"suffix":""},{"dropping-particle":"","family":"Berman","given":"La Shondra","non-dropping-particle":"","parse-names":false,"suffix":""},{"dropping-particle":"","family":"Garten","given":"Rebecca J.","non-dropping-particle":"","parse-names":false,"suffix":""},{"dropping-particle":"","family":"Barnes","given":"John R.","non-dropping-particle":"","parse-names":false,"suffix":""},{"dropping-particle":"","family":"Wentworth","given":"David E.","non-dropping-particle":"","parse-names":false,"suffix":""},{"dropping-particle":"","family":"Fry","given":"Alicia M.","non-dropping-particle":"","parse-names":false,"suffix":""},{"dropping-particle":"","family":"Patel","given":"Manish M.","non-dropping-particle":"","parse-names":false,"suffix":""},{"dropping-particle":"","family":"Flannery","given":"Brendan","non-dropping-particle":"","parse-names":false,"suffix":""}],"container-title":"MMWR. Morbidity and mortality weekly report","id":"ITEM-2","issued":{"date-parts":[["2019"]]},"title":"Interim Estimates of 2018-19 Seasonal Influenza Vaccine Effectiveness - United States, February 2019","type":"article-journal"},"uris":["http://www.mendeley.com/documents/?uuid=69298752-dfdf-4af6-8e6e-4c4de4d9d763"]}],"mendeley":{"formattedCitation":"[7, 8]","plainTextFormattedCitation":"[7, 8]","previouslyFormattedCitation":"[7, 8]"},"properties":{"noteIndex":0},"schema":"https://github.com/citation-style-language/schema/raw/master/csl-citation.json"}</w:instrText>
            </w:r>
            <w:r>
              <w:rPr>
                <w:rFonts w:asciiTheme="majorBidi" w:hAnsiTheme="majorBidi" w:cstheme="majorBidi"/>
                <w:sz w:val="24"/>
                <w:szCs w:val="24"/>
              </w:rPr>
              <w:fldChar w:fldCharType="separate"/>
            </w:r>
            <w:r w:rsidRPr="000D560C">
              <w:rPr>
                <w:rFonts w:asciiTheme="majorBidi" w:hAnsiTheme="majorBidi" w:cstheme="majorBidi"/>
                <w:noProof/>
                <w:sz w:val="24"/>
                <w:szCs w:val="24"/>
              </w:rPr>
              <w:t>[7, 8]</w:t>
            </w:r>
            <w:r>
              <w:rPr>
                <w:rFonts w:asciiTheme="majorBidi" w:hAnsiTheme="majorBidi" w:cstheme="majorBidi"/>
                <w:sz w:val="24"/>
                <w:szCs w:val="24"/>
              </w:rPr>
              <w:fldChar w:fldCharType="end"/>
            </w:r>
          </w:p>
        </w:tc>
      </w:tr>
      <w:tr w:rsidR="00285089" w14:paraId="416B0A48" w14:textId="77777777" w:rsidTr="00365097">
        <w:trPr>
          <w:jc w:val="center"/>
        </w:trPr>
        <w:tc>
          <w:tcPr>
            <w:tcW w:w="1620" w:type="dxa"/>
          </w:tcPr>
          <w:p w14:paraId="4A7394F4" w14:textId="77777777" w:rsidR="00285089" w:rsidRPr="00BE0FA3" w:rsidRDefault="00365097"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j,k</m:t>
                    </m:r>
                  </m:sub>
                </m:sSub>
              </m:oMath>
            </m:oMathPara>
          </w:p>
        </w:tc>
        <w:tc>
          <w:tcPr>
            <w:tcW w:w="5755" w:type="dxa"/>
          </w:tcPr>
          <w:p w14:paraId="4F261F0B"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 xml:space="preserve">Probability of hospitalization </w:t>
            </w:r>
            <w:r>
              <w:rPr>
                <w:rFonts w:asciiTheme="majorBidi" w:hAnsiTheme="majorBidi" w:cstheme="majorBidi"/>
                <w:sz w:val="24"/>
                <w:szCs w:val="24"/>
              </w:rPr>
              <w:t>for an infected</w:t>
            </w:r>
            <w:r w:rsidRPr="00BE0FA3">
              <w:rPr>
                <w:rFonts w:asciiTheme="majorBidi" w:hAnsiTheme="majorBidi" w:cstheme="majorBidi"/>
                <w:sz w:val="24"/>
                <w:szCs w:val="24"/>
              </w:rPr>
              <w:t xml:space="preserve"> individual in age</w:t>
            </w:r>
            <w:r>
              <w:rPr>
                <w:rFonts w:asciiTheme="majorBidi" w:hAnsiTheme="majorBidi" w:cstheme="majorBidi"/>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j</m:t>
              </m:r>
            </m:oMath>
            <w:r w:rsidRPr="00BE0FA3">
              <w:rPr>
                <w:rFonts w:asciiTheme="majorBidi" w:hAnsiTheme="majorBidi" w:cstheme="majorBidi"/>
                <w:sz w:val="24"/>
                <w:szCs w:val="24"/>
              </w:rPr>
              <w:t xml:space="preserve"> and risk</w:t>
            </w:r>
            <w:r>
              <w:rPr>
                <w:rFonts w:asciiTheme="majorBidi" w:hAnsiTheme="majorBidi" w:cstheme="majorBidi"/>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k</m:t>
              </m:r>
            </m:oMath>
            <w:r w:rsidRPr="00BE0FA3">
              <w:rPr>
                <w:rFonts w:asciiTheme="majorBidi" w:hAnsiTheme="majorBidi" w:cstheme="majorBidi"/>
                <w:sz w:val="24"/>
                <w:szCs w:val="24"/>
              </w:rPr>
              <w:t>.</w:t>
            </w:r>
          </w:p>
        </w:tc>
        <w:tc>
          <w:tcPr>
            <w:tcW w:w="2160" w:type="dxa"/>
          </w:tcPr>
          <w:p w14:paraId="0481D10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k=L</w:t>
            </w:r>
          </w:p>
          <w:p w14:paraId="033BA4FA"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0-4: 0.0006</w:t>
            </w:r>
          </w:p>
          <w:p w14:paraId="2234B23C"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5-19: 0.0003</w:t>
            </w:r>
          </w:p>
          <w:p w14:paraId="5AA6701B"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20-49: 0.0006</w:t>
            </w:r>
          </w:p>
          <w:p w14:paraId="3E279127"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50-64: 0.0014</w:t>
            </w:r>
          </w:p>
          <w:p w14:paraId="0EF85ABD"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65+: 0.0229</w:t>
            </w:r>
          </w:p>
          <w:p w14:paraId="68BDC8C5"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k=H</w:t>
            </w:r>
          </w:p>
          <w:p w14:paraId="53CC0BAD"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0-4: 0.0064</w:t>
            </w:r>
          </w:p>
          <w:p w14:paraId="55E8CB15"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5-19: 0.0024</w:t>
            </w:r>
          </w:p>
          <w:p w14:paraId="5EC3B94C"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20-49: 0.0050</w:t>
            </w:r>
          </w:p>
          <w:p w14:paraId="15A87C31"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50-64: 0.0092</w:t>
            </w:r>
          </w:p>
          <w:p w14:paraId="7BB126A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65+: 0.0680</w:t>
            </w:r>
          </w:p>
        </w:tc>
        <w:tc>
          <w:tcPr>
            <w:tcW w:w="1170" w:type="dxa"/>
            <w:vAlign w:val="center"/>
          </w:tcPr>
          <w:p w14:paraId="562415F4"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{"citationItems":[{"id":"ITEM-1","itemData":{"DOI":"10.1111/irv.12486","ISSN":"17502659","abstract":"Background: Estimates of influenza disease burden are broadly useful for public health, helping national and local authorities monitor epidemiologic trends, plan and allocate resources, and promote influenza vaccination. Historically, estimates of the burden of seasonal influenza in the United States, focused mainly on influenza-related mortality and hospitalization, were generated every few years. Since the 2010-2011 influenza season, annual US influenza burden estimates have been generated and expanded to include estimates of influenza-related outpatient medical visits and symptomatic illness in the community. Methods: We used routinely collected surveillance data, outbreak field investigations, and proportions of people seeking health care from survey results to estimate the number of illnesses, medical visits, hospitalizations, and deaths due to influenza during six influenza seasons (2010-2011 through 2015-2016). Results: We estimate that the number of influenza-related illnesses that have occurred during influenza season has ranged from 9.2 million to 35.6 million, including 140 000 to 710 000 influenza-related hospitalizations. Discussion: These annual efforts have strengthened public health communications products and supported timely assessment of the impact of vaccination through estimates of illness and hospitalizations averted. Additionally, annual estimates of influenza burden have highlighted areas where disease surveillance needs improvement to better support public health decision making for seasonal influenza epidemics as well as future pandemics.","author":[{"dropping-particle":"","family":"Rolfes","given":"Melissa A.","non-dropping-particle":"","parse-names":false,"suffix":""},{"dropping-particle":"","family":"Foppa","given":"Ivo M.","non-dropping-particle":"","parse-names":false,"suffix":""},{"dropping-particle":"","family":"Garg","given":"Shikha","non-dropping-particle":"","parse-names":false,"suffix":""},{"dropping-particle":"","family":"Flannery","given":"Brendan","non-dropping-particle":"","parse-names":false,"suffix":""},{"dropping-particle":"","family":"Brammer","given":"Lynnette","non-dropping-particle":"","parse-names":false,"suffix":""},{"dropping-particle":"","family":"Singleton","given":"James A.","non-dropping-particle":"","parse-names":false,"suffix":""},{"dropping-particle":"","family":"Burns","given":"Erin","non-dropping-particle":"","parse-names":false,"suffix":""},{"dropping-particle":"","family":"Jernigan","given":"Daniel","non-dropping-particle":"","parse-names":false,"suffix":""},{"dropping-particle":"","family":"Olsen","given":"Sonja J.","non-dropping-particle":"","parse-names":false,"suffix":""},{"dropping-particle":"","family":"Bresee","given":"Joseph","non-dropping-particle":"","parse-names":false,"suffix":""},{"dropping-particle":"","family":"Reed","given":"Carrie","non-dropping-particle":"","parse-names":false,"suffix":""}],"container-title":"Influenza and other Respiratory Viruses","id":"ITEM-1","issue":"1","issued":{"date-parts":[["2018","1"]]},"page":"132-137","title":"Annual estimates of the burden of seasonal influenza in the United States: A tool for strengthening influenza surveillance and preparedness","type":"article-journal","volume":"12"},"uris":["http://www.mendeley.com/documents/?uuid=c547ca51-5907-4dfc-b410-f397d21bb3c3"]},{"id":"ITEM-2","itemData":{"DOI":"10.1016/j.vaccine.2006.09.041","ISSN":"0264410X","abstract":"We estimated influenza- and respiratory syncytial virus (RSV)-associated hospitalizations by age, high-risk status and outcome, during the 1996/1997-1999/2000 respiratory seasons among adults who did not receive influenza vaccine. Using three health maintenance organization (HMO) databases and local viral surveillance data, we identified weeks when influenza and RSV were circulating and estimated influenza- and RSV-associated hospitalizations. Persons aged ≥65 years with and without high-risk conditions had significantly increased rates of influenza-associated hospitalizations for pneumonia and influenza, and circulatory and respiratory diseases. Persons aged ≥65 years with high-risk conditions also had significantly increased rates of influenza-associated hospitalizations for cardiac conditions (16.9 per 10,000 person periods). Relative to the influenza estimates for high-risk persons ≥65 years, we found lower rates of RSV-associated hospitalizations for pneumonia and influenza diseases (23.4 per 10,000 person periods), cardiac diseases (4.3 per 10,000 person periods) and circulatory and respiratory diseases (44.0 per 10,000 person periods). Among low-risk persons aged 50-64 years, we did not identify significantly elevated rates of influenza- or RSV-associated hospitalizations. Excess hospitalization estimates among adults aged ≥65 years and high-risk 50-64 year olds during the influenza season suggest that these groups should have priority for influenza vaccine during vaccine shortages. © 2006 Elsevier Ltd. All rights reserved.","author":[{"dropping-particle":"","family":"Mullooly","given":"John P.","non-dropping-particle":"","parse-names":false,"suffix":""},{"dropping-particle":"","family":"Bridges","given":"Carolyn B.","non-dropping-particle":"","parse-names":false,"suffix":""},{"dropping-particle":"","family":"Thompson","given":"William W.","non-dropping-particle":"","parse-names":false,"suffix":""},{"dropping-particle":"","family":"Chen","given":"Jufu","non-dropping-particle":"","parse-names":false,"suffix":""},{"dropping-particle":"","family":"Weintraub","given":"Eric","non-dropping-particle":"","parse-names":false,"suffix":""},{"dropping-particle":"","family":"Jackson","given":"Lisa A.","non-dropping-particle":"","parse-names":false,"suffix":""},{"dropping-particle":"","family":"Black","given":"Steve","non-dropping-particle":"","parse-names":false,"suffix":""},{"dropping-particle":"","family":"Shay","given":"David K.","non-dropping-particle":"","parse-names":false,"suffix":""}],"container-title":"Vaccine","id":"ITEM-2","issue":"5","issued":{"date-parts":[["2007","1","15"]]},"page":"846-855","title":"Influenza- and RSV-associated hospitalizations among adults","type":"article-journal","volume":"25"},"uris":["http://www.mendeley.com/documents/?uuid=93f74acd-806b-3e01-a058-a7994c3bc551"]},{"id":"ITEM-3","itemData":{"DOI":"10.1542/peds.2006-1475","ISSN":"00314005","PMID":"17142526","abstract":"BACKGROUND. Influenza causes significant morbidity among children. Previous studies used indirect case ascertainment methods with little cost data. We sought to measure the burden of laboratory-confirmed influenza from hospitalized children. METHODS. We conducted a retrospective cohort study during 3 viral seasons at Primary Children's Medical Center (Salt Lake City, UT). Children ≤18 years of age who were hospitalized with laboratory-confirmed influenza infection were included. Outcomes included hospitalization rates, complications including intensive care unit stays, mechanical ventilation, length of stay, and total hospital costs. RESULTS. A total of 325 children had hospitalizations attributable to influenza over 3 viral seasons: 28% &lt;6 months of age, 33% between 6 and 23 months of age; and 39% &gt;2 years of age; 37% had high-risk medical conditions. Population-based rates of hospitalization for Salt Lake County residents ranged from 6.3 to 252.7 per 100 000 children. The highest rates were in children younger than 6 months, and rates decreased with increasing age. Forty-nine (15%) children had an ICU stay; 27 required mechanical ventilation, and half of these patients were &gt;2 years of age. Total hospital cost for the cohort was $2 million; 55% was accounted for by children &gt;2 years of age. Length of stay and total hospital costs were significantly higher in all children &gt;2 years of age compared with children &lt;6 months of age and were comparable to all children 6 to 23 months of age. CONCLUSIONS. Proven influenza infection in children results in substantial hospital resource utilization and morbidity. Nationwide, the median hospital costs may total $55 million. Our data support the Advisory Committee on Immunization's recommendations to expand the use of influenza vaccine to children &gt;2 years of age. Copyright © 2006 by the American Academy of Pediatrics.","author":[{"dropping-particle":"","family":"Ampofo","given":"Krow","non-dropping-particle":"","parse-names":false,"suffix":""},{"dropping-particle":"","family":"Gesteland","given":"Per H.","non-dropping-particle":"","parse-names":false,"suffix":""},{"dropping-particle":"","family":"Bender","given":"Jeffery","non-dropping-particle":"","parse-names":false,"suffix":""},{"dropping-particle":"","family":"Mills","given":"Michelle","non-dropping-particle":"","parse-names":false,"suffix":""},{"dropping-particle":"","family":"Daly","given":"Judy","non-dropping-particle":"","parse-names":false,"suffix":""},{"dropping-particle":"","family":"Samore","given":"Matthew","non-dropping-particle":"","parse-names":false,"suffix":""},{"dropping-particle":"","family":"Byington","given":"Carrie","non-dropping-particle":"","parse-names":false,"suffix":""},{"dropping-particle":"","family":"Pavia","given":"Andrew T.","non-dropping-particle":"","parse-names":false,"suffix":""},{"dropping-particle":"","family":"Srivastava","given":"Rajendu","non-dropping-particle":"","parse-names":false,"suffix":""}],"container-title":"Pediatrics","id":"ITEM-3","issue":"6","issued":{"date-parts":[["2006","12","1"]]},"page":"2409-2417","publisher":"American Academy of Pediatrics","title":"Epidemiology, complications, and cost of hospitalization in children with laboratory-confirmed influenza infection","type":"article-journal","volume":"118"},"uris":["http://www.mendeley.com/documents/?uuid=5f0e0512-1a6d-4f26-beb2-d57fef5d4e61"]},{"id":"ITEM-4","itemData":{"DOI":"10.3201/eid2109.141912","abstract":"In 2003, surveillance for influenza in hospitalized persons was added to the Centers for Disease Control and Prevention Emerging Infections Program network. This surveillance enabled monitoring of the severity of influenza seasons and provided a platform for addressing priority questions associated with influenza. For enhanced surveillance capacity during the 2009 influenza pandemic, new sites were added to this platform. The combined surveillance platform is called the Influenza Hospitalization Surveillance Network (FluSurv-NET). FluSurv-NET has helped to determine the risk for influenza-associated illness in various segments of the US population, define the severity of influenza seasons and the 2009 pandemic, and guide recommendations for treatment and vaccination programs. E very year, influenza virus circulates worldwide, causing substantial illness and death and leading to considerable economic losses (1). From time to time, new strains of influenza A viruses emerge and cause a global pandemic with devastating consequences (2-4). Therefore, influenza surveillance programs are crucial for monitoring the timing and severity of seasonal influenza, which virus strains are circulating in a community, and changes in the epidemiology or risk associated with influenza virus infection. These data can be used to plan for vaccine strain selection, to alert the medical community and public health officials about the intensity and magnitude of an epidemic, and to evaluate the effects of intervention programs. In the event of an influenza pandemic, surveillance programs are essential for guiding response efforts and assisting with resource prioritization. In response to the 2003-04 influenza season, which was relatively severe and caused a large number of deaths among healthy children, the Centers for Disease Control and Prevention (CDC) and 10 state health departments initiated a population-based surveillance system for laboratory confirmed influenza in hospitalized children &lt;18 years of age (5). Surveillance for influenza-associated hospitalizations among children proved to have useful public health implications, such as informing influenza vaccine recommendations over the years (6,7). Two years later, in 2005, the system was expanded to include surveillance for influenza hospitalizations among adults and was named the Influenza Hospitalization Surveillance Network (FluSurv-NET). FluSurv-NET data have helped determine the risk for illness in various segments o…","author":[{"dropping-particle":"","family":"Chaves","given":"Sandra S","non-dropping-particle":"","parse-names":false,"suffix":""},{"dropping-particle":"","family":"Lynfield","given":"Ruth","non-dropping-particle":"","parse-names":false,"suffix":""},{"dropping-particle":"Lou","family":"Lindegren","given":"Mary","non-dropping-particle":"","parse-names":false,"suffix":""},{"dropping-particle":"","family":"Bresee","given":"Joseph","non-dropping-particle":"","parse-names":false,"suffix":""},{"dropping-particle":"","family":"Finelli","given":"Lyn","non-dropping-particle":"","parse-names":false,"suffix":""}],"id":"ITEM-4","issue":"9","issued":{"date-parts":[["2015"]]},"title":"The US Influenza Hospitalization Surveillance Network","type":"article-journal","volume":"21"},"uris":["http://www.mendeley.com/documents/?uuid=e7a213aa-4fcd-3d7d-b53f-494b476a4667"]}],"mendeley":{"formattedCitation":"[61–63, 71]","plainTextFormattedCitation":"[61–63, 71]","previouslyFormattedCitation":"[62–64, 72]"},"properties":{"noteIndex":0},"schema":"https://github.com/citation-style-language/schema/raw/master/csl-citation.json"}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[61–63, 71]</w:t>
            </w:r>
            <w:r>
              <w:rPr>
                <w:rFonts w:asciiTheme="majorBidi" w:hAnsiTheme="majorBidi" w:cstheme="majorBidi"/>
                <w:sz w:val="24"/>
                <w:szCs w:val="24"/>
              </w:rPr>
              <w:fldChar w:fldCharType="end"/>
            </w:r>
          </w:p>
        </w:tc>
      </w:tr>
      <w:tr w:rsidR="00285089" w14:paraId="0C19BB60" w14:textId="77777777" w:rsidTr="00365097">
        <w:trPr>
          <w:jc w:val="center"/>
        </w:trPr>
        <w:tc>
          <w:tcPr>
            <w:tcW w:w="1620" w:type="dxa"/>
          </w:tcPr>
          <w:p w14:paraId="4276416D"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r>
                  <w:rPr>
                    <w:rFonts w:ascii="Cambria Math" w:hAnsi="Cambria Math" w:cstheme="majorBidi"/>
                    <w:sz w:val="24"/>
                    <w:szCs w:val="24"/>
                  </w:rPr>
                  <m:t>f</m:t>
                </m:r>
              </m:oMath>
            </m:oMathPara>
          </w:p>
        </w:tc>
        <w:tc>
          <w:tcPr>
            <w:tcW w:w="5755" w:type="dxa"/>
          </w:tcPr>
          <w:p w14:paraId="4DB8C13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Probability of becoming asymptomatic given an infection.</w:t>
            </w:r>
          </w:p>
        </w:tc>
        <w:tc>
          <w:tcPr>
            <w:tcW w:w="2160" w:type="dxa"/>
          </w:tcPr>
          <w:p w14:paraId="43D889C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0.191</w:t>
            </w:r>
          </w:p>
        </w:tc>
        <w:tc>
          <w:tcPr>
            <w:tcW w:w="1170" w:type="dxa"/>
            <w:vAlign w:val="center"/>
          </w:tcPr>
          <w:p w14:paraId="6529B536"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{"citationItems":[{"id":"ITEM-1","itemData":{"DOI":"10.1097/EDE.0000000000000340","abstract":"Background-The fraction of persons with influenza virus infection who do not report any signs or symptoms throughout the course of infection is referred to as the asymptomatic fraction.","author":[{"dropping-particle":"","family":"Leung","given":"Nancy H L","non-dropping-particle":"","parse-names":false,"suffix":""},{"dropping-particle":"","family":"Xu","given":"Cuiling","non-dropping-particle":"","parse-names":false,"suffix":""},{"dropping-particle":"","family":"Ip","given":"Dennis K M","non-dropping-particle":"","parse-names":false,"suffix":""},{"dropping-particle":"","family":"Cowling","given":"Benjamin J","non-dropping-particle":"","parse-names":false,"suffix":""}],"id":"ITEM-1","issued":{"date-parts":[["0"]]},"title":"The fraction of influenza virus infections that are asymptomatic: a systematic review and meta-analysis","type":"article-journal"},"uris":["http://www.mendeley.com/documents/?uuid=1462f19a-cb59-3fff-8424-8b2ae91f8fab"]},{"id":"ITEM-2","itemData":{"DOI":"10.3201/eid2206.151080","ISSN":"10806059","abstract":"Influenza infection manifests in a wide spectrum of severity, including symptomless pathogen carriers. We conducted a systematic review and meta-analysis of 55 studies to elucidate the proportional representation of these asymptomatic infected persons. We observed extensive heterogeneity among these studies. The prevalence of asymptomatic carriage (total absence of symptoms) ranged from 5.2% to 35.5% and subclinical cases (illness that did not meet the criteria for acute respiratory or influenza-like illness) from 25.4% to 61.8%. Statistical analysis showed that the heterogeneity could not be explained by the type of influenza, the laboratory tests used to detect the virus, the year of the study, or the location of the study. Projections of infection spread and strategies for disease control require that we identify the proportional representation of these insidious spreaders early on in the emergence of new influenza subtypes or strains and track how this rate evolves over time and space.","author":[{"dropping-particle":"","family":"Furuya-Kanamori","given":"Luis","non-dropping-particle":"","parse-names":false,"suffix":""},{"dropping-particle":"","family":"Cox","given":"Mitchell","non-dropping-particle":"","parse-names":false,"suffix":""},{"dropping-particle":"","family":"Milinovich","given":"Gabriel J.","non-dropping-particle":"","parse-names":false,"suffix":""},{"dropping-particle":"","family":"Soares Magalhaes","given":"Ricardo J.","non-dropping-particle":"","parse-names":false,"suffix":""},{"dropping-particle":"","family":"Mackay","given":"Ian M.","non-dropping-particle":"","parse-names":false,"suffix":""},{"dropping-particle":"","family":"Yakob","given":"Laith","non-dropping-particle":"","parse-names":false,"suffix":""}],"container-title":"Emerging Infectious Diseases","id":"ITEM-2","issue":"6","issued":{"date-parts":[["2016","6","1"]]},"page":"1052-1056","publisher":"Centers for Disease Control and Prevention (CDC)","title":"Heterogeneous and dynamic prevalence of asymptomatic influenza virus infections","type":"article-journal","volume":"22"},"uris":["http://www.mendeley.com/documents/?uuid=72dea393-aee7-300e-8d03-baa2ee281546"]}],"mendeley":{"formattedCitation":"[72, 73]","plainTextFormattedCitation":"[72, 73]","previouslyFormattedCitation":"[73, 74]"},"properties":{"noteIndex":0},"schema":"https://github.com/citation-style-language/schema/raw/master/csl-citation.json"}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[72, 73]</w:t>
            </w:r>
            <w:r>
              <w:rPr>
                <w:rFonts w:asciiTheme="majorBidi" w:hAnsiTheme="majorBidi" w:cstheme="majorBidi"/>
                <w:sz w:val="24"/>
                <w:szCs w:val="24"/>
              </w:rPr>
              <w:fldChar w:fldCharType="end"/>
            </w:r>
          </w:p>
        </w:tc>
      </w:tr>
      <w:tr w:rsidR="00285089" w14:paraId="18461110" w14:textId="77777777" w:rsidTr="00365097">
        <w:trPr>
          <w:jc w:val="center"/>
        </w:trPr>
        <w:tc>
          <w:tcPr>
            <w:tcW w:w="1620" w:type="dxa"/>
          </w:tcPr>
          <w:p w14:paraId="523614C9"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r>
                  <w:rPr>
                    <w:rFonts w:ascii="Cambria Math" w:hAnsi="Cambria Math" w:cstheme="majorBidi"/>
                    <w:sz w:val="24"/>
                    <w:szCs w:val="24"/>
                  </w:rPr>
                  <m:t>φ</m:t>
                </m:r>
              </m:oMath>
            </m:oMathPara>
          </w:p>
        </w:tc>
        <w:tc>
          <w:tcPr>
            <w:tcW w:w="5755" w:type="dxa"/>
          </w:tcPr>
          <w:p w14:paraId="7FC844B9"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Time since exposure.</w:t>
            </w:r>
          </w:p>
        </w:tc>
        <w:tc>
          <w:tcPr>
            <w:tcW w:w="2160" w:type="dxa"/>
          </w:tcPr>
          <w:p w14:paraId="41016804"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14 days</w:t>
            </w:r>
          </w:p>
        </w:tc>
        <w:tc>
          <w:tcPr>
            <w:tcW w:w="1170" w:type="dxa"/>
            <w:vAlign w:val="center"/>
          </w:tcPr>
          <w:p w14:paraId="6E003033"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{"citationItems":[{"id":"ITEM-1","itemData":{"DOI":"10.3201/eid1201.051370","ISSN":"10806059","abstract":"Since global availability of vaccine and antiviral agents against influenza caused by novel human subtypes is insufficient, the World Health Organization (WHO) recommends nonpharmaceutical public health interventions to contain infection, delay spread, and reduce the impact of pandemic disease. Virus transmission characteristics will not be completely known in advance, but difficulties in influenza control typically include peak infectivity early in illness, a short interval between cases, and to a lesser extent, transmission from persons with incubating or asymptomatic infection. Screening and quarantining entering travelers at international borders did not substantially delay virus introduction in past pandemics, except in some island countries, and will likely be even less effective in the modern era. Instead, WHO recommends providing information to international travelers and possibly screening travelers departing countries with transmissible human infection. The principal focus of interventions against pandemic influenza spread should be at national and community levels rather than international borders.","author":[{"dropping-particle":"","family":"Bell","given":"David","non-dropping-particle":"","parse-names":false,"suffix":""},{"dropping-particle":"","family":"Nicoll","given":"Angus","non-dropping-particle":"","parse-names":false,"suffix":""},{"dropping-particle":"","family":"Fukuda","given":"Keiji","non-dropping-particle":"","parse-names":false,"suffix":""},{"dropping-particle":"","family":"Horby","given":"Peter","non-dropping-particle":"","parse-names":false,"suffix":""},{"dropping-particle":"","family":"Monto","given":"Arnold","non-dropping-particle":"","parse-names":false,"suffix":""},{"dropping-particle":"","family":"Hayden","given":"Frederick","non-dropping-particle":"","parse-names":false,"suffix":""},{"dropping-particle":"","family":"Wylks","given":"Clare","non-dropping-particle":"","parse-names":false,"suffix":""},{"dropping-particle":"","family":"Sanders","given":"Lance","non-dropping-particle":"","parse-names":false,"suffix":""},{"dropping-particle":"","family":"Tam","given":"Jonathan","non-dropping-particle":"Van","parse-names":false,"suffix":""}],"container-title":"Emerging Infectious Diseases","id":"ITEM-1","issue":"1","issued":{"date-parts":[["2006"]]},"page":"81-87","publisher":"Centers for Disease Control and Prevention (CDC)","title":"Nonpharmaceutical interventions for pandemic influenza, international measures","type":"article","volume":"12"},"uris":["http://www.mendeley.com/documents/?uuid=a281152a-5a96-3c59-a257-825f60e3e3f0"]}],"mendeley":{"formattedCitation":"[74]","plainTextFormattedCitation":"[74]","previouslyFormattedCitation":"[75]"},"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[74]</w:t>
            </w:r>
            <w:r>
              <w:rPr>
                <w:rFonts w:asciiTheme="majorBidi" w:hAnsiTheme="majorBidi" w:cstheme="majorBidi"/>
                <w:sz w:val="24"/>
                <w:szCs w:val="24"/>
              </w:rPr>
              <w:fldChar w:fldCharType="end"/>
            </w:r>
          </w:p>
        </w:tc>
      </w:tr>
      <w:tr w:rsidR="00285089" w14:paraId="26A11048" w14:textId="77777777" w:rsidTr="00365097">
        <w:trPr>
          <w:jc w:val="center"/>
        </w:trPr>
        <w:tc>
          <w:tcPr>
            <w:tcW w:w="1620" w:type="dxa"/>
          </w:tcPr>
          <w:p w14:paraId="53094217" w14:textId="77777777" w:rsidR="00285089" w:rsidRPr="00BE0FA3" w:rsidRDefault="00365097"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sSubSup>
                  <m:sSubSupPr>
                    <m:ctrlPr>
                      <w:rPr>
                        <w:rFonts w:ascii="Cambria Math" w:hAnsi="Cambria Math" w:cstheme="majorBidi"/>
                        <w:i/>
                        <w:sz w:val="24"/>
                        <w:szCs w:val="24"/>
                      </w:rPr>
                    </m:ctrlPr>
                  </m:sSubSupPr>
                  <m:e>
                    <m:r>
                      <w:rPr>
                        <w:rFonts w:ascii="Cambria Math" w:hAnsi="Cambria Math" w:cstheme="majorBidi"/>
                        <w:sz w:val="24"/>
                        <w:szCs w:val="24"/>
                      </w:rPr>
                      <m:t>P</m:t>
                    </m:r>
                  </m:e>
                  <m:sub>
                    <m:r>
                      <w:rPr>
                        <w:rFonts w:ascii="Cambria Math" w:hAnsi="Cambria Math" w:cstheme="majorBidi"/>
                        <w:sz w:val="24"/>
                        <w:szCs w:val="24"/>
                      </w:rPr>
                      <m:t>j,</m:t>
                    </m:r>
                    <m:r>
                      <m:rPr>
                        <m:scr m:val="script"/>
                      </m:rPr>
                      <w:rPr>
                        <w:rFonts w:ascii="Cambria Math" w:hAnsi="Cambria Math" w:cstheme="majorBidi"/>
                        <w:sz w:val="24"/>
                        <w:szCs w:val="24"/>
                      </w:rPr>
                      <m:t>T</m:t>
                    </m:r>
                  </m:sub>
                  <m:sup>
                    <m:r>
                      <w:rPr>
                        <w:rFonts w:ascii="Cambria Math" w:hAnsi="Cambria Math" w:cstheme="majorBidi"/>
                        <w:sz w:val="24"/>
                        <w:szCs w:val="24"/>
                      </w:rPr>
                      <m:t>τ</m:t>
                    </m:r>
                  </m:sup>
                </m:sSubSup>
              </m:oMath>
            </m:oMathPara>
          </w:p>
        </w:tc>
        <w:tc>
          <w:tcPr>
            <w:tcW w:w="5755" w:type="dxa"/>
          </w:tcPr>
          <w:p w14:paraId="25395DCD" w14:textId="6041B306" w:rsidR="00285089" w:rsidRPr="00BD1932" w:rsidRDefault="00285089" w:rsidP="00365097">
            <w:pPr>
              <w:spacing w:line="240" w:lineRule="auto"/>
              <w:rPr>
                <w:rFonts w:asciiTheme="majorBidi" w:hAnsiTheme="majorBidi" w:cstheme="majorBidi"/>
                <w:sz w:val="24"/>
                <w:szCs w:val="24"/>
              </w:rPr>
            </w:pPr>
            <w:bookmarkStart w:id="14" w:name="_Hlk53666507"/>
            <w:r w:rsidRPr="00BD1932">
              <w:rPr>
                <w:rFonts w:asciiTheme="majorBidi" w:eastAsia="Times New Roman" w:hAnsiTheme="majorBidi" w:cstheme="majorBidi"/>
                <w:color w:val="000000"/>
                <w:sz w:val="24"/>
                <w:szCs w:val="24"/>
              </w:rPr>
              <w:t>Proportion of individuals at high</w:t>
            </w:r>
            <w:r>
              <w:rPr>
                <w:rFonts w:asciiTheme="majorBidi" w:eastAsia="Times New Roman" w:hAnsiTheme="majorBidi" w:cstheme="majorBidi"/>
                <w:color w:val="000000"/>
                <w:sz w:val="24"/>
                <w:szCs w:val="24"/>
              </w:rPr>
              <w:t xml:space="preserve"> </w:t>
            </w:r>
            <w:r w:rsidRPr="00BD1932">
              <w:rPr>
                <w:rFonts w:asciiTheme="majorBidi" w:eastAsia="Times New Roman" w:hAnsiTheme="majorBidi" w:cstheme="majorBidi"/>
                <w:color w:val="000000"/>
                <w:sz w:val="24"/>
                <w:szCs w:val="24"/>
              </w:rPr>
              <w:t xml:space="preserve">risk from age group </w:t>
            </w:r>
            <w:r w:rsidRPr="00BD1932">
              <w:rPr>
                <w:rFonts w:asciiTheme="majorBidi" w:eastAsia="Times New Roman" w:hAnsiTheme="majorBidi" w:cstheme="majorBidi"/>
                <w:i/>
                <w:iCs/>
                <w:color w:val="000000"/>
                <w:sz w:val="24"/>
                <w:szCs w:val="24"/>
              </w:rPr>
              <w:t>J</w:t>
            </w:r>
            <w:r w:rsidRPr="00BD1932">
              <w:rPr>
                <w:rFonts w:asciiTheme="majorBidi" w:eastAsia="Times New Roman" w:hAnsiTheme="majorBidi" w:cstheme="majorBidi"/>
                <w:color w:val="000000"/>
                <w:sz w:val="24"/>
                <w:szCs w:val="24"/>
              </w:rPr>
              <w:t xml:space="preserve">, who receive treatment on day </w:t>
            </w:r>
            <m:oMath>
              <m:r>
                <w:rPr>
                  <w:rFonts w:ascii="Cambria Math" w:hAnsi="Cambria Math" w:cstheme="majorBidi"/>
                  <w:color w:val="000000" w:themeColor="text1"/>
                  <w:sz w:val="24"/>
                  <w:szCs w:val="24"/>
                </w:rPr>
                <m:t xml:space="preserve">τ </m:t>
              </m:r>
            </m:oMath>
            <w:r w:rsidRPr="00BD1932">
              <w:rPr>
                <w:rFonts w:asciiTheme="majorBidi" w:eastAsia="Times New Roman" w:hAnsiTheme="majorBidi" w:cstheme="majorBidi"/>
                <w:color w:val="000000" w:themeColor="text1"/>
                <w:sz w:val="24"/>
                <w:szCs w:val="24"/>
              </w:rPr>
              <w:t xml:space="preserve">from influenza exposure. </w:t>
            </w:r>
            <w:r w:rsidRPr="00BD1932">
              <w:rPr>
                <w:rFonts w:asciiTheme="majorBidi" w:hAnsiTheme="majorBidi" w:cstheme="majorBidi"/>
                <w:color w:val="000000" w:themeColor="text1"/>
                <w:sz w:val="24"/>
                <w:szCs w:val="24"/>
              </w:rPr>
              <w:t>Day of treatment initiation from symptom</w:t>
            </w:r>
            <w:r>
              <w:rPr>
                <w:rFonts w:asciiTheme="majorBidi" w:hAnsiTheme="majorBidi" w:cstheme="majorBidi"/>
                <w:color w:val="000000" w:themeColor="text1"/>
                <w:sz w:val="24"/>
                <w:szCs w:val="24"/>
              </w:rPr>
              <w:t xml:space="preserve"> </w:t>
            </w:r>
            <w:r w:rsidRPr="00BD1932">
              <w:rPr>
                <w:rFonts w:asciiTheme="majorBidi" w:hAnsiTheme="majorBidi" w:cstheme="majorBidi"/>
                <w:color w:val="000000" w:themeColor="text1"/>
                <w:sz w:val="24"/>
                <w:szCs w:val="24"/>
              </w:rPr>
              <w:t xml:space="preserve">onset </w:t>
            </w:r>
            <m:oMath>
              <m:r>
                <m:rPr>
                  <m:scr m:val="script"/>
                </m:rPr>
                <w:rPr>
                  <w:rFonts w:ascii="Cambria Math" w:hAnsi="Cambria Math" w:cstheme="majorBidi"/>
                  <w:color w:val="000000" w:themeColor="text1"/>
                  <w:sz w:val="24"/>
                  <w:szCs w:val="24"/>
                </w:rPr>
                <m:t>T</m:t>
              </m:r>
              <m:r>
                <w:rPr>
                  <w:rFonts w:ascii="Cambria Math" w:hAnsi="Cambria Math" w:cstheme="majorBidi"/>
                  <w:color w:val="000000" w:themeColor="text1"/>
                  <w:sz w:val="24"/>
                  <w:szCs w:val="24"/>
                </w:rPr>
                <m:t>∈{∅,2,3}</m:t>
              </m:r>
            </m:oMath>
            <w:r w:rsidRPr="00BD1932">
              <w:rPr>
                <w:rFonts w:asciiTheme="majorBidi" w:hAnsiTheme="majorBidi" w:cstheme="majorBidi"/>
                <w:color w:val="000000" w:themeColor="text1"/>
                <w:sz w:val="24"/>
                <w:szCs w:val="24"/>
              </w:rPr>
              <w:t xml:space="preserve"> from symptom onset. </w:t>
            </w:r>
            <m:oMath>
              <m:r>
                <m:rPr>
                  <m:scr m:val="script"/>
                </m:rPr>
                <w:rPr>
                  <w:rFonts w:ascii="Cambria Math" w:hAnsi="Cambria Math" w:cstheme="majorBidi"/>
                  <w:color w:val="000000" w:themeColor="text1"/>
                  <w:sz w:val="24"/>
                  <w:szCs w:val="24"/>
                </w:rPr>
                <m:t>T=∅</m:t>
              </m:r>
            </m:oMath>
            <w:r w:rsidRPr="00BD1932">
              <w:rPr>
                <w:rFonts w:asciiTheme="majorBidi" w:hAnsiTheme="majorBidi" w:cstheme="majorBidi"/>
                <w:color w:val="000000" w:themeColor="text1"/>
                <w:sz w:val="24"/>
                <w:szCs w:val="24"/>
              </w:rPr>
              <w:t xml:space="preserve"> means either no treatment provided, or treatment provided late</w:t>
            </w:r>
            <w:r>
              <w:rPr>
                <w:rFonts w:asciiTheme="majorBidi" w:hAnsiTheme="majorBidi" w:cstheme="majorBidi"/>
                <w:color w:val="000000" w:themeColor="text1"/>
                <w:sz w:val="24"/>
                <w:szCs w:val="24"/>
              </w:rPr>
              <w:t xml:space="preserve"> and is therefore ineffective</w:t>
            </w:r>
            <w:r w:rsidRPr="00BD1932">
              <w:rPr>
                <w:rFonts w:asciiTheme="majorBidi" w:hAnsiTheme="majorBidi" w:cstheme="majorBidi"/>
                <w:color w:val="000000" w:themeColor="text1"/>
                <w:sz w:val="24"/>
                <w:szCs w:val="24"/>
              </w:rPr>
              <w:t xml:space="preserve">. Early treatment is assumed to be </w:t>
            </w:r>
            <w:r>
              <w:rPr>
                <w:rFonts w:asciiTheme="majorBidi" w:hAnsiTheme="majorBidi" w:cstheme="majorBidi"/>
                <w:color w:val="000000" w:themeColor="text1"/>
                <w:sz w:val="24"/>
                <w:szCs w:val="24"/>
              </w:rPr>
              <w:t>provided to</w:t>
            </w:r>
            <w:r w:rsidRPr="00BD1932">
              <w:rPr>
                <w:rFonts w:asciiTheme="majorBidi" w:hAnsiTheme="majorBidi" w:cstheme="majorBidi"/>
                <w:color w:val="000000" w:themeColor="text1"/>
                <w:sz w:val="24"/>
                <w:szCs w:val="24"/>
              </w:rPr>
              <w:t xml:space="preserve"> 54.5% of</w:t>
            </w:r>
            <w:r>
              <w:rPr>
                <w:rFonts w:asciiTheme="majorBidi" w:hAnsiTheme="majorBidi" w:cstheme="majorBidi"/>
                <w:color w:val="000000" w:themeColor="text1"/>
                <w:sz w:val="24"/>
                <w:szCs w:val="24"/>
              </w:rPr>
              <w:t xml:space="preserve"> the</w:t>
            </w:r>
            <w:r w:rsidRPr="00BD1932">
              <w:rPr>
                <w:rFonts w:asciiTheme="majorBidi" w:hAnsiTheme="majorBidi" w:cstheme="majorBidi"/>
                <w:color w:val="000000" w:themeColor="text1"/>
                <w:sz w:val="24"/>
                <w:szCs w:val="24"/>
              </w:rPr>
              <w:t xml:space="preserve"> total antiviral</w:t>
            </w:r>
            <w:r>
              <w:rPr>
                <w:rFonts w:asciiTheme="majorBidi" w:hAnsiTheme="majorBidi" w:cstheme="majorBidi"/>
                <w:color w:val="000000" w:themeColor="text1"/>
                <w:sz w:val="24"/>
                <w:szCs w:val="24"/>
              </w:rPr>
              <w:t>-</w:t>
            </w:r>
            <w:r w:rsidRPr="00BD1932">
              <w:rPr>
                <w:rFonts w:asciiTheme="majorBidi" w:hAnsiTheme="majorBidi" w:cstheme="majorBidi"/>
                <w:color w:val="000000" w:themeColor="text1"/>
                <w:sz w:val="24"/>
                <w:szCs w:val="24"/>
              </w:rPr>
              <w:t xml:space="preserve">treated patients </w:t>
            </w:r>
            <w:r w:rsidRPr="00BD1932">
              <w:rPr>
                <w:rFonts w:asciiTheme="majorBidi" w:hAnsiTheme="majorBidi" w:cstheme="majorBidi"/>
                <w:color w:val="000000" w:themeColor="text1"/>
                <w:sz w:val="24"/>
                <w:szCs w:val="24"/>
              </w:rPr>
              <w:fldChar w:fldCharType="begin" w:fldLock="1"/>
            </w:r>
            <w:r>
              <w:rPr>
                <w:rFonts w:asciiTheme="majorBidi" w:hAnsiTheme="majorBidi" w:cstheme="majorBidi"/>
                <w:color w:val="000000" w:themeColor="text1"/>
                <w:sz w:val="24"/>
                <w:szCs w:val="24"/>
              </w:rPr>
              <w:instrText>ADDIN CSL_CITATION {"citationItems":[{"id":"ITEM-1","itemData":{"DOI":"10.1093/infdis/jiu224","ISSN":"15376613","abstract":"Background. Few data exist describing healthcare-seeking behaviors among persons with influenza-like illness (ILI) or adherence to influenza antiviral treatment recommendations. Methods. We analyzed adult responses to the Behavioral Risk Factor Surveillance System in 31 states and the District of Columbia (DC) and pediatric responses in 25 states and DC for January-April 2011 by demographics and underlying health conditions. Results. Among 75 088 adult and 15 649 child respondents, 8.9% and 33.9%, respectively, reported ILI. ILI was more frequent among adults with asthma (16%), chronic obstruction pulmonary disease (COPD; 26%), diabetes (12%), heart disease (19%), kidney disease (16%), or obesity (11%). Forty-five percent of adults and 57% of children sought healthcare for ILI. Thirty-five percent of adults sought care ≤2 days after ILI onset. Seeking care ≤2 days was more frequent among adults with COPD (48%) or heart disease (55%). Among adults with a self-reported physician diagnosis of influenza, 34% received treatment with antiviral medications. The only underlying health condition with a higher rate of treatment was diabetes (46%). Conclusions. Adults with underlying health conditions were more likely to report ILI, but the majority did not seek care promptly, missing opportunities for early influenza antiviral treatment. © 2014 Published by Oxford University Press on behalf of the Infectious Diseases Society of America 2014. This work is written by (a) US Government employee(s) and is in the public domain in the US.","author":[{"dropping-particle":"","family":"Biggerstaff","given":"Matthew","non-dropping-particle":"","parse-names":false,"suffix":""},{"dropping-particle":"","family":"Jhung","given":"Michael A.","non-dropping-particle":"","parse-names":false,"suffix":""},{"dropping-particle":"","family":"Reed","given":"Carrie","non-dropping-particle":"","parse-names":false,"suffix":""},{"dropping-particle":"","family":"Fry","given":"Alicia M.","non-dropping-particle":"","parse-names":false,"suffix":""},{"dropping-particle":"","family":"Balluz","given":"Lina","non-dropping-particle":"","parse-names":false,"suffix":""},{"dropping-particle":"","family":"Finelli","given":"Lyn","non-dropping-particle":"","parse-names":false,"suffix":""}],"container-title":"Journal of Infectious Diseases","id":"ITEM-1","issued":{"date-parts":[["2014"]]},"title":"Influenza-like illness, the time to seek healthcare, and influenza antiviral receipt during the 2010-2011 influenza season - United States","type":"article-journal"},"uris":["http://www.mendeley.com/documents/?uuid=94534acd-a2c2-4b9f-bde6-77d930caae96"]}],"mendeley":{"formattedCitation":"[24]","plainTextFormattedCitation":"[24]","previouslyFormattedCitation":"[24]"},"properties":{"noteIndex":0},"schema":"https://github.com/citation-style-language/schema/raw/master/csl-citation.json"}</w:instrText>
            </w:r>
            <w:r w:rsidRPr="00BD1932">
              <w:rPr>
                <w:rFonts w:asciiTheme="majorBidi" w:hAnsiTheme="majorBidi" w:cstheme="majorBidi"/>
                <w:color w:val="000000" w:themeColor="text1"/>
                <w:sz w:val="24"/>
                <w:szCs w:val="24"/>
              </w:rPr>
              <w:fldChar w:fldCharType="separate"/>
            </w:r>
            <w:r w:rsidRPr="000D560C">
              <w:rPr>
                <w:rFonts w:asciiTheme="majorBidi" w:hAnsiTheme="majorBidi" w:cstheme="majorBidi"/>
                <w:noProof/>
                <w:color w:val="000000" w:themeColor="text1"/>
                <w:sz w:val="24"/>
                <w:szCs w:val="24"/>
              </w:rPr>
              <w:t>[24]</w:t>
            </w:r>
            <w:r w:rsidRPr="00BD1932">
              <w:rPr>
                <w:rFonts w:asciiTheme="majorBidi" w:hAnsiTheme="majorBidi" w:cstheme="majorBidi"/>
                <w:color w:val="000000" w:themeColor="text1"/>
                <w:sz w:val="24"/>
                <w:szCs w:val="24"/>
              </w:rPr>
              <w:fldChar w:fldCharType="end"/>
            </w:r>
            <w:r w:rsidRPr="00BD1932">
              <w:rPr>
                <w:rFonts w:asciiTheme="majorBidi" w:hAnsiTheme="majorBidi" w:cstheme="majorBidi"/>
                <w:color w:val="000000" w:themeColor="text1"/>
                <w:sz w:val="24"/>
                <w:szCs w:val="24"/>
              </w:rPr>
              <w:t>.</w:t>
            </w:r>
            <w:bookmarkEnd w:id="14"/>
          </w:p>
        </w:tc>
        <w:tc>
          <w:tcPr>
            <w:tcW w:w="2160" w:type="dxa"/>
          </w:tcPr>
          <w:p w14:paraId="24D0351A" w14:textId="77777777" w:rsidR="00285089" w:rsidRDefault="00285089" w:rsidP="00365097">
            <w:pPr>
              <w:tabs>
                <w:tab w:val="center" w:pos="1127"/>
                <w:tab w:val="center" w:pos="2862"/>
                <w:tab w:val="center" w:pos="6607"/>
                <w:tab w:val="center" w:pos="8137"/>
              </w:tabs>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baseline scenario:</w:t>
            </w:r>
          </w:p>
          <w:p w14:paraId="6291DFB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τ≥2</m:t>
                </m:r>
              </m:oMath>
            </m:oMathPara>
          </w:p>
          <w:p w14:paraId="113F5A74"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ParaPr>
                <m:jc m:val="left"/>
              </m:oMathParaPr>
              <m:oMath>
                <m:r>
                  <m:rPr>
                    <m:scr m:val="script"/>
                  </m:rPr>
                  <w:rPr>
                    <w:rFonts w:ascii="Cambria Math" w:hAnsi="Cambria Math" w:cstheme="majorBidi"/>
                    <w:sz w:val="24"/>
                    <w:szCs w:val="24"/>
                  </w:rPr>
                  <m:t xml:space="preserve"> T</m:t>
                </m:r>
                <m:r>
                  <w:rPr>
                    <w:rFonts w:ascii="Cambria Math" w:hAnsi="Cambria Math" w:cstheme="majorBidi"/>
                    <w:sz w:val="24"/>
                    <w:szCs w:val="24"/>
                  </w:rPr>
                  <m:t>=2 or 3</m:t>
                </m:r>
              </m:oMath>
            </m:oMathPara>
          </w:p>
          <w:p w14:paraId="467DBCC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0-4: 0.086</w:t>
            </w:r>
          </w:p>
          <w:p w14:paraId="60BEFCD2"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5-19: 0.054</w:t>
            </w:r>
          </w:p>
          <w:p w14:paraId="19F5F3C9"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20-49: 0.095</w:t>
            </w:r>
          </w:p>
          <w:p w14:paraId="0B96244A"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50-64: 0.074</w:t>
            </w:r>
          </w:p>
          <w:p w14:paraId="19FADC30"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65+: 0.063</w:t>
            </w:r>
          </w:p>
        </w:tc>
        <w:tc>
          <w:tcPr>
            <w:tcW w:w="1170" w:type="dxa"/>
            <w:vAlign w:val="center"/>
          </w:tcPr>
          <w:p w14:paraId="47DDE4D8"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{"citationItems":[{"id":"ITEM-1","itemData":{"DOI":"10.1016/j.vaccine.2007.03.046","ISSN":"0264410X","abstract":"Background: Despite preventive efforts, influenza epidemics are responsible for substantial morbidity and mortality every year in the United States (US). Vaccination strategies to reduce disease burden have been implemented. However, no previous studies have systematically estimated the annual economic burden of influenza epidemics, an estimate necessary to guide policy makers effectively. Objective: We estimate age- and risk-specific disease burden, and medical and indirect costs attributable to annual influenza epidemics in the United States. Methods: Using a probabilistic model and publicly available epidemiological data we estimated the number of influenza-attributable cases leading to outpatient visits, hospitalization, and mortality, as well as time lost from work absenteeism or premature death. With data from health insurance claims and projections of either earnings or statistical life values, we then estimated healthcare resource utilization associated with influenza cases as were their medical and productivity (indirect) costs in $2003. Results: Based on 2003 US population, we estimated that annual influenza epidemics resulted in an average of 610,660 life-years lost (undiscounted), 3.1 million hospitalized days, and 31.4 million outpatient visits. Direct medical costs averaged $10.4 billion (95% confidence interval [C.I.], $4.1, $22.2) annually. Projected lost earnings due to illness and loss of life amounted to $16.3 billion (C.I., $8.7, $31.0) annually. The total economic burden of annual influenza epidemics using projected statistical life values amounted to $87.1 billion (C.I., $47.2, $149.5). Conclusions: These results highlight the enormous annual burden of influenza in the US. While hospitalization costs are important contributors, lost productivity from missed work days and lost lives comprise the bulk of the economic burden of influenza. © 2007 Elsevier Ltd. All rights reserved.","author":[{"dropping-particle":"","family":"Molinari","given":"Noelle Angelique M.","non-dropping-particle":"","parse-names":false,"suffix":""},{"dropping-particle":"","family":"Ortega-Sanchez","given":"Ismael R.","non-dropping-particle":"","parse-names":false,"suffix":""},{"dropping-particle":"","family":"Messonnier","given":"Mark L.","non-dropping-particle":"","parse-names":false,"suffix":""},{"dropping-particle":"","family":"Thompson","given":"William W.","non-dropping-particle":"","parse-names":false,"suffix":""},{"dropping-particle":"","family":"Wortley","given":"Pascale M.","non-dropping-particle":"","parse-names":false,"suffix":""},{"dropping-particle":"","family":"Weintraub","given":"Eric","non-dropping-particle":"","parse-names":false,"suffix":""},{"dropping-particle":"","family":"Bridges","given":"Carolyn B.","non-dropping-particle":"","parse-names":false,"suffix":""}],"container-title":"Vaccine","id":"ITEM-1","issued":{"date-parts":[["2007"]]},"title":"The annual impact of seasonal influenza in the US: Measuring disease burden and costs","type":"article-journal"},"uris":["http://www.mendeley.com/documents/?uuid=02863a39-7e25-4afb-8f48-a40695e0e556"]},{"id":"ITEM-2","itemData":{"DOI":"10.1093/infdis/jiu224","ISSN":"15376613","abstract":"Background. Few data exist describing healthcare-seeking behaviors among persons with influenza-like illness (ILI) or adherence to influenza antiviral treatment recommendations. Methods. We analyzed adult responses to the Behavioral Risk Factor Surveillance System in 31 states and the District of Columbia (DC) and pediatric responses in 25 states and DC for January-April 2011 by demographics and underlying health conditions. Results. Among 75 088 adult and 15 649 child respondents, 8.9% and 33.9%, respectively, reported ILI. ILI was more frequent among adults with asthma (16%), chronic obstruction pulmonary disease (COPD; 26%), diabetes (12%), heart disease (19%), kidney disease (16%), or obesity (11%). Forty-five percent of adults and 57% of children sought healthcare for ILI. Thirty-five percent of adults sought care ≤2 days after ILI onset. Seeking care ≤2 days was more frequent among adults with COPD (48%) or heart disease (55%). Among adults with a self-reported physician diagnosis of influenza, 34% received treatment with antiviral medications. The only underlying health condition with a higher rate of treatment was diabetes (46%). Conclusions. Adults with underlying health conditions were more likely to report ILI, but the majority did not seek care promptly, missing opportunities for early influenza antiviral treatment. © 2014 Published by Oxford University Press on behalf of the Infectious Diseases Society of America 2014. This work is written by (a) US Government employee(s) and is in the public domain in the US.","author":[{"dropping-particle":"","family":"Biggerstaff","given":"Matthew","non-dropping-particle":"","parse-names":false,"suffix":""},{"dropping-particle":"","family":"Jhung","given":"Michael A.","non-dropping-particle":"","parse-names":false,"suffix":""},{"dropping-particle":"","family":"Reed","given":"Carrie","non-dropping-particle":"","parse-names":false,"suffix":""},{"dropping-particle":"","family":"Fry","given":"Alicia M.","non-dropping-particle":"","parse-names":false,"suffix":""},{"dropping-particle":"","family":"Balluz","given":"Lina","non-dropping-particle":"","parse-names":false,"suffix":""},{"dropping-particle":"","family":"Finelli","given":"Lyn","non-dropping-particle":"","parse-names":false,"suffix":""}],"container-title":"Journal of Infectious Diseases","id":"ITEM-2","issued":{"date-parts":[["2014"]]},"title":"Influenza-like illness, the time to seek healthcare, and influenza antiviral receipt during the 2010-2011 influenza season - United States","type":"article-journal"},"uris":["http://www.mendeley.com/documents/?uuid=94534acd-a2c2-4b9f-bde6-77d930caae96"]},{"id":"ITEM-3","itemData":{"DOI":"10.1093/cid/cix922","ISSN":"15376591","abstract":"Background. Influenza causes millions of illnesses annually; certain groups are at higher risk for complications. Early antiviral treatment can reduce the risk of complications and is recommended for outpatients at increased risk. We describe antiviral prescribing among high-risk outpatients for 5 influenza seasons and explore factors that may influence prescribing. Methods. We analyzed antiviral prescription and clinical data for high-risk outpatients aged ?6 months with an acute respiratory illness (ARI) and enrolled in the US Influenza Vaccine Effectiveness Network during the 2011 2012 through 2015 2016 influenza seasons. We obtained clinical information from interviews and electronic medical records and tested all enrollees for influenza with real-time reverse-transcription polymerase chain reaction (rRT-PCR). We calculated the number of patients with ARI that must be treated to treat 1 patient with influenza. Results. Among high-risk outpatients with ARI who presented to care within 2 days of symptom onset (early), 15% (718/4861) were prescribed an antiviral medication, including 472 of 1292 (37%) of those with rRT-PCR confirmed influenza. Forty percent of high-risk outpatients with influenza presented to care early. Earlier presentation was associated with antiviral treatment (odds ratio [OR], 4.1; 95% confidence interval [CI], 3.5 4.8), as was fever (OR, 3.2; 95% CI, 2.7 3.8), although 25% of high-risk outpatients with influenza were afebrile. Empiric treatment of 4 high-risk outpatients with ARI was needed to treat 1 patient with influenza. Conclusions. Influenza antiviral medications were infrequently prescribed for high-risk outpatients with ARI who would benefit most. Efforts to increase appropriate antiviral prescribing are needed to reduce influenza-associated complications.","author":[{"dropping-particle":"","family":"Stewart","given":"Rebekah J.","non-dropping-particle":"","parse-names":false,"suffix":""},{"dropping-particle":"","family":"Flannery","given":"Brendan","non-dropping-particle":"","parse-names":false,"suffix":""},{"dropping-particle":"","family":"Chung","given":"Jessie R.","non-dropping-particle":"","parse-names":false,"suffix":""},{"dropping-particle":"","family":"Gaglani","given":"Manjusha","non-dropping-particle":"","parse-names":false,"suffix":""},{"dropping-particle":"","family":"Reis","given":"Michael","non-dropping-particle":"","parse-names":false,"suffix":""},{"dropping-particle":"","family":"Zimmerman","given":"Richard K.","non-dropping-particle":"","parse-names":false,"suffix":""},{"dropping-particle":"","family":"Nowalk","given":"Mary Patricia","non-dropping-particle":"","parse-names":false,"suffix":""},{"dropping-particle":"","family":"Jackson","given":"Lisa","non-dropping-particle":"","parse-names":false,"suffix":""},{"dropping-particle":"","family":"Jackson","given":"Michael L.","non-dropping-particle":"","parse-names":false,"suffix":""},{"dropping-particle":"","family":"Monto","given":"Arnold S.","non-dropping-particle":"","parse-names":false,"suffix":""},{"dropping-particle":"","family":"Martin","given":"Emily T.","non-dropping-particle":"","parse-names":false,"suffix":""},{"dropping-particle":"","family":"Belongia","given":"Edward A.","non-dropping-particle":"","parse-names":false,"suffix":""},{"dropping-particle":"","family":"McLean","given":"Huong Q.","non-dropping-particle":"","parse-names":false,"suffix":""},{"dropping-particle":"","family":"Fry","given":"Alicia M.","non-dropping-particle":"","parse-names":false,"suffix":""},{"dropping-particle":"","family":"Havers","given":"Fiona P.","non-dropping-particle":"","parse-names":false,"suffix":""}],"container-title":"Clinical Infectious Diseases","id":"ITEM-3","issue":"7","issued":{"date-parts":[["2018","3","19"]]},"page":"1035-1041","title":"Influenza Antiviral Prescribing for Outpatients with an Acute Respiratory Illness and at High Risk for Influenza-Associated Complications during 5 Influenza Seasons-United States, 2011-2016","type":"article-journal","volume":"66"},"uris":["http://www.mendeley.com/documents/?uuid=8a33a6d9-bbc4-46a2-b01d-29ee7c8c41c2"]}],"mendeley":{"formattedCitation":"[1, 23, 24]","plainTextFormattedCitation":"[1, 23, 24]","previouslyFormattedCitation":"[1, 23, 24]"},"properties":{"noteIndex":0},"schema":"https://github.com/citation-style-language/schema/raw/master/csl-citation.json"}</w:instrText>
            </w:r>
            <w:r>
              <w:rPr>
                <w:rFonts w:asciiTheme="majorBidi" w:hAnsiTheme="majorBidi" w:cstheme="majorBidi"/>
                <w:sz w:val="24"/>
                <w:szCs w:val="24"/>
              </w:rPr>
              <w:fldChar w:fldCharType="separate"/>
            </w:r>
            <w:r w:rsidRPr="000D560C">
              <w:rPr>
                <w:rFonts w:asciiTheme="majorBidi" w:hAnsiTheme="majorBidi" w:cstheme="majorBidi"/>
                <w:noProof/>
                <w:sz w:val="24"/>
                <w:szCs w:val="24"/>
              </w:rPr>
              <w:t>[1, 23, 24]</w:t>
            </w:r>
            <w:r>
              <w:rPr>
                <w:rFonts w:asciiTheme="majorBidi" w:hAnsiTheme="majorBidi" w:cstheme="majorBidi"/>
                <w:sz w:val="24"/>
                <w:szCs w:val="24"/>
              </w:rPr>
              <w:fldChar w:fldCharType="end"/>
            </w:r>
          </w:p>
        </w:tc>
      </w:tr>
      <w:tr w:rsidR="00285089" w14:paraId="4F5C382F" w14:textId="77777777" w:rsidTr="00365097">
        <w:trPr>
          <w:jc w:val="center"/>
        </w:trPr>
        <w:tc>
          <w:tcPr>
            <w:tcW w:w="1620" w:type="dxa"/>
          </w:tcPr>
          <w:p w14:paraId="0BFA5D85" w14:textId="77777777" w:rsidR="00285089" w:rsidRPr="00BE0FA3" w:rsidRDefault="00365097"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e,j</m:t>
                    </m:r>
                  </m:sub>
                </m:sSub>
              </m:oMath>
            </m:oMathPara>
          </w:p>
        </w:tc>
        <w:tc>
          <w:tcPr>
            <w:tcW w:w="5755" w:type="dxa"/>
          </w:tcPr>
          <w:p w14:paraId="1EE2761C"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Pr>
                <w:rFonts w:asciiTheme="majorBidi" w:hAnsiTheme="majorBidi" w:cstheme="majorBidi"/>
                <w:sz w:val="24"/>
                <w:szCs w:val="24"/>
              </w:rPr>
              <w:t>Co</w:t>
            </w:r>
            <w:r w:rsidRPr="00BE0FA3">
              <w:rPr>
                <w:rFonts w:asciiTheme="majorBidi" w:hAnsiTheme="majorBidi" w:cstheme="majorBidi"/>
                <w:sz w:val="24"/>
                <w:szCs w:val="24"/>
              </w:rPr>
              <w:t>ntact rate between an infected individual in age</w:t>
            </w:r>
            <w:r>
              <w:rPr>
                <w:rFonts w:asciiTheme="majorBidi" w:hAnsiTheme="majorBidi" w:cstheme="majorBidi"/>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e</m:t>
              </m:r>
            </m:oMath>
            <w:r w:rsidRPr="00BE0FA3">
              <w:rPr>
                <w:rFonts w:asciiTheme="majorBidi" w:hAnsiTheme="majorBidi" w:cstheme="majorBidi"/>
                <w:sz w:val="24"/>
                <w:szCs w:val="24"/>
              </w:rPr>
              <w:t xml:space="preserve"> and each of their contacts with susceptib</w:t>
            </w:r>
            <w:r>
              <w:rPr>
                <w:rFonts w:asciiTheme="majorBidi" w:hAnsiTheme="majorBidi" w:cstheme="majorBidi"/>
                <w:sz w:val="24"/>
                <w:szCs w:val="24"/>
              </w:rPr>
              <w:t>ility</w:t>
            </w:r>
            <w:r w:rsidRPr="00BE0FA3">
              <w:rPr>
                <w:rFonts w:asciiTheme="majorBidi" w:hAnsiTheme="majorBidi" w:cstheme="majorBidi"/>
                <w:sz w:val="24"/>
                <w:szCs w:val="24"/>
              </w:rPr>
              <w:t xml:space="preserve"> in ag</w:t>
            </w:r>
            <w:r>
              <w:rPr>
                <w:rFonts w:asciiTheme="majorBidi" w:hAnsiTheme="majorBidi" w:cstheme="majorBidi"/>
                <w:sz w:val="24"/>
                <w:szCs w:val="24"/>
              </w:rPr>
              <w:t xml:space="preserve">e </w:t>
            </w:r>
            <w:r w:rsidRPr="00BE0FA3">
              <w:rPr>
                <w:rFonts w:asciiTheme="majorBidi" w:hAnsiTheme="majorBidi" w:cstheme="majorBidi"/>
                <w:sz w:val="24"/>
                <w:szCs w:val="24"/>
              </w:rPr>
              <w:t xml:space="preserve">group </w:t>
            </w:r>
            <m:oMath>
              <m:r>
                <w:rPr>
                  <w:rFonts w:ascii="Cambria Math" w:hAnsi="Cambria Math" w:cstheme="majorBidi"/>
                  <w:sz w:val="24"/>
                  <w:szCs w:val="24"/>
                </w:rPr>
                <m:t>j</m:t>
              </m:r>
            </m:oMath>
            <w:r w:rsidRPr="00BE0FA3">
              <w:rPr>
                <w:rFonts w:asciiTheme="majorBidi" w:hAnsiTheme="majorBidi" w:cstheme="majorBidi"/>
                <w:sz w:val="24"/>
                <w:szCs w:val="24"/>
              </w:rPr>
              <w:t>.</w:t>
            </w:r>
          </w:p>
        </w:tc>
        <w:tc>
          <w:tcPr>
            <w:tcW w:w="2160" w:type="dxa"/>
          </w:tcPr>
          <w:p w14:paraId="70D9CBE3"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p>
        </w:tc>
        <w:tc>
          <w:tcPr>
            <w:tcW w:w="1170" w:type="dxa"/>
            <w:vAlign w:val="center"/>
          </w:tcPr>
          <w:p w14:paraId="6E6FBAC0"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sidRPr="00BE0FA3">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{"citationItems":[{"id":"ITEM-1","itemData":{"DOI":"10.1073/pnas.1522597113","ISSN":"10916490","PMID":"27799521","abstract":"Respiratory syncytial virus (RSV) is the most common cause of US infant hospitalization. Additionally, RSV is responsible for 10,000 deaths annually among the elderly across the United States, and accounts for nearly as many hospitalizations as influenza. Currently, several RSV vaccine candidates are under development to target different age groups. To evaluate the potential effectiveness of agespecific vaccination strategies in averting RSV incidence, we developed a transmission model that integrates data on daily infectious viral load and changes of behavior associated with RSV symptoms. Calibrating to RSV weekly incidence rates in Texas, California, Colorado, and Pennsylvania, we show that in all states considered, an infected child under 5 y of age is more than twice as likely as a person over 50 y of age to transmit the virus. Geographic variability in the effectiveness of a vaccination program across states arises from interplay between seasonality patterns, population demography, vaccination uptake, and vaccine mechanism of action. Regardless of these variabilities, our analysis showed that allocating vaccine to children under 5 y of age would be the most efficient strategy per dose to avert RSV in both children and adults. Furthermore, due to substantial indirect protection, the targeting of children is even predicted to reduce RSV in the elderly more than directly vaccinating the elderly themselves. Our results can help inform ongoing clinical trials and future recommendations on RSV vaccination.","author":[{"dropping-particle":"","family":"Yamin","given":"Dan","non-dropping-particle":"","parse-names":false,"suffix":""},{"dropping-particle":"","family":"Jones","given":"Forrest K.","non-dropping-particle":"","parse-names":false,"suffix":""},{"dropping-particle":"","family":"DeVincenzo","given":"John P.","non-dropping-particle":"","parse-names":false,"suffix":""},{"dropping-particle":"","family":"Gertler","given":"Shai","non-dropping-particle":"","parse-names":false,"suffix":""},{"dropping-particle":"","family":"Kobiler","given":"Oren","non-dropping-particle":"","parse-names":false,"suffix":""},{"dropping-particle":"","family":"Townsend","given":"Jeffrey P.","non-dropping-particle":"","parse-names":false,"suffix":""},{"dropping-particle":"","family":"Galvani","given":"Alison P.","non-dropping-particle":"","parse-names":false,"suffix":""}],"container-title":"Proceedings of the National Academy of Sciences of the United States of America","id":"ITEM-1","issued":{"date-parts":[["2016"]]},"title":"Vaccination strategies against respiratory syncytial virus","type":"article-journal"},"uris":["http://www.mendeley.com/documents/?uuid=f9419ece-419d-4b12-965e-0f8d731be791"]},{"id":"ITEM-2","itemData":{"DOI":"10.1371/journal.pmed.0050074","ISSN":"15491277","abstract":"Background: Mathematical modelling of infectious diseases transmitted by the respiratory or close-contact route (e.g., pandemic influenza) is increasingly being used to determine the impact of possible interventions. Although mixing patterns are known to be crucial determinants for model outcome, researchers often rely on a priori contact assumptions with little or no empirical basis. We conducted a population-based prospective survey of mixing patterns in eight European countries using a common paper-diary methodology. Methods and Findings: 7,290 participants recorded characteristics of 97,904 contacts with different individuals during one day, including age, sex, location, duration, frequency, and occurrence of physical contact. We found that mixing patterns and contact characteristics were remarkably similar across different European countries. Contact patterns were highly assortative with age: schoolchildren and young adults in particular tended to mix with people of the same age. Contacts lasting at least one hour or occurring on a daily basis mostly involved physical contact, while short duration and infrequent contacts tended to be nonphysical. Contacts at home, school, or leisure were more likely to be physical than contacts at the workplace or while travelling. Preliminary modelling indicates that 5- to 19-year-olds are expected to suffer the highest incidence during the initial epidemic phase of an emerging infection transmitted through social contacts measured here when the population is completely susceptible. Conclusions: To our knowledge, our study provides the first large-scale quantitative approach to contact patterns relevant for infections transmitted by the respiratory or close-contact route, and the results should lead to improved parameterisation of mathematical models used to design control strategies. © 2008 Mossong et al.","author":[{"dropping-particle":"","family":"Mossong","given":"Joël L","non-dropping-particle":"","parse-names":false,"suffix":""},{"dropping-particle":"","family":"Hens","given":"Niel","non-dropping-particle":"","parse-names":false,"suffix":""},{"dropping-particle":"","family":"Jit","given":"Mark","non-dropping-particle":"","parse-names":false,"suffix":""},{"dropping-particle":"","family":"Beutels","given":"Philippe","non-dropping-particle":"","parse-names":false,"suffix":""},{"dropping-particle":"","family":"Auranen","given":"Kari","non-dropping-particle":"","parse-names":false,"suffix":""},{"dropping-particle":"","family":"Mikolajczyk","given":"Rafael","non-dropping-particle":"","parse-names":false,"suffix":""},{"dropping-particle":"","family":"Massari","given":"Marco","non-dropping-particle":"","parse-names":false,"suffix":""},{"dropping-particle":"","family":"Salmaso","given":"Stefania","non-dropping-particle":"","parse-names":false,"suffix":""},{"dropping-particle":"","family":"Tomba","given":"Gianpaolo Scalia","non-dropping-particle":"","parse-names":false,"suffix":""},{"dropping-particle":"","family":"Wallinga","given":"Jacco","non-dropping-particle":"","parse-names":false,"suffix":""},{"dropping-particle":"","family":"Heijne","given":"Janneke","non-dropping-particle":"","parse-names":false,"suffix":""},{"dropping-particle":"","family":"Sadkowska-Todys","given":"Malgorzata","non-dropping-particle":"","parse-names":false,"suffix":""},{"dropping-particle":"","family":"Rosinska","given":"Magdalena","non-dropping-particle":"","parse-names":false,"suffix":""},{"dropping-particle":"","family":"Edmunds","given":"W. John","non-dropping-particle":"","parse-names":false,"suffix":""},{"dropping-particle":"","family":"Scalia Tomba","given":"Gianpaolo","non-dropping-particle":"","parse-names":false,"suffix":""},{"dropping-particle":"","family":"Wallinga","given":"Jacco","non-dropping-particle":"","parse-names":false,"suffix":""},{"dropping-particle":"","family":"Heijne","given":"Janneke","non-dropping-particle":"","parse-names":false,"suffix":""},{"dropping-particle":"","family":"Sadkowska-Todys","given":"Malgorzata","non-dropping-particle":"","parse-names":false,"suffix":""},{"dropping-particle":"","family":"Rosinska","given":"Magdalena","non-dropping-particle":"","parse-names":false,"suffix":""},{"dropping-particle":"","family":"Edmunds","given":"W. John","non-dropping-particle":"","parse-names":false,"suffix":""},{"dropping-particle":"","family":"Riley","given":"Steven","non-dropping-particle":"","parse-names":false,"suffix":""}],"container-title":"PLoS Medicine","id":"ITEM-2","issued":{"date-parts":[["2008"]]},"title":"Social contacts and mixing patterns relevant to the spread of infectious diseases","type":"article-journal","volume":"5"},"uris":["http://www.mendeley.com/documents/?uuid=6bc5dae9-e626-4c90-9d30-5e952c112d80"]}],"mendeley":{"formattedCitation":"[34, 57]","plainTextFormattedCitation":"[34, 57]","previouslyFormattedCitation":"[34, 58]"},"properties":{"noteIndex":0},"schema":"https://github.com/citation-style-language/schema/raw/master/csl-citation.json"}</w:instrText>
            </w:r>
            <w:r w:rsidRPr="00BE0FA3">
              <w:rPr>
                <w:rFonts w:asciiTheme="majorBidi" w:hAnsiTheme="majorBidi" w:cstheme="majorBidi"/>
                <w:sz w:val="24"/>
                <w:szCs w:val="24"/>
              </w:rPr>
              <w:fldChar w:fldCharType="separate"/>
            </w:r>
            <w:r w:rsidRPr="006369F1">
              <w:rPr>
                <w:rFonts w:asciiTheme="majorBidi" w:hAnsiTheme="majorBidi" w:cstheme="majorBidi"/>
                <w:noProof/>
                <w:sz w:val="24"/>
                <w:szCs w:val="24"/>
              </w:rPr>
              <w:t>[34, 57]</w:t>
            </w:r>
            <w:r w:rsidRPr="00BE0FA3">
              <w:rPr>
                <w:rFonts w:asciiTheme="majorBidi" w:hAnsiTheme="majorBidi" w:cstheme="majorBidi"/>
                <w:sz w:val="24"/>
                <w:szCs w:val="24"/>
              </w:rPr>
              <w:fldChar w:fldCharType="end"/>
            </w:r>
          </w:p>
        </w:tc>
      </w:tr>
      <w:tr w:rsidR="00285089" w14:paraId="7F8A98EE" w14:textId="77777777" w:rsidTr="00365097">
        <w:trPr>
          <w:jc w:val="center"/>
        </w:trPr>
        <w:tc>
          <w:tcPr>
            <w:tcW w:w="1620" w:type="dxa"/>
          </w:tcPr>
          <w:p w14:paraId="1FE43439"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VL (k,</w:t>
            </w:r>
            <m:oMath>
              <m:r>
                <w:rPr>
                  <w:rFonts w:ascii="Cambria Math" w:hAnsi="Cambria Math" w:cstheme="majorBidi"/>
                  <w:sz w:val="24"/>
                  <w:szCs w:val="24"/>
                </w:rPr>
                <m:t>τ</m:t>
              </m:r>
            </m:oMath>
            <w:r w:rsidRPr="00BE0FA3">
              <w:rPr>
                <w:rFonts w:asciiTheme="majorBidi" w:hAnsiTheme="majorBidi" w:cstheme="majorBidi"/>
                <w:sz w:val="24"/>
                <w:szCs w:val="24"/>
              </w:rPr>
              <w:t>,</w:t>
            </w:r>
            <m:oMath>
              <m:r>
                <m:rPr>
                  <m:scr m:val="script"/>
                </m:rPr>
                <w:rPr>
                  <w:rFonts w:ascii="Cambria Math" w:hAnsi="Cambria Math" w:cstheme="majorBidi"/>
                  <w:sz w:val="24"/>
                  <w:szCs w:val="24"/>
                </w:rPr>
                <m:t>T</m:t>
              </m:r>
            </m:oMath>
            <w:r w:rsidRPr="00BE0FA3">
              <w:rPr>
                <w:rFonts w:asciiTheme="majorBidi" w:hAnsiTheme="majorBidi" w:cstheme="majorBidi"/>
                <w:sz w:val="24"/>
                <w:szCs w:val="24"/>
              </w:rPr>
              <w:t>, asymptomatic/symptomatic)</w:t>
            </w:r>
          </w:p>
        </w:tc>
        <w:tc>
          <w:tcPr>
            <w:tcW w:w="5755" w:type="dxa"/>
          </w:tcPr>
          <w:p w14:paraId="10B43DAF"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r w:rsidRPr="00BE0FA3">
              <w:rPr>
                <w:rFonts w:asciiTheme="majorBidi" w:hAnsiTheme="majorBidi" w:cstheme="majorBidi"/>
                <w:sz w:val="24"/>
                <w:szCs w:val="24"/>
              </w:rPr>
              <w:t>Viral load of infected individuals in risk</w:t>
            </w:r>
            <w:r>
              <w:rPr>
                <w:rFonts w:asciiTheme="majorBidi" w:hAnsiTheme="majorBidi" w:cstheme="majorBidi"/>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k</m:t>
              </m:r>
            </m:oMath>
            <w:r w:rsidRPr="00BE0FA3">
              <w:rPr>
                <w:rFonts w:asciiTheme="majorBidi" w:hAnsiTheme="majorBidi" w:cstheme="majorBidi"/>
                <w:sz w:val="24"/>
                <w:szCs w:val="24"/>
              </w:rPr>
              <w:t xml:space="preserve">, on day of infection </w:t>
            </w:r>
            <m:oMath>
              <m:r>
                <w:rPr>
                  <w:rFonts w:ascii="Cambria Math" w:hAnsi="Cambria Math" w:cstheme="majorBidi"/>
                  <w:sz w:val="24"/>
                  <w:szCs w:val="24"/>
                </w:rPr>
                <m:t>τ</m:t>
              </m:r>
            </m:oMath>
            <w:r>
              <w:rPr>
                <w:rFonts w:asciiTheme="majorBidi" w:hAnsiTheme="majorBidi" w:cstheme="majorBidi"/>
                <w:sz w:val="24"/>
                <w:szCs w:val="24"/>
              </w:rPr>
              <w:t xml:space="preserve"> given treatment initiation day </w:t>
            </w:r>
            <m:oMath>
              <m:r>
                <m:rPr>
                  <m:scr m:val="script"/>
                </m:rPr>
                <w:rPr>
                  <w:rFonts w:ascii="Cambria Math" w:hAnsi="Cambria Math" w:cstheme="majorBidi"/>
                  <w:sz w:val="24"/>
                  <w:szCs w:val="24"/>
                </w:rPr>
                <m:t>T</m:t>
              </m:r>
            </m:oMath>
            <w:r w:rsidRPr="00BE0FA3">
              <w:rPr>
                <w:rFonts w:asciiTheme="majorBidi" w:hAnsiTheme="majorBidi" w:cstheme="majorBidi"/>
                <w:sz w:val="24"/>
                <w:szCs w:val="24"/>
              </w:rPr>
              <w:t xml:space="preserve"> and symptomatic or asymptomatic illness.</w:t>
            </w:r>
          </w:p>
        </w:tc>
        <w:tc>
          <w:tcPr>
            <w:tcW w:w="2160" w:type="dxa"/>
          </w:tcPr>
          <w:p w14:paraId="6DAF2748" w14:textId="77777777" w:rsidR="00285089" w:rsidRPr="00BE0FA3" w:rsidRDefault="00285089" w:rsidP="00365097">
            <w:pPr>
              <w:tabs>
                <w:tab w:val="center" w:pos="1127"/>
                <w:tab w:val="center" w:pos="2862"/>
                <w:tab w:val="center" w:pos="6607"/>
                <w:tab w:val="center" w:pos="8137"/>
              </w:tabs>
              <w:spacing w:line="360" w:lineRule="auto"/>
              <w:jc w:val="both"/>
              <w:rPr>
                <w:rFonts w:asciiTheme="majorBidi" w:hAnsiTheme="majorBidi" w:cstheme="majorBidi"/>
                <w:sz w:val="24"/>
                <w:szCs w:val="24"/>
              </w:rPr>
            </w:pPr>
          </w:p>
        </w:tc>
        <w:tc>
          <w:tcPr>
            <w:tcW w:w="1170" w:type="dxa"/>
            <w:vAlign w:val="center"/>
          </w:tcPr>
          <w:p w14:paraId="7382E4A6" w14:textId="77777777" w:rsidR="00285089" w:rsidRPr="00BE0FA3" w:rsidRDefault="00285089" w:rsidP="00365097">
            <w:pPr>
              <w:tabs>
                <w:tab w:val="center" w:pos="1127"/>
                <w:tab w:val="center" w:pos="2862"/>
                <w:tab w:val="center" w:pos="6607"/>
                <w:tab w:val="center" w:pos="8137"/>
              </w:tabs>
              <w:spacing w:line="360" w:lineRule="auto"/>
              <w:jc w:val="center"/>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{"citationItems":[{"id":"ITEM-1","itemData":{"DOI":"10.1093/cid/ciw841","ISSN":"15376591","PMID":"28011603","abstract":"Background: Influenza virus infections are associated with a wide spectrum of disease. However, few studies have investigated in detail the epidemiological and virological characteristics of asymptomatic and mild illness with influenza virus infections.\nMethods: In a community-based study in Hong Kong from 2008 to 2014, we followed up initially healthy individuals who were household contacts of symptomatic persons with laboratory-confirmed influenza, to identify secondary infections. Information from daily symptom diaries was used to classify infections as symptomatic (≥2 signs/symptoms, including fever ≥37.8°C, headache, myalgia, cough, sore throat, runny nose and sputum), paucisymptomatic (1 symptom only), or asymptomatic (none of these symptoms). We compared the patterns of influenza viral shedding between these groups.\nResults: We identified 235 virologically confirmed secondary cases of influenza virus infection in the household setting, including 31 (13%) paucisymptomatic and 25 (11%) asymptomatic cases. The duration of viral RNA shedding was shorter and declined more rapidly in paucisymptomatic and asymptomatic than in symptomatic cases. The mean levels of influenza viral RNA shedding in asymptomatic and paucisymptomatic cases were approximately 1-2 log10 copies lower than in symptomatic cases.\nConclusions: The presence of influenza viral shedding in patients with influenza who have very few or no symptoms reflects their potential for transmitting the virus to close contacts. These findings suggest that further research is needed to investigate the contribution of persons with asymptomatic or clinically mild influenza virus infections to influenza virus transmission in household, institutional, and community settings.","author":[{"dropping-particle":"","family":"Ip","given":"Dennis K.M.","non-dropping-particle":"","parse-names":false,"suffix":""},{"dropping-particle":"","family":"Lau","given":"Lincoln L.H. H.","non-dropping-particle":"","parse-names":false,"suffix":""},{"dropping-particle":"","family":"Leung","given":"Nancy H.L. L.","non-dropping-particle":"","parse-names":false,"suffix":""},{"dropping-particle":"","family":"Fang","given":"Vicky J.","non-dropping-particle":"","parse-names":false,"suffix":""},{"dropping-particle":"","family":"Chan","given":"Kwok-Hung Hung","non-dropping-particle":"","parse-names":false,"suffix":""},{"dropping-particle":"","family":"Chu","given":"Daniel K.W. W.","non-dropping-particle":"","parse-names":false,"suffix":""},{"dropping-particle":"","family":"Leung","given":"Gabriel M.","non-dropping-particle":"","parse-names":false,"suffix":""},{"dropping-particle":"","family":"Peiris","given":"J. S.Malik Malik","non-dropping-particle":"","parse-names":false,"suffix":""},{"dropping-particle":"","family":"Uyeki","given":"Timothy M.","non-dropping-particle":"","parse-names":false,"suffix":""},{"dropping-particle":"","family":"Cowling","given":"Benjamin J.","non-dropping-particle":"","parse-names":false,"suffix":""}],"container-title":"Clinical infectious diseases : an official publication of the Infectious Diseases Society of America","id":"ITEM-1","issue":"6","issued":{"date-parts":[["2017","12"]]},"page":"736-742","publisher":"Oxford University Press","title":"Viral Shedding and Transmission Potential of Asymptomatic and Paucisymptomatic Influenza Virus Infections in the Community","type":"article-journal","volume":"64"},"uris":["http://www.mendeley.com/documents/?uuid=aaaa5289-ee43-4bae-8093-05847f6a6646"]},{"id":"ITEM-2","itemData":{"ISSN":"10242708","abstract":"1. Hospitalised patients with severe influenza have persistently high viral loads, for whom a different therapeutic approach may be needed. 2. Active screening of influenza infection should be performed in all high-risk patients hospitalised with febrile respiratory illness. Early diagnosis and treatment to suppress the high viral load may maximise clinical benefit. 3. For late presenting high risk patients with severe symptoms, their viral load may remain high, and initiation of antiviral treatment may still be worthwhile. 4. More stringent infection control measures, including strict droplet precautions and preferably isolation for an extended period of time may be necessary owing to prolonged viral shedding. 5. Randomised, controlled trials are indicated to address timing and dosage of treatment for severe influenza infection.","author":[{"dropping-particle":"","family":"Lee","given":"N.","non-dropping-particle":"","parse-names":false,"suffix":""},{"dropping-particle":"","family":"Chan","given":"P. K.","non-dropping-particle":"","parse-names":false,"suffix":""},{"dropping-particle":"","family":"Rainer","given":"T. H.","non-dropping-particle":"","parse-names":false,"suffix":""},{"dropping-particle":"","family":"Hui","given":"D.","non-dropping-particle":"","parse-names":false,"suffix":""},{"dropping-particle":"","family":"Choi","given":"K. W.","non-dropping-particle":"","parse-names":false,"suffix":""},{"dropping-particle":"","family":"Cockram","given":"C. S.","non-dropping-particle":"","parse-names":false,"suffix":""}],"container-title":"Hong Kong medical journal = Xianggang yi xue za zhi / Hong Kong Academy of Medicine","id":"ITEM-2","issued":{"date-parts":[["2013"]]},"title":"Influenza virus load in hospitalised patients.","type":"article-journal"},"uris":["http://www.mendeley.com/documents/?uuid=e252a5be-7c24-4a2f-abb5-4996a5444de7"]}],"mendeley":{"formattedCitation":"[58, 59]","plainTextFormattedCitation":"[58, 59]","previouslyFormattedCitation":"[59, 60]"},"properties":{"noteIndex":0},"schema":"https://github.com/citation-style-language/schema/raw/master/csl-citation.json"}</w:instrText>
            </w:r>
            <w:r>
              <w:rPr>
                <w:rFonts w:asciiTheme="majorBidi" w:hAnsiTheme="majorBidi" w:cstheme="majorBidi"/>
                <w:sz w:val="24"/>
                <w:szCs w:val="24"/>
              </w:rPr>
              <w:fldChar w:fldCharType="separate"/>
            </w:r>
            <w:r w:rsidRPr="006369F1">
              <w:rPr>
                <w:rFonts w:asciiTheme="majorBidi" w:hAnsiTheme="majorBidi" w:cstheme="majorBidi"/>
                <w:noProof/>
                <w:sz w:val="24"/>
                <w:szCs w:val="24"/>
              </w:rPr>
              <w:t>[58, 59]</w:t>
            </w:r>
            <w:r>
              <w:rPr>
                <w:rFonts w:asciiTheme="majorBidi" w:hAnsiTheme="majorBidi" w:cstheme="majorBidi"/>
                <w:sz w:val="24"/>
                <w:szCs w:val="24"/>
              </w:rPr>
              <w:fldChar w:fldCharType="end"/>
            </w:r>
          </w:p>
        </w:tc>
      </w:tr>
    </w:tbl>
    <w:p w14:paraId="0319E092" w14:textId="77777777" w:rsidR="00285089" w:rsidRPr="00BE0FA3" w:rsidRDefault="00285089" w:rsidP="00285089">
      <w:pPr>
        <w:tabs>
          <w:tab w:val="center" w:pos="1127"/>
          <w:tab w:val="center" w:pos="2862"/>
          <w:tab w:val="center" w:pos="6607"/>
          <w:tab w:val="center" w:pos="8137"/>
        </w:tabs>
        <w:spacing w:after="0" w:line="360" w:lineRule="auto"/>
        <w:jc w:val="both"/>
        <w:rPr>
          <w:rFonts w:asciiTheme="majorBidi" w:hAnsiTheme="majorBidi" w:cstheme="majorBidi"/>
        </w:rPr>
      </w:pPr>
    </w:p>
    <w:p w14:paraId="12C8E921" w14:textId="77777777" w:rsidR="00285089" w:rsidRPr="00BE0FA3" w:rsidRDefault="00285089" w:rsidP="00285089">
      <w:pPr>
        <w:spacing w:after="0" w:line="360" w:lineRule="auto"/>
        <w:jc w:val="both"/>
        <w:rPr>
          <w:rFonts w:asciiTheme="majorBidi" w:hAnsiTheme="majorBidi" w:cstheme="majorBidi"/>
        </w:rPr>
      </w:pPr>
      <w:r w:rsidRPr="00BE0FA3">
        <w:rPr>
          <w:rFonts w:ascii="Times New Roman" w:eastAsia="Calibri" w:hAnsi="Times New Roman" w:cs="Times New Roman"/>
        </w:rPr>
        <w:tab/>
      </w:r>
    </w:p>
    <w:p w14:paraId="40A45149" w14:textId="77777777" w:rsidR="00285089" w:rsidRPr="00BE0FA3" w:rsidRDefault="00285089" w:rsidP="00285089">
      <w:pPr>
        <w:pStyle w:val="Heading3"/>
        <w:spacing w:line="360" w:lineRule="auto"/>
        <w:jc w:val="both"/>
        <w:rPr>
          <w:rFonts w:asciiTheme="majorBidi" w:hAnsiTheme="majorBidi" w:cstheme="majorBidi"/>
        </w:rPr>
      </w:pPr>
      <w:r w:rsidRPr="00BE0FA3">
        <w:rPr>
          <w:rFonts w:asciiTheme="majorBidi" w:hAnsiTheme="majorBidi" w:cstheme="majorBidi"/>
        </w:rPr>
        <w:t>Calibrated parameters</w:t>
      </w:r>
    </w:p>
    <w:p w14:paraId="7ACF3422" w14:textId="77777777" w:rsidR="00285089" w:rsidRPr="00BE0FA3" w:rsidRDefault="00285089" w:rsidP="00285089">
      <w:pPr>
        <w:spacing w:after="0" w:line="360" w:lineRule="auto"/>
        <w:jc w:val="both"/>
        <w:rPr>
          <w:rFonts w:asciiTheme="majorBidi" w:hAnsiTheme="majorBidi" w:cstheme="majorBidi"/>
        </w:rPr>
      </w:pPr>
    </w:p>
    <w:p w14:paraId="7A0FFBA7" w14:textId="77777777" w:rsidR="00285089" w:rsidRPr="00BE0FA3" w:rsidRDefault="00285089" w:rsidP="00285089">
      <w:pPr>
        <w:pStyle w:val="NormalWeb"/>
        <w:spacing w:before="0" w:beforeAutospacing="0" w:after="0" w:afterAutospacing="0" w:line="360" w:lineRule="auto"/>
        <w:jc w:val="both"/>
        <w:rPr>
          <w:rFonts w:asciiTheme="majorBidi" w:hAnsiTheme="majorBidi" w:cstheme="majorBidi"/>
        </w:rPr>
      </w:pPr>
      <w:r w:rsidRPr="00BE0FA3">
        <w:rPr>
          <w:rFonts w:asciiTheme="majorBidi" w:hAnsiTheme="majorBidi" w:cstheme="majorBidi"/>
          <w:i/>
          <w:iCs/>
          <w:color w:val="000000"/>
        </w:rPr>
        <w:t>Influenza case data and case definition</w:t>
      </w:r>
    </w:p>
    <w:p w14:paraId="523626E2" w14:textId="77777777" w:rsidR="00285089" w:rsidRPr="004724D9" w:rsidRDefault="00285089" w:rsidP="00285089">
      <w:pPr>
        <w:pStyle w:val="NormalWeb"/>
        <w:spacing w:line="360" w:lineRule="auto"/>
        <w:rPr>
          <w:rFonts w:asciiTheme="majorBidi" w:hAnsiTheme="majorBidi" w:cstheme="majorBidi"/>
          <w:color w:val="000000"/>
        </w:rPr>
      </w:pPr>
      <w:r w:rsidRPr="004724D9">
        <w:rPr>
          <w:rFonts w:asciiTheme="majorBidi" w:hAnsiTheme="majorBidi" w:cstheme="majorBidi"/>
          <w:color w:val="000000"/>
        </w:rPr>
        <w:t xml:space="preserve">To </w:t>
      </w:r>
      <w:r>
        <w:rPr>
          <w:color w:val="000000"/>
        </w:rPr>
        <w:t xml:space="preserve">empirically </w:t>
      </w:r>
      <w:r w:rsidRPr="004724D9">
        <w:rPr>
          <w:rFonts w:asciiTheme="majorBidi" w:hAnsiTheme="majorBidi" w:cstheme="majorBidi"/>
          <w:color w:val="000000"/>
        </w:rPr>
        <w:t xml:space="preserve">estimate unknown epidemiological parameters, we calibrated our model to weekly cases of influenza (confirmed by viral isolation, antigen detection, or PCR) </w:t>
      </w:r>
      <w:r w:rsidRPr="004724D9">
        <w:rPr>
          <w:rFonts w:asciiTheme="majorBidi" w:hAnsiTheme="majorBidi" w:cstheme="majorBidi"/>
          <w:color w:val="000000"/>
        </w:rPr>
        <w:fldChar w:fldCharType="begin" w:fldLock="1"/>
      </w:r>
      <w:r>
        <w:rPr>
          <w:rFonts w:asciiTheme="majorBidi" w:hAnsiTheme="majorBidi" w:cstheme="majorBidi"/>
          <w:color w:val="000000"/>
        </w:rPr>
        <w:instrText>ADDIN CSL_CITATION {"citationItems":[{"id":"ITEM-1","itemData":{"URL":"https://www.cdc.gov/flu/weekly/fluviewinteractive.htm","accessed":{"date-parts":[["2020","1","29"]]},"id":"ITEM-1","issued":{"date-parts":[["0"]]},"title":"FluView Interactive | CDC","type":"webpage"},"uris":["http://www.mendeley.com/documents/?uuid=7a25d528-6616-33a1-b84e-498074bfe5ec"]}],"mendeley":{"formattedCitation":"[75]","plainTextFormattedCitation":"[75]","previouslyFormattedCitation":"[76]"},"properties":{"noteIndex":0},"schema":"https://github.com/citation-style-language/schema/raw/master/csl-citation.json"}</w:instrText>
      </w:r>
      <w:r w:rsidRPr="004724D9">
        <w:rPr>
          <w:rFonts w:asciiTheme="majorBidi" w:hAnsiTheme="majorBidi" w:cstheme="majorBidi"/>
          <w:color w:val="000000"/>
        </w:rPr>
        <w:fldChar w:fldCharType="separate"/>
      </w:r>
      <w:r w:rsidRPr="006369F1">
        <w:rPr>
          <w:rFonts w:asciiTheme="majorBidi" w:hAnsiTheme="majorBidi" w:cstheme="majorBidi"/>
          <w:noProof/>
          <w:color w:val="000000"/>
        </w:rPr>
        <w:t>[75]</w:t>
      </w:r>
      <w:r w:rsidRPr="004724D9">
        <w:rPr>
          <w:rFonts w:asciiTheme="majorBidi" w:hAnsiTheme="majorBidi" w:cstheme="majorBidi"/>
          <w:color w:val="000000"/>
        </w:rPr>
        <w:fldChar w:fldCharType="end"/>
      </w:r>
      <w:r w:rsidRPr="004724D9">
        <w:rPr>
          <w:rFonts w:asciiTheme="majorBidi" w:hAnsiTheme="majorBidi" w:cstheme="majorBidi"/>
          <w:color w:val="000000"/>
        </w:rPr>
        <w:t xml:space="preserve">. These data were collected by the National Respiratory and Enteric Virus Surveillance System </w:t>
      </w:r>
      <w:r>
        <w:rPr>
          <w:rFonts w:asciiTheme="majorBidi" w:hAnsiTheme="majorBidi" w:cstheme="majorBidi"/>
          <w:color w:val="000000"/>
        </w:rPr>
        <w:t>of</w:t>
      </w:r>
      <w:r w:rsidRPr="004724D9">
        <w:rPr>
          <w:rFonts w:asciiTheme="majorBidi" w:hAnsiTheme="majorBidi" w:cstheme="majorBidi"/>
          <w:color w:val="000000"/>
        </w:rPr>
        <w:t xml:space="preserve"> the CDC and state health departments from four different states in the United States from 2014 to 2019.</w:t>
      </w:r>
    </w:p>
    <w:p w14:paraId="027E97A1" w14:textId="77777777" w:rsidR="00285089" w:rsidRPr="004724D9" w:rsidRDefault="00285089" w:rsidP="00285089">
      <w:pPr>
        <w:pStyle w:val="NormalWeb"/>
        <w:spacing w:line="360" w:lineRule="auto"/>
        <w:rPr>
          <w:rFonts w:asciiTheme="majorBidi" w:hAnsiTheme="majorBidi" w:cstheme="majorBidi"/>
          <w:color w:val="000000"/>
        </w:rPr>
      </w:pPr>
      <w:r w:rsidRPr="004724D9">
        <w:rPr>
          <w:rFonts w:asciiTheme="majorBidi" w:hAnsiTheme="majorBidi" w:cstheme="majorBidi"/>
          <w:color w:val="000000"/>
        </w:rPr>
        <w:t xml:space="preserve">To </w:t>
      </w:r>
      <w:r>
        <w:rPr>
          <w:rFonts w:asciiTheme="majorBidi" w:hAnsiTheme="majorBidi" w:cstheme="majorBidi"/>
          <w:color w:val="000000"/>
        </w:rPr>
        <w:t>determine</w:t>
      </w:r>
      <w:r w:rsidRPr="004724D9">
        <w:rPr>
          <w:rFonts w:asciiTheme="majorBidi" w:hAnsiTheme="majorBidi" w:cstheme="majorBidi"/>
          <w:color w:val="000000"/>
        </w:rPr>
        <w:t xml:space="preserve"> the influenza cases, we </w:t>
      </w:r>
      <w:r>
        <w:rPr>
          <w:color w:val="000000"/>
        </w:rPr>
        <w:t>multiplied</w:t>
      </w:r>
      <w:r w:rsidRPr="004724D9">
        <w:rPr>
          <w:rFonts w:asciiTheme="majorBidi" w:hAnsiTheme="majorBidi" w:cstheme="majorBidi"/>
          <w:color w:val="000000"/>
        </w:rPr>
        <w:t xml:space="preserve"> the weekly </w:t>
      </w:r>
      <w:r>
        <w:rPr>
          <w:rFonts w:asciiTheme="majorBidi" w:hAnsiTheme="majorBidi" w:cstheme="majorBidi"/>
          <w:color w:val="000000"/>
        </w:rPr>
        <w:t xml:space="preserve">number of </w:t>
      </w:r>
      <w:r w:rsidRPr="004724D9">
        <w:rPr>
          <w:rFonts w:asciiTheme="majorBidi" w:hAnsiTheme="majorBidi" w:cstheme="majorBidi"/>
          <w:color w:val="000000"/>
        </w:rPr>
        <w:t>influenza-like</w:t>
      </w:r>
      <w:r>
        <w:rPr>
          <w:color w:val="000000"/>
        </w:rPr>
        <w:t xml:space="preserve"> illness</w:t>
      </w:r>
      <w:r w:rsidRPr="004724D9">
        <w:rPr>
          <w:rFonts w:asciiTheme="majorBidi" w:hAnsiTheme="majorBidi" w:cstheme="majorBidi"/>
          <w:color w:val="000000"/>
        </w:rPr>
        <w:t xml:space="preserve"> (ILI) cases by the weekly proportion of specimens positive </w:t>
      </w:r>
      <w:r>
        <w:rPr>
          <w:rFonts w:asciiTheme="majorBidi" w:hAnsiTheme="majorBidi" w:cstheme="majorBidi"/>
          <w:color w:val="000000"/>
        </w:rPr>
        <w:t>for</w:t>
      </w:r>
      <w:r w:rsidRPr="004724D9">
        <w:rPr>
          <w:rFonts w:asciiTheme="majorBidi" w:hAnsiTheme="majorBidi" w:cstheme="majorBidi"/>
          <w:color w:val="000000"/>
        </w:rPr>
        <w:t xml:space="preserve"> influenza. To account for the unreported cases </w:t>
      </w:r>
      <w:r>
        <w:rPr>
          <w:rFonts w:asciiTheme="majorBidi" w:hAnsiTheme="majorBidi" w:cstheme="majorBidi"/>
          <w:color w:val="000000"/>
        </w:rPr>
        <w:t>in</w:t>
      </w:r>
      <w:r w:rsidRPr="004724D9">
        <w:rPr>
          <w:rFonts w:asciiTheme="majorBidi" w:hAnsiTheme="majorBidi" w:cstheme="majorBidi"/>
          <w:color w:val="000000"/>
        </w:rPr>
        <w:t xml:space="preserve"> each age</w:t>
      </w:r>
      <w:r>
        <w:rPr>
          <w:color w:val="000000"/>
        </w:rPr>
        <w:t xml:space="preserve"> </w:t>
      </w:r>
      <w:r w:rsidRPr="004724D9">
        <w:rPr>
          <w:rFonts w:asciiTheme="majorBidi" w:hAnsiTheme="majorBidi" w:cstheme="majorBidi"/>
          <w:color w:val="000000"/>
        </w:rPr>
        <w:t>group, we scaled up the number of cases such that the mean attack rate between 2014-2019 match</w:t>
      </w:r>
      <w:r>
        <w:rPr>
          <w:rFonts w:asciiTheme="majorBidi" w:hAnsiTheme="majorBidi" w:cstheme="majorBidi"/>
          <w:color w:val="000000"/>
        </w:rPr>
        <w:t>ed</w:t>
      </w:r>
      <w:r w:rsidRPr="004724D9">
        <w:rPr>
          <w:rFonts w:asciiTheme="majorBidi" w:hAnsiTheme="majorBidi" w:cstheme="majorBidi"/>
          <w:color w:val="000000"/>
        </w:rPr>
        <w:t xml:space="preserve"> large</w:t>
      </w:r>
      <w:r>
        <w:rPr>
          <w:color w:val="000000"/>
        </w:rPr>
        <w:t>-</w:t>
      </w:r>
      <w:r w:rsidRPr="004724D9">
        <w:rPr>
          <w:rFonts w:asciiTheme="majorBidi" w:hAnsiTheme="majorBidi" w:cstheme="majorBidi"/>
          <w:color w:val="000000"/>
        </w:rPr>
        <w:t xml:space="preserve">scale estimates from a meta-analysis conducted in the US </w:t>
      </w:r>
      <w:r w:rsidRPr="004724D9">
        <w:rPr>
          <w:rFonts w:asciiTheme="majorBidi" w:hAnsiTheme="majorBidi" w:cstheme="majorBidi"/>
          <w:color w:val="000000"/>
        </w:rPr>
        <w:fldChar w:fldCharType="begin" w:fldLock="1"/>
      </w:r>
      <w:r>
        <w:rPr>
          <w:rFonts w:asciiTheme="majorBidi" w:hAnsiTheme="majorBidi" w:cstheme="majorBidi"/>
          <w:color w:val="000000"/>
        </w:rPr>
        <w:instrText>ADDIN CSL_CITATION {"citationItems":[{"id":"ITEM-1","itemData":{"DOI":"10.1093/cid/cix1060","ISSN":"15376591","abstract":"Background The seasonal incidence of influenza is often approximated as 5%-20%. Methods We used 2 methods to estimate the seasonal incidence of symptomatic influenza in the United States. First, we made a statistical estimate extrapolated from influenza-associated hospitalization rates for 2010-2011 to 2015-2016, collected as part of national surveillance, covering approximately 9% of the United States, and including the existing mix of vaccinated and unvaccinated persons. Second, we performed a literature search and meta-analysis of published manuscripts that followed cohorts of subjects during 1996-2016 to detect laboratory-confirmed symptomatic influenza among unvaccinated persons; we adjusted this result to the US median vaccination coverage and effectiveness during 2010-2016. Results The statistical estimate of influenza incidence among all ages ranged from 3.0%-11.3% among seasons, with median values of 8.3% (95% confidence interval [CI], 7.3%-9.7%) for all ages, 9.3% (95% CI, 8.2%-11.1%) for children &lt;18 years, and 8.9% (95% CI, 8.2%-9.9%) for adults 18-64 years. Corresponding values for the meta-analysis were 7.1% (95% CI, 6.1%-8.1%) for all ages, 8.7% (95% CI, 6.6%-10.5%) for children, and 5.1% (95% CI, 3.6%-6.6%) for adults. Conclusions The 2 approaches produced comparable results for children and persons of all ages. The statistical estimates are more versatile and permit estimation of season-to-season variation. During 2010-2016, the incidence of symptomatic influenza among vaccinated and unvaccinated US residents, including both medically attended and nonattended infections, was approximately 8% and varied from 3% to 11% among seasons.","author":[{"dropping-particle":"","family":"Tokars","given":"Jerome I.","non-dropping-particle":"","parse-names":false,"suffix":""},{"dropping-particle":"","family":"Olsen","given":"Sonja J.","non-dropping-particle":"","parse-names":false,"suffix":""},{"dropping-particle":"","family":"Reed","given":"Carrie","non-dropping-particle":"","parse-names":false,"suffix":""}],"container-title":"Clinical Infectious Diseases","id":"ITEM-1","issue":"10","issued":{"date-parts":[["2018","5","2"]]},"page":"1511-1518","publisher":"Oxford University Press","title":"Seasonal Incidence of Symptomatic Influenza in the United States","type":"article-journal","volume":"66"},"uris":["http://www.mendeley.com/documents/?uuid=c42530c6-8750-4ef7-8436-5a40300aa588"]}],"mendeley":{"formattedCitation":"[5]","plainTextFormattedCitation":"[5]","previouslyFormattedCitation":"[5]"},"properties":{"noteIndex":0},"schema":"https://github.com/citation-style-language/schema/raw/master/csl-citation.json"}</w:instrText>
      </w:r>
      <w:r w:rsidRPr="004724D9">
        <w:rPr>
          <w:rFonts w:asciiTheme="majorBidi" w:hAnsiTheme="majorBidi" w:cstheme="majorBidi"/>
          <w:color w:val="000000"/>
        </w:rPr>
        <w:fldChar w:fldCharType="separate"/>
      </w:r>
      <w:r w:rsidRPr="000D560C">
        <w:rPr>
          <w:rFonts w:asciiTheme="majorBidi" w:hAnsiTheme="majorBidi" w:cstheme="majorBidi"/>
          <w:noProof/>
          <w:color w:val="000000"/>
        </w:rPr>
        <w:t>[5]</w:t>
      </w:r>
      <w:r w:rsidRPr="004724D9">
        <w:rPr>
          <w:rFonts w:asciiTheme="majorBidi" w:hAnsiTheme="majorBidi" w:cstheme="majorBidi"/>
          <w:color w:val="000000"/>
        </w:rPr>
        <w:fldChar w:fldCharType="end"/>
      </w:r>
      <w:r w:rsidRPr="004724D9">
        <w:rPr>
          <w:rFonts w:asciiTheme="majorBidi" w:hAnsiTheme="majorBidi" w:cstheme="majorBidi"/>
          <w:color w:val="000000"/>
        </w:rPr>
        <w:t>. Although several studies have attempted to estimate state-level influenza annual attack rate</w:t>
      </w:r>
      <w:r>
        <w:rPr>
          <w:rFonts w:asciiTheme="majorBidi" w:hAnsiTheme="majorBidi" w:cstheme="majorBidi"/>
          <w:color w:val="000000"/>
        </w:rPr>
        <w:t>s</w:t>
      </w:r>
      <w:r w:rsidRPr="004724D9">
        <w:rPr>
          <w:rFonts w:asciiTheme="majorBidi" w:hAnsiTheme="majorBidi" w:cstheme="majorBidi"/>
          <w:color w:val="000000"/>
        </w:rPr>
        <w:t xml:space="preserve"> in the US </w:t>
      </w:r>
      <w:r w:rsidRPr="004724D9">
        <w:rPr>
          <w:rFonts w:asciiTheme="majorBidi" w:hAnsiTheme="majorBidi" w:cstheme="majorBidi"/>
          <w:color w:val="000000"/>
        </w:rPr>
        <w:fldChar w:fldCharType="begin" w:fldLock="1"/>
      </w:r>
      <w:r>
        <w:rPr>
          <w:rFonts w:asciiTheme="majorBidi" w:hAnsiTheme="majorBidi" w:cstheme="majorBidi"/>
          <w:color w:val="000000"/>
        </w:rPr>
        <w:instrText>ADDIN CSL_CITATION {"citationItems":[{"id":"ITEM-1","itemData":{"DOI":"10.1016/j.vaccine.2007.03.046","ISSN":"0264410X","abstract":"Background: Despite preventive efforts, influenza epidemics are responsible for substantial morbidity and mortality every year in the United States (US). Vaccination strategies to reduce disease burden have been implemented. However, no previous studies have systematically estimated the annual economic burden of influenza epidemics, an estimate necessary to guide policy makers effectively. Objective: We estimate age- and risk-specific disease burden, and medical and indirect costs attributable to annual influenza epidemics in the United States. Methods: Using a probabilistic model and publicly available epidemiological data we estimated the number of influenza-attributable cases leading to outpatient visits, hospitalization, and mortality, as well as time lost from work absenteeism or premature death. With data from health insurance claims and projections of either earnings or statistical life values, we then estimated healthcare resource utilization associated with influenza cases as were their medical and productivity (indirect) costs in $2003. Results: Based on 2003 US population, we estimated that annual influenza epidemics resulted in an average of 610,660 life-years lost (undiscounted), 3.1 million hospitalized days, and 31.4 million outpatient visits. Direct medical costs averaged $10.4 billion (95% confidence interval [C.I.], $4.1, $22.2) annually. Projected lost earnings due to illness and loss of life amounted to $16.3 billion (C.I., $8.7, $31.0) annually. The total economic burden of annual influenza epidemics using projected statistical life values amounted to $87.1 billion (C.I., $47.2, $149.5). Conclusions: These results highlight the enormous annual burden of influenza in the US. While hospitalization costs are important contributors, lost productivity from missed work days and lost lives comprise the bulk of the economic burden of influenza. © 2007 Elsevier Ltd. All rights reserved.","author":[{"dropping-particle":"","family":"Molinari","given":"Noelle Angelique M.","non-dropping-particle":"","parse-names":false,"suffix":""},{"dropping-particle":"","family":"Ortega-Sanchez","given":"Ismael R.","non-dropping-particle":"","parse-names":false,"suffix":""},{"dropping-particle":"","family":"Messonnier","given":"Mark L.","non-dropping-particle":"","parse-names":false,"suffix":""},{"dropping-particle":"","family":"Thompson","given":"William W.","non-dropping-particle":"","parse-names":false,"suffix":""},{"dropping-particle":"","family":"Wortley","given":"Pascale M.","non-dropping-particle":"","parse-names":false,"suffix":""},{"dropping-particle":"","family":"Weintraub","given":"Eric","non-dropping-particle":"","parse-names":false,"suffix":""},{"dropping-particle":"","family":"Bridges","given":"Carolyn B.","non-dropping-particle":"","parse-names":false,"suffix":""}],"container-title":"Vaccine","id":"ITEM-1","issued":{"date-parts":[["2007"]]},"title":"The annual impact of seasonal influenza in the US: Measuring disease burden and costs","type":"article-journal"},"uris":["http://www.mendeley.com/documents/?uuid=02863a39-7e25-4afb-8f48-a40695e0e556"]},{"id":"ITEM-2","itemData":{"DOI":"10.1186/s12879-014-0670-5","ISSN":"1471-2334","author":[{"dropping-particle":"","family":"Jayasundara","given":"Kavisha","non-dropping-particle":"","parse-names":false,"suffix":""},{"dropping-particle":"","family":"Soobiah","given":"Charlene","non-dropping-particle":"","parse-names":false,"suffix":""},{"dropping-particle":"","family":"Thommes","given":"Edward","non-dropping-particle":"","parse-names":false,"suffix":""},{"dropping-particle":"","family":"Tricco","given":"Andrea C","non-dropping-particle":"","parse-names":false,"suffix":""},{"dropping-particle":"","family":"Chit","given":"Ayman","non-dropping-particle":"","parse-names":false,"suffix":""}],"container-title":"BMC Infectious Diseases","id":"ITEM-2","issue":"1","issued":{"date-parts":[["2014","12","11"]]},"page":"670","title":"Natural attack rate of influenza in unvaccinated children and adults: a meta-regression analysis","type":"article-journal","volume":"14"},"uris":["http://www.mendeley.com/documents/?uuid=9968edde-1cbc-3d68-9da1-a7cd37390c80"]},{"id":"ITEM-3","itemData":{"DOI":"10.1093/cid/cix1060","ISSN":"15376591","abstract":"Background The seasonal incidence of influenza is often approximated as 5%-20%. Methods We used 2 methods to estimate the seasonal incidence of symptomatic influenza in the United States. First, we made a statistical estimate extrapolated from influenza-associated hospitalization rates for 2010-2011 to 2015-2016, collected as part of national surveillance, covering approximately 9% of the United States, and including the existing mix of vaccinated and unvaccinated persons. Second, we performed a literature search and meta-analysis of published manuscripts that followed cohorts of subjects during 1996-2016 to detect laboratory-confirmed symptomatic influenza among unvaccinated persons; we adjusted this result to the US median vaccination coverage and effectiveness during 2010-2016. Results The statistical estimate of influenza incidence among all ages ranged from 3.0%-11.3% among seasons, with median values of 8.3% (95% confidence interval [CI], 7.3%-9.7%) for all ages, 9.3% (95% CI, 8.2%-11.1%) for children &lt;18 years, and 8.9% (95% CI, 8.2%-9.9%) for adults 18-64 years. Corresponding values for the meta-analysis were 7.1% (95% CI, 6.1%-8.1%) for all ages, 8.7% (95% CI, 6.6%-10.5%) for children, and 5.1% (95% CI, 3.6%-6.6%) for adults. Conclusions The 2 approaches produced comparable results for children and persons of all ages. The statistical estimates are more versatile and permit estimation of season-to-season variation. During 2010-2016, the incidence of symptomatic influenza among vaccinated and unvaccinated US residents, including both medically attended and nonattended infections, was approximately 8% and varied from 3% to 11% among seasons.","author":[{"dropping-particle":"","family":"Tokars","given":"Jerome I.","non-dropping-particle":"","parse-names":false,"suffix":""},{"dropping-particle":"","family":"Olsen","given":"Sonja J.","non-dropping-particle":"","parse-names":false,"suffix":""},{"dropping-particle":"","family":"Reed","given":"Carrie","non-dropping-particle":"","parse-names":false,"suffix":""}],"container-title":"Clinical Infectious Diseases","id":"ITEM-3","issue":"10","issued":{"date-parts":[["2018","5","2"]]},"page":"1511-1518","publisher":"Oxford University Press","title":"Seasonal Incidence of Symptomatic Influenza in the United States","type":"article-journal","volume":"66"},"uris":["http://www.mendeley.com/documents/?uuid=c42530c6-8750-4ef7-8436-5a40300aa588"]}],"mendeley":{"formattedCitation":"[1, 5, 76]","plainTextFormattedCitation":"[1, 5, 76]","previouslyFormattedCitation":"[1, 5, 77]"},"properties":{"noteIndex":0},"schema":"https://github.com/citation-style-language/schema/raw/master/csl-citation.json"}</w:instrText>
      </w:r>
      <w:r w:rsidRPr="004724D9">
        <w:rPr>
          <w:rFonts w:asciiTheme="majorBidi" w:hAnsiTheme="majorBidi" w:cstheme="majorBidi"/>
          <w:color w:val="000000"/>
        </w:rPr>
        <w:fldChar w:fldCharType="separate"/>
      </w:r>
      <w:r w:rsidRPr="006369F1">
        <w:rPr>
          <w:rFonts w:asciiTheme="majorBidi" w:hAnsiTheme="majorBidi" w:cstheme="majorBidi"/>
          <w:noProof/>
          <w:color w:val="000000"/>
        </w:rPr>
        <w:t>[1, 5, 76]</w:t>
      </w:r>
      <w:r w:rsidRPr="004724D9">
        <w:rPr>
          <w:rFonts w:asciiTheme="majorBidi" w:hAnsiTheme="majorBidi" w:cstheme="majorBidi"/>
          <w:color w:val="000000"/>
        </w:rPr>
        <w:fldChar w:fldCharType="end"/>
      </w:r>
      <w:r w:rsidRPr="004724D9">
        <w:rPr>
          <w:rFonts w:asciiTheme="majorBidi" w:hAnsiTheme="majorBidi" w:cstheme="majorBidi"/>
          <w:color w:val="000000"/>
        </w:rPr>
        <w:t>, the state-level rates remain unknown. Therefore, we used the national attack rate to scale up</w:t>
      </w:r>
      <w:r>
        <w:rPr>
          <w:rFonts w:asciiTheme="majorBidi" w:hAnsiTheme="majorBidi" w:cstheme="majorBidi"/>
          <w:color w:val="000000"/>
        </w:rPr>
        <w:t xml:space="preserve"> the</w:t>
      </w:r>
      <w:r w:rsidRPr="004724D9">
        <w:rPr>
          <w:rFonts w:asciiTheme="majorBidi" w:hAnsiTheme="majorBidi" w:cstheme="majorBidi"/>
          <w:color w:val="000000"/>
        </w:rPr>
        <w:t xml:space="preserve"> state-specific influenza cases. Altogether, the yearly attack rate varied considerably </w:t>
      </w:r>
      <w:r>
        <w:rPr>
          <w:rFonts w:asciiTheme="majorBidi" w:hAnsiTheme="majorBidi" w:cstheme="majorBidi"/>
          <w:color w:val="000000"/>
        </w:rPr>
        <w:t>among</w:t>
      </w:r>
      <w:r w:rsidRPr="004724D9">
        <w:rPr>
          <w:rFonts w:asciiTheme="majorBidi" w:hAnsiTheme="majorBidi" w:cstheme="majorBidi"/>
          <w:color w:val="000000"/>
        </w:rPr>
        <w:t xml:space="preserve"> years and states</w:t>
      </w:r>
      <w:r>
        <w:rPr>
          <w:color w:val="000000"/>
        </w:rPr>
        <w:t>,</w:t>
      </w:r>
      <w:r w:rsidRPr="004724D9">
        <w:rPr>
          <w:rFonts w:asciiTheme="majorBidi" w:hAnsiTheme="majorBidi" w:cstheme="majorBidi"/>
          <w:color w:val="000000"/>
        </w:rPr>
        <w:t xml:space="preserve"> ranging</w:t>
      </w:r>
      <w:r>
        <w:rPr>
          <w:color w:val="000000"/>
        </w:rPr>
        <w:t xml:space="preserve"> from</w:t>
      </w:r>
      <w:r w:rsidRPr="004724D9">
        <w:rPr>
          <w:rFonts w:asciiTheme="majorBidi" w:hAnsiTheme="majorBidi" w:cstheme="majorBidi"/>
          <w:color w:val="000000"/>
        </w:rPr>
        <w:t xml:space="preserve"> 2.8-15% in Texas, 4.5-12.</w:t>
      </w:r>
      <w:r>
        <w:rPr>
          <w:rFonts w:asciiTheme="majorBidi" w:hAnsiTheme="majorBidi" w:cstheme="majorBidi"/>
          <w:color w:val="000000"/>
        </w:rPr>
        <w:t>0</w:t>
      </w:r>
      <w:r w:rsidRPr="004724D9">
        <w:rPr>
          <w:rFonts w:asciiTheme="majorBidi" w:hAnsiTheme="majorBidi" w:cstheme="majorBidi"/>
          <w:color w:val="000000"/>
        </w:rPr>
        <w:t>% in California, 5-11.</w:t>
      </w:r>
      <w:r>
        <w:rPr>
          <w:rFonts w:asciiTheme="majorBidi" w:hAnsiTheme="majorBidi" w:cstheme="majorBidi"/>
          <w:color w:val="000000"/>
        </w:rPr>
        <w:t>7</w:t>
      </w:r>
      <w:r w:rsidRPr="004724D9">
        <w:rPr>
          <w:rFonts w:asciiTheme="majorBidi" w:hAnsiTheme="majorBidi" w:cstheme="majorBidi"/>
          <w:color w:val="000000"/>
        </w:rPr>
        <w:t>% in Connecticut, and 4.0-12.3%</w:t>
      </w:r>
      <w:r>
        <w:rPr>
          <w:rFonts w:asciiTheme="majorBidi" w:hAnsiTheme="majorBidi" w:cstheme="majorBidi"/>
          <w:color w:val="000000"/>
        </w:rPr>
        <w:t xml:space="preserve"> in </w:t>
      </w:r>
      <w:r w:rsidRPr="004724D9">
        <w:rPr>
          <w:rFonts w:asciiTheme="majorBidi" w:hAnsiTheme="majorBidi" w:cstheme="majorBidi"/>
          <w:color w:val="000000"/>
        </w:rPr>
        <w:t>Virginia</w:t>
      </w:r>
      <w:r>
        <w:rPr>
          <w:rFonts w:asciiTheme="majorBidi" w:hAnsiTheme="majorBidi" w:cstheme="majorBidi"/>
          <w:color w:val="000000"/>
        </w:rPr>
        <w:t>.</w:t>
      </w:r>
      <w:r w:rsidRPr="004724D9">
        <w:rPr>
          <w:rFonts w:asciiTheme="majorBidi" w:hAnsiTheme="majorBidi" w:cstheme="majorBidi"/>
          <w:color w:val="000000"/>
        </w:rPr>
        <w:t xml:space="preserve"> Due to the uncertainty related to </w:t>
      </w:r>
      <w:r>
        <w:rPr>
          <w:rFonts w:asciiTheme="majorBidi" w:hAnsiTheme="majorBidi" w:cstheme="majorBidi"/>
          <w:color w:val="000000"/>
        </w:rPr>
        <w:t>influenza's actual incidence</w:t>
      </w:r>
      <w:r w:rsidRPr="004724D9">
        <w:rPr>
          <w:rFonts w:asciiTheme="majorBidi" w:hAnsiTheme="majorBidi" w:cstheme="majorBidi"/>
          <w:color w:val="000000"/>
        </w:rPr>
        <w:t>, we calibrated our model parameters for each state using different settings reflecting the lowest, average, and highest attack rates</w:t>
      </w:r>
      <w:r>
        <w:rPr>
          <w:color w:val="000000"/>
        </w:rPr>
        <w:t xml:space="preserve"> </w:t>
      </w:r>
      <w:r>
        <w:rPr>
          <w:rFonts w:asciiTheme="majorBidi" w:hAnsiTheme="majorBidi" w:cstheme="majorBidi"/>
          <w:color w:val="000000"/>
        </w:rPr>
        <w:t>in</w:t>
      </w:r>
      <w:r w:rsidRPr="004724D9">
        <w:rPr>
          <w:rFonts w:asciiTheme="majorBidi" w:hAnsiTheme="majorBidi" w:cstheme="majorBidi"/>
          <w:color w:val="000000"/>
        </w:rPr>
        <w:t xml:space="preserve"> influenza seasons.</w:t>
      </w:r>
    </w:p>
    <w:p w14:paraId="4D8BA1B4" w14:textId="77777777" w:rsidR="00285089" w:rsidRPr="00BE0FA3" w:rsidRDefault="00285089" w:rsidP="00285089">
      <w:pPr>
        <w:pStyle w:val="NormalWeb"/>
        <w:spacing w:before="0" w:beforeAutospacing="0" w:after="0" w:afterAutospacing="0" w:line="360" w:lineRule="auto"/>
        <w:jc w:val="both"/>
        <w:rPr>
          <w:rFonts w:asciiTheme="majorBidi" w:hAnsiTheme="majorBidi" w:cstheme="majorBidi"/>
        </w:rPr>
      </w:pPr>
      <w:r w:rsidRPr="00BE0FA3">
        <w:rPr>
          <w:rFonts w:asciiTheme="majorBidi" w:hAnsiTheme="majorBidi" w:cstheme="majorBidi"/>
          <w:i/>
          <w:iCs/>
          <w:color w:val="000000"/>
        </w:rPr>
        <w:t>Calibration</w:t>
      </w:r>
    </w:p>
    <w:p w14:paraId="00C7424D" w14:textId="77777777" w:rsidR="00285089" w:rsidRPr="00BE0FA3" w:rsidRDefault="00285089" w:rsidP="00285089">
      <w:pPr>
        <w:pStyle w:val="NormalWeb"/>
        <w:spacing w:before="0" w:beforeAutospacing="0" w:after="0" w:afterAutospacing="0" w:line="360" w:lineRule="auto"/>
        <w:jc w:val="both"/>
        <w:rPr>
          <w:rFonts w:asciiTheme="majorBidi" w:hAnsiTheme="majorBidi" w:cstheme="majorBidi"/>
        </w:rPr>
      </w:pPr>
      <w:r w:rsidRPr="00BE0FA3">
        <w:rPr>
          <w:rFonts w:asciiTheme="majorBidi" w:hAnsiTheme="majorBidi" w:cstheme="majorBidi"/>
          <w:color w:val="000000"/>
        </w:rPr>
        <w:t>To calibrate the model to the incidence data</w:t>
      </w:r>
      <w:r>
        <w:rPr>
          <w:color w:val="000000"/>
        </w:rPr>
        <w:t>,</w:t>
      </w:r>
      <w:r w:rsidRPr="00BE0FA3">
        <w:rPr>
          <w:rFonts w:asciiTheme="majorBidi" w:hAnsiTheme="majorBidi" w:cstheme="majorBidi"/>
          <w:color w:val="000000"/>
        </w:rPr>
        <w:t xml:space="preserve"> we minimized the squared error between </w:t>
      </w:r>
      <w:r>
        <w:rPr>
          <w:rFonts w:asciiTheme="majorBidi" w:hAnsiTheme="majorBidi" w:cstheme="majorBidi"/>
          <w:color w:val="000000"/>
        </w:rPr>
        <w:t xml:space="preserve">the </w:t>
      </w:r>
      <w:r w:rsidRPr="00BE0FA3">
        <w:rPr>
          <w:rFonts w:asciiTheme="majorBidi" w:hAnsiTheme="majorBidi" w:cstheme="majorBidi"/>
          <w:color w:val="000000"/>
        </w:rPr>
        <w:t>model predictions and incidence data. This is equivalent to maximum likelihood estimation</w:t>
      </w:r>
      <w:r>
        <w:rPr>
          <w:rFonts w:asciiTheme="majorBidi" w:hAnsiTheme="majorBidi" w:cstheme="majorBidi"/>
          <w:color w:val="000000"/>
        </w:rPr>
        <w:t xml:space="preserve">, </w:t>
      </w:r>
      <w:r w:rsidRPr="00BE0FA3">
        <w:rPr>
          <w:rFonts w:asciiTheme="majorBidi" w:hAnsiTheme="majorBidi" w:cstheme="majorBidi"/>
          <w:color w:val="000000"/>
        </w:rPr>
        <w:t xml:space="preserve">assuming </w:t>
      </w:r>
      <w:r w:rsidRPr="00BE0FA3">
        <w:rPr>
          <w:rFonts w:asciiTheme="majorBidi" w:hAnsiTheme="majorBidi" w:cstheme="majorBidi"/>
          <w:color w:val="000000"/>
        </w:rPr>
        <w:lastRenderedPageBreak/>
        <w:t xml:space="preserve">a normal distribution of the error. We conducted this calibration for each of the five seasons (2014-2019) separately. For the calibration, we assumed the median US vaccination coverage by age to account for the variation in attack rates due to vaccination uptake. </w:t>
      </w:r>
      <w:r>
        <w:rPr>
          <w:color w:val="000000"/>
        </w:rPr>
        <w:t>Additionally</w:t>
      </w:r>
      <w:r w:rsidRPr="00BE0FA3">
        <w:rPr>
          <w:rFonts w:asciiTheme="majorBidi" w:hAnsiTheme="majorBidi" w:cstheme="majorBidi"/>
          <w:color w:val="000000"/>
        </w:rPr>
        <w:t xml:space="preserve">, we assumed the same susceptibility rate for both low- and high-risk </w:t>
      </w:r>
      <w:r>
        <w:rPr>
          <w:color w:val="000000"/>
        </w:rPr>
        <w:t xml:space="preserve">individuals </w:t>
      </w:r>
      <w:r w:rsidRPr="00BE0FA3">
        <w:rPr>
          <w:rFonts w:asciiTheme="majorBidi" w:hAnsiTheme="majorBidi" w:cstheme="majorBidi"/>
          <w:color w:val="000000"/>
        </w:rPr>
        <w:t>in each age</w:t>
      </w:r>
      <w:r>
        <w:rPr>
          <w:color w:val="000000"/>
        </w:rPr>
        <w:t xml:space="preserve"> </w:t>
      </w:r>
      <w:r w:rsidRPr="00BE0FA3">
        <w:rPr>
          <w:rFonts w:asciiTheme="majorBidi" w:hAnsiTheme="majorBidi" w:cstheme="majorBidi"/>
          <w:color w:val="000000"/>
        </w:rPr>
        <w:t>group.</w:t>
      </w:r>
    </w:p>
    <w:p w14:paraId="77472829" w14:textId="77777777" w:rsidR="00285089" w:rsidRPr="00BE0FA3" w:rsidRDefault="00285089" w:rsidP="00285089">
      <w:pPr>
        <w:spacing w:after="0" w:line="360" w:lineRule="auto"/>
        <w:jc w:val="both"/>
        <w:rPr>
          <w:rFonts w:asciiTheme="majorBidi" w:hAnsiTheme="majorBidi" w:cstheme="majorBidi"/>
        </w:rPr>
      </w:pPr>
    </w:p>
    <w:p w14:paraId="7FDCA2D4" w14:textId="77777777" w:rsidR="00285089" w:rsidRDefault="00285089" w:rsidP="00285089">
      <w:pPr>
        <w:spacing w:after="161" w:line="360" w:lineRule="auto"/>
        <w:jc w:val="both"/>
        <w:rPr>
          <w:rFonts w:asciiTheme="majorBidi" w:hAnsiTheme="majorBidi" w:cstheme="majorBidi"/>
          <w:sz w:val="24"/>
          <w:szCs w:val="24"/>
        </w:rPr>
      </w:pPr>
      <w:r w:rsidRPr="00BE0FA3">
        <w:rPr>
          <w:rFonts w:asciiTheme="majorBidi" w:hAnsiTheme="majorBidi" w:cstheme="majorBidi"/>
          <w:sz w:val="24"/>
          <w:szCs w:val="24"/>
        </w:rPr>
        <w:t xml:space="preserve">The final transmission model (Main text Fig. 1A) included five parameters to be estimated through model calibration: seasonal offset </w:t>
      </w:r>
      <m:oMath>
        <m:r>
          <w:rPr>
            <w:rFonts w:ascii="Cambria Math" w:hAnsi="Cambria Math" w:cstheme="majorBidi"/>
            <w:sz w:val="24"/>
            <w:szCs w:val="24"/>
          </w:rPr>
          <m:t>ϕ</m:t>
        </m:r>
      </m:oMath>
      <w:r w:rsidRPr="00BE0FA3">
        <w:rPr>
          <w:rFonts w:asciiTheme="majorBidi" w:hAnsiTheme="majorBidi" w:cstheme="majorBidi"/>
          <w:sz w:val="24"/>
          <w:szCs w:val="24"/>
        </w:rPr>
        <w:t xml:space="preserve">; seasonal susceptibility rate </w:t>
      </w:r>
      <m:oMath>
        <m:sSub>
          <m:sSubPr>
            <m:ctrlPr>
              <w:rPr>
                <w:rFonts w:ascii="Cambria Math" w:hAnsi="Cambria Math" w:cstheme="majorBidi"/>
                <w:sz w:val="24"/>
                <w:szCs w:val="24"/>
              </w:rPr>
            </m:ctrlPr>
          </m:sSubPr>
          <m:e>
            <m:r>
              <w:rPr>
                <w:rFonts w:ascii="Cambria Math" w:hAnsi="Cambria Math" w:cstheme="majorBidi"/>
                <w:sz w:val="24"/>
                <w:szCs w:val="24"/>
              </w:rPr>
              <m:t>β</m:t>
            </m:r>
          </m:e>
          <m:sub>
            <m:r>
              <w:rPr>
                <w:rFonts w:ascii="Cambria Math" w:hAnsi="Cambria Math" w:cstheme="majorBidi"/>
                <w:sz w:val="24"/>
                <w:szCs w:val="24"/>
              </w:rPr>
              <m:t>j</m:t>
            </m:r>
          </m:sub>
        </m:sSub>
      </m:oMath>
      <w:r w:rsidRPr="00BE0FA3">
        <w:rPr>
          <w:rFonts w:asciiTheme="majorBidi" w:hAnsiTheme="majorBidi" w:cstheme="majorBidi"/>
          <w:sz w:val="24"/>
          <w:szCs w:val="24"/>
        </w:rPr>
        <w:t xml:space="preserve"> for age</w:t>
      </w:r>
      <w:r>
        <w:rPr>
          <w:rFonts w:ascii="Times New Roman" w:eastAsia="Calibri" w:hAnsi="Times New Roman" w:cs="Times New Roman"/>
          <w:sz w:val="24"/>
          <w:szCs w:val="24"/>
        </w:rPr>
        <w:t xml:space="preserve"> </w:t>
      </w:r>
      <w:r w:rsidRPr="00BE0FA3">
        <w:rPr>
          <w:rFonts w:asciiTheme="majorBidi" w:hAnsiTheme="majorBidi" w:cstheme="majorBidi"/>
          <w:sz w:val="24"/>
          <w:szCs w:val="24"/>
        </w:rPr>
        <w:t xml:space="preserve">group </w:t>
      </w:r>
      <m:oMath>
        <m:r>
          <w:rPr>
            <w:rFonts w:ascii="Cambria Math" w:hAnsi="Cambria Math" w:cstheme="majorBidi"/>
            <w:sz w:val="24"/>
            <w:szCs w:val="24"/>
          </w:rPr>
          <m:t>j</m:t>
        </m:r>
      </m:oMath>
      <w:r w:rsidRPr="00BE0FA3">
        <w:rPr>
          <w:rFonts w:asciiTheme="majorBidi" w:hAnsiTheme="majorBidi" w:cstheme="majorBidi"/>
          <w:sz w:val="24"/>
          <w:szCs w:val="24"/>
        </w:rPr>
        <w:t>: 0-</w:t>
      </w:r>
      <w:r>
        <w:rPr>
          <w:rFonts w:ascii="Times New Roman" w:eastAsia="Calibri" w:hAnsi="Times New Roman" w:cs="Times New Roman"/>
          <w:sz w:val="24"/>
          <w:szCs w:val="24"/>
        </w:rPr>
        <w:t>4 y</w:t>
      </w:r>
      <w:r w:rsidRPr="00BE0FA3">
        <w:rPr>
          <w:rFonts w:asciiTheme="majorBidi" w:hAnsiTheme="majorBidi" w:cstheme="majorBidi"/>
          <w:sz w:val="24"/>
          <w:szCs w:val="24"/>
        </w:rPr>
        <w:t>, 5-</w:t>
      </w:r>
      <w:r>
        <w:rPr>
          <w:rFonts w:ascii="Times New Roman" w:eastAsia="Calibri" w:hAnsi="Times New Roman" w:cs="Times New Roman"/>
          <w:sz w:val="24"/>
          <w:szCs w:val="24"/>
        </w:rPr>
        <w:t>49 y</w:t>
      </w:r>
      <w:r w:rsidRPr="00BE0FA3">
        <w:rPr>
          <w:rFonts w:asciiTheme="majorBidi" w:hAnsiTheme="majorBidi" w:cstheme="majorBidi"/>
          <w:sz w:val="24"/>
          <w:szCs w:val="24"/>
        </w:rPr>
        <w:t>, 50-</w:t>
      </w:r>
      <w:r>
        <w:rPr>
          <w:rFonts w:ascii="Times New Roman" w:eastAsia="Calibri" w:hAnsi="Times New Roman" w:cs="Times New Roman"/>
          <w:sz w:val="24"/>
          <w:szCs w:val="24"/>
        </w:rPr>
        <w:t>64 y</w:t>
      </w:r>
      <w:r w:rsidRPr="00BE0FA3">
        <w:rPr>
          <w:rFonts w:asciiTheme="majorBidi" w:hAnsiTheme="majorBidi" w:cstheme="majorBidi"/>
          <w:sz w:val="24"/>
          <w:szCs w:val="24"/>
        </w:rPr>
        <w:t>, 65+</w:t>
      </w:r>
      <w:r>
        <w:rPr>
          <w:rFonts w:asciiTheme="majorBidi" w:hAnsiTheme="majorBidi" w:cstheme="majorBidi"/>
          <w:sz w:val="24"/>
          <w:szCs w:val="24"/>
        </w:rPr>
        <w:t xml:space="preserve"> </w:t>
      </w:r>
      <w:r w:rsidRPr="00BE0FA3">
        <w:rPr>
          <w:rFonts w:asciiTheme="majorBidi" w:hAnsiTheme="majorBidi" w:cstheme="majorBidi"/>
          <w:sz w:val="24"/>
          <w:szCs w:val="24"/>
        </w:rPr>
        <w:t>y.</w:t>
      </w:r>
    </w:p>
    <w:p w14:paraId="4E5FA703" w14:textId="77777777" w:rsidR="00285089" w:rsidRPr="006B402A" w:rsidRDefault="00285089" w:rsidP="00285089">
      <w:pPr>
        <w:spacing w:after="0" w:line="360" w:lineRule="auto"/>
        <w:jc w:val="both"/>
        <w:rPr>
          <w:rFonts w:asciiTheme="majorBidi" w:hAnsiTheme="majorBidi" w:cstheme="majorBidi"/>
          <w:sz w:val="20"/>
          <w:szCs w:val="20"/>
        </w:rPr>
      </w:pPr>
    </w:p>
    <w:tbl>
      <w:tblPr>
        <w:tblpPr w:leftFromText="180" w:rightFromText="180" w:vertAnchor="text" w:horzAnchor="margin" w:tblpXSpec="center" w:tblpY="510"/>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165"/>
        <w:gridCol w:w="1271"/>
        <w:gridCol w:w="1505"/>
        <w:gridCol w:w="1649"/>
        <w:gridCol w:w="1530"/>
        <w:gridCol w:w="1530"/>
      </w:tblGrid>
      <w:tr w:rsidR="00285089" w14:paraId="15080E80" w14:textId="77777777" w:rsidTr="00365097">
        <w:trPr>
          <w:trHeight w:val="208"/>
        </w:trPr>
        <w:tc>
          <w:tcPr>
            <w:tcW w:w="1695" w:type="dxa"/>
            <w:shd w:val="clear" w:color="auto" w:fill="BFBFBF" w:themeFill="background1" w:themeFillShade="BF"/>
            <w:noWrap/>
            <w:vAlign w:val="bottom"/>
            <w:hideMark/>
          </w:tcPr>
          <w:p w14:paraId="4696EBA4"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State</w:t>
            </w:r>
          </w:p>
        </w:tc>
        <w:tc>
          <w:tcPr>
            <w:tcW w:w="1165" w:type="dxa"/>
            <w:shd w:val="clear" w:color="auto" w:fill="BFBFBF" w:themeFill="background1" w:themeFillShade="BF"/>
            <w:noWrap/>
            <w:vAlign w:val="bottom"/>
            <w:hideMark/>
          </w:tcPr>
          <w:p w14:paraId="26DACC58"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Season</w:t>
            </w:r>
          </w:p>
        </w:tc>
        <w:tc>
          <w:tcPr>
            <w:tcW w:w="1271" w:type="dxa"/>
            <w:shd w:val="clear" w:color="auto" w:fill="BFBFBF" w:themeFill="background1" w:themeFillShade="BF"/>
            <w:noWrap/>
            <w:vAlign w:val="bottom"/>
            <w:hideMark/>
          </w:tcPr>
          <w:p w14:paraId="32DE16AC"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Seasonal offset</w:t>
            </w:r>
          </w:p>
          <w:p w14:paraId="0D18A200" w14:textId="77777777" w:rsidR="00285089" w:rsidRPr="00BE0FA3" w:rsidRDefault="00285089" w:rsidP="00365097">
            <w:pPr>
              <w:spacing w:after="0" w:line="276" w:lineRule="auto"/>
              <w:jc w:val="center"/>
              <w:rPr>
                <w:rFonts w:asciiTheme="majorBidi" w:hAnsiTheme="majorBidi" w:cstheme="majorBidi"/>
                <w:b/>
                <w:bCs/>
              </w:rPr>
            </w:pPr>
            <m:oMathPara>
              <m:oMath>
                <m:r>
                  <m:rPr>
                    <m:sty m:val="bi"/>
                  </m:rPr>
                  <w:rPr>
                    <w:rFonts w:ascii="Cambria Math" w:hAnsi="Cambria Math" w:cstheme="majorBidi"/>
                  </w:rPr>
                  <m:t>ϕ</m:t>
                </m:r>
              </m:oMath>
            </m:oMathPara>
          </w:p>
        </w:tc>
        <w:tc>
          <w:tcPr>
            <w:tcW w:w="1505" w:type="dxa"/>
            <w:shd w:val="clear" w:color="auto" w:fill="BFBFBF" w:themeFill="background1" w:themeFillShade="BF"/>
            <w:noWrap/>
            <w:vAlign w:val="bottom"/>
            <w:hideMark/>
          </w:tcPr>
          <w:p w14:paraId="050B817E"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 xml:space="preserve">Susceptibility among </w:t>
            </w:r>
            <w:r>
              <w:rPr>
                <w:rFonts w:asciiTheme="majorBidi" w:hAnsiTheme="majorBidi" w:cstheme="majorBidi"/>
                <w:b/>
                <w:bCs/>
              </w:rPr>
              <w:t xml:space="preserve">the </w:t>
            </w:r>
            <w:r w:rsidRPr="00BE0FA3">
              <w:rPr>
                <w:rFonts w:asciiTheme="majorBidi" w:hAnsiTheme="majorBidi" w:cstheme="majorBidi"/>
                <w:b/>
                <w:bCs/>
              </w:rPr>
              <w:t>age</w:t>
            </w:r>
            <w:r>
              <w:rPr>
                <w:rFonts w:asciiTheme="majorBidi" w:hAnsiTheme="majorBidi" w:cstheme="majorBidi"/>
                <w:b/>
                <w:bCs/>
              </w:rPr>
              <w:t xml:space="preserve"> </w:t>
            </w:r>
            <w:r w:rsidRPr="00BE0FA3">
              <w:rPr>
                <w:rFonts w:asciiTheme="majorBidi" w:hAnsiTheme="majorBidi" w:cstheme="majorBidi"/>
                <w:b/>
                <w:bCs/>
              </w:rPr>
              <w:t>group 0-4</w:t>
            </w:r>
            <w:r>
              <w:rPr>
                <w:rFonts w:asciiTheme="majorBidi" w:hAnsiTheme="majorBidi" w:cstheme="majorBidi"/>
                <w:b/>
                <w:bCs/>
              </w:rPr>
              <w:t xml:space="preserve"> </w:t>
            </w:r>
            <w:r w:rsidRPr="00BE0FA3">
              <w:rPr>
                <w:rFonts w:asciiTheme="majorBidi" w:hAnsiTheme="majorBidi" w:cstheme="majorBidi"/>
                <w:b/>
                <w:bCs/>
              </w:rPr>
              <w:t>y</w:t>
            </w:r>
          </w:p>
          <w:p w14:paraId="257367B0" w14:textId="77777777" w:rsidR="00285089" w:rsidRPr="00BE0FA3" w:rsidRDefault="00365097" w:rsidP="00365097">
            <w:pPr>
              <w:spacing w:after="0" w:line="276" w:lineRule="auto"/>
              <w:jc w:val="cente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β</m:t>
                    </m:r>
                  </m:e>
                  <m:sub>
                    <m:r>
                      <m:rPr>
                        <m:sty m:val="bi"/>
                      </m:rPr>
                      <w:rPr>
                        <w:rFonts w:ascii="Cambria Math" w:hAnsi="Cambria Math" w:cstheme="majorBidi"/>
                      </w:rPr>
                      <m:t>0-4</m:t>
                    </m:r>
                  </m:sub>
                </m:sSub>
              </m:oMath>
            </m:oMathPara>
          </w:p>
        </w:tc>
        <w:tc>
          <w:tcPr>
            <w:tcW w:w="1649" w:type="dxa"/>
            <w:shd w:val="clear" w:color="auto" w:fill="BFBFBF" w:themeFill="background1" w:themeFillShade="BF"/>
            <w:noWrap/>
            <w:vAlign w:val="bottom"/>
            <w:hideMark/>
          </w:tcPr>
          <w:p w14:paraId="575D8528"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 xml:space="preserve">Susceptibility among </w:t>
            </w:r>
            <w:r>
              <w:rPr>
                <w:rFonts w:asciiTheme="majorBidi" w:hAnsiTheme="majorBidi" w:cstheme="majorBidi"/>
                <w:b/>
                <w:bCs/>
              </w:rPr>
              <w:t xml:space="preserve">the </w:t>
            </w:r>
            <w:r w:rsidRPr="00BE0FA3">
              <w:rPr>
                <w:rFonts w:asciiTheme="majorBidi" w:hAnsiTheme="majorBidi" w:cstheme="majorBidi"/>
                <w:b/>
                <w:bCs/>
              </w:rPr>
              <w:t>age</w:t>
            </w:r>
            <w:r>
              <w:rPr>
                <w:rFonts w:asciiTheme="majorBidi" w:hAnsiTheme="majorBidi" w:cstheme="majorBidi"/>
                <w:b/>
                <w:bCs/>
              </w:rPr>
              <w:t xml:space="preserve"> </w:t>
            </w:r>
            <w:r w:rsidRPr="00BE0FA3">
              <w:rPr>
                <w:rFonts w:asciiTheme="majorBidi" w:hAnsiTheme="majorBidi" w:cstheme="majorBidi"/>
                <w:b/>
                <w:bCs/>
              </w:rPr>
              <w:t>group 5-49</w:t>
            </w:r>
            <w:r>
              <w:rPr>
                <w:rFonts w:asciiTheme="majorBidi" w:hAnsiTheme="majorBidi" w:cstheme="majorBidi"/>
                <w:b/>
                <w:bCs/>
              </w:rPr>
              <w:t xml:space="preserve"> </w:t>
            </w:r>
            <w:r w:rsidRPr="00BE0FA3">
              <w:rPr>
                <w:rFonts w:asciiTheme="majorBidi" w:hAnsiTheme="majorBidi" w:cstheme="majorBidi"/>
                <w:b/>
                <w:bCs/>
              </w:rPr>
              <w:t>y</w:t>
            </w:r>
          </w:p>
          <w:p w14:paraId="39CA2E8B" w14:textId="77777777" w:rsidR="00285089" w:rsidRPr="00BE0FA3" w:rsidRDefault="00365097" w:rsidP="00365097">
            <w:pPr>
              <w:spacing w:after="0" w:line="276" w:lineRule="auto"/>
              <w:jc w:val="cente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β</m:t>
                    </m:r>
                  </m:e>
                  <m:sub>
                    <m:r>
                      <m:rPr>
                        <m:sty m:val="bi"/>
                      </m:rPr>
                      <w:rPr>
                        <w:rFonts w:ascii="Cambria Math" w:hAnsi="Cambria Math" w:cstheme="majorBidi"/>
                      </w:rPr>
                      <m:t>5-49</m:t>
                    </m:r>
                  </m:sub>
                </m:sSub>
              </m:oMath>
            </m:oMathPara>
          </w:p>
        </w:tc>
        <w:tc>
          <w:tcPr>
            <w:tcW w:w="1530" w:type="dxa"/>
            <w:shd w:val="clear" w:color="auto" w:fill="BFBFBF" w:themeFill="background1" w:themeFillShade="BF"/>
            <w:noWrap/>
            <w:vAlign w:val="bottom"/>
            <w:hideMark/>
          </w:tcPr>
          <w:p w14:paraId="1C684A43"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 xml:space="preserve">Susceptibility among </w:t>
            </w:r>
            <w:r>
              <w:rPr>
                <w:rFonts w:asciiTheme="majorBidi" w:hAnsiTheme="majorBidi" w:cstheme="majorBidi"/>
                <w:b/>
                <w:bCs/>
              </w:rPr>
              <w:t xml:space="preserve">the </w:t>
            </w:r>
            <w:r w:rsidRPr="00BE0FA3">
              <w:rPr>
                <w:rFonts w:asciiTheme="majorBidi" w:hAnsiTheme="majorBidi" w:cstheme="majorBidi"/>
                <w:b/>
                <w:bCs/>
              </w:rPr>
              <w:t>age</w:t>
            </w:r>
            <w:r>
              <w:rPr>
                <w:rFonts w:asciiTheme="majorBidi" w:hAnsiTheme="majorBidi" w:cstheme="majorBidi"/>
                <w:b/>
                <w:bCs/>
              </w:rPr>
              <w:t xml:space="preserve"> </w:t>
            </w:r>
            <w:r w:rsidRPr="00BE0FA3">
              <w:rPr>
                <w:rFonts w:asciiTheme="majorBidi" w:hAnsiTheme="majorBidi" w:cstheme="majorBidi"/>
                <w:b/>
                <w:bCs/>
              </w:rPr>
              <w:t>group 50-64</w:t>
            </w:r>
            <w:r>
              <w:rPr>
                <w:rFonts w:asciiTheme="majorBidi" w:hAnsiTheme="majorBidi" w:cstheme="majorBidi"/>
                <w:b/>
                <w:bCs/>
              </w:rPr>
              <w:t xml:space="preserve"> </w:t>
            </w:r>
            <w:r w:rsidRPr="00BE0FA3">
              <w:rPr>
                <w:rFonts w:asciiTheme="majorBidi" w:hAnsiTheme="majorBidi" w:cstheme="majorBidi"/>
                <w:b/>
                <w:bCs/>
              </w:rPr>
              <w:t>y</w:t>
            </w:r>
          </w:p>
          <w:p w14:paraId="67F5B5EB" w14:textId="77777777" w:rsidR="00285089" w:rsidRPr="00BE0FA3" w:rsidRDefault="00365097" w:rsidP="00365097">
            <w:pPr>
              <w:spacing w:after="0" w:line="276" w:lineRule="auto"/>
              <w:jc w:val="cente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β</m:t>
                    </m:r>
                  </m:e>
                  <m:sub>
                    <m:r>
                      <m:rPr>
                        <m:sty m:val="bi"/>
                      </m:rPr>
                      <w:rPr>
                        <w:rFonts w:ascii="Cambria Math" w:hAnsi="Cambria Math" w:cstheme="majorBidi"/>
                      </w:rPr>
                      <m:t>50-64</m:t>
                    </m:r>
                  </m:sub>
                </m:sSub>
              </m:oMath>
            </m:oMathPara>
          </w:p>
        </w:tc>
        <w:tc>
          <w:tcPr>
            <w:tcW w:w="1530" w:type="dxa"/>
            <w:shd w:val="clear" w:color="auto" w:fill="BFBFBF" w:themeFill="background1" w:themeFillShade="BF"/>
            <w:noWrap/>
            <w:vAlign w:val="bottom"/>
            <w:hideMark/>
          </w:tcPr>
          <w:p w14:paraId="5850E072"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Susceptibility among</w:t>
            </w:r>
            <w:r>
              <w:rPr>
                <w:rFonts w:asciiTheme="majorBidi" w:hAnsiTheme="majorBidi" w:cstheme="majorBidi"/>
                <w:b/>
                <w:bCs/>
              </w:rPr>
              <w:t xml:space="preserve"> the</w:t>
            </w:r>
            <w:r w:rsidRPr="00BE0FA3">
              <w:rPr>
                <w:rFonts w:asciiTheme="majorBidi" w:hAnsiTheme="majorBidi" w:cstheme="majorBidi"/>
                <w:b/>
                <w:bCs/>
              </w:rPr>
              <w:t xml:space="preserve"> age</w:t>
            </w:r>
            <w:r>
              <w:rPr>
                <w:rFonts w:asciiTheme="majorBidi" w:hAnsiTheme="majorBidi" w:cstheme="majorBidi"/>
                <w:b/>
                <w:bCs/>
              </w:rPr>
              <w:t xml:space="preserve"> </w:t>
            </w:r>
            <w:r w:rsidRPr="00BE0FA3">
              <w:rPr>
                <w:rFonts w:asciiTheme="majorBidi" w:hAnsiTheme="majorBidi" w:cstheme="majorBidi"/>
                <w:b/>
                <w:bCs/>
              </w:rPr>
              <w:t>group 65+</w:t>
            </w:r>
            <w:r>
              <w:rPr>
                <w:rFonts w:asciiTheme="majorBidi" w:hAnsiTheme="majorBidi" w:cstheme="majorBidi"/>
                <w:b/>
                <w:bCs/>
              </w:rPr>
              <w:t xml:space="preserve"> </w:t>
            </w:r>
            <w:r w:rsidRPr="00BE0FA3">
              <w:rPr>
                <w:rFonts w:asciiTheme="majorBidi" w:hAnsiTheme="majorBidi" w:cstheme="majorBidi"/>
                <w:b/>
                <w:bCs/>
              </w:rPr>
              <w:t>y</w:t>
            </w:r>
          </w:p>
          <w:p w14:paraId="31BF5AB8" w14:textId="77777777" w:rsidR="00285089" w:rsidRPr="00BE0FA3" w:rsidRDefault="00365097" w:rsidP="00365097">
            <w:pPr>
              <w:spacing w:after="0" w:line="276" w:lineRule="auto"/>
              <w:jc w:val="center"/>
              <w:rPr>
                <w:rFonts w:asciiTheme="majorBidi" w:hAnsiTheme="majorBidi" w:cstheme="majorBidi"/>
                <w:b/>
                <w:bCs/>
              </w:rPr>
            </w:pPr>
            <m:oMathPara>
              <m:oMath>
                <m:sSub>
                  <m:sSubPr>
                    <m:ctrlPr>
                      <w:rPr>
                        <w:rFonts w:ascii="Cambria Math" w:hAnsi="Cambria Math" w:cstheme="majorBidi"/>
                        <w:b/>
                        <w:bCs/>
                        <w:i/>
                      </w:rPr>
                    </m:ctrlPr>
                  </m:sSubPr>
                  <m:e>
                    <m:r>
                      <m:rPr>
                        <m:sty m:val="bi"/>
                      </m:rPr>
                      <w:rPr>
                        <w:rFonts w:ascii="Cambria Math" w:hAnsi="Cambria Math" w:cstheme="majorBidi"/>
                      </w:rPr>
                      <m:t>β</m:t>
                    </m:r>
                  </m:e>
                  <m:sub>
                    <m:r>
                      <m:rPr>
                        <m:sty m:val="bi"/>
                      </m:rPr>
                      <w:rPr>
                        <w:rFonts w:ascii="Cambria Math" w:hAnsi="Cambria Math" w:cstheme="majorBidi"/>
                      </w:rPr>
                      <m:t>65+</m:t>
                    </m:r>
                  </m:sub>
                </m:sSub>
              </m:oMath>
            </m:oMathPara>
          </w:p>
        </w:tc>
      </w:tr>
      <w:tr w:rsidR="00285089" w14:paraId="17EAD6CD" w14:textId="77777777" w:rsidTr="00365097">
        <w:trPr>
          <w:trHeight w:val="208"/>
        </w:trPr>
        <w:tc>
          <w:tcPr>
            <w:tcW w:w="1695" w:type="dxa"/>
            <w:vMerge w:val="restart"/>
            <w:noWrap/>
            <w:vAlign w:val="center"/>
            <w:hideMark/>
          </w:tcPr>
          <w:p w14:paraId="71210D2E"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California</w:t>
            </w:r>
          </w:p>
        </w:tc>
        <w:tc>
          <w:tcPr>
            <w:tcW w:w="1165" w:type="dxa"/>
            <w:noWrap/>
            <w:vAlign w:val="center"/>
            <w:hideMark/>
          </w:tcPr>
          <w:p w14:paraId="1C037EE5"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2014-15</w:t>
            </w:r>
          </w:p>
        </w:tc>
        <w:tc>
          <w:tcPr>
            <w:tcW w:w="1271" w:type="dxa"/>
            <w:noWrap/>
            <w:hideMark/>
          </w:tcPr>
          <w:p w14:paraId="4D27E14C"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68.724</w:t>
            </w:r>
          </w:p>
        </w:tc>
        <w:tc>
          <w:tcPr>
            <w:tcW w:w="1505" w:type="dxa"/>
            <w:noWrap/>
            <w:hideMark/>
          </w:tcPr>
          <w:p w14:paraId="0DFAECB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0.0032</w:t>
            </w:r>
          </w:p>
        </w:tc>
        <w:tc>
          <w:tcPr>
            <w:tcW w:w="1649" w:type="dxa"/>
            <w:noWrap/>
            <w:hideMark/>
          </w:tcPr>
          <w:p w14:paraId="6E58D71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6141662C"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0.0031</w:t>
            </w:r>
          </w:p>
        </w:tc>
        <w:tc>
          <w:tcPr>
            <w:tcW w:w="1530" w:type="dxa"/>
            <w:noWrap/>
            <w:hideMark/>
          </w:tcPr>
          <w:p w14:paraId="24F9A2E4"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0.0021</w:t>
            </w:r>
          </w:p>
        </w:tc>
      </w:tr>
      <w:tr w:rsidR="00285089" w14:paraId="4B92759A" w14:textId="77777777" w:rsidTr="00365097">
        <w:trPr>
          <w:trHeight w:val="208"/>
        </w:trPr>
        <w:tc>
          <w:tcPr>
            <w:tcW w:w="1695" w:type="dxa"/>
            <w:vMerge/>
            <w:vAlign w:val="center"/>
            <w:hideMark/>
          </w:tcPr>
          <w:p w14:paraId="273F4560"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4155319E"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2015-16</w:t>
            </w:r>
          </w:p>
        </w:tc>
        <w:tc>
          <w:tcPr>
            <w:tcW w:w="1271" w:type="dxa"/>
            <w:noWrap/>
            <w:hideMark/>
          </w:tcPr>
          <w:p w14:paraId="7C5D47A5"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90.950</w:t>
            </w:r>
          </w:p>
        </w:tc>
        <w:tc>
          <w:tcPr>
            <w:tcW w:w="1505" w:type="dxa"/>
            <w:noWrap/>
            <w:hideMark/>
          </w:tcPr>
          <w:p w14:paraId="21928F90"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0.0031</w:t>
            </w:r>
          </w:p>
        </w:tc>
        <w:tc>
          <w:tcPr>
            <w:tcW w:w="1649" w:type="dxa"/>
            <w:noWrap/>
            <w:hideMark/>
          </w:tcPr>
          <w:p w14:paraId="0E9A3C4A"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4E07A67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0.0030</w:t>
            </w:r>
          </w:p>
        </w:tc>
        <w:tc>
          <w:tcPr>
            <w:tcW w:w="1530" w:type="dxa"/>
            <w:noWrap/>
            <w:hideMark/>
          </w:tcPr>
          <w:p w14:paraId="168A1D4B"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08390AE5" w14:textId="77777777" w:rsidTr="00365097">
        <w:trPr>
          <w:trHeight w:val="208"/>
        </w:trPr>
        <w:tc>
          <w:tcPr>
            <w:tcW w:w="1695" w:type="dxa"/>
            <w:vMerge/>
            <w:vAlign w:val="center"/>
            <w:hideMark/>
          </w:tcPr>
          <w:p w14:paraId="4CB666FE"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0C99F425"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2016-17</w:t>
            </w:r>
          </w:p>
        </w:tc>
        <w:tc>
          <w:tcPr>
            <w:tcW w:w="1271" w:type="dxa"/>
            <w:noWrap/>
            <w:hideMark/>
          </w:tcPr>
          <w:p w14:paraId="0937E911"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67.791</w:t>
            </w:r>
          </w:p>
        </w:tc>
        <w:tc>
          <w:tcPr>
            <w:tcW w:w="1505" w:type="dxa"/>
            <w:noWrap/>
            <w:hideMark/>
          </w:tcPr>
          <w:p w14:paraId="40F4D870"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0.0028</w:t>
            </w:r>
          </w:p>
        </w:tc>
        <w:tc>
          <w:tcPr>
            <w:tcW w:w="1649" w:type="dxa"/>
            <w:noWrap/>
            <w:hideMark/>
          </w:tcPr>
          <w:p w14:paraId="0C20216C"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0.0014</w:t>
            </w:r>
          </w:p>
        </w:tc>
        <w:tc>
          <w:tcPr>
            <w:tcW w:w="1530" w:type="dxa"/>
            <w:noWrap/>
            <w:hideMark/>
          </w:tcPr>
          <w:p w14:paraId="47AEF2D1"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0.0028</w:t>
            </w:r>
          </w:p>
        </w:tc>
        <w:tc>
          <w:tcPr>
            <w:tcW w:w="1530" w:type="dxa"/>
            <w:noWrap/>
            <w:hideMark/>
          </w:tcPr>
          <w:p w14:paraId="1DA619D0"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42902E4A" w14:textId="77777777" w:rsidTr="00365097">
        <w:trPr>
          <w:trHeight w:val="208"/>
        </w:trPr>
        <w:tc>
          <w:tcPr>
            <w:tcW w:w="1695" w:type="dxa"/>
            <w:vMerge/>
            <w:vAlign w:val="center"/>
            <w:hideMark/>
          </w:tcPr>
          <w:p w14:paraId="0F63ADDD"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7E11B360"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2017-18</w:t>
            </w:r>
          </w:p>
        </w:tc>
        <w:tc>
          <w:tcPr>
            <w:tcW w:w="1271" w:type="dxa"/>
            <w:noWrap/>
            <w:hideMark/>
          </w:tcPr>
          <w:p w14:paraId="081B5DA5"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47.705</w:t>
            </w:r>
          </w:p>
        </w:tc>
        <w:tc>
          <w:tcPr>
            <w:tcW w:w="1505" w:type="dxa"/>
            <w:noWrap/>
            <w:hideMark/>
          </w:tcPr>
          <w:p w14:paraId="1CE4287C"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0.0031</w:t>
            </w:r>
          </w:p>
        </w:tc>
        <w:tc>
          <w:tcPr>
            <w:tcW w:w="1649" w:type="dxa"/>
            <w:noWrap/>
            <w:hideMark/>
          </w:tcPr>
          <w:p w14:paraId="77F1D098"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12DC563A"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0.0030</w:t>
            </w:r>
          </w:p>
        </w:tc>
        <w:tc>
          <w:tcPr>
            <w:tcW w:w="1530" w:type="dxa"/>
            <w:noWrap/>
            <w:hideMark/>
          </w:tcPr>
          <w:p w14:paraId="29E49E0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135D86FE" w14:textId="77777777" w:rsidTr="00365097">
        <w:trPr>
          <w:trHeight w:val="208"/>
        </w:trPr>
        <w:tc>
          <w:tcPr>
            <w:tcW w:w="1695" w:type="dxa"/>
            <w:vMerge/>
            <w:vAlign w:val="center"/>
            <w:hideMark/>
          </w:tcPr>
          <w:p w14:paraId="304CB75B"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0A22FC2C"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2018-19</w:t>
            </w:r>
          </w:p>
        </w:tc>
        <w:tc>
          <w:tcPr>
            <w:tcW w:w="1271" w:type="dxa"/>
            <w:noWrap/>
            <w:hideMark/>
          </w:tcPr>
          <w:p w14:paraId="7B30DCDA"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92.125</w:t>
            </w:r>
          </w:p>
        </w:tc>
        <w:tc>
          <w:tcPr>
            <w:tcW w:w="1505" w:type="dxa"/>
            <w:noWrap/>
            <w:hideMark/>
          </w:tcPr>
          <w:p w14:paraId="1C95923B"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0.0028</w:t>
            </w:r>
          </w:p>
        </w:tc>
        <w:tc>
          <w:tcPr>
            <w:tcW w:w="1649" w:type="dxa"/>
            <w:noWrap/>
            <w:hideMark/>
          </w:tcPr>
          <w:p w14:paraId="31179EC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7233EF3E"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0.0029</w:t>
            </w:r>
          </w:p>
        </w:tc>
        <w:tc>
          <w:tcPr>
            <w:tcW w:w="1530" w:type="dxa"/>
            <w:noWrap/>
            <w:hideMark/>
          </w:tcPr>
          <w:p w14:paraId="4D6E1662"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393FE7B4" w14:textId="77777777" w:rsidTr="00365097">
        <w:trPr>
          <w:trHeight w:val="208"/>
        </w:trPr>
        <w:tc>
          <w:tcPr>
            <w:tcW w:w="1695" w:type="dxa"/>
            <w:vMerge w:val="restart"/>
            <w:noWrap/>
            <w:vAlign w:val="center"/>
            <w:hideMark/>
          </w:tcPr>
          <w:p w14:paraId="06108C81"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Texas</w:t>
            </w:r>
          </w:p>
        </w:tc>
        <w:tc>
          <w:tcPr>
            <w:tcW w:w="1165" w:type="dxa"/>
            <w:noWrap/>
            <w:vAlign w:val="center"/>
            <w:hideMark/>
          </w:tcPr>
          <w:p w14:paraId="43EAD641"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2014-15</w:t>
            </w:r>
          </w:p>
        </w:tc>
        <w:tc>
          <w:tcPr>
            <w:tcW w:w="1271" w:type="dxa"/>
            <w:noWrap/>
            <w:hideMark/>
          </w:tcPr>
          <w:p w14:paraId="232A479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44.683</w:t>
            </w:r>
          </w:p>
        </w:tc>
        <w:tc>
          <w:tcPr>
            <w:tcW w:w="1505" w:type="dxa"/>
            <w:noWrap/>
            <w:hideMark/>
          </w:tcPr>
          <w:p w14:paraId="28094CB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0.0026</w:t>
            </w:r>
          </w:p>
        </w:tc>
        <w:tc>
          <w:tcPr>
            <w:tcW w:w="1649" w:type="dxa"/>
            <w:noWrap/>
            <w:hideMark/>
          </w:tcPr>
          <w:p w14:paraId="07D1C32F"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1539915B"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0.0029</w:t>
            </w:r>
          </w:p>
        </w:tc>
        <w:tc>
          <w:tcPr>
            <w:tcW w:w="1530" w:type="dxa"/>
            <w:noWrap/>
            <w:hideMark/>
          </w:tcPr>
          <w:p w14:paraId="5C8A1B23"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3DB30053" w14:textId="77777777" w:rsidTr="00365097">
        <w:trPr>
          <w:trHeight w:val="208"/>
        </w:trPr>
        <w:tc>
          <w:tcPr>
            <w:tcW w:w="1695" w:type="dxa"/>
            <w:vMerge/>
            <w:vAlign w:val="center"/>
            <w:hideMark/>
          </w:tcPr>
          <w:p w14:paraId="63A8C3FF"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5C740525"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2015-16</w:t>
            </w:r>
          </w:p>
        </w:tc>
        <w:tc>
          <w:tcPr>
            <w:tcW w:w="1271" w:type="dxa"/>
            <w:noWrap/>
            <w:hideMark/>
          </w:tcPr>
          <w:p w14:paraId="69F651C7"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97.567</w:t>
            </w:r>
          </w:p>
        </w:tc>
        <w:tc>
          <w:tcPr>
            <w:tcW w:w="1505" w:type="dxa"/>
            <w:noWrap/>
            <w:hideMark/>
          </w:tcPr>
          <w:p w14:paraId="29AC2A5E"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0.0026</w:t>
            </w:r>
          </w:p>
        </w:tc>
        <w:tc>
          <w:tcPr>
            <w:tcW w:w="1649" w:type="dxa"/>
            <w:noWrap/>
            <w:hideMark/>
          </w:tcPr>
          <w:p w14:paraId="4CE22147"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0.0015</w:t>
            </w:r>
          </w:p>
        </w:tc>
        <w:tc>
          <w:tcPr>
            <w:tcW w:w="1530" w:type="dxa"/>
            <w:noWrap/>
            <w:hideMark/>
          </w:tcPr>
          <w:p w14:paraId="1A23856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0.0028</w:t>
            </w:r>
          </w:p>
        </w:tc>
        <w:tc>
          <w:tcPr>
            <w:tcW w:w="1530" w:type="dxa"/>
            <w:noWrap/>
            <w:hideMark/>
          </w:tcPr>
          <w:p w14:paraId="5FC257E6"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0.0022</w:t>
            </w:r>
          </w:p>
        </w:tc>
      </w:tr>
      <w:tr w:rsidR="00285089" w14:paraId="6DAD4E09" w14:textId="77777777" w:rsidTr="00365097">
        <w:trPr>
          <w:trHeight w:val="208"/>
        </w:trPr>
        <w:tc>
          <w:tcPr>
            <w:tcW w:w="1695" w:type="dxa"/>
            <w:vMerge/>
            <w:vAlign w:val="center"/>
            <w:hideMark/>
          </w:tcPr>
          <w:p w14:paraId="17204DF7"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4D5BC017"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2016-17</w:t>
            </w:r>
          </w:p>
        </w:tc>
        <w:tc>
          <w:tcPr>
            <w:tcW w:w="1271" w:type="dxa"/>
            <w:noWrap/>
            <w:hideMark/>
          </w:tcPr>
          <w:p w14:paraId="53E51782"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87.091</w:t>
            </w:r>
          </w:p>
        </w:tc>
        <w:tc>
          <w:tcPr>
            <w:tcW w:w="1505" w:type="dxa"/>
            <w:noWrap/>
            <w:hideMark/>
          </w:tcPr>
          <w:p w14:paraId="16C3B84F"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0.0028</w:t>
            </w:r>
          </w:p>
        </w:tc>
        <w:tc>
          <w:tcPr>
            <w:tcW w:w="1649" w:type="dxa"/>
            <w:noWrap/>
            <w:hideMark/>
          </w:tcPr>
          <w:p w14:paraId="6D827F9F"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4266D732"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0.0029</w:t>
            </w:r>
          </w:p>
        </w:tc>
        <w:tc>
          <w:tcPr>
            <w:tcW w:w="1530" w:type="dxa"/>
            <w:noWrap/>
            <w:hideMark/>
          </w:tcPr>
          <w:p w14:paraId="7E5A6A4F"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390CD04A" w14:textId="77777777" w:rsidTr="00365097">
        <w:trPr>
          <w:trHeight w:val="208"/>
        </w:trPr>
        <w:tc>
          <w:tcPr>
            <w:tcW w:w="1695" w:type="dxa"/>
            <w:vMerge/>
            <w:vAlign w:val="center"/>
            <w:hideMark/>
          </w:tcPr>
          <w:p w14:paraId="2C979A7E"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4F0EAAEA"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2017-18</w:t>
            </w:r>
          </w:p>
        </w:tc>
        <w:tc>
          <w:tcPr>
            <w:tcW w:w="1271" w:type="dxa"/>
            <w:noWrap/>
            <w:hideMark/>
          </w:tcPr>
          <w:p w14:paraId="00BFB65E"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73.079</w:t>
            </w:r>
          </w:p>
        </w:tc>
        <w:tc>
          <w:tcPr>
            <w:tcW w:w="1505" w:type="dxa"/>
            <w:noWrap/>
            <w:hideMark/>
          </w:tcPr>
          <w:p w14:paraId="55C3E214"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0.0029</w:t>
            </w:r>
          </w:p>
        </w:tc>
        <w:tc>
          <w:tcPr>
            <w:tcW w:w="1649" w:type="dxa"/>
            <w:noWrap/>
            <w:hideMark/>
          </w:tcPr>
          <w:p w14:paraId="56C5005E"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0.0016</w:t>
            </w:r>
          </w:p>
        </w:tc>
        <w:tc>
          <w:tcPr>
            <w:tcW w:w="1530" w:type="dxa"/>
            <w:noWrap/>
            <w:hideMark/>
          </w:tcPr>
          <w:p w14:paraId="5EABF90D"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530" w:type="dxa"/>
            <w:noWrap/>
            <w:hideMark/>
          </w:tcPr>
          <w:p w14:paraId="067E5EF0"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0.0022</w:t>
            </w:r>
          </w:p>
        </w:tc>
      </w:tr>
      <w:tr w:rsidR="00285089" w14:paraId="4D13C9B8" w14:textId="77777777" w:rsidTr="00365097">
        <w:trPr>
          <w:trHeight w:val="208"/>
        </w:trPr>
        <w:tc>
          <w:tcPr>
            <w:tcW w:w="1695" w:type="dxa"/>
            <w:vMerge/>
            <w:vAlign w:val="center"/>
            <w:hideMark/>
          </w:tcPr>
          <w:p w14:paraId="3B9F7C14"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7067D2E5"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2018-19</w:t>
            </w:r>
          </w:p>
        </w:tc>
        <w:tc>
          <w:tcPr>
            <w:tcW w:w="1271" w:type="dxa"/>
            <w:noWrap/>
            <w:hideMark/>
          </w:tcPr>
          <w:p w14:paraId="5A128DE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88.573</w:t>
            </w:r>
          </w:p>
        </w:tc>
        <w:tc>
          <w:tcPr>
            <w:tcW w:w="1505" w:type="dxa"/>
            <w:noWrap/>
            <w:hideMark/>
          </w:tcPr>
          <w:p w14:paraId="14DADAB8"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0.0028</w:t>
            </w:r>
          </w:p>
        </w:tc>
        <w:tc>
          <w:tcPr>
            <w:tcW w:w="1649" w:type="dxa"/>
            <w:noWrap/>
            <w:hideMark/>
          </w:tcPr>
          <w:p w14:paraId="2B058BBA"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0ECE31F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0.0031</w:t>
            </w:r>
          </w:p>
        </w:tc>
        <w:tc>
          <w:tcPr>
            <w:tcW w:w="1530" w:type="dxa"/>
            <w:noWrap/>
            <w:hideMark/>
          </w:tcPr>
          <w:p w14:paraId="175FB0F1"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0.0022</w:t>
            </w:r>
          </w:p>
        </w:tc>
      </w:tr>
      <w:tr w:rsidR="00285089" w14:paraId="10DC4962" w14:textId="77777777" w:rsidTr="00365097">
        <w:trPr>
          <w:trHeight w:val="208"/>
        </w:trPr>
        <w:tc>
          <w:tcPr>
            <w:tcW w:w="1695" w:type="dxa"/>
            <w:vMerge w:val="restart"/>
            <w:noWrap/>
            <w:vAlign w:val="center"/>
            <w:hideMark/>
          </w:tcPr>
          <w:p w14:paraId="0B2E6C37"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Connecticut</w:t>
            </w:r>
          </w:p>
        </w:tc>
        <w:tc>
          <w:tcPr>
            <w:tcW w:w="1165" w:type="dxa"/>
            <w:noWrap/>
            <w:vAlign w:val="center"/>
            <w:hideMark/>
          </w:tcPr>
          <w:p w14:paraId="0EFA41B1"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2014-15</w:t>
            </w:r>
          </w:p>
        </w:tc>
        <w:tc>
          <w:tcPr>
            <w:tcW w:w="1271" w:type="dxa"/>
            <w:noWrap/>
            <w:hideMark/>
          </w:tcPr>
          <w:p w14:paraId="31B6D042"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82.268</w:t>
            </w:r>
          </w:p>
        </w:tc>
        <w:tc>
          <w:tcPr>
            <w:tcW w:w="1505" w:type="dxa"/>
            <w:noWrap/>
            <w:hideMark/>
          </w:tcPr>
          <w:p w14:paraId="4D604D37"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0.0031</w:t>
            </w:r>
          </w:p>
        </w:tc>
        <w:tc>
          <w:tcPr>
            <w:tcW w:w="1649" w:type="dxa"/>
            <w:noWrap/>
            <w:hideMark/>
          </w:tcPr>
          <w:p w14:paraId="027F1DA3"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61A0A3D8"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0.0029</w:t>
            </w:r>
          </w:p>
        </w:tc>
        <w:tc>
          <w:tcPr>
            <w:tcW w:w="1530" w:type="dxa"/>
            <w:noWrap/>
            <w:hideMark/>
          </w:tcPr>
          <w:p w14:paraId="6ABA870F"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76765CF6" w14:textId="77777777" w:rsidTr="00365097">
        <w:trPr>
          <w:trHeight w:val="208"/>
        </w:trPr>
        <w:tc>
          <w:tcPr>
            <w:tcW w:w="1695" w:type="dxa"/>
            <w:vMerge/>
            <w:vAlign w:val="center"/>
            <w:hideMark/>
          </w:tcPr>
          <w:p w14:paraId="6DF7DC89"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58D46CDA"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2015-16</w:t>
            </w:r>
          </w:p>
        </w:tc>
        <w:tc>
          <w:tcPr>
            <w:tcW w:w="1271" w:type="dxa"/>
            <w:noWrap/>
            <w:hideMark/>
          </w:tcPr>
          <w:p w14:paraId="6860D56A"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100.729</w:t>
            </w:r>
          </w:p>
        </w:tc>
        <w:tc>
          <w:tcPr>
            <w:tcW w:w="1505" w:type="dxa"/>
            <w:noWrap/>
            <w:hideMark/>
          </w:tcPr>
          <w:p w14:paraId="65E824C3"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649" w:type="dxa"/>
            <w:noWrap/>
            <w:hideMark/>
          </w:tcPr>
          <w:p w14:paraId="15D74434"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0.0016</w:t>
            </w:r>
          </w:p>
        </w:tc>
        <w:tc>
          <w:tcPr>
            <w:tcW w:w="1530" w:type="dxa"/>
            <w:noWrap/>
            <w:hideMark/>
          </w:tcPr>
          <w:p w14:paraId="7E603FE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0.0029</w:t>
            </w:r>
          </w:p>
        </w:tc>
        <w:tc>
          <w:tcPr>
            <w:tcW w:w="1530" w:type="dxa"/>
            <w:noWrap/>
            <w:hideMark/>
          </w:tcPr>
          <w:p w14:paraId="4D815A69"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618B819C" w14:textId="77777777" w:rsidTr="00365097">
        <w:trPr>
          <w:trHeight w:val="208"/>
        </w:trPr>
        <w:tc>
          <w:tcPr>
            <w:tcW w:w="1695" w:type="dxa"/>
            <w:vMerge/>
            <w:vAlign w:val="center"/>
            <w:hideMark/>
          </w:tcPr>
          <w:p w14:paraId="35D93C02"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69DFEF44"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2016-17</w:t>
            </w:r>
          </w:p>
        </w:tc>
        <w:tc>
          <w:tcPr>
            <w:tcW w:w="1271" w:type="dxa"/>
            <w:noWrap/>
            <w:hideMark/>
          </w:tcPr>
          <w:p w14:paraId="4EEAFC0A"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85.539</w:t>
            </w:r>
          </w:p>
        </w:tc>
        <w:tc>
          <w:tcPr>
            <w:tcW w:w="1505" w:type="dxa"/>
            <w:noWrap/>
            <w:hideMark/>
          </w:tcPr>
          <w:p w14:paraId="27D3DA89"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649" w:type="dxa"/>
            <w:noWrap/>
            <w:hideMark/>
          </w:tcPr>
          <w:p w14:paraId="05737784"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39BCA9D7"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0.0029</w:t>
            </w:r>
          </w:p>
        </w:tc>
        <w:tc>
          <w:tcPr>
            <w:tcW w:w="1530" w:type="dxa"/>
            <w:noWrap/>
            <w:hideMark/>
          </w:tcPr>
          <w:p w14:paraId="15CC815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65D21EEC" w14:textId="77777777" w:rsidTr="00365097">
        <w:trPr>
          <w:trHeight w:val="208"/>
        </w:trPr>
        <w:tc>
          <w:tcPr>
            <w:tcW w:w="1695" w:type="dxa"/>
            <w:vMerge/>
            <w:vAlign w:val="center"/>
            <w:hideMark/>
          </w:tcPr>
          <w:p w14:paraId="3FF819AF"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2BFE2A83"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2017-18</w:t>
            </w:r>
          </w:p>
        </w:tc>
        <w:tc>
          <w:tcPr>
            <w:tcW w:w="1271" w:type="dxa"/>
            <w:noWrap/>
            <w:hideMark/>
          </w:tcPr>
          <w:p w14:paraId="50B1B88F"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85.853</w:t>
            </w:r>
          </w:p>
        </w:tc>
        <w:tc>
          <w:tcPr>
            <w:tcW w:w="1505" w:type="dxa"/>
            <w:noWrap/>
            <w:hideMark/>
          </w:tcPr>
          <w:p w14:paraId="4D021F0A"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0.0036</w:t>
            </w:r>
          </w:p>
        </w:tc>
        <w:tc>
          <w:tcPr>
            <w:tcW w:w="1649" w:type="dxa"/>
            <w:noWrap/>
            <w:hideMark/>
          </w:tcPr>
          <w:p w14:paraId="656D9B59"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0.0016</w:t>
            </w:r>
          </w:p>
        </w:tc>
        <w:tc>
          <w:tcPr>
            <w:tcW w:w="1530" w:type="dxa"/>
            <w:noWrap/>
            <w:hideMark/>
          </w:tcPr>
          <w:p w14:paraId="38ED8192"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0.0031</w:t>
            </w:r>
          </w:p>
        </w:tc>
        <w:tc>
          <w:tcPr>
            <w:tcW w:w="1530" w:type="dxa"/>
            <w:noWrap/>
            <w:hideMark/>
          </w:tcPr>
          <w:p w14:paraId="0A908885"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0.0020</w:t>
            </w:r>
          </w:p>
        </w:tc>
      </w:tr>
      <w:tr w:rsidR="00285089" w14:paraId="024E5816" w14:textId="77777777" w:rsidTr="00365097">
        <w:trPr>
          <w:trHeight w:val="208"/>
        </w:trPr>
        <w:tc>
          <w:tcPr>
            <w:tcW w:w="1695" w:type="dxa"/>
            <w:vMerge/>
            <w:vAlign w:val="center"/>
            <w:hideMark/>
          </w:tcPr>
          <w:p w14:paraId="48F91DF3" w14:textId="77777777" w:rsidR="00285089" w:rsidRPr="00BE0FA3" w:rsidRDefault="00285089" w:rsidP="00365097">
            <w:pPr>
              <w:spacing w:after="0" w:line="276" w:lineRule="auto"/>
              <w:jc w:val="center"/>
              <w:rPr>
                <w:rFonts w:asciiTheme="majorBidi" w:hAnsiTheme="majorBidi" w:cstheme="majorBidi"/>
                <w:b/>
                <w:bCs/>
              </w:rPr>
            </w:pPr>
          </w:p>
        </w:tc>
        <w:tc>
          <w:tcPr>
            <w:tcW w:w="1165" w:type="dxa"/>
            <w:noWrap/>
            <w:vAlign w:val="center"/>
            <w:hideMark/>
          </w:tcPr>
          <w:p w14:paraId="17FEC16E"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2018-19</w:t>
            </w:r>
          </w:p>
        </w:tc>
        <w:tc>
          <w:tcPr>
            <w:tcW w:w="1271" w:type="dxa"/>
            <w:noWrap/>
            <w:hideMark/>
          </w:tcPr>
          <w:p w14:paraId="234F5DBF"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80.849</w:t>
            </w:r>
          </w:p>
        </w:tc>
        <w:tc>
          <w:tcPr>
            <w:tcW w:w="1505" w:type="dxa"/>
            <w:noWrap/>
            <w:hideMark/>
          </w:tcPr>
          <w:p w14:paraId="36CC387C"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649" w:type="dxa"/>
            <w:noWrap/>
            <w:hideMark/>
          </w:tcPr>
          <w:p w14:paraId="539FCD8E"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0.0016</w:t>
            </w:r>
          </w:p>
        </w:tc>
        <w:tc>
          <w:tcPr>
            <w:tcW w:w="1530" w:type="dxa"/>
            <w:noWrap/>
            <w:hideMark/>
          </w:tcPr>
          <w:p w14:paraId="349D98A1"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0.0030</w:t>
            </w:r>
          </w:p>
        </w:tc>
        <w:tc>
          <w:tcPr>
            <w:tcW w:w="1530" w:type="dxa"/>
            <w:noWrap/>
            <w:hideMark/>
          </w:tcPr>
          <w:p w14:paraId="1CF51C60"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3AAD6691" w14:textId="77777777" w:rsidTr="00365097">
        <w:trPr>
          <w:trHeight w:val="208"/>
        </w:trPr>
        <w:tc>
          <w:tcPr>
            <w:tcW w:w="1695" w:type="dxa"/>
            <w:vMerge w:val="restart"/>
            <w:noWrap/>
            <w:vAlign w:val="center"/>
            <w:hideMark/>
          </w:tcPr>
          <w:p w14:paraId="1295E2DE"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Virginia</w:t>
            </w:r>
          </w:p>
        </w:tc>
        <w:tc>
          <w:tcPr>
            <w:tcW w:w="1165" w:type="dxa"/>
            <w:noWrap/>
            <w:vAlign w:val="center"/>
            <w:hideMark/>
          </w:tcPr>
          <w:p w14:paraId="1B2D0BD6"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2014-15</w:t>
            </w:r>
          </w:p>
        </w:tc>
        <w:tc>
          <w:tcPr>
            <w:tcW w:w="1271" w:type="dxa"/>
            <w:noWrap/>
            <w:hideMark/>
          </w:tcPr>
          <w:p w14:paraId="2A2BC92A"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44.862</w:t>
            </w:r>
          </w:p>
        </w:tc>
        <w:tc>
          <w:tcPr>
            <w:tcW w:w="1505" w:type="dxa"/>
            <w:noWrap/>
            <w:hideMark/>
          </w:tcPr>
          <w:p w14:paraId="6CD1217A"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649" w:type="dxa"/>
            <w:noWrap/>
            <w:hideMark/>
          </w:tcPr>
          <w:p w14:paraId="2DFE41A1"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0.0015</w:t>
            </w:r>
          </w:p>
        </w:tc>
        <w:tc>
          <w:tcPr>
            <w:tcW w:w="1530" w:type="dxa"/>
            <w:noWrap/>
            <w:hideMark/>
          </w:tcPr>
          <w:p w14:paraId="0E287E2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0.0029</w:t>
            </w:r>
          </w:p>
        </w:tc>
        <w:tc>
          <w:tcPr>
            <w:tcW w:w="1530" w:type="dxa"/>
            <w:noWrap/>
            <w:hideMark/>
          </w:tcPr>
          <w:p w14:paraId="427C6EA4"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28B5966E" w14:textId="77777777" w:rsidTr="00365097">
        <w:trPr>
          <w:trHeight w:val="208"/>
        </w:trPr>
        <w:tc>
          <w:tcPr>
            <w:tcW w:w="1695" w:type="dxa"/>
            <w:vMerge/>
            <w:vAlign w:val="center"/>
            <w:hideMark/>
          </w:tcPr>
          <w:p w14:paraId="29448C1D" w14:textId="77777777" w:rsidR="00285089" w:rsidRPr="00BE0FA3" w:rsidRDefault="00285089" w:rsidP="00365097">
            <w:pPr>
              <w:spacing w:after="0" w:line="276" w:lineRule="auto"/>
              <w:jc w:val="center"/>
              <w:rPr>
                <w:rFonts w:asciiTheme="majorBidi" w:hAnsiTheme="majorBidi" w:cstheme="majorBidi"/>
              </w:rPr>
            </w:pPr>
          </w:p>
        </w:tc>
        <w:tc>
          <w:tcPr>
            <w:tcW w:w="1165" w:type="dxa"/>
            <w:noWrap/>
            <w:vAlign w:val="center"/>
            <w:hideMark/>
          </w:tcPr>
          <w:p w14:paraId="45BFFA4B"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2015-16</w:t>
            </w:r>
          </w:p>
        </w:tc>
        <w:tc>
          <w:tcPr>
            <w:tcW w:w="1271" w:type="dxa"/>
            <w:noWrap/>
            <w:hideMark/>
          </w:tcPr>
          <w:p w14:paraId="70F1ED34"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107.501</w:t>
            </w:r>
          </w:p>
        </w:tc>
        <w:tc>
          <w:tcPr>
            <w:tcW w:w="1505" w:type="dxa"/>
            <w:noWrap/>
            <w:hideMark/>
          </w:tcPr>
          <w:p w14:paraId="0C25DB8E"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0.0031</w:t>
            </w:r>
          </w:p>
        </w:tc>
        <w:tc>
          <w:tcPr>
            <w:tcW w:w="1649" w:type="dxa"/>
            <w:noWrap/>
            <w:hideMark/>
          </w:tcPr>
          <w:p w14:paraId="23648D36"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0.0016</w:t>
            </w:r>
          </w:p>
        </w:tc>
        <w:tc>
          <w:tcPr>
            <w:tcW w:w="1530" w:type="dxa"/>
            <w:noWrap/>
            <w:hideMark/>
          </w:tcPr>
          <w:p w14:paraId="638A140D"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0.0030</w:t>
            </w:r>
          </w:p>
        </w:tc>
        <w:tc>
          <w:tcPr>
            <w:tcW w:w="1530" w:type="dxa"/>
            <w:noWrap/>
            <w:hideMark/>
          </w:tcPr>
          <w:p w14:paraId="433022D8"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0.0022</w:t>
            </w:r>
          </w:p>
        </w:tc>
      </w:tr>
      <w:tr w:rsidR="00285089" w14:paraId="6CB92F22" w14:textId="77777777" w:rsidTr="00365097">
        <w:trPr>
          <w:trHeight w:val="208"/>
        </w:trPr>
        <w:tc>
          <w:tcPr>
            <w:tcW w:w="1695" w:type="dxa"/>
            <w:vMerge/>
            <w:vAlign w:val="center"/>
            <w:hideMark/>
          </w:tcPr>
          <w:p w14:paraId="5958CB42" w14:textId="77777777" w:rsidR="00285089" w:rsidRPr="00BE0FA3" w:rsidRDefault="00285089" w:rsidP="00365097">
            <w:pPr>
              <w:spacing w:after="0" w:line="276" w:lineRule="auto"/>
              <w:jc w:val="center"/>
              <w:rPr>
                <w:rFonts w:asciiTheme="majorBidi" w:hAnsiTheme="majorBidi" w:cstheme="majorBidi"/>
              </w:rPr>
            </w:pPr>
          </w:p>
        </w:tc>
        <w:tc>
          <w:tcPr>
            <w:tcW w:w="1165" w:type="dxa"/>
            <w:noWrap/>
            <w:vAlign w:val="center"/>
            <w:hideMark/>
          </w:tcPr>
          <w:p w14:paraId="3E7A7FE3"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2016-17</w:t>
            </w:r>
          </w:p>
        </w:tc>
        <w:tc>
          <w:tcPr>
            <w:tcW w:w="1271" w:type="dxa"/>
            <w:noWrap/>
            <w:hideMark/>
          </w:tcPr>
          <w:p w14:paraId="7C890A4B"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95.983</w:t>
            </w:r>
          </w:p>
        </w:tc>
        <w:tc>
          <w:tcPr>
            <w:tcW w:w="1505" w:type="dxa"/>
            <w:noWrap/>
            <w:hideMark/>
          </w:tcPr>
          <w:p w14:paraId="305CCF7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0.0032</w:t>
            </w:r>
          </w:p>
        </w:tc>
        <w:tc>
          <w:tcPr>
            <w:tcW w:w="1649" w:type="dxa"/>
            <w:noWrap/>
            <w:hideMark/>
          </w:tcPr>
          <w:p w14:paraId="7390CC25"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0.0016</w:t>
            </w:r>
          </w:p>
        </w:tc>
        <w:tc>
          <w:tcPr>
            <w:tcW w:w="1530" w:type="dxa"/>
            <w:noWrap/>
            <w:hideMark/>
          </w:tcPr>
          <w:p w14:paraId="14F48A33"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0.0031</w:t>
            </w:r>
          </w:p>
        </w:tc>
        <w:tc>
          <w:tcPr>
            <w:tcW w:w="1530" w:type="dxa"/>
            <w:noWrap/>
            <w:hideMark/>
          </w:tcPr>
          <w:p w14:paraId="04668998"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r w:rsidR="00285089" w14:paraId="420E6235" w14:textId="77777777" w:rsidTr="00365097">
        <w:trPr>
          <w:trHeight w:val="208"/>
        </w:trPr>
        <w:tc>
          <w:tcPr>
            <w:tcW w:w="1695" w:type="dxa"/>
            <w:vMerge/>
            <w:vAlign w:val="center"/>
            <w:hideMark/>
          </w:tcPr>
          <w:p w14:paraId="17521DEB" w14:textId="77777777" w:rsidR="00285089" w:rsidRPr="00BE0FA3" w:rsidRDefault="00285089" w:rsidP="00365097">
            <w:pPr>
              <w:spacing w:after="0" w:line="276" w:lineRule="auto"/>
              <w:jc w:val="center"/>
              <w:rPr>
                <w:rFonts w:asciiTheme="majorBidi" w:hAnsiTheme="majorBidi" w:cstheme="majorBidi"/>
              </w:rPr>
            </w:pPr>
          </w:p>
        </w:tc>
        <w:tc>
          <w:tcPr>
            <w:tcW w:w="1165" w:type="dxa"/>
            <w:noWrap/>
            <w:vAlign w:val="center"/>
            <w:hideMark/>
          </w:tcPr>
          <w:p w14:paraId="44528FDF"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2017-18</w:t>
            </w:r>
          </w:p>
        </w:tc>
        <w:tc>
          <w:tcPr>
            <w:tcW w:w="1271" w:type="dxa"/>
            <w:noWrap/>
            <w:hideMark/>
          </w:tcPr>
          <w:p w14:paraId="2E662D23"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84.540</w:t>
            </w:r>
          </w:p>
        </w:tc>
        <w:tc>
          <w:tcPr>
            <w:tcW w:w="1505" w:type="dxa"/>
            <w:noWrap/>
            <w:hideMark/>
          </w:tcPr>
          <w:p w14:paraId="20DE6A5D"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0.0035</w:t>
            </w:r>
          </w:p>
        </w:tc>
        <w:tc>
          <w:tcPr>
            <w:tcW w:w="1649" w:type="dxa"/>
            <w:noWrap/>
            <w:hideMark/>
          </w:tcPr>
          <w:p w14:paraId="0FA332AD"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0.0016</w:t>
            </w:r>
          </w:p>
        </w:tc>
        <w:tc>
          <w:tcPr>
            <w:tcW w:w="1530" w:type="dxa"/>
            <w:noWrap/>
            <w:hideMark/>
          </w:tcPr>
          <w:p w14:paraId="02DBD5DE"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0.0032</w:t>
            </w:r>
          </w:p>
        </w:tc>
        <w:tc>
          <w:tcPr>
            <w:tcW w:w="1530" w:type="dxa"/>
            <w:noWrap/>
            <w:hideMark/>
          </w:tcPr>
          <w:p w14:paraId="46A84FE8"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0.0020</w:t>
            </w:r>
          </w:p>
        </w:tc>
      </w:tr>
      <w:tr w:rsidR="00285089" w14:paraId="38CDFA38" w14:textId="77777777" w:rsidTr="00365097">
        <w:trPr>
          <w:trHeight w:val="208"/>
        </w:trPr>
        <w:tc>
          <w:tcPr>
            <w:tcW w:w="1695" w:type="dxa"/>
            <w:vMerge/>
            <w:vAlign w:val="center"/>
            <w:hideMark/>
          </w:tcPr>
          <w:p w14:paraId="3CDA5D73" w14:textId="77777777" w:rsidR="00285089" w:rsidRPr="00BE0FA3" w:rsidRDefault="00285089" w:rsidP="00365097">
            <w:pPr>
              <w:spacing w:after="0" w:line="276" w:lineRule="auto"/>
              <w:jc w:val="center"/>
              <w:rPr>
                <w:rFonts w:asciiTheme="majorBidi" w:hAnsiTheme="majorBidi" w:cstheme="majorBidi"/>
              </w:rPr>
            </w:pPr>
          </w:p>
        </w:tc>
        <w:tc>
          <w:tcPr>
            <w:tcW w:w="1165" w:type="dxa"/>
            <w:noWrap/>
            <w:vAlign w:val="center"/>
            <w:hideMark/>
          </w:tcPr>
          <w:p w14:paraId="203FE896" w14:textId="77777777" w:rsidR="00285089" w:rsidRPr="00BE0FA3" w:rsidRDefault="00285089" w:rsidP="00365097">
            <w:pPr>
              <w:spacing w:after="0" w:line="276" w:lineRule="auto"/>
              <w:jc w:val="center"/>
              <w:rPr>
                <w:rFonts w:asciiTheme="majorBidi" w:hAnsiTheme="majorBidi" w:cstheme="majorBidi"/>
                <w:b/>
                <w:bCs/>
              </w:rPr>
            </w:pPr>
            <w:r w:rsidRPr="00BE0FA3">
              <w:rPr>
                <w:rFonts w:asciiTheme="majorBidi" w:hAnsiTheme="majorBidi" w:cstheme="majorBidi"/>
                <w:b/>
                <w:bCs/>
              </w:rPr>
              <w:t>2018-19</w:t>
            </w:r>
          </w:p>
        </w:tc>
        <w:tc>
          <w:tcPr>
            <w:tcW w:w="1271" w:type="dxa"/>
            <w:noWrap/>
            <w:hideMark/>
          </w:tcPr>
          <w:p w14:paraId="4ECA73DF"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96.904</w:t>
            </w:r>
          </w:p>
        </w:tc>
        <w:tc>
          <w:tcPr>
            <w:tcW w:w="1505" w:type="dxa"/>
            <w:noWrap/>
            <w:hideMark/>
          </w:tcPr>
          <w:p w14:paraId="47CC0063"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0.0032</w:t>
            </w:r>
          </w:p>
        </w:tc>
        <w:tc>
          <w:tcPr>
            <w:tcW w:w="1649" w:type="dxa"/>
            <w:noWrap/>
            <w:hideMark/>
          </w:tcPr>
          <w:p w14:paraId="7837AFA7"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0.0016</w:t>
            </w:r>
          </w:p>
        </w:tc>
        <w:tc>
          <w:tcPr>
            <w:tcW w:w="1530" w:type="dxa"/>
            <w:noWrap/>
            <w:hideMark/>
          </w:tcPr>
          <w:p w14:paraId="0B5A83C5" w14:textId="77777777" w:rsidR="00285089" w:rsidRPr="00BE0FA3" w:rsidRDefault="00285089" w:rsidP="00365097">
            <w:pPr>
              <w:spacing w:after="0" w:line="276" w:lineRule="auto"/>
              <w:jc w:val="center"/>
              <w:rPr>
                <w:rFonts w:asciiTheme="majorBidi" w:hAnsiTheme="majorBidi" w:cstheme="majorBidi"/>
              </w:rPr>
            </w:pPr>
            <w:r>
              <w:rPr>
                <w:rFonts w:asciiTheme="majorBidi" w:hAnsiTheme="majorBidi" w:cstheme="majorBidi"/>
              </w:rPr>
              <w:t>0.0031</w:t>
            </w:r>
          </w:p>
        </w:tc>
        <w:tc>
          <w:tcPr>
            <w:tcW w:w="1530" w:type="dxa"/>
            <w:noWrap/>
            <w:hideMark/>
          </w:tcPr>
          <w:p w14:paraId="2A7DD7D6" w14:textId="77777777" w:rsidR="00285089" w:rsidRPr="00BE0FA3" w:rsidRDefault="00285089" w:rsidP="00365097">
            <w:pPr>
              <w:spacing w:after="0" w:line="276" w:lineRule="auto"/>
              <w:jc w:val="center"/>
              <w:rPr>
                <w:rFonts w:asciiTheme="majorBidi" w:hAnsiTheme="majorBidi" w:cstheme="majorBidi"/>
              </w:rPr>
            </w:pPr>
            <w:r w:rsidRPr="00BE0FA3">
              <w:rPr>
                <w:rFonts w:asciiTheme="majorBidi" w:hAnsiTheme="majorBidi" w:cstheme="majorBidi"/>
              </w:rPr>
              <w:t>0.0021</w:t>
            </w:r>
          </w:p>
        </w:tc>
      </w:tr>
    </w:tbl>
    <w:p w14:paraId="51050924" w14:textId="77777777" w:rsidR="00285089" w:rsidRDefault="00285089" w:rsidP="00285089">
      <w:pPr>
        <w:spacing w:after="0" w:line="360" w:lineRule="auto"/>
        <w:jc w:val="both"/>
        <w:rPr>
          <w:rStyle w:val="fontstyle01"/>
          <w:rFonts w:hint="default"/>
        </w:rPr>
      </w:pPr>
      <w:r w:rsidRPr="006B402A">
        <w:rPr>
          <w:rFonts w:asciiTheme="majorBidi" w:hAnsiTheme="majorBidi" w:cstheme="majorBidi"/>
          <w:b/>
          <w:bCs/>
          <w:sz w:val="20"/>
          <w:szCs w:val="20"/>
        </w:rPr>
        <w:t>Table S4.</w:t>
      </w:r>
      <w:r w:rsidRPr="006B402A">
        <w:rPr>
          <w:rFonts w:asciiTheme="majorBidi" w:hAnsiTheme="majorBidi" w:cstheme="majorBidi"/>
          <w:sz w:val="20"/>
          <w:szCs w:val="20"/>
        </w:rPr>
        <w:t xml:space="preserve"> </w:t>
      </w:r>
      <w:r w:rsidRPr="008D7375">
        <w:rPr>
          <w:rFonts w:asciiTheme="majorBidi" w:hAnsiTheme="majorBidi" w:cstheme="majorBidi"/>
          <w:sz w:val="20"/>
          <w:szCs w:val="20"/>
        </w:rPr>
        <w:t>Calibrated parameters.</w:t>
      </w:r>
    </w:p>
    <w:p w14:paraId="34A2D176" w14:textId="54BC27B2" w:rsidR="00285089" w:rsidRPr="00995BD2" w:rsidRDefault="00285089" w:rsidP="00995BD2">
      <w:pPr>
        <w:rPr>
          <w:rFonts w:ascii="CIDFont+F3" w:eastAsia="CIDFont+F3"/>
          <w:color w:val="000000"/>
        </w:rPr>
      </w:pPr>
      <w:r>
        <w:rPr>
          <w:rStyle w:val="fontstyle01"/>
          <w:rFonts w:hint="default"/>
        </w:rPr>
        <w:br w:type="page"/>
      </w:r>
    </w:p>
    <w:tbl>
      <w:tblPr>
        <w:tblW w:w="0" w:type="auto"/>
        <w:tblLook w:val="04A0" w:firstRow="1" w:lastRow="0" w:firstColumn="1" w:lastColumn="0" w:noHBand="0" w:noVBand="1"/>
      </w:tblPr>
      <w:tblGrid>
        <w:gridCol w:w="9026"/>
      </w:tblGrid>
      <w:tr w:rsidR="00285089" w14:paraId="7053E34F" w14:textId="77777777" w:rsidTr="004D6617">
        <w:trPr>
          <w:trHeight w:val="1548"/>
        </w:trPr>
        <w:tc>
          <w:tcPr>
            <w:tcW w:w="9016" w:type="dxa"/>
          </w:tcPr>
          <w:p w14:paraId="654A5962" w14:textId="77777777" w:rsidR="00285089" w:rsidRPr="00BE0FA3" w:rsidRDefault="00285089" w:rsidP="00365097">
            <w:pPr>
              <w:spacing w:after="0" w:line="360" w:lineRule="auto"/>
              <w:rPr>
                <w:rFonts w:asciiTheme="majorBidi" w:hAnsiTheme="majorBidi" w:cstheme="majorBidi"/>
              </w:rPr>
            </w:pPr>
            <w:r>
              <w:rPr>
                <w:rFonts w:asciiTheme="majorBidi" w:hAnsiTheme="majorBidi" w:cstheme="majorBidi"/>
                <w:noProof/>
                <w:lang w:val="en-US"/>
              </w:rPr>
              <w:lastRenderedPageBreak/>
              <w:drawing>
                <wp:inline distT="0" distB="0" distL="0" distR="0" wp14:anchorId="12DBF777" wp14:editId="08C5870F">
                  <wp:extent cx="5679511" cy="7722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5690232" cy="7736764"/>
                          </a:xfrm>
                          <a:prstGeom prst="rect">
                            <a:avLst/>
                          </a:prstGeom>
                        </pic:spPr>
                      </pic:pic>
                    </a:graphicData>
                  </a:graphic>
                </wp:inline>
              </w:drawing>
            </w:r>
          </w:p>
        </w:tc>
      </w:tr>
      <w:tr w:rsidR="00285089" w14:paraId="1E178391" w14:textId="77777777" w:rsidTr="004D6617">
        <w:tc>
          <w:tcPr>
            <w:tcW w:w="9016" w:type="dxa"/>
          </w:tcPr>
          <w:p w14:paraId="5D443E51" w14:textId="77777777" w:rsidR="00285089" w:rsidRPr="00BE0FA3" w:rsidRDefault="00285089" w:rsidP="00365097">
            <w:pPr>
              <w:spacing w:after="0" w:line="360" w:lineRule="auto"/>
              <w:jc w:val="both"/>
              <w:rPr>
                <w:rFonts w:asciiTheme="majorBidi" w:hAnsiTheme="majorBidi" w:cstheme="majorBidi"/>
                <w:sz w:val="20"/>
                <w:szCs w:val="20"/>
              </w:rPr>
            </w:pPr>
            <w:r w:rsidRPr="00BE0FA3">
              <w:rPr>
                <w:rFonts w:asciiTheme="majorBidi" w:hAnsiTheme="majorBidi" w:cstheme="majorBidi"/>
                <w:b/>
                <w:bCs/>
                <w:sz w:val="20"/>
                <w:szCs w:val="20"/>
              </w:rPr>
              <w:t xml:space="preserve">Fig. S2. Model fit. </w:t>
            </w:r>
            <w:r w:rsidRPr="00BE0FA3">
              <w:rPr>
                <w:rFonts w:asciiTheme="majorBidi" w:hAnsiTheme="majorBidi" w:cstheme="majorBidi"/>
                <w:sz w:val="20"/>
                <w:szCs w:val="20"/>
              </w:rPr>
              <w:t xml:space="preserve">Time series of recorded weekly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influenza cases and model fit to Texas, California, </w:t>
            </w:r>
            <w:proofErr w:type="gramStart"/>
            <w:r w:rsidRPr="00BE0FA3">
              <w:rPr>
                <w:rFonts w:asciiTheme="majorBidi" w:hAnsiTheme="majorBidi" w:cstheme="majorBidi"/>
                <w:sz w:val="20"/>
                <w:szCs w:val="20"/>
              </w:rPr>
              <w:t>Connecticut</w:t>
            </w:r>
            <w:proofErr w:type="gramEnd"/>
            <w:r w:rsidRPr="00BE0FA3">
              <w:rPr>
                <w:rFonts w:asciiTheme="majorBidi" w:hAnsiTheme="majorBidi" w:cstheme="majorBidi"/>
                <w:sz w:val="20"/>
                <w:szCs w:val="20"/>
              </w:rPr>
              <w:t xml:space="preserve"> and Virginia (A, C, E &amp; G). Data and model fit to the age distribution among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influenza </w:t>
            </w:r>
            <w:r>
              <w:rPr>
                <w:rFonts w:asciiTheme="majorBidi" w:hAnsiTheme="majorBidi" w:cstheme="majorBidi"/>
                <w:sz w:val="20"/>
                <w:szCs w:val="20"/>
              </w:rPr>
              <w:t>cases</w:t>
            </w:r>
            <w:r w:rsidRPr="00BE0FA3">
              <w:rPr>
                <w:rFonts w:asciiTheme="majorBidi" w:hAnsiTheme="majorBidi" w:cstheme="majorBidi"/>
                <w:sz w:val="20"/>
                <w:szCs w:val="20"/>
              </w:rPr>
              <w:t xml:space="preserve"> (B, D, F &amp; H).</w:t>
            </w:r>
          </w:p>
        </w:tc>
      </w:tr>
    </w:tbl>
    <w:p w14:paraId="4F0978D4" w14:textId="64A8A8D3" w:rsidR="00285089" w:rsidRPr="00BE0FA3" w:rsidRDefault="00285089" w:rsidP="00285089">
      <w:pPr>
        <w:spacing w:after="0" w:line="360" w:lineRule="auto"/>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rPr>
        <w:br w:type="page"/>
      </w:r>
    </w:p>
    <w:p w14:paraId="396D2CBD" w14:textId="77777777" w:rsidR="00285089" w:rsidRPr="00D75061" w:rsidRDefault="00285089" w:rsidP="00285089">
      <w:pPr>
        <w:pStyle w:val="Heading2"/>
        <w:spacing w:line="360" w:lineRule="auto"/>
        <w:jc w:val="both"/>
        <w:rPr>
          <w:rFonts w:asciiTheme="majorBidi" w:hAnsiTheme="majorBidi" w:cstheme="majorBidi"/>
        </w:rPr>
      </w:pPr>
      <w:bookmarkStart w:id="15" w:name="_Toc60620863"/>
      <w:r w:rsidRPr="00D75061">
        <w:rPr>
          <w:rFonts w:asciiTheme="majorBidi" w:hAnsiTheme="majorBidi" w:cstheme="majorBidi"/>
        </w:rPr>
        <w:lastRenderedPageBreak/>
        <w:t>Model simulations</w:t>
      </w:r>
      <w:bookmarkEnd w:id="15"/>
    </w:p>
    <w:p w14:paraId="2C5A32B1" w14:textId="77777777" w:rsidR="00285089" w:rsidRPr="00D75061" w:rsidRDefault="00285089" w:rsidP="00285089">
      <w:pPr>
        <w:spacing w:line="360" w:lineRule="auto"/>
        <w:jc w:val="both"/>
        <w:rPr>
          <w:rFonts w:asciiTheme="majorBidi" w:hAnsiTheme="majorBidi" w:cstheme="majorBidi"/>
          <w:i/>
          <w:iCs/>
          <w:sz w:val="24"/>
          <w:szCs w:val="24"/>
        </w:rPr>
      </w:pPr>
      <w:r w:rsidRPr="00D75061">
        <w:rPr>
          <w:rFonts w:asciiTheme="majorBidi" w:hAnsiTheme="majorBidi" w:cstheme="majorBidi"/>
          <w:i/>
          <w:iCs/>
          <w:sz w:val="24"/>
          <w:szCs w:val="24"/>
        </w:rPr>
        <w:t>Main text Fig. 2</w:t>
      </w:r>
    </w:p>
    <w:p w14:paraId="1B577696" w14:textId="77777777" w:rsidR="00285089" w:rsidRDefault="00285089" w:rsidP="00285089">
      <w:pPr>
        <w:pStyle w:val="NormalWeb"/>
        <w:spacing w:before="0" w:beforeAutospacing="0" w:after="0" w:afterAutospacing="0" w:line="360" w:lineRule="auto"/>
        <w:jc w:val="both"/>
        <w:rPr>
          <w:rFonts w:asciiTheme="majorBidi" w:hAnsiTheme="majorBidi" w:cstheme="majorBidi"/>
          <w:color w:val="000000"/>
        </w:rPr>
      </w:pPr>
      <w:r>
        <w:rPr>
          <w:rFonts w:asciiTheme="majorBidi" w:hAnsiTheme="majorBidi" w:cstheme="majorBidi"/>
          <w:color w:val="000000"/>
        </w:rPr>
        <w:t>We</w:t>
      </w:r>
      <w:r w:rsidRPr="00BE0FA3">
        <w:rPr>
          <w:rFonts w:asciiTheme="majorBidi" w:hAnsiTheme="majorBidi" w:cstheme="majorBidi"/>
          <w:color w:val="000000"/>
        </w:rPr>
        <w:t xml:space="preserve"> evaluate</w:t>
      </w:r>
      <w:r>
        <w:rPr>
          <w:rFonts w:asciiTheme="majorBidi" w:hAnsiTheme="majorBidi" w:cstheme="majorBidi"/>
          <w:color w:val="000000"/>
        </w:rPr>
        <w:t>d</w:t>
      </w:r>
      <w:r w:rsidRPr="00BE0FA3">
        <w:rPr>
          <w:rFonts w:asciiTheme="majorBidi" w:hAnsiTheme="majorBidi" w:cstheme="majorBidi"/>
          <w:color w:val="000000"/>
        </w:rPr>
        <w:t xml:space="preserve"> the additional number of cases and hospitalizations averted by early treatment (within 48 hours </w:t>
      </w:r>
      <w:r>
        <w:rPr>
          <w:rFonts w:asciiTheme="majorBidi" w:hAnsiTheme="majorBidi" w:cstheme="majorBidi"/>
          <w:color w:val="000000"/>
        </w:rPr>
        <w:t>after</w:t>
      </w:r>
      <w:r w:rsidRPr="00BE0FA3">
        <w:rPr>
          <w:rFonts w:asciiTheme="majorBidi" w:hAnsiTheme="majorBidi" w:cstheme="majorBidi"/>
          <w:color w:val="000000"/>
        </w:rPr>
        <w:t xml:space="preserve"> </w:t>
      </w:r>
      <w:r>
        <w:rPr>
          <w:color w:val="000000"/>
        </w:rPr>
        <w:t>symptom</w:t>
      </w:r>
      <w:r w:rsidRPr="00BE0FA3">
        <w:rPr>
          <w:rFonts w:asciiTheme="majorBidi" w:hAnsiTheme="majorBidi" w:cstheme="majorBidi"/>
          <w:color w:val="000000"/>
        </w:rPr>
        <w:t xml:space="preserve"> onset</w:t>
      </w:r>
      <w:r>
        <w:rPr>
          <w:color w:val="000000"/>
        </w:rPr>
        <w:t>)</w:t>
      </w:r>
      <w:r w:rsidRPr="00BE0FA3">
        <w:rPr>
          <w:rFonts w:asciiTheme="majorBidi" w:hAnsiTheme="majorBidi" w:cstheme="majorBidi"/>
          <w:color w:val="000000"/>
        </w:rPr>
        <w:t xml:space="preserve">. </w:t>
      </w:r>
      <w:r>
        <w:rPr>
          <w:rFonts w:asciiTheme="majorBidi" w:hAnsiTheme="majorBidi" w:cstheme="majorBidi"/>
          <w:color w:val="000000"/>
        </w:rPr>
        <w:t>To be</w:t>
      </w:r>
      <w:r w:rsidRPr="00BE0FA3">
        <w:rPr>
          <w:rFonts w:asciiTheme="majorBidi" w:hAnsiTheme="majorBidi" w:cstheme="majorBidi"/>
          <w:color w:val="000000"/>
        </w:rPr>
        <w:t xml:space="preserve"> conservative, we assumed </w:t>
      </w:r>
      <w:r>
        <w:rPr>
          <w:color w:val="000000"/>
        </w:rPr>
        <w:t>treatment</w:t>
      </w:r>
      <w:r w:rsidRPr="00BE0FA3">
        <w:rPr>
          <w:rFonts w:asciiTheme="majorBidi" w:hAnsiTheme="majorBidi" w:cstheme="majorBidi"/>
          <w:color w:val="000000"/>
        </w:rPr>
        <w:t xml:space="preserve"> on the second day) </w:t>
      </w:r>
      <w:r>
        <w:rPr>
          <w:rFonts w:asciiTheme="majorBidi" w:hAnsiTheme="majorBidi" w:cstheme="majorBidi"/>
          <w:color w:val="000000"/>
        </w:rPr>
        <w:t>in</w:t>
      </w:r>
      <w:r w:rsidRPr="00BE0FA3">
        <w:rPr>
          <w:rFonts w:asciiTheme="majorBidi" w:hAnsiTheme="majorBidi" w:cstheme="majorBidi"/>
          <w:color w:val="000000"/>
        </w:rPr>
        <w:t xml:space="preserve"> infected high-risk individuals who receiv</w:t>
      </w:r>
      <w:r>
        <w:rPr>
          <w:rFonts w:asciiTheme="majorBidi" w:hAnsiTheme="majorBidi" w:cstheme="majorBidi"/>
          <w:color w:val="000000"/>
        </w:rPr>
        <w:t>ed</w:t>
      </w:r>
      <w:r w:rsidRPr="00BE0FA3">
        <w:rPr>
          <w:rFonts w:asciiTheme="majorBidi" w:hAnsiTheme="majorBidi" w:cstheme="majorBidi"/>
          <w:color w:val="000000"/>
        </w:rPr>
        <w:t xml:space="preserve"> treatment 48 hours </w:t>
      </w:r>
      <w:r>
        <w:rPr>
          <w:color w:val="000000"/>
        </w:rPr>
        <w:t>after symptom</w:t>
      </w:r>
      <w:r w:rsidRPr="00BE0FA3">
        <w:rPr>
          <w:rFonts w:asciiTheme="majorBidi" w:hAnsiTheme="majorBidi" w:cstheme="majorBidi"/>
          <w:color w:val="000000"/>
        </w:rPr>
        <w:t xml:space="preserve"> onset (Main Text, Fig. 2)</w:t>
      </w:r>
      <w:r>
        <w:rPr>
          <w:color w:val="000000"/>
        </w:rPr>
        <w:t>.</w:t>
      </w:r>
      <w:r w:rsidRPr="00BE0FA3">
        <w:rPr>
          <w:rFonts w:asciiTheme="majorBidi" w:hAnsiTheme="majorBidi" w:cstheme="majorBidi"/>
          <w:color w:val="000000"/>
        </w:rPr>
        <w:t xml:space="preserve"> </w:t>
      </w:r>
      <w:r>
        <w:rPr>
          <w:color w:val="000000"/>
        </w:rPr>
        <w:t>We</w:t>
      </w:r>
      <w:r w:rsidRPr="00BE0FA3">
        <w:rPr>
          <w:rFonts w:asciiTheme="majorBidi" w:hAnsiTheme="majorBidi" w:cstheme="majorBidi"/>
          <w:color w:val="000000"/>
        </w:rPr>
        <w:t xml:space="preserve"> ran the model for each of the five seasons. For each season, we ran the model using the average state</w:t>
      </w:r>
      <w:r>
        <w:rPr>
          <w:rFonts w:asciiTheme="majorBidi" w:hAnsiTheme="majorBidi" w:cstheme="majorBidi"/>
          <w:color w:val="000000"/>
        </w:rPr>
        <w:t>'</w:t>
      </w:r>
      <w:r w:rsidRPr="00BE0FA3">
        <w:rPr>
          <w:rFonts w:asciiTheme="majorBidi" w:hAnsiTheme="majorBidi" w:cstheme="majorBidi"/>
          <w:color w:val="000000"/>
        </w:rPr>
        <w:t xml:space="preserve"> effective vaccination coverage</w:t>
      </w:r>
      <w:r>
        <w:rPr>
          <w:rFonts w:asciiTheme="majorBidi" w:hAnsiTheme="majorBidi" w:cstheme="majorBidi"/>
          <w:color w:val="000000"/>
        </w:rPr>
        <w:t xml:space="preserve"> level</w:t>
      </w:r>
      <w:r w:rsidRPr="00BE0FA3">
        <w:rPr>
          <w:rFonts w:asciiTheme="majorBidi" w:hAnsiTheme="majorBidi" w:cstheme="majorBidi"/>
          <w:color w:val="000000"/>
        </w:rPr>
        <w:t>. The addition to the proportion of the infected high-risk</w:t>
      </w:r>
      <w:r>
        <w:rPr>
          <w:rFonts w:asciiTheme="majorBidi" w:hAnsiTheme="majorBidi" w:cstheme="majorBidi"/>
          <w:color w:val="000000"/>
        </w:rPr>
        <w:t xml:space="preserve"> individuals</w:t>
      </w:r>
      <w:r w:rsidRPr="00BE0FA3">
        <w:rPr>
          <w:rFonts w:asciiTheme="majorBidi" w:hAnsiTheme="majorBidi" w:cstheme="majorBidi"/>
          <w:color w:val="000000"/>
        </w:rPr>
        <w:t xml:space="preserve"> treated on the second day was done by shifting first the individuals who were treated ineffectively (more than 72 hours </w:t>
      </w:r>
      <w:r>
        <w:rPr>
          <w:rFonts w:asciiTheme="majorBidi" w:hAnsiTheme="majorBidi" w:cstheme="majorBidi"/>
          <w:color w:val="000000"/>
        </w:rPr>
        <w:t>after</w:t>
      </w:r>
      <w:r w:rsidRPr="00BE0FA3">
        <w:rPr>
          <w:rFonts w:asciiTheme="majorBidi" w:hAnsiTheme="majorBidi" w:cstheme="majorBidi"/>
          <w:color w:val="000000"/>
        </w:rPr>
        <w:t xml:space="preserve"> </w:t>
      </w:r>
      <w:r>
        <w:rPr>
          <w:color w:val="000000"/>
        </w:rPr>
        <w:t>symptom</w:t>
      </w:r>
      <w:r w:rsidRPr="00BE0FA3">
        <w:rPr>
          <w:rFonts w:asciiTheme="majorBidi" w:hAnsiTheme="majorBidi" w:cstheme="majorBidi"/>
          <w:color w:val="000000"/>
        </w:rPr>
        <w:t xml:space="preserve"> onset), followed by the individuals who were treated on the third day. The number of additional cases and hospitalizations averted </w:t>
      </w:r>
      <w:r>
        <w:rPr>
          <w:rFonts w:asciiTheme="majorBidi" w:hAnsiTheme="majorBidi" w:cstheme="majorBidi"/>
          <w:color w:val="000000"/>
        </w:rPr>
        <w:t>was reported</w:t>
      </w:r>
      <w:r w:rsidRPr="00BE0FA3">
        <w:rPr>
          <w:rFonts w:asciiTheme="majorBidi" w:hAnsiTheme="majorBidi" w:cstheme="majorBidi"/>
          <w:color w:val="000000"/>
        </w:rPr>
        <w:t xml:space="preserve"> relative to the baseline scenario.</w:t>
      </w:r>
    </w:p>
    <w:p w14:paraId="056D1A82" w14:textId="77777777" w:rsidR="00285089" w:rsidRDefault="00285089" w:rsidP="00285089">
      <w:pPr>
        <w:pStyle w:val="NormalWeb"/>
        <w:spacing w:before="0" w:beforeAutospacing="0" w:after="0" w:afterAutospacing="0" w:line="360" w:lineRule="auto"/>
        <w:jc w:val="both"/>
        <w:rPr>
          <w:rFonts w:asciiTheme="majorBidi" w:hAnsiTheme="majorBidi" w:cstheme="majorBidi"/>
          <w:color w:val="000000"/>
        </w:rPr>
      </w:pPr>
    </w:p>
    <w:p w14:paraId="459EA1AD" w14:textId="77777777" w:rsidR="00285089" w:rsidRPr="0036764E" w:rsidRDefault="00285089" w:rsidP="00285089">
      <w:pPr>
        <w:pStyle w:val="NormalWeb"/>
        <w:spacing w:before="0" w:beforeAutospacing="0" w:after="0" w:afterAutospacing="0" w:line="360" w:lineRule="auto"/>
        <w:jc w:val="both"/>
        <w:rPr>
          <w:rFonts w:asciiTheme="majorBidi" w:hAnsiTheme="majorBidi" w:cstheme="majorBidi"/>
          <w:color w:val="000000"/>
        </w:rPr>
      </w:pPr>
      <w:r w:rsidRPr="0071644C">
        <w:rPr>
          <w:rFonts w:asciiTheme="majorBidi" w:hAnsiTheme="majorBidi" w:cstheme="majorBidi"/>
        </w:rPr>
        <w:t>For sensitivity analys</w:t>
      </w:r>
      <w:r>
        <w:rPr>
          <w:rFonts w:asciiTheme="majorBidi" w:hAnsiTheme="majorBidi" w:cstheme="majorBidi"/>
        </w:rPr>
        <w:t>es</w:t>
      </w:r>
      <w:r w:rsidRPr="0071644C">
        <w:rPr>
          <w:rFonts w:asciiTheme="majorBidi" w:hAnsiTheme="majorBidi" w:cstheme="majorBidi"/>
        </w:rPr>
        <w:t>, we examined the effect of effective vaccination coverage on the number</w:t>
      </w:r>
      <w:r>
        <w:rPr>
          <w:rFonts w:asciiTheme="majorBidi" w:hAnsiTheme="majorBidi" w:cstheme="majorBidi"/>
        </w:rPr>
        <w:t>s</w:t>
      </w:r>
      <w:r w:rsidRPr="0071644C">
        <w:rPr>
          <w:rFonts w:asciiTheme="majorBidi" w:hAnsiTheme="majorBidi" w:cstheme="majorBidi"/>
        </w:rPr>
        <w:t xml:space="preserve"> of additional cases and hospitalizations averted. We increased and </w:t>
      </w:r>
      <w:r>
        <w:t>decreased</w:t>
      </w:r>
      <w:r w:rsidRPr="0071644C">
        <w:rPr>
          <w:rFonts w:asciiTheme="majorBidi" w:hAnsiTheme="majorBidi" w:cstheme="majorBidi"/>
        </w:rPr>
        <w:t xml:space="preserve"> the state</w:t>
      </w:r>
      <w:r>
        <w:rPr>
          <w:rFonts w:asciiTheme="majorBidi" w:hAnsiTheme="majorBidi" w:cstheme="majorBidi"/>
        </w:rPr>
        <w:t>'</w:t>
      </w:r>
      <w:r w:rsidRPr="0071644C">
        <w:rPr>
          <w:rFonts w:asciiTheme="majorBidi" w:hAnsiTheme="majorBidi" w:cstheme="majorBidi"/>
        </w:rPr>
        <w:t>s mean vaccination coverage by 10%</w:t>
      </w:r>
      <w:r>
        <w:t xml:space="preserve"> and 20%, respectively</w:t>
      </w:r>
      <w:r w:rsidRPr="0071644C">
        <w:rPr>
          <w:rFonts w:asciiTheme="majorBidi" w:hAnsiTheme="majorBidi" w:cstheme="majorBidi"/>
        </w:rPr>
        <w:t>.</w:t>
      </w:r>
    </w:p>
    <w:p w14:paraId="71AD4961" w14:textId="77777777" w:rsidR="00285089" w:rsidRPr="00D75061" w:rsidRDefault="00285089" w:rsidP="00285089">
      <w:pPr>
        <w:spacing w:after="137" w:line="360" w:lineRule="auto"/>
        <w:jc w:val="both"/>
        <w:rPr>
          <w:rFonts w:asciiTheme="majorBidi" w:hAnsiTheme="majorBidi" w:cstheme="majorBidi"/>
        </w:rPr>
      </w:pPr>
    </w:p>
    <w:p w14:paraId="1FE4FEC8" w14:textId="77777777" w:rsidR="00285089" w:rsidRPr="00D75061" w:rsidRDefault="00285089" w:rsidP="00285089">
      <w:pPr>
        <w:spacing w:line="360" w:lineRule="auto"/>
        <w:jc w:val="both"/>
        <w:rPr>
          <w:rFonts w:asciiTheme="majorBidi" w:hAnsiTheme="majorBidi" w:cstheme="majorBidi"/>
          <w:i/>
          <w:iCs/>
          <w:sz w:val="24"/>
          <w:szCs w:val="24"/>
        </w:rPr>
      </w:pPr>
      <w:r w:rsidRPr="00D75061">
        <w:rPr>
          <w:rFonts w:asciiTheme="majorBidi" w:hAnsiTheme="majorBidi" w:cstheme="majorBidi"/>
          <w:i/>
          <w:iCs/>
          <w:sz w:val="24"/>
          <w:szCs w:val="24"/>
        </w:rPr>
        <w:t>Main text Fig. 3</w:t>
      </w:r>
    </w:p>
    <w:p w14:paraId="2F0F11E7" w14:textId="77777777" w:rsidR="00285089" w:rsidRDefault="00285089" w:rsidP="00285089">
      <w:pPr>
        <w:spacing w:line="360" w:lineRule="auto"/>
        <w:jc w:val="both"/>
        <w:rPr>
          <w:rFonts w:asciiTheme="majorBidi" w:hAnsiTheme="majorBidi" w:cstheme="majorBidi"/>
          <w:sz w:val="24"/>
          <w:szCs w:val="24"/>
        </w:rPr>
      </w:pPr>
      <w:r w:rsidRPr="0088466A">
        <w:rPr>
          <w:rFonts w:asciiTheme="majorBidi" w:hAnsiTheme="majorBidi" w:cstheme="majorBidi"/>
          <w:sz w:val="24"/>
          <w:szCs w:val="24"/>
        </w:rPr>
        <w:t>We estimated the number</w:t>
      </w:r>
      <w:r>
        <w:rPr>
          <w:rFonts w:asciiTheme="majorBidi" w:hAnsiTheme="majorBidi" w:cstheme="majorBidi"/>
          <w:sz w:val="24"/>
          <w:szCs w:val="24"/>
        </w:rPr>
        <w:t>s</w:t>
      </w:r>
      <w:r w:rsidRPr="0088466A">
        <w:rPr>
          <w:rFonts w:asciiTheme="majorBidi" w:hAnsiTheme="majorBidi" w:cstheme="majorBidi"/>
          <w:sz w:val="24"/>
          <w:szCs w:val="24"/>
        </w:rPr>
        <w:t xml:space="preserve"> of additional cases and hospitalizations averted </w:t>
      </w:r>
      <w:r>
        <w:rPr>
          <w:rFonts w:asciiTheme="majorBidi" w:hAnsiTheme="majorBidi" w:cstheme="majorBidi"/>
          <w:sz w:val="24"/>
          <w:szCs w:val="24"/>
        </w:rPr>
        <w:t>by</w:t>
      </w:r>
      <w:r w:rsidRPr="0088466A">
        <w:rPr>
          <w:rFonts w:asciiTheme="majorBidi" w:hAnsiTheme="majorBidi" w:cstheme="majorBidi"/>
          <w:sz w:val="24"/>
          <w:szCs w:val="24"/>
        </w:rPr>
        <w:t xml:space="preserve"> increasing the treatment coverage of high-risk patients</w:t>
      </w:r>
      <w:r>
        <w:rPr>
          <w:rFonts w:asciiTheme="majorBidi" w:hAnsiTheme="majorBidi" w:cstheme="majorBidi"/>
          <w:sz w:val="24"/>
          <w:szCs w:val="24"/>
        </w:rPr>
        <w:t>,</w:t>
      </w:r>
      <w:r w:rsidRPr="0088466A">
        <w:rPr>
          <w:rFonts w:asciiTheme="majorBidi" w:hAnsiTheme="majorBidi" w:cstheme="majorBidi"/>
          <w:sz w:val="24"/>
          <w:szCs w:val="24"/>
        </w:rPr>
        <w:t xml:space="preserve"> </w:t>
      </w:r>
      <w:proofErr w:type="gramStart"/>
      <w:r w:rsidRPr="0088466A">
        <w:rPr>
          <w:rFonts w:asciiTheme="majorBidi" w:hAnsiTheme="majorBidi" w:cstheme="majorBidi"/>
          <w:sz w:val="24"/>
          <w:szCs w:val="24"/>
        </w:rPr>
        <w:t>assuming that</w:t>
      </w:r>
      <w:proofErr w:type="gramEnd"/>
      <w:r w:rsidRPr="0088466A">
        <w:rPr>
          <w:rFonts w:asciiTheme="majorBidi" w:hAnsiTheme="majorBidi" w:cstheme="majorBidi"/>
          <w:sz w:val="24"/>
          <w:szCs w:val="24"/>
        </w:rPr>
        <w:t xml:space="preserve"> all treated patients receive</w:t>
      </w:r>
      <w:r>
        <w:rPr>
          <w:rFonts w:asciiTheme="majorBidi" w:hAnsiTheme="majorBidi" w:cstheme="majorBidi"/>
          <w:sz w:val="24"/>
          <w:szCs w:val="24"/>
        </w:rPr>
        <w:t>d</w:t>
      </w:r>
      <w:r w:rsidRPr="0088466A">
        <w:rPr>
          <w:rFonts w:asciiTheme="majorBidi" w:hAnsiTheme="majorBidi" w:cstheme="majorBidi"/>
          <w:sz w:val="24"/>
          <w:szCs w:val="24"/>
        </w:rPr>
        <w:t xml:space="preserve"> treatment within 48 hours </w:t>
      </w:r>
      <w:r>
        <w:rPr>
          <w:rFonts w:asciiTheme="majorBidi" w:hAnsiTheme="majorBidi" w:cstheme="majorBidi"/>
          <w:sz w:val="24"/>
          <w:szCs w:val="24"/>
        </w:rPr>
        <w:t>after</w:t>
      </w:r>
      <w:r w:rsidRPr="0088466A">
        <w:rPr>
          <w:rFonts w:asciiTheme="majorBidi" w:hAnsiTheme="majorBidi" w:cstheme="majorBidi"/>
          <w:sz w:val="24"/>
          <w:szCs w:val="24"/>
        </w:rPr>
        <w:t xml:space="preserve"> </w:t>
      </w:r>
      <w:r>
        <w:rPr>
          <w:rFonts w:ascii="Times New Roman" w:eastAsia="Calibri" w:hAnsi="Times New Roman" w:cs="Times New Roman"/>
          <w:sz w:val="24"/>
          <w:szCs w:val="24"/>
        </w:rPr>
        <w:t>symptom</w:t>
      </w:r>
      <w:r w:rsidRPr="0088466A">
        <w:rPr>
          <w:rFonts w:asciiTheme="majorBidi" w:hAnsiTheme="majorBidi" w:cstheme="majorBidi"/>
          <w:sz w:val="24"/>
          <w:szCs w:val="24"/>
        </w:rPr>
        <w:t xml:space="preserve"> onset. To assess the benefit in terms of cases and hospitalizations averted, we ran the model with treatment coverage varying from 10%-30% for each season and state using the state</w:t>
      </w:r>
      <w:r>
        <w:rPr>
          <w:rFonts w:asciiTheme="majorBidi" w:hAnsiTheme="majorBidi" w:cstheme="majorBidi"/>
          <w:sz w:val="24"/>
          <w:szCs w:val="24"/>
        </w:rPr>
        <w:t>'</w:t>
      </w:r>
      <w:r w:rsidRPr="0088466A">
        <w:rPr>
          <w:rFonts w:asciiTheme="majorBidi" w:hAnsiTheme="majorBidi" w:cstheme="majorBidi"/>
          <w:sz w:val="24"/>
          <w:szCs w:val="24"/>
        </w:rPr>
        <w:t>s average effective vaccination coverage.</w:t>
      </w:r>
    </w:p>
    <w:p w14:paraId="702E9D30" w14:textId="77777777" w:rsidR="00285089" w:rsidRDefault="00285089" w:rsidP="00285089">
      <w:pPr>
        <w:spacing w:line="360" w:lineRule="auto"/>
        <w:jc w:val="both"/>
        <w:rPr>
          <w:rFonts w:asciiTheme="majorBidi" w:hAnsiTheme="majorBidi" w:cstheme="majorBidi"/>
          <w:i/>
          <w:iCs/>
          <w:sz w:val="24"/>
          <w:szCs w:val="24"/>
        </w:rPr>
      </w:pPr>
      <w:r w:rsidRPr="0071644C">
        <w:rPr>
          <w:rFonts w:asciiTheme="majorBidi" w:hAnsiTheme="majorBidi" w:cstheme="majorBidi"/>
          <w:sz w:val="24"/>
          <w:szCs w:val="24"/>
        </w:rPr>
        <w:t xml:space="preserve">For sensitivity analysis, we examined the effect of effective vaccination coverage on the number of additional cases and hospitalizations averted. We increased and </w:t>
      </w:r>
      <w:r>
        <w:rPr>
          <w:rFonts w:ascii="Times New Roman" w:eastAsia="Calibri" w:hAnsi="Times New Roman" w:cs="Times New Roman"/>
          <w:sz w:val="24"/>
          <w:szCs w:val="24"/>
        </w:rPr>
        <w:t>decreased</w:t>
      </w:r>
      <w:r w:rsidRPr="0071644C">
        <w:rPr>
          <w:rFonts w:asciiTheme="majorBidi" w:hAnsiTheme="majorBidi" w:cstheme="majorBidi"/>
          <w:sz w:val="24"/>
          <w:szCs w:val="24"/>
        </w:rPr>
        <w:t xml:space="preserve"> the state</w:t>
      </w:r>
      <w:r>
        <w:rPr>
          <w:rFonts w:asciiTheme="majorBidi" w:hAnsiTheme="majorBidi" w:cstheme="majorBidi"/>
          <w:sz w:val="24"/>
          <w:szCs w:val="24"/>
        </w:rPr>
        <w:t>'</w:t>
      </w:r>
      <w:r w:rsidRPr="0071644C">
        <w:rPr>
          <w:rFonts w:asciiTheme="majorBidi" w:hAnsiTheme="majorBidi" w:cstheme="majorBidi"/>
          <w:sz w:val="24"/>
          <w:szCs w:val="24"/>
        </w:rPr>
        <w:t>s mean vaccination coverage by 10%</w:t>
      </w:r>
      <w:r>
        <w:rPr>
          <w:rFonts w:ascii="Times New Roman" w:eastAsia="Calibri" w:hAnsi="Times New Roman" w:cs="Times New Roman"/>
          <w:sz w:val="24"/>
          <w:szCs w:val="24"/>
        </w:rPr>
        <w:t xml:space="preserve"> and 20%, respectively</w:t>
      </w:r>
      <w:r w:rsidRPr="0071644C">
        <w:rPr>
          <w:rFonts w:asciiTheme="majorBidi" w:hAnsiTheme="majorBidi" w:cstheme="majorBidi"/>
          <w:sz w:val="24"/>
          <w:szCs w:val="24"/>
        </w:rPr>
        <w:t>.</w:t>
      </w:r>
    </w:p>
    <w:p w14:paraId="47512536" w14:textId="77777777" w:rsidR="00285089" w:rsidRPr="00D75061" w:rsidRDefault="00285089" w:rsidP="00285089">
      <w:pPr>
        <w:spacing w:line="360" w:lineRule="auto"/>
        <w:jc w:val="both"/>
        <w:rPr>
          <w:rFonts w:asciiTheme="majorBidi" w:hAnsiTheme="majorBidi" w:cstheme="majorBidi"/>
          <w:i/>
          <w:iCs/>
          <w:sz w:val="24"/>
          <w:szCs w:val="24"/>
        </w:rPr>
      </w:pPr>
      <w:r w:rsidRPr="00D75061">
        <w:rPr>
          <w:rFonts w:asciiTheme="majorBidi" w:hAnsiTheme="majorBidi" w:cstheme="majorBidi"/>
          <w:i/>
          <w:iCs/>
          <w:sz w:val="24"/>
          <w:szCs w:val="24"/>
        </w:rPr>
        <w:t>Main text Fig. 4</w:t>
      </w:r>
    </w:p>
    <w:p w14:paraId="0F0D5C51" w14:textId="77777777" w:rsidR="00285089" w:rsidRDefault="00285089" w:rsidP="00285089">
      <w:pPr>
        <w:spacing w:line="360" w:lineRule="auto"/>
        <w:jc w:val="both"/>
        <w:rPr>
          <w:rFonts w:asciiTheme="majorBidi" w:hAnsiTheme="majorBidi" w:cstheme="majorBidi"/>
          <w:sz w:val="24"/>
          <w:szCs w:val="24"/>
        </w:rPr>
      </w:pPr>
      <w:r w:rsidRPr="0088466A">
        <w:rPr>
          <w:rFonts w:asciiTheme="majorBidi" w:hAnsiTheme="majorBidi" w:cstheme="majorBidi"/>
          <w:sz w:val="24"/>
          <w:szCs w:val="24"/>
        </w:rPr>
        <w:t xml:space="preserve">To estimate </w:t>
      </w:r>
      <w:r>
        <w:rPr>
          <w:rFonts w:asciiTheme="majorBidi" w:hAnsiTheme="majorBidi" w:cstheme="majorBidi"/>
          <w:sz w:val="24"/>
          <w:szCs w:val="24"/>
        </w:rPr>
        <w:t xml:space="preserve">the </w:t>
      </w:r>
      <w:r w:rsidRPr="0088466A">
        <w:rPr>
          <w:rFonts w:asciiTheme="majorBidi" w:hAnsiTheme="majorBidi" w:cstheme="majorBidi"/>
          <w:sz w:val="24"/>
          <w:szCs w:val="24"/>
        </w:rPr>
        <w:t xml:space="preserve">cases and hospitalizations averted per </w:t>
      </w:r>
      <w:r>
        <w:rPr>
          <w:rFonts w:asciiTheme="majorBidi" w:hAnsiTheme="majorBidi" w:cstheme="majorBidi"/>
          <w:sz w:val="24"/>
          <w:szCs w:val="24"/>
        </w:rPr>
        <w:t>person treated</w:t>
      </w:r>
      <w:r w:rsidRPr="0088466A">
        <w:rPr>
          <w:rFonts w:asciiTheme="majorBidi" w:hAnsiTheme="majorBidi" w:cstheme="majorBidi"/>
          <w:sz w:val="24"/>
          <w:szCs w:val="24"/>
        </w:rPr>
        <w:t xml:space="preserve"> for each age</w:t>
      </w:r>
      <w:r>
        <w:rPr>
          <w:rFonts w:ascii="Times New Roman" w:eastAsia="Calibri" w:hAnsi="Times New Roman" w:cs="Times New Roman"/>
          <w:sz w:val="24"/>
          <w:szCs w:val="24"/>
        </w:rPr>
        <w:t xml:space="preserve"> </w:t>
      </w:r>
      <w:r w:rsidRPr="0088466A">
        <w:rPr>
          <w:rFonts w:asciiTheme="majorBidi" w:hAnsiTheme="majorBidi" w:cstheme="majorBidi"/>
          <w:sz w:val="24"/>
          <w:szCs w:val="24"/>
        </w:rPr>
        <w:t xml:space="preserve">group, we </w:t>
      </w:r>
      <w:proofErr w:type="spellStart"/>
      <w:r w:rsidRPr="0088466A">
        <w:rPr>
          <w:rFonts w:asciiTheme="majorBidi" w:hAnsiTheme="majorBidi" w:cstheme="majorBidi"/>
          <w:sz w:val="24"/>
          <w:szCs w:val="24"/>
        </w:rPr>
        <w:t>analy</w:t>
      </w:r>
      <w:r>
        <w:rPr>
          <w:rFonts w:asciiTheme="majorBidi" w:hAnsiTheme="majorBidi" w:cstheme="majorBidi"/>
          <w:sz w:val="24"/>
          <w:szCs w:val="24"/>
        </w:rPr>
        <w:t>z</w:t>
      </w:r>
      <w:r w:rsidRPr="0088466A">
        <w:rPr>
          <w:rFonts w:asciiTheme="majorBidi" w:hAnsiTheme="majorBidi" w:cstheme="majorBidi"/>
          <w:sz w:val="24"/>
          <w:szCs w:val="24"/>
        </w:rPr>
        <w:t>ed</w:t>
      </w:r>
      <w:proofErr w:type="spellEnd"/>
      <w:r w:rsidRPr="0088466A">
        <w:rPr>
          <w:rFonts w:asciiTheme="majorBidi" w:hAnsiTheme="majorBidi" w:cstheme="majorBidi"/>
          <w:sz w:val="24"/>
          <w:szCs w:val="24"/>
        </w:rPr>
        <w:t xml:space="preserve"> the scenario in which all the infected individuals at high</w:t>
      </w:r>
      <w:r>
        <w:rPr>
          <w:rFonts w:ascii="Times New Roman" w:eastAsia="Calibri" w:hAnsi="Times New Roman" w:cs="Times New Roman"/>
          <w:sz w:val="24"/>
          <w:szCs w:val="24"/>
        </w:rPr>
        <w:t xml:space="preserve"> </w:t>
      </w:r>
      <w:r w:rsidRPr="0088466A">
        <w:rPr>
          <w:rFonts w:asciiTheme="majorBidi" w:hAnsiTheme="majorBidi" w:cstheme="majorBidi"/>
          <w:sz w:val="24"/>
          <w:szCs w:val="24"/>
        </w:rPr>
        <w:t>risk in the examined age</w:t>
      </w:r>
      <w:r>
        <w:rPr>
          <w:rFonts w:ascii="Times New Roman" w:eastAsia="Calibri" w:hAnsi="Times New Roman" w:cs="Times New Roman"/>
          <w:sz w:val="24"/>
          <w:szCs w:val="24"/>
        </w:rPr>
        <w:t xml:space="preserve"> </w:t>
      </w:r>
      <w:r w:rsidRPr="0088466A">
        <w:rPr>
          <w:rFonts w:asciiTheme="majorBidi" w:hAnsiTheme="majorBidi" w:cstheme="majorBidi"/>
          <w:sz w:val="24"/>
          <w:szCs w:val="24"/>
        </w:rPr>
        <w:t xml:space="preserve">group </w:t>
      </w:r>
      <w:r>
        <w:rPr>
          <w:rFonts w:ascii="Times New Roman" w:eastAsia="Calibri" w:hAnsi="Times New Roman" w:cs="Times New Roman"/>
          <w:sz w:val="24"/>
          <w:szCs w:val="24"/>
        </w:rPr>
        <w:t>received</w:t>
      </w:r>
      <w:r w:rsidRPr="0088466A">
        <w:rPr>
          <w:rFonts w:asciiTheme="majorBidi" w:hAnsiTheme="majorBidi" w:cstheme="majorBidi"/>
          <w:sz w:val="24"/>
          <w:szCs w:val="24"/>
        </w:rPr>
        <w:t xml:space="preserve"> treatment within 48 hours </w:t>
      </w:r>
      <w:r>
        <w:rPr>
          <w:rFonts w:asciiTheme="majorBidi" w:hAnsiTheme="majorBidi" w:cstheme="majorBidi"/>
          <w:sz w:val="24"/>
          <w:szCs w:val="24"/>
        </w:rPr>
        <w:t>after</w:t>
      </w:r>
      <w:r w:rsidRPr="0088466A">
        <w:rPr>
          <w:rFonts w:asciiTheme="majorBidi" w:hAnsiTheme="majorBidi" w:cstheme="majorBidi"/>
          <w:sz w:val="24"/>
          <w:szCs w:val="24"/>
        </w:rPr>
        <w:t xml:space="preserve"> </w:t>
      </w:r>
      <w:r>
        <w:rPr>
          <w:rFonts w:ascii="Times New Roman" w:eastAsia="Calibri" w:hAnsi="Times New Roman" w:cs="Times New Roman"/>
          <w:sz w:val="24"/>
          <w:szCs w:val="24"/>
        </w:rPr>
        <w:t>symptom</w:t>
      </w:r>
      <w:r w:rsidRPr="0088466A">
        <w:rPr>
          <w:rFonts w:asciiTheme="majorBidi" w:hAnsiTheme="majorBidi" w:cstheme="majorBidi"/>
          <w:sz w:val="24"/>
          <w:szCs w:val="24"/>
        </w:rPr>
        <w:t xml:space="preserve"> onset. For the rest of the age</w:t>
      </w:r>
      <w:r>
        <w:rPr>
          <w:rFonts w:ascii="Times New Roman" w:eastAsia="Calibri" w:hAnsi="Times New Roman" w:cs="Times New Roman"/>
          <w:sz w:val="24"/>
          <w:szCs w:val="24"/>
        </w:rPr>
        <w:t xml:space="preserve"> </w:t>
      </w:r>
      <w:r w:rsidRPr="0088466A">
        <w:rPr>
          <w:rFonts w:asciiTheme="majorBidi" w:hAnsiTheme="majorBidi" w:cstheme="majorBidi"/>
          <w:sz w:val="24"/>
          <w:szCs w:val="24"/>
        </w:rPr>
        <w:t xml:space="preserve">groups, we set the </w:t>
      </w:r>
      <w:r>
        <w:rPr>
          <w:rFonts w:asciiTheme="majorBidi" w:hAnsiTheme="majorBidi" w:cstheme="majorBidi"/>
          <w:sz w:val="24"/>
          <w:szCs w:val="24"/>
        </w:rPr>
        <w:t>timing</w:t>
      </w:r>
      <w:r w:rsidRPr="0088466A">
        <w:rPr>
          <w:rFonts w:asciiTheme="majorBidi" w:hAnsiTheme="majorBidi" w:cstheme="majorBidi"/>
          <w:sz w:val="24"/>
          <w:szCs w:val="24"/>
        </w:rPr>
        <w:t xml:space="preserve"> of </w:t>
      </w:r>
      <w:r>
        <w:rPr>
          <w:rFonts w:asciiTheme="majorBidi" w:hAnsiTheme="majorBidi" w:cstheme="majorBidi"/>
          <w:sz w:val="24"/>
          <w:szCs w:val="24"/>
        </w:rPr>
        <w:t xml:space="preserve">the </w:t>
      </w:r>
      <w:r w:rsidRPr="0088466A">
        <w:rPr>
          <w:rFonts w:asciiTheme="majorBidi" w:hAnsiTheme="majorBidi" w:cstheme="majorBidi"/>
          <w:sz w:val="24"/>
          <w:szCs w:val="24"/>
        </w:rPr>
        <w:t>initiati</w:t>
      </w:r>
      <w:r>
        <w:rPr>
          <w:rFonts w:asciiTheme="majorBidi" w:hAnsiTheme="majorBidi" w:cstheme="majorBidi"/>
          <w:sz w:val="24"/>
          <w:szCs w:val="24"/>
        </w:rPr>
        <w:t>on of</w:t>
      </w:r>
      <w:r w:rsidRPr="0088466A">
        <w:rPr>
          <w:rFonts w:asciiTheme="majorBidi" w:hAnsiTheme="majorBidi" w:cstheme="majorBidi"/>
          <w:sz w:val="24"/>
          <w:szCs w:val="24"/>
        </w:rPr>
        <w:t xml:space="preserve"> treatment to 48 hours </w:t>
      </w:r>
      <w:r>
        <w:rPr>
          <w:rFonts w:asciiTheme="majorBidi" w:hAnsiTheme="majorBidi" w:cstheme="majorBidi"/>
          <w:sz w:val="24"/>
          <w:szCs w:val="24"/>
        </w:rPr>
        <w:t>after</w:t>
      </w:r>
      <w:r w:rsidRPr="0088466A">
        <w:rPr>
          <w:rFonts w:asciiTheme="majorBidi" w:hAnsiTheme="majorBidi" w:cstheme="majorBidi"/>
          <w:sz w:val="24"/>
          <w:szCs w:val="24"/>
        </w:rPr>
        <w:t xml:space="preserve"> </w:t>
      </w:r>
      <w:r>
        <w:rPr>
          <w:rFonts w:ascii="Times New Roman" w:eastAsia="Calibri" w:hAnsi="Times New Roman" w:cs="Times New Roman"/>
          <w:sz w:val="24"/>
          <w:szCs w:val="24"/>
        </w:rPr>
        <w:t>symptom</w:t>
      </w:r>
      <w:r w:rsidRPr="0088466A">
        <w:rPr>
          <w:rFonts w:asciiTheme="majorBidi" w:hAnsiTheme="majorBidi" w:cstheme="majorBidi"/>
          <w:sz w:val="24"/>
          <w:szCs w:val="24"/>
        </w:rPr>
        <w:t xml:space="preserve"> onset without changing the baseline treatment coverage.</w:t>
      </w:r>
    </w:p>
    <w:p w14:paraId="0E9B3EC9" w14:textId="77777777" w:rsidR="00285089" w:rsidRPr="00AC52E1" w:rsidRDefault="00285089" w:rsidP="00285089">
      <w:pPr>
        <w:spacing w:line="360" w:lineRule="auto"/>
        <w:jc w:val="both"/>
        <w:rPr>
          <w:rFonts w:asciiTheme="majorBidi" w:hAnsiTheme="majorBidi" w:cstheme="majorBidi"/>
          <w:i/>
          <w:iCs/>
          <w:sz w:val="24"/>
          <w:szCs w:val="24"/>
        </w:rPr>
      </w:pPr>
      <w:r w:rsidRPr="00AC52E1">
        <w:rPr>
          <w:rFonts w:asciiTheme="majorBidi" w:hAnsiTheme="majorBidi" w:cstheme="majorBidi"/>
          <w:i/>
          <w:iCs/>
          <w:sz w:val="24"/>
          <w:szCs w:val="24"/>
        </w:rPr>
        <w:lastRenderedPageBreak/>
        <w:t>Main text Fig. 5</w:t>
      </w:r>
    </w:p>
    <w:p w14:paraId="74C450B3" w14:textId="77777777" w:rsidR="00285089" w:rsidRPr="00AC52E1" w:rsidRDefault="00285089" w:rsidP="00285089">
      <w:pPr>
        <w:spacing w:line="360" w:lineRule="auto"/>
        <w:jc w:val="both"/>
        <w:rPr>
          <w:rFonts w:asciiTheme="majorBidi" w:hAnsiTheme="majorBidi" w:cstheme="majorBidi"/>
          <w:i/>
          <w:iCs/>
          <w:sz w:val="24"/>
          <w:szCs w:val="24"/>
        </w:rPr>
      </w:pPr>
      <w:r w:rsidRPr="00AC52E1">
        <w:rPr>
          <w:rFonts w:asciiTheme="majorBidi" w:hAnsiTheme="majorBidi" w:cstheme="majorBidi"/>
          <w:sz w:val="24"/>
          <w:szCs w:val="24"/>
        </w:rPr>
        <w:t xml:space="preserve">We conducted two-way sensitivity analyses to investigate the mutual impact of seasonal attack rate and vaccination coverage in each state on the number of cases averted per </w:t>
      </w:r>
      <w:r>
        <w:rPr>
          <w:rFonts w:asciiTheme="majorBidi" w:hAnsiTheme="majorBidi" w:cstheme="majorBidi"/>
          <w:sz w:val="24"/>
          <w:szCs w:val="24"/>
        </w:rPr>
        <w:t>person treated</w:t>
      </w:r>
      <w:r w:rsidRPr="00AC52E1">
        <w:rPr>
          <w:rFonts w:asciiTheme="majorBidi" w:hAnsiTheme="majorBidi" w:cstheme="majorBidi"/>
          <w:sz w:val="24"/>
          <w:szCs w:val="24"/>
        </w:rPr>
        <w:t xml:space="preserve">. We ran the model with varying </w:t>
      </w:r>
      <w:r w:rsidRPr="00AC52E1">
        <w:rPr>
          <w:rFonts w:ascii="Times New Roman" w:eastAsia="Calibri" w:hAnsi="Times New Roman" w:cs="Times New Roman"/>
          <w:sz w:val="24"/>
          <w:szCs w:val="24"/>
        </w:rPr>
        <w:t>proportions</w:t>
      </w:r>
      <w:r w:rsidRPr="00AC52E1">
        <w:rPr>
          <w:rFonts w:asciiTheme="majorBidi" w:hAnsiTheme="majorBidi" w:cstheme="majorBidi"/>
          <w:sz w:val="24"/>
          <w:szCs w:val="24"/>
        </w:rPr>
        <w:t xml:space="preserve"> of infected high-risk </w:t>
      </w:r>
      <w:r w:rsidRPr="00AC52E1">
        <w:rPr>
          <w:rFonts w:ascii="Times New Roman" w:eastAsia="Calibri" w:hAnsi="Times New Roman" w:cs="Times New Roman"/>
          <w:sz w:val="24"/>
          <w:szCs w:val="24"/>
        </w:rPr>
        <w:t xml:space="preserve">individuals </w:t>
      </w:r>
      <w:r w:rsidRPr="00AC52E1">
        <w:rPr>
          <w:rFonts w:asciiTheme="majorBidi" w:hAnsiTheme="majorBidi" w:cstheme="majorBidi"/>
          <w:sz w:val="24"/>
          <w:szCs w:val="24"/>
        </w:rPr>
        <w:t xml:space="preserve">who </w:t>
      </w:r>
      <w:r w:rsidRPr="00AC52E1">
        <w:rPr>
          <w:rFonts w:ascii="Times New Roman" w:eastAsia="Calibri" w:hAnsi="Times New Roman" w:cs="Times New Roman"/>
          <w:sz w:val="24"/>
          <w:szCs w:val="24"/>
        </w:rPr>
        <w:t>sought</w:t>
      </w:r>
      <w:r w:rsidRPr="00AC52E1">
        <w:rPr>
          <w:rFonts w:asciiTheme="majorBidi" w:hAnsiTheme="majorBidi" w:cstheme="majorBidi"/>
          <w:sz w:val="24"/>
          <w:szCs w:val="24"/>
        </w:rPr>
        <w:t xml:space="preserve"> care and </w:t>
      </w:r>
      <w:r w:rsidRPr="00AC52E1">
        <w:rPr>
          <w:rFonts w:ascii="Times New Roman" w:eastAsia="Calibri" w:hAnsi="Times New Roman" w:cs="Times New Roman"/>
          <w:sz w:val="24"/>
          <w:szCs w:val="24"/>
        </w:rPr>
        <w:t>were</w:t>
      </w:r>
      <w:r w:rsidRPr="00AC52E1">
        <w:rPr>
          <w:rFonts w:asciiTheme="majorBidi" w:hAnsiTheme="majorBidi" w:cstheme="majorBidi"/>
          <w:sz w:val="24"/>
          <w:szCs w:val="24"/>
        </w:rPr>
        <w:t xml:space="preserve"> treated within 48 hours after </w:t>
      </w:r>
      <w:r w:rsidRPr="00AC52E1">
        <w:rPr>
          <w:rFonts w:ascii="Times New Roman" w:eastAsia="Calibri" w:hAnsi="Times New Roman" w:cs="Times New Roman"/>
          <w:sz w:val="24"/>
          <w:szCs w:val="24"/>
        </w:rPr>
        <w:t>symptom</w:t>
      </w:r>
      <w:r w:rsidRPr="00AC52E1">
        <w:rPr>
          <w:rFonts w:asciiTheme="majorBidi" w:hAnsiTheme="majorBidi" w:cstheme="majorBidi"/>
          <w:sz w:val="24"/>
          <w:szCs w:val="24"/>
        </w:rPr>
        <w:t xml:space="preserve"> onset from 10%-30% while increasing and decreasing the state's average effective vaccination coverage by 10%-40%. We </w:t>
      </w:r>
      <w:proofErr w:type="spellStart"/>
      <w:r w:rsidRPr="00AC52E1">
        <w:rPr>
          <w:rFonts w:asciiTheme="majorBidi" w:hAnsiTheme="majorBidi" w:cstheme="majorBidi"/>
          <w:sz w:val="24"/>
          <w:szCs w:val="24"/>
        </w:rPr>
        <w:t>analyzed</w:t>
      </w:r>
      <w:proofErr w:type="spellEnd"/>
      <w:r w:rsidRPr="00AC52E1">
        <w:rPr>
          <w:rFonts w:asciiTheme="majorBidi" w:hAnsiTheme="majorBidi" w:cstheme="majorBidi"/>
          <w:sz w:val="24"/>
          <w:szCs w:val="24"/>
        </w:rPr>
        <w:t xml:space="preserve"> median, high, and low seasonal attack rate settings in each state. The high and low attack rates were informed by the seasons with the lowest and highest attack </w:t>
      </w:r>
      <w:r w:rsidRPr="00AC52E1">
        <w:rPr>
          <w:rFonts w:ascii="Times New Roman" w:eastAsia="Calibri" w:hAnsi="Times New Roman" w:cs="Times New Roman"/>
          <w:sz w:val="24"/>
          <w:szCs w:val="24"/>
        </w:rPr>
        <w:t>rates</w:t>
      </w:r>
      <w:r w:rsidRPr="00AC52E1">
        <w:rPr>
          <w:rFonts w:asciiTheme="majorBidi" w:hAnsiTheme="majorBidi" w:cstheme="majorBidi"/>
          <w:sz w:val="24"/>
          <w:szCs w:val="24"/>
        </w:rPr>
        <w:t xml:space="preserve"> in each state between 2014</w:t>
      </w:r>
      <w:r w:rsidRPr="00AC52E1">
        <w:rPr>
          <w:rFonts w:ascii="Times New Roman" w:eastAsia="Calibri" w:hAnsi="Times New Roman" w:cs="Times New Roman"/>
          <w:sz w:val="24"/>
          <w:szCs w:val="24"/>
        </w:rPr>
        <w:t xml:space="preserve"> and </w:t>
      </w:r>
      <w:r w:rsidRPr="00AC52E1">
        <w:rPr>
          <w:rFonts w:asciiTheme="majorBidi" w:hAnsiTheme="majorBidi" w:cstheme="majorBidi"/>
          <w:sz w:val="24"/>
          <w:szCs w:val="24"/>
        </w:rPr>
        <w:t>2019.</w:t>
      </w:r>
    </w:p>
    <w:p w14:paraId="2A58DF43" w14:textId="77777777" w:rsidR="00285089" w:rsidRPr="00AC52E1" w:rsidRDefault="00285089" w:rsidP="00285089">
      <w:pPr>
        <w:spacing w:line="360" w:lineRule="auto"/>
        <w:jc w:val="both"/>
        <w:rPr>
          <w:rFonts w:asciiTheme="majorBidi" w:hAnsiTheme="majorBidi" w:cstheme="majorBidi"/>
          <w:i/>
          <w:iCs/>
          <w:sz w:val="24"/>
          <w:szCs w:val="24"/>
        </w:rPr>
      </w:pPr>
      <w:r w:rsidRPr="00AC52E1">
        <w:rPr>
          <w:rFonts w:asciiTheme="majorBidi" w:hAnsiTheme="majorBidi" w:cstheme="majorBidi"/>
          <w:i/>
          <w:iCs/>
          <w:sz w:val="24"/>
          <w:szCs w:val="24"/>
        </w:rPr>
        <w:t xml:space="preserve">Main text Table 3 – </w:t>
      </w:r>
      <w:r w:rsidRPr="00AC52E1">
        <w:rPr>
          <w:rFonts w:ascii="Times New Roman" w:eastAsia="Calibri" w:hAnsi="Times New Roman" w:cs="Times New Roman"/>
          <w:i/>
          <w:iCs/>
          <w:sz w:val="24"/>
          <w:szCs w:val="24"/>
        </w:rPr>
        <w:t>Hospitalization</w:t>
      </w:r>
      <w:r w:rsidRPr="00AC52E1">
        <w:rPr>
          <w:rFonts w:asciiTheme="majorBidi" w:hAnsiTheme="majorBidi" w:cstheme="majorBidi"/>
          <w:i/>
          <w:iCs/>
          <w:sz w:val="24"/>
          <w:szCs w:val="24"/>
        </w:rPr>
        <w:t xml:space="preserve"> sensitivity analysis</w:t>
      </w:r>
    </w:p>
    <w:p w14:paraId="2E79C71C" w14:textId="77777777" w:rsidR="00285089" w:rsidRPr="00AC52E1" w:rsidRDefault="00285089" w:rsidP="00285089">
      <w:pPr>
        <w:spacing w:line="360" w:lineRule="auto"/>
        <w:jc w:val="both"/>
        <w:rPr>
          <w:rFonts w:asciiTheme="majorBidi" w:hAnsiTheme="majorBidi" w:cstheme="majorBidi"/>
          <w:sz w:val="24"/>
          <w:szCs w:val="24"/>
        </w:rPr>
      </w:pPr>
      <w:r w:rsidRPr="00AC52E1">
        <w:rPr>
          <w:rFonts w:asciiTheme="majorBidi" w:hAnsiTheme="majorBidi" w:cstheme="majorBidi"/>
          <w:sz w:val="24"/>
          <w:szCs w:val="24"/>
        </w:rPr>
        <w:t xml:space="preserve">We conducted a sensitivity analysis to examine the effectiveness of early antiviral treatment </w:t>
      </w:r>
      <w:proofErr w:type="gramStart"/>
      <w:r w:rsidRPr="00AC52E1">
        <w:rPr>
          <w:rFonts w:asciiTheme="majorBidi" w:hAnsiTheme="majorBidi" w:cstheme="majorBidi"/>
          <w:sz w:val="24"/>
          <w:szCs w:val="24"/>
        </w:rPr>
        <w:t>with regard to</w:t>
      </w:r>
      <w:proofErr w:type="gramEnd"/>
      <w:r w:rsidRPr="00AC52E1">
        <w:rPr>
          <w:rFonts w:asciiTheme="majorBidi" w:hAnsiTheme="majorBidi" w:cstheme="majorBidi"/>
          <w:sz w:val="24"/>
          <w:szCs w:val="24"/>
        </w:rPr>
        <w:t xml:space="preserve"> hospitalizations. We ran 50,000 simulations for each state. In each simulation, we decreased and increased the effect of early antiviral treatment </w:t>
      </w:r>
      <w:proofErr w:type="gramStart"/>
      <w:r w:rsidRPr="00AC52E1">
        <w:rPr>
          <w:rFonts w:asciiTheme="majorBidi" w:hAnsiTheme="majorBidi" w:cstheme="majorBidi"/>
          <w:sz w:val="24"/>
          <w:szCs w:val="24"/>
        </w:rPr>
        <w:t>with regard to</w:t>
      </w:r>
      <w:proofErr w:type="gramEnd"/>
      <w:r w:rsidRPr="00AC52E1">
        <w:rPr>
          <w:rFonts w:asciiTheme="majorBidi" w:hAnsiTheme="majorBidi" w:cstheme="majorBidi"/>
          <w:sz w:val="24"/>
          <w:szCs w:val="24"/>
        </w:rPr>
        <w:t xml:space="preserve"> both </w:t>
      </w:r>
      <w:r w:rsidRPr="00AC52E1">
        <w:rPr>
          <w:rFonts w:ascii="Times New Roman" w:eastAsia="Calibri" w:hAnsi="Times New Roman" w:cs="Times New Roman"/>
          <w:sz w:val="24"/>
          <w:szCs w:val="24"/>
        </w:rPr>
        <w:t>reducing</w:t>
      </w:r>
      <w:r w:rsidRPr="00AC52E1">
        <w:rPr>
          <w:rFonts w:asciiTheme="majorBidi" w:hAnsiTheme="majorBidi" w:cstheme="majorBidi"/>
          <w:sz w:val="24"/>
          <w:szCs w:val="24"/>
        </w:rPr>
        <w:t xml:space="preserve"> transmissibility and </w:t>
      </w:r>
      <w:r w:rsidRPr="00AC52E1">
        <w:rPr>
          <w:rFonts w:ascii="Times New Roman" w:eastAsia="Calibri" w:hAnsi="Times New Roman" w:cs="Times New Roman"/>
          <w:sz w:val="24"/>
          <w:szCs w:val="24"/>
        </w:rPr>
        <w:t xml:space="preserve">reducing </w:t>
      </w:r>
      <w:r w:rsidRPr="00AC52E1">
        <w:rPr>
          <w:rFonts w:asciiTheme="majorBidi" w:hAnsiTheme="majorBidi" w:cstheme="majorBidi"/>
          <w:sz w:val="24"/>
          <w:szCs w:val="24"/>
        </w:rPr>
        <w:t>hospitalizations based on the sampled percentile. The reduction in hospitalizations for adults</w:t>
      </w:r>
      <w:r w:rsidRPr="00AC52E1">
        <w:rPr>
          <w:rFonts w:ascii="Times New Roman" w:eastAsia="Calibri" w:hAnsi="Times New Roman" w:cs="Times New Roman"/>
          <w:sz w:val="24"/>
          <w:szCs w:val="24"/>
        </w:rPr>
        <w:t xml:space="preserve"> &gt;19 y</w:t>
      </w:r>
      <w:r w:rsidRPr="00AC52E1">
        <w:rPr>
          <w:rFonts w:asciiTheme="majorBidi" w:hAnsiTheme="majorBidi" w:cstheme="majorBidi"/>
          <w:sz w:val="24"/>
          <w:szCs w:val="24"/>
        </w:rPr>
        <w:t xml:space="preserve"> ranged</w:t>
      </w:r>
      <w:r w:rsidRPr="00AC52E1">
        <w:rPr>
          <w:rFonts w:ascii="Times New Roman" w:eastAsia="Calibri" w:hAnsi="Times New Roman" w:cs="Times New Roman"/>
          <w:sz w:val="24"/>
          <w:szCs w:val="24"/>
        </w:rPr>
        <w:t xml:space="preserve"> from</w:t>
      </w:r>
      <w:r w:rsidRPr="00AC52E1">
        <w:rPr>
          <w:rFonts w:asciiTheme="majorBidi" w:hAnsiTheme="majorBidi" w:cstheme="majorBidi"/>
          <w:sz w:val="24"/>
          <w:szCs w:val="24"/>
        </w:rPr>
        <w:t xml:space="preserve"> 11-89%, and for individuals </w:t>
      </w:r>
      <m:oMath>
        <m:r>
          <w:rPr>
            <w:rFonts w:ascii="Cambria Math" w:hAnsi="Cambria Math" w:cstheme="majorBidi"/>
            <w:sz w:val="24"/>
            <w:szCs w:val="24"/>
          </w:rPr>
          <m:t>≤</m:t>
        </m:r>
      </m:oMath>
      <w:r w:rsidRPr="00AC52E1">
        <w:rPr>
          <w:rFonts w:ascii="Times New Roman" w:eastAsia="Times New Roman" w:hAnsi="Times New Roman" w:cs="Times New Roman"/>
          <w:sz w:val="24"/>
          <w:szCs w:val="24"/>
        </w:rPr>
        <w:t>19 y, it ranged from</w:t>
      </w:r>
      <w:r w:rsidRPr="00AC52E1">
        <w:rPr>
          <w:rFonts w:asciiTheme="majorBidi" w:eastAsiaTheme="minorEastAsia" w:hAnsiTheme="majorBidi" w:cstheme="majorBidi"/>
          <w:sz w:val="24"/>
          <w:szCs w:val="24"/>
        </w:rPr>
        <w:t xml:space="preserve"> 11-81%. The reduction in transmissibility ranged </w:t>
      </w:r>
      <w:r w:rsidRPr="00AC52E1">
        <w:rPr>
          <w:rFonts w:ascii="Times New Roman" w:eastAsia="Times New Roman" w:hAnsi="Times New Roman" w:cs="Times New Roman"/>
          <w:sz w:val="24"/>
          <w:szCs w:val="24"/>
        </w:rPr>
        <w:t xml:space="preserve">from </w:t>
      </w:r>
      <w:r w:rsidRPr="00AC52E1">
        <w:rPr>
          <w:rFonts w:asciiTheme="majorBidi" w:eastAsiaTheme="minorEastAsia" w:hAnsiTheme="majorBidi" w:cstheme="majorBidi"/>
          <w:sz w:val="24"/>
          <w:szCs w:val="24"/>
        </w:rPr>
        <w:t xml:space="preserve">10.4-34.3% </w:t>
      </w:r>
      <w:r w:rsidRPr="00AC52E1">
        <w:rPr>
          <w:rFonts w:asciiTheme="majorBidi" w:eastAsia="Times New Roman" w:hAnsiTheme="majorBidi" w:cstheme="majorBidi"/>
          <w:color w:val="000000"/>
          <w:sz w:val="24"/>
          <w:szCs w:val="24"/>
        </w:rPr>
        <w:fldChar w:fldCharType="begin" w:fldLock="1"/>
      </w:r>
      <w:r>
        <w:rPr>
          <w:rFonts w:asciiTheme="majorBidi" w:eastAsia="Times New Roman" w:hAnsiTheme="majorBidi" w:cstheme="majorBidi"/>
          <w:color w:val="000000"/>
          <w:sz w:val="24"/>
          <w:szCs w:val="24"/>
        </w:rPr>
        <w:instrText>ADDIN CSL_CITATION {"citationItems":[{"id":"ITEM-1","itemData":{"DOI":"10.1542/peds.2008-0977","ISSN":"00314005","abstract":"OBJECTIVE: This study investigated the influence of oseltamivir on influenza-related complications and hospitalizations for children and adolescents, 1 to 17 years of age, with chronic medical conditions or neurologic or neuromuscular disease. METHODS: In a retrospective study, outcomes for patients who were given oseltamivir within 1 day after influenza diagnosis were compared with those for patients who received no antiviral therapy. Anonymous data from MarketScan databases (Thomson Reuters, Cambridge, MA) were used to identify patients from 6 influenza seasons between 2000 and 2006. The study outcomes were frequencies of pneumonia, respiratory illnesses other than pneumonia, otitis media, and hospitalization. RESULTS: Oseltamivir was prescribed for 1634 patients according to the study criteria, and 3721 patients received no antiviral therapy for their influenza. After adjustment for demographic and medical history variables, oseltamivir was associated with significant reductions in the risks of respiratory illnesses other than pneumonia, otitis media and its complications, and all-cause hospitalization in the 14 days after influenza diagnosis. Analyses for 30 days after influenza diagnosis also showed significant risk reductions for respiratory illnesses other than pneumonia, otitis media and its complications, and all-cause hospitalization with oseltamivir. CONCLUSION: When it was prescribed at influenza diagnosis, oseltamivir was associated with reduced risks of influenza-related complications and hospitalizations for children and adolescents at high risk of influenza complications. Copyright © 2009 by the American Academy of Pediatrics.","author":[{"dropping-particle":"","family":"Piedra","given":"Pedro A.","non-dropping-particle":"","parse-names":false,"suffix":""},{"dropping-particle":"","family":"Schulman","given":"Kathy L.","non-dropping-particle":"","parse-names":false,"suffix":""},{"dropping-particle":"","family":"Blumentals","given":"William A.","non-dropping-particle":"","parse-names":false,"suffix":""}],"container-title":"Pediatrics","id":"ITEM-1","issue":"1","issued":{"date-parts":[["2009","7"]]},"page":"170-178","title":"Effects of oseltamivir on influenza-related complications in children with chronic medical conditions","type":"article-journal","volume":"124"},"uris":["http://www.mendeley.com/documents/?uuid=5738fb88-2a9c-4bca-9e0d-2c73d089dd61"]},{"id":"ITEM-2","itemData":{"DOI":"10.1001/archinte.163.14.1667","ISSN":"00039926","abstract":"Background: Influenza causes lower respiratory tract complications (LRTCs), particularly bronchitis and pneumonia, in both otherwise healthy adults and those with underlying conditions. The aim of this study was to assess the effect of oseltamivir treatment on the incidence of LRTCs leading to antibiotic treatment and hospitalizations following influenza illness. Methods: We analyzed prospectively collected data on LRTCs and antibiotic use from 3564 subjects (age range, 13-97 years) with influenzalike illness enrolled in 10 placebo-controlled, double-blind trials of oseltamivir treatment. Results: In adults and adolescents with a proven influenza illness, oseltamivir treatment reduced overall antibiotic use for any reason by 26.7% (14.0% vs 19.1% with placebo; P&lt;.001) and the incidence of influenza-related LRTCs resulting in antibiotic therapy by 55% (4.6% vs 10.3% with placebo; P&lt;.001). In those subjects considered at increased risk of complications, 74 (18.5%) of 401 placebo recipients developed an LRTC leading to antibiotic use compared with 45 (12.2%) of 368 oseltamivir recipients (34.0% reduction; P=.02). Hospitalization for any cause occurred in 18 (1.7%) of 1063 placebo recipients compared with 9 (0.7%) of 1350 oseltamivir-treated patients (59% reduction; P=.02). In contrast, among subjects with an influenzalike illness but without a confirmed influenza infection, the incidence of LRTCs (6.7% vs 5.3%), overall antibiotic use (19.7% vs 19.3%), or hospitalizations (1.7% vs 1.9%) was similar between placebo and oseltamivir recipients, respectively. Conclusion: Oseltamivir treatment of influenza illness reduces LRTCs, antibiotic use, and hospitalization in both healthy and \"at-risk\" adults.","author":[{"dropping-particle":"","family":"Kaiser","given":"Laurent","non-dropping-particle":"","parse-names":false,"suffix":""},{"dropping-particle":"","family":"Wat","given":"Cynthia","non-dropping-particle":"","parse-names":false,"suffix":""},{"dropping-particle":"","family":"Mills","given":"Tracy","non-dropping-particle":"","parse-names":false,"suffix":""},{"dropping-particle":"","family":"Mahoney","given":"Paul","non-dropping-particle":"","parse-names":false,"suffix":""},{"dropping-particle":"","family":"Ward","given":"Penelope","non-dropping-particle":"","parse-names":false,"suffix":""},{"dropping-particle":"","family":"Hayden","given":"Frederick","non-dropping-particle":"","parse-names":false,"suffix":""}],"container-title":"Archives of Internal Medicine","id":"ITEM-2","issue":"14","issued":{"date-parts":[["2003","7","28"]]},"page":"1667-1672","title":"Impact of oseltamivir treatment on influenza-related lower respiratory tract complications and hospitalizations","type":"article-journal","volume":"163"},"uris":["http://www.mendeley.com/documents/?uuid=a268ffa4-3177-4646-a6fc-d48f65c9b9c1"]},{"id":"ITEM-3","itemData":{"DOI":"10.1093/cid/cix127","ISSN":"15376591","PMID":"28199524","abstract":"Background. While evidence exists to support the effectiveness of neuraminidase inhibitors (NAIs) in reducing mortality when given to hospitalized patients with A(H1N1)pdm09 virus infection, the impact of outpatient treatment on hospitalization has not been clearly established. We investigated the impact of outpatient NAI treatment on subsequent hospitalization in patients with A(H1N1)pdm09 virus infection. Methods. We assembled general community and outpatient data from 9 clinical centers in different countries collected between January 2009 and December 2010. We standardized data from each study center to create a pooled dataset and then used mixed-effects logistic regression modeling to determine the effect of NAI treatment on hospitalization. We adjusted for NAI treatment propensity and preadmission antibiotic use, including \"study center\" as a random intercept to account for differences in baseline hospitalization rate between centers. Results. We included 3376 patients with influenza A(H1N1)pdm09, of whom 3085 (91.4%) had laboratory-confirmed infection. Eight hundred seventy-three patients (25.8%) received outpatient or community-based NAI treatment, 928 of 2395 (38.8%) with available data had dyspnea or respiratory distress, and hospitalizations occurred in 1705 (50.5%). After adjustment for preadmission antibiotics and NAI treatment propensity, preadmission NAI treatment was associated with decreased odds of hospital admission compared to no NAI treatment (adjusted odds ratio, 0.24; 95% confidence interval, 0.20-0.30). Conclusions. In a population with confirmed or suspected A(H1N1)pdm09 and at high risk of hospitalization, outpatient or community-based NAI treatment significantly reduced the likelihood of requiring hospital admission. These data suggest that community patients with severe influenza should receive NAI treatment.","author":[{"dropping-particle":"","family":"Venkatesan","given":"Sudhir","non-dropping-particle":"","parse-names":false,"suffix":""},{"dropping-particle":"","family":"Myles","given":"Puja R.","non-dropping-particle":"","parse-names":false,"suffix":""},{"dropping-particle":"","family":"Leonardi-Bee","given":"Jo","non-dropping-particle":"","parse-names":false,"suffix":""},{"dropping-particle":"","family":"Muthuri","given":"Stella G.","non-dropping-particle":"","parse-names":false,"suffix":""},{"dropping-particle":"","family":"Masri","given":"Malak","non-dropping-particle":"Al","parse-names":false,"suffix":""},{"dropping-particle":"","family":"Andrews","given":"Nick","non-dropping-particle":"","parse-names":false,"suffix":""},{"dropping-particle":"","family":"Bantar","given":"Carlos","non-dropping-particle":"","parse-names":false,"suffix":""},{"dropping-particle":"","family":"Dubnov-Raz","given":"Gal","non-dropping-particle":"","parse-names":false,"suffix":""},{"dropping-particle":"","family":"Grardin","given":"Patrick","non-dropping-particle":"","parse-names":false,"suffix":""},{"dropping-particle":"","family":"Koay","given":"Evelyn S.C.","non-dropping-particle":"","parse-names":false,"suffix":""},{"dropping-particle":"","family":"Loh","given":"Tze Ping","non-dropping-particle":"","parse-names":false,"suffix":""},{"dropping-particle":"","family":"Memish","given":"Ziad","non-dropping-particle":"","parse-names":false,"suffix":""},{"dropping-particle":"","family":"Miller","given":"Elizabeth","non-dropping-particle":"","parse-names":false,"suffix":""},{"dropping-particle":"","family":"Oliva","given":"Maria E.","non-dropping-particle":"","parse-names":false,"suffix":""},{"dropping-particle":"","family":"Rath","given":"Barbara A.","non-dropping-particle":"","parse-names":false,"suffix":""},{"dropping-particle":"","family":"Schweiger","given":"Brunhilde","non-dropping-particle":"","parse-names":false,"suffix":""},{"dropping-particle":"","family":"Tang","given":"Julian W.","non-dropping-particle":"","parse-names":false,"suffix":""},{"dropping-particle":"","family":"Tran","given":"Dat","non-dropping-particle":"","parse-names":false,"suffix":""},{"dropping-particle":"","family":"Vidmar","given":"Tjasa","non-dropping-particle":"","parse-names":false,"suffix":""},{"dropping-particle":"","family":"Waight","given":"Pauline A.","non-dropping-particle":"","parse-names":false,"suffix":""},{"dropping-particle":"","family":"Nguyen-Van-Tam","given":"Jonathan S.","non-dropping-particle":"","parse-names":false,"suffix":""}],"container-title":"Clinical Infectious Diseases","id":"ITEM-3","issue":"10","issued":{"date-parts":[["2017","5","15"]]},"page":"1328-1334","publisher":"Oxford University Press","title":"Impact of Outpatient Neuraminidase Inhibitor Treatment in Patients Infected with Influenza A(H1N1)pdm09 at High Risk of Hospitalization: An Individual Participant Data Metaanalysis","type":"article-journal","volume":"64"},"uris":["http://www.mendeley.com/documents/?uuid=5b03e7d4-0178-3f17-aa27-aec8dbd40de5"]},{"id":"ITEM-4","itemData":{"DOI":"10.1093/cid/ciaa074","ISSN":"1058-4838","abstract":"BACKGROUND: Clinicians may prescribe antibiotics to influenza patients at high risk  for bacterial complications. We explored the association between antibiotics, antivirals and hospitalization among influenza patients. METHODS: A retrospective cohort study of confirmed influenza patients with encounters during January 2011-January 2019 was conducted using data from the VA Informatics and Computing Infrastructure (VINCI). We compared inpatient hospitalizations (all-cause and respiratory) within 30 days of influenza diagnosis between four patient cohorts: (1) no treatment (n=4,228); 2) antibiotic only (n=671); 3) antiviral only (n=6,492); and 4) antibiotic + antiviral (n=1,415). We estimate relative risk for hospitalization using Poisson generalized linear model and robust standard errors. RESULTS: Among 12,806 influenza cases, most were white males with a mean age between 57 and 60 years. Those with antivirals only, antibiotic + antiviral, and antibiotics only all have a statistically significant lower risk of all-cause and respiratory hospitalization compared to those without treatment. Comparing the antibiotic + antiviral cohort to those who were prescribed an antiviral alone, there was 47% lower risk for respiratory hospitalization (RR=0.53, 95% CI=0.31-0.94) and no other statistical differences were detected. CONCLUSIONS: Those prescribed an antiviral, antibiotic, or both had a lower risk of hospitalization within 30 days compared to those without therapy. Furthermore, intervention with both an antibiotic and antiviral had a lower risk of respiratory hospitalization within 30 days compared to those with an antiviral alone. Importantly, the absolute magnitude of decreased risk with antibiotic + antiviral therapy is small and must be interpreted within the context of the overall risk of antibiotic usage.","author":[{"dropping-particle":"","family":"Sutton","given":"S Scott","non-dropping-particle":"","parse-names":false,"suffix":""},{"dropping-particle":"","family":"Magagnoli","given":"Joseph","non-dropping-particle":"","parse-names":false,"suffix":""},{"dropping-particle":"","family":"Cummings","given":"Tammy","non-dropping-particle":"","parse-names":false,"suffix":""},{"dropping-particle":"","family":"Hardin","given":"James","non-dropping-particle":"","parse-names":false,"suffix":""}],"container-title":"Clinical Infectious Diseases","id":"ITEM-4","issued":{"date-parts":[["2020","1","24"]]},"publisher":"Oxford University Press (OUP)","title":"Association between the Use of Antibiotics, Antivirals, and Hospitalizations among Patients with Laboratory Confirmed Influenza","type":"article-journal"},"uris":["http://www.mendeley.com/documents/?uuid=ad1b4d8a-df75-4e4c-bcaf-4b28291120e2"]},{"id":"ITEM-5","itemData":{"abstract":"Background: Systematic reviews of randomized, controlled trials in patients with influenza suggest a lack of evidence about the effects of antiviral therapy on several patient-important outcomes of influenza.","author":[{"dropping-particle":"","family":"Hsu","given":"Jonathan","non-dropping-particle":"","parse-names":false,"suffix":""},{"dropping-particle":"","family":"Santesso","given":"Nancy","non-dropping-particle":"","parse-names":false,"suffix":""},{"dropping-particle":"","family":"Mustafa","given":"Reem","non-dropping-particle":"","parse-names":false,"suffix":""},{"dropping-particle":"","family":"Brozek","given":"Jan","non-dropping-particle":"","parse-names":false,"suffix":""},{"dropping-particle":"","family":"Long Chen","given":"Yao","non-dropping-particle":"","parse-names":false,"suffix":""},{"dropping-particle":"","family":"Hopkins","given":"Jessica P","non-dropping-particle":"","parse-names":false,"suffix":""},{"dropping-particle":"","family":"Cheung","given":"Adrienne","non-dropping-particle":"","parse-names":false,"suffix":""},{"dropping-particle":"","family":"Hovhannisyan","given":"Gayane","non-dropping-particle":"","parse-names":false,"suffix":""},{"dropping-particle":"","family":"Ivanova","given":"Liudmila","non-dropping-particle":"","parse-names":false,"suffix":""},{"dropping-particle":"","family":"Flottorp","given":"Signe A","non-dropping-particle":"","parse-names":false,"suffix":""},{"dropping-particle":"","family":"Saeterdal","given":"Ingvil","non-dropping-particle":"","parse-names":false,"suffix":""},{"dropping-particle":"","family":"Wong","given":"Arthur D","non-dropping-particle":"","parse-names":false,"suffix":""},{"dropping-particle":"","family":"Tian","given":"Jinhui","non-dropping-particle":"","parse-names":false,"suffix":""},{"dropping-particle":"","family":"Uyeki","given":"Timothy M","non-dropping-particle":"","parse-names":false,"suffix":""},{"dropping-particle":"","family":"Akl","given":"Elie A","non-dropping-particle":"","parse-names":false,"suffix":""},{"dropping-particle":"","family":"Alonso-Coello","given":"Pablo","non-dropping-particle":"","parse-names":false,"suffix":""},{"dropping-particle":"","family":"Smaill","given":"Fiona","non-dropping-particle":"","parse-names":false,"suffix":""},{"dropping-particle":"","family":"Schü nemann","given":"Holger J","non-dropping-particle":"","parse-names":false,"suffix":""}],"id":"ITEM-5","issued":{"date-parts":[["2012"]]},"title":"Antivirals for Treatment of Influenza A Systematic Review and Meta-analysis of Observational Studies","type":"report"},"uris":["http://www.mendeley.com/documents/?uuid=b005feab-26dd-3721-92ea-4291bc0bdc20"]},{"id":"ITEM-6","itemData":{"DOI":"10.1093/cid/cir400","ISSN":"10584838","PMID":"21677258","abstract":"An independent reanalysis of 11 randomized clinical trials shows that oseltamivir treatment reduces the risk of lower respiratory tract complications requiring antibiotic treatment by 28% overall (95% confidence interval [CI], 11%-42%) and by 37% among patients with confirmed influenza infections (95% CI, 18%-52%). © 2011 The Author Published by Oxford University Press on behalf of the Infectious Diseases Society of America. All rights reserved.","author":[{"dropping-particle":"","family":"Hernán","given":"Miguel A.","non-dropping-particle":"","parse-names":false,"suffix":""},{"dropping-particle":"","family":"Lipsitch","given":"Marc","non-dropping-particle":"","parse-names":false,"suffix":""}],"container-title":"Clinical Infectious Diseases","id":"ITEM-6","issue":"3","issued":{"date-parts":[["2011","8","1"]]},"page":"277-279","publisher":"Oxford University Press","title":"Oseltamivir and risk of lower respiratory tract complications in patients with flu symptoms: A meta-analysis of eleven randomized clinical trials","type":"article-journal","volume":"53"},"uris":["http://www.mendeley.com/documents/?uuid=9fa703b0-4a88-38b0-8a95-a909897a64c6"]},{"id":"ITEM-7","itemData":{"DOI":"10.1098/rsif.2009.0302.focus","ISSN":"17425662","abstract":"Over the past few years, prompted by pandemic preparedness initiatives, the debate over the modes of transmission of influenza has been rekindled and several reviews have appeared. Arguments supporting an important role for aerosol transmission that were reviewed included prolonged survival of the virus in aerosol suspensions, demonstration of the low infectious dose required for aerosol transmission in human volunteers, and clinical and epidemiological observations were disentanglements of large droplets and aerosol transmission was possible. Since these reviews were published, several new studies have been done and generated new data. These include direct demonstration of the presence of influenza viruses in aerosolized droplets fromthe tidal breathing of infected persons and in the air of an emergency department; the establishment of the guinea pig model for influenza transmission, where it was shown that aerosol transmission is important and probably modulated by temperature and humidity; the demonstration of some genetic determinants of airborne transmission of influenza viruses as assessed using the ferret model; and mathematical modelling studies that strongly support the aerosol route. These recent results and their implication for infection control of influenza are discussed in this review. © 2009 The Royal Society.","author":[{"dropping-particle":"","family":"Tellier","given":"Raymond","non-dropping-particle":"","parse-names":false,"suffix":""}],"container-title":"Journal of the Royal Society Interface","id":"ITEM-7","issue":"SUPPL. 6","issued":{"date-parts":[["2009","12","6"]]},"publisher":"Royal Society","title":"Aerosol transmission of influenza A virus: A review of new studies","type":"article","volume":"6"},"uris":["http://www.mendeley.com/documents/?uuid=4fd2f716-490e-4a27-aec0-b8f63860b76e"]},{"id":"ITEM-8","itemData":{"DOI":"10.1093/cid/ciw841","ISSN":"15376591","PMID":"28011603","abstract":"Background: Influenza virus infections are associated with a wide spectrum of disease. However, few studies have investigated in detail the epidemiological and virological characteristics of asymptomatic and mild illness with influenza virus infections.\nMethods: In a community-based study in Hong Kong from 2008 to 2014, we followed up initially healthy individuals who were household contacts of symptomatic persons with laboratory-confirmed influenza, to identify secondary infections. Information from daily symptom diaries was used to classify infections as symptomatic (≥2 signs/symptoms, including fever ≥37.8°C, headache, myalgia, cough, sore throat, runny nose and sputum), paucisymptomatic (1 symptom only), or asymptomatic (none of these symptoms). We compared the patterns of influenza viral shedding between these groups.\nResults: We identified 235 virologically confirmed secondary cases of influenza virus infection in the household setting, including 31 (13%) paucisymptomatic and 25 (11%) asymptomatic cases. The duration of viral RNA shedding was shorter and declined more rapidly in paucisymptomatic and asymptomatic than in symptomatic cases. The mean levels of influenza viral RNA shedding in asymptomatic and paucisymptomatic cases were approximately 1-2 log10 copies lower than in symptomatic cases.\nConclusions: The presence of influenza viral shedding in patients with influenza who have very few or no symptoms reflects their potential for transmitting the virus to close contacts. These findings suggest that further research is needed to investigate the contribution of persons with asymptomatic or clinically mild influenza virus infections to influenza virus transmission in household, institutional, and community settings.","author":[{"dropping-particle":"","family":"Ip","given":"Dennis K.M.","non-dropping-particle":"","parse-names":false,"suffix":""},{"dropping-particle":"","family":"Lau","given":"Lincoln L.H. H.","non-dropping-particle":"","parse-names":false,"suffix":""},{"dropping-particle":"","family":"Leung","given":"Nancy H.L. L.","non-dropping-particle":"","parse-names":false,"suffix":""},{"dropping-particle":"","family":"Fang","given":"Vicky J.","non-dropping-particle":"","parse-names":false,"suffix":""},{"dropping-particle":"","family":"Chan","given":"Kwok-Hung Hung","non-dropping-particle":"","parse-names":false,"suffix":""},{"dropping-particle":"","family":"Chu","given":"Daniel K.W. W.","non-dropping-particle":"","parse-names":false,"suffix":""},{"dropping-particle":"","family":"Leung","given":"Gabriel M.","non-dropping-particle":"","parse-names":false,"suffix":""},{"dropping-particle":"","family":"Peiris","given":"J. S.Malik Malik","non-dropping-particle":"","parse-names":false,"suffix":""},{"dropping-particle":"","family":"Uyeki","given":"Timothy M.","non-dropping-particle":"","parse-names":false,"suffix":""},{"dropping-particle":"","family":"Cowling","given":"Benjamin J.","non-dropping-particle":"","parse-names":false,"suffix":""}],"container-title":"Clinical infectious diseases : an official publication of the Infectious Diseases Society of America","id":"ITEM-8","issue":"6","issued":{"date-parts":[["2017","12"]]},"page":"736-742","publisher":"Oxford University Press","title":"Viral Shedding and Transmission Potential of Asymptomatic and Paucisymptomatic Influenza Virus Infections in the Community","type":"article-journal","volume":"64"},"uris":["http://www.mendeley.com/documents/?uuid=aaaa5289-ee43-4bae-8093-05847f6a6646"]}],"mendeley":{"formattedCitation":"[20, 37, 58, 64–68]","plainTextFormattedCitation":"[20, 37, 58, 64–68]","previouslyFormattedCitation":"[20, 37, 59, 65–69]"},"properties":{"noteIndex":0},"schema":"https://github.com/citation-style-language/schema/raw/master/csl-citation.json"}</w:instrText>
      </w:r>
      <w:r w:rsidRPr="00AC52E1">
        <w:rPr>
          <w:rFonts w:asciiTheme="majorBidi" w:eastAsia="Times New Roman" w:hAnsiTheme="majorBidi" w:cstheme="majorBidi"/>
          <w:color w:val="000000"/>
          <w:sz w:val="24"/>
          <w:szCs w:val="24"/>
        </w:rPr>
        <w:fldChar w:fldCharType="separate"/>
      </w:r>
      <w:r w:rsidRPr="006369F1">
        <w:rPr>
          <w:rFonts w:asciiTheme="majorBidi" w:eastAsia="Times New Roman" w:hAnsiTheme="majorBidi" w:cstheme="majorBidi"/>
          <w:noProof/>
          <w:color w:val="000000"/>
          <w:sz w:val="24"/>
          <w:szCs w:val="24"/>
        </w:rPr>
        <w:t>[20, 37, 58, 64–68]</w:t>
      </w:r>
      <w:r w:rsidRPr="00AC52E1">
        <w:rPr>
          <w:rFonts w:asciiTheme="majorBidi" w:eastAsia="Times New Roman" w:hAnsiTheme="majorBidi" w:cstheme="majorBidi"/>
          <w:color w:val="000000"/>
          <w:sz w:val="24"/>
          <w:szCs w:val="24"/>
        </w:rPr>
        <w:fldChar w:fldCharType="end"/>
      </w:r>
      <w:r w:rsidRPr="00AC52E1">
        <w:rPr>
          <w:rFonts w:asciiTheme="majorBidi" w:eastAsia="Times New Roman" w:hAnsiTheme="majorBidi" w:cstheme="majorBidi"/>
          <w:color w:val="000000"/>
          <w:sz w:val="24"/>
          <w:szCs w:val="24"/>
        </w:rPr>
        <w:t>.</w:t>
      </w:r>
    </w:p>
    <w:p w14:paraId="10D858BD" w14:textId="77777777" w:rsidR="00285089" w:rsidRDefault="00285089" w:rsidP="00285089">
      <w:pPr>
        <w:spacing w:line="360" w:lineRule="auto"/>
        <w:jc w:val="both"/>
        <w:rPr>
          <w:rFonts w:asciiTheme="majorBidi" w:hAnsiTheme="majorBidi" w:cstheme="majorBidi"/>
          <w:sz w:val="24"/>
          <w:szCs w:val="24"/>
        </w:rPr>
      </w:pPr>
    </w:p>
    <w:p w14:paraId="56D0FCC9" w14:textId="77777777" w:rsidR="00285089" w:rsidRDefault="00285089" w:rsidP="00285089">
      <w:pPr>
        <w:spacing w:line="360" w:lineRule="auto"/>
        <w:jc w:val="both"/>
        <w:rPr>
          <w:rFonts w:asciiTheme="majorBidi" w:hAnsiTheme="majorBidi" w:cstheme="majorBidi"/>
          <w:sz w:val="24"/>
          <w:szCs w:val="24"/>
        </w:rPr>
      </w:pPr>
    </w:p>
    <w:p w14:paraId="2A7E98B7" w14:textId="77777777" w:rsidR="00285089" w:rsidRDefault="00285089" w:rsidP="00285089">
      <w:pPr>
        <w:spacing w:line="360" w:lineRule="auto"/>
        <w:jc w:val="both"/>
        <w:rPr>
          <w:rFonts w:asciiTheme="majorBidi" w:hAnsiTheme="majorBidi" w:cstheme="majorBidi"/>
          <w:sz w:val="24"/>
          <w:szCs w:val="24"/>
        </w:rPr>
      </w:pPr>
    </w:p>
    <w:p w14:paraId="55B57B52" w14:textId="77777777" w:rsidR="00285089" w:rsidRDefault="00285089" w:rsidP="00285089">
      <w:pPr>
        <w:spacing w:line="360" w:lineRule="auto"/>
        <w:jc w:val="both"/>
        <w:rPr>
          <w:rFonts w:asciiTheme="majorBidi" w:hAnsiTheme="majorBidi" w:cstheme="majorBidi"/>
          <w:sz w:val="24"/>
          <w:szCs w:val="24"/>
        </w:rPr>
      </w:pPr>
    </w:p>
    <w:p w14:paraId="2E48E6A3" w14:textId="77777777" w:rsidR="00285089" w:rsidRDefault="00285089" w:rsidP="00285089">
      <w:pPr>
        <w:spacing w:line="360" w:lineRule="auto"/>
        <w:jc w:val="both"/>
        <w:rPr>
          <w:rFonts w:asciiTheme="majorBidi" w:hAnsiTheme="majorBidi" w:cstheme="majorBidi"/>
          <w:sz w:val="24"/>
          <w:szCs w:val="24"/>
        </w:rPr>
      </w:pPr>
    </w:p>
    <w:p w14:paraId="3DC4B9A1" w14:textId="77777777" w:rsidR="00285089" w:rsidRDefault="00285089" w:rsidP="00285089">
      <w:pPr>
        <w:spacing w:line="360" w:lineRule="auto"/>
        <w:jc w:val="both"/>
        <w:rPr>
          <w:rFonts w:asciiTheme="majorBidi" w:hAnsiTheme="majorBidi" w:cstheme="majorBidi"/>
          <w:sz w:val="24"/>
          <w:szCs w:val="24"/>
        </w:rPr>
      </w:pPr>
    </w:p>
    <w:p w14:paraId="3F123B17" w14:textId="77777777" w:rsidR="00285089" w:rsidRDefault="00285089" w:rsidP="00285089">
      <w:pPr>
        <w:spacing w:line="360" w:lineRule="auto"/>
        <w:jc w:val="both"/>
        <w:rPr>
          <w:rFonts w:asciiTheme="majorBidi" w:hAnsiTheme="majorBidi" w:cstheme="majorBidi"/>
          <w:sz w:val="24"/>
          <w:szCs w:val="24"/>
        </w:rPr>
      </w:pPr>
    </w:p>
    <w:p w14:paraId="3971C6E2" w14:textId="77777777" w:rsidR="00285089" w:rsidRDefault="00285089" w:rsidP="00285089">
      <w:pPr>
        <w:spacing w:line="360" w:lineRule="auto"/>
        <w:jc w:val="both"/>
        <w:rPr>
          <w:rFonts w:asciiTheme="majorBidi" w:hAnsiTheme="majorBidi" w:cstheme="majorBidi"/>
          <w:sz w:val="24"/>
          <w:szCs w:val="24"/>
        </w:rPr>
      </w:pPr>
    </w:p>
    <w:p w14:paraId="5CE7AAA9" w14:textId="77777777" w:rsidR="00285089" w:rsidRPr="00FB36B7" w:rsidRDefault="00285089" w:rsidP="00285089">
      <w:pPr>
        <w:spacing w:line="360" w:lineRule="auto"/>
        <w:jc w:val="both"/>
        <w:rPr>
          <w:rFonts w:asciiTheme="majorBidi" w:hAnsiTheme="majorBidi" w:cstheme="majorBidi"/>
          <w:sz w:val="24"/>
          <w:szCs w:val="24"/>
        </w:rPr>
      </w:pPr>
      <w:r>
        <w:rPr>
          <w:rFonts w:asciiTheme="majorBidi" w:hAnsiTheme="majorBidi" w:cstheme="majorBidi"/>
        </w:rPr>
        <w:br w:type="page"/>
      </w:r>
    </w:p>
    <w:p w14:paraId="3E8AF813" w14:textId="77777777" w:rsidR="00285089" w:rsidRPr="00BE0FA3" w:rsidRDefault="00285089" w:rsidP="00285089">
      <w:pPr>
        <w:pStyle w:val="Heading2"/>
        <w:spacing w:line="360" w:lineRule="auto"/>
        <w:jc w:val="both"/>
        <w:rPr>
          <w:rFonts w:asciiTheme="majorBidi" w:hAnsiTheme="majorBidi" w:cstheme="majorBidi"/>
        </w:rPr>
      </w:pPr>
      <w:bookmarkStart w:id="16" w:name="_Toc60620864"/>
      <w:r w:rsidRPr="00BE0FA3">
        <w:rPr>
          <w:rFonts w:asciiTheme="majorBidi" w:hAnsiTheme="majorBidi" w:cstheme="majorBidi"/>
        </w:rPr>
        <w:lastRenderedPageBreak/>
        <w:t>Additional results</w:t>
      </w:r>
      <w:bookmarkEnd w:id="16"/>
    </w:p>
    <w:tbl>
      <w:tblPr>
        <w:tblpPr w:leftFromText="180" w:rightFromText="180" w:vertAnchor="text" w:horzAnchor="margin" w:tblpXSpec="center" w:tblpY="44"/>
        <w:tblW w:w="0" w:type="auto"/>
        <w:tblLook w:val="04A0" w:firstRow="1" w:lastRow="0" w:firstColumn="1" w:lastColumn="0" w:noHBand="0" w:noVBand="1"/>
      </w:tblPr>
      <w:tblGrid>
        <w:gridCol w:w="9016"/>
      </w:tblGrid>
      <w:tr w:rsidR="00E82664" w14:paraId="432043CC" w14:textId="77777777" w:rsidTr="00E82664">
        <w:trPr>
          <w:trHeight w:val="1548"/>
        </w:trPr>
        <w:tc>
          <w:tcPr>
            <w:tcW w:w="9016" w:type="dxa"/>
          </w:tcPr>
          <w:p w14:paraId="25838F61" w14:textId="77777777" w:rsidR="00E82664" w:rsidRPr="00BE0FA3" w:rsidRDefault="00E82664" w:rsidP="00E82664">
            <w:pPr>
              <w:spacing w:after="0" w:line="360" w:lineRule="auto"/>
              <w:jc w:val="both"/>
              <w:rPr>
                <w:rFonts w:asciiTheme="majorBidi" w:hAnsiTheme="majorBidi" w:cstheme="majorBidi"/>
                <w:color w:val="FF0000"/>
              </w:rPr>
            </w:pPr>
            <w:r>
              <w:rPr>
                <w:rFonts w:asciiTheme="majorBidi" w:hAnsiTheme="majorBidi" w:cstheme="majorBidi"/>
                <w:noProof/>
                <w:color w:val="FF0000"/>
                <w:lang w:val="en-US"/>
              </w:rPr>
              <w:drawing>
                <wp:inline distT="0" distB="0" distL="0" distR="0" wp14:anchorId="26CE1885" wp14:editId="64312720">
                  <wp:extent cx="5242560" cy="714131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5259223" cy="7164016"/>
                          </a:xfrm>
                          <a:prstGeom prst="rect">
                            <a:avLst/>
                          </a:prstGeom>
                        </pic:spPr>
                      </pic:pic>
                    </a:graphicData>
                  </a:graphic>
                </wp:inline>
              </w:drawing>
            </w:r>
          </w:p>
        </w:tc>
      </w:tr>
      <w:tr w:rsidR="00E82664" w14:paraId="6B93F941" w14:textId="77777777" w:rsidTr="00E82664">
        <w:tc>
          <w:tcPr>
            <w:tcW w:w="9016" w:type="dxa"/>
          </w:tcPr>
          <w:p w14:paraId="47D5AE7E" w14:textId="77777777" w:rsidR="00E82664" w:rsidRPr="00BE0FA3" w:rsidRDefault="00E82664" w:rsidP="00E82664">
            <w:pPr>
              <w:spacing w:after="0" w:line="360" w:lineRule="auto"/>
              <w:jc w:val="both"/>
              <w:rPr>
                <w:rFonts w:asciiTheme="majorBidi" w:hAnsiTheme="majorBidi" w:cstheme="majorBidi"/>
                <w:sz w:val="20"/>
                <w:szCs w:val="20"/>
              </w:rPr>
            </w:pPr>
            <w:r w:rsidRPr="00BE0FA3">
              <w:rPr>
                <w:rFonts w:asciiTheme="majorBidi" w:hAnsiTheme="majorBidi" w:cstheme="majorBidi"/>
                <w:b/>
                <w:bCs/>
                <w:sz w:val="20"/>
                <w:szCs w:val="20"/>
              </w:rPr>
              <w:t xml:space="preserve">Fig. S3.  </w:t>
            </w:r>
            <w:r w:rsidRPr="00BE0FA3">
              <w:rPr>
                <w:rFonts w:asciiTheme="majorBidi" w:hAnsiTheme="majorBidi" w:cstheme="majorBidi"/>
                <w:sz w:val="20"/>
                <w:szCs w:val="20"/>
              </w:rPr>
              <w:t xml:space="preserve">Model projection of additional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influenza cases and hospitalizations averted annually in Texas, California, Connecticut, and Virginia by increasing the number of high-risk patients who </w:t>
            </w:r>
            <w:r>
              <w:rPr>
                <w:rFonts w:asciiTheme="majorBidi" w:hAnsiTheme="majorBidi" w:cstheme="majorBidi"/>
                <w:sz w:val="20"/>
                <w:szCs w:val="20"/>
              </w:rPr>
              <w:t>received</w:t>
            </w:r>
            <w:r w:rsidRPr="00BE0FA3">
              <w:rPr>
                <w:rFonts w:asciiTheme="majorBidi" w:hAnsiTheme="majorBidi" w:cstheme="majorBidi"/>
                <w:sz w:val="20"/>
                <w:szCs w:val="20"/>
              </w:rPr>
              <w:t xml:space="preserve"> treatment within 48 hours of symptom onset. Here, a proportion of high-risk patients who </w:t>
            </w:r>
            <w:r>
              <w:rPr>
                <w:rFonts w:asciiTheme="majorBidi" w:hAnsiTheme="majorBidi" w:cstheme="majorBidi"/>
                <w:sz w:val="20"/>
                <w:szCs w:val="20"/>
              </w:rPr>
              <w:t>received</w:t>
            </w:r>
            <w:r w:rsidRPr="00BE0FA3">
              <w:rPr>
                <w:rFonts w:asciiTheme="majorBidi" w:hAnsiTheme="majorBidi" w:cstheme="majorBidi"/>
                <w:sz w:val="20"/>
                <w:szCs w:val="20"/>
              </w:rPr>
              <w:t xml:space="preserve"> antiviral treatment more than 48 hours after symptom onset was assumed to receive treatment earlier. For the sensitivity analysis, we increased and decreased the effective vaccination coverage by 10</w:t>
            </w:r>
            <w:r>
              <w:rPr>
                <w:rFonts w:asciiTheme="majorBidi" w:hAnsiTheme="majorBidi" w:cstheme="majorBidi"/>
                <w:sz w:val="20"/>
                <w:szCs w:val="20"/>
              </w:rPr>
              <w:t>%</w:t>
            </w:r>
            <w:r w:rsidRPr="00BE0FA3">
              <w:rPr>
                <w:rFonts w:asciiTheme="majorBidi" w:hAnsiTheme="majorBidi" w:cstheme="majorBidi"/>
                <w:sz w:val="20"/>
                <w:szCs w:val="20"/>
              </w:rPr>
              <w:t xml:space="preserve"> and 20</w:t>
            </w:r>
            <w:r>
              <w:rPr>
                <w:rFonts w:asciiTheme="majorBidi" w:hAnsiTheme="majorBidi" w:cstheme="majorBidi"/>
                <w:sz w:val="20"/>
                <w:szCs w:val="20"/>
              </w:rPr>
              <w:t>%</w:t>
            </w:r>
            <w:r w:rsidRPr="00BE0FA3">
              <w:rPr>
                <w:rFonts w:asciiTheme="majorBidi" w:hAnsiTheme="majorBidi" w:cstheme="majorBidi"/>
                <w:sz w:val="20"/>
                <w:szCs w:val="20"/>
              </w:rPr>
              <w:t xml:space="preserve">. (A, C, E &amp; G) Total number of </w:t>
            </w:r>
            <w:r>
              <w:rPr>
                <w:rFonts w:asciiTheme="majorBidi" w:hAnsiTheme="majorBidi" w:cstheme="majorBidi"/>
                <w:sz w:val="20"/>
                <w:szCs w:val="20"/>
              </w:rPr>
              <w:t xml:space="preserve">symptomatic </w:t>
            </w:r>
            <w:r w:rsidRPr="00BE0FA3">
              <w:rPr>
                <w:rFonts w:asciiTheme="majorBidi" w:hAnsiTheme="majorBidi" w:cstheme="majorBidi"/>
                <w:sz w:val="20"/>
                <w:szCs w:val="20"/>
              </w:rPr>
              <w:t>cases averted. (B, D, F &amp; H) Total number of hospitalizations averted.</w:t>
            </w:r>
          </w:p>
        </w:tc>
      </w:tr>
    </w:tbl>
    <w:p w14:paraId="06407FD6" w14:textId="253919F5" w:rsidR="00285089" w:rsidRPr="00BE0FA3" w:rsidRDefault="00995BD2" w:rsidP="00995BD2">
      <w:pPr>
        <w:spacing w:after="92" w:line="360" w:lineRule="auto"/>
        <w:jc w:val="both"/>
        <w:rPr>
          <w:rFonts w:asciiTheme="majorBidi" w:hAnsiTheme="majorBidi" w:cstheme="majorBidi"/>
          <w:color w:val="FF0000"/>
        </w:rPr>
      </w:pPr>
      <w:r>
        <w:rPr>
          <w:rFonts w:asciiTheme="majorBidi" w:hAnsiTheme="majorBidi" w:cstheme="majorBidi"/>
          <w:noProof/>
          <w:color w:val="FF0000"/>
          <w:lang w:val="en-US"/>
        </w:rPr>
        <w:lastRenderedPageBreak/>
        <w:drawing>
          <wp:inline distT="0" distB="0" distL="0" distR="0" wp14:anchorId="1AA59ECD" wp14:editId="616C32BF">
            <wp:extent cx="5467350" cy="74557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5472582" cy="7462908"/>
                    </a:xfrm>
                    <a:prstGeom prst="rect">
                      <a:avLst/>
                    </a:prstGeom>
                  </pic:spPr>
                </pic:pic>
              </a:graphicData>
            </a:graphic>
          </wp:inline>
        </w:drawing>
      </w:r>
    </w:p>
    <w:tbl>
      <w:tblPr>
        <w:tblW w:w="0" w:type="auto"/>
        <w:jc w:val="center"/>
        <w:tblLook w:val="04A0" w:firstRow="1" w:lastRow="0" w:firstColumn="1" w:lastColumn="0" w:noHBand="0" w:noVBand="1"/>
      </w:tblPr>
      <w:tblGrid>
        <w:gridCol w:w="9016"/>
      </w:tblGrid>
      <w:tr w:rsidR="00285089" w14:paraId="07045E52" w14:textId="77777777" w:rsidTr="00234F66">
        <w:trPr>
          <w:jc w:val="center"/>
        </w:trPr>
        <w:tc>
          <w:tcPr>
            <w:tcW w:w="9016" w:type="dxa"/>
          </w:tcPr>
          <w:p w14:paraId="2A22758D" w14:textId="77777777" w:rsidR="00285089" w:rsidRPr="00BE0FA3" w:rsidRDefault="00285089" w:rsidP="00365097">
            <w:pPr>
              <w:spacing w:after="0" w:line="360" w:lineRule="auto"/>
              <w:jc w:val="both"/>
              <w:rPr>
                <w:rFonts w:asciiTheme="majorBidi" w:hAnsiTheme="majorBidi" w:cstheme="majorBidi"/>
                <w:color w:val="FF0000"/>
              </w:rPr>
            </w:pPr>
            <w:r w:rsidRPr="00BE0FA3">
              <w:rPr>
                <w:rFonts w:asciiTheme="majorBidi" w:hAnsiTheme="majorBidi" w:cstheme="majorBidi"/>
                <w:b/>
                <w:bCs/>
                <w:sz w:val="20"/>
                <w:szCs w:val="20"/>
              </w:rPr>
              <w:t xml:space="preserve">Fig. S4. </w:t>
            </w:r>
            <w:r w:rsidRPr="00BE0FA3">
              <w:rPr>
                <w:rFonts w:asciiTheme="majorBidi" w:hAnsiTheme="majorBidi" w:cstheme="majorBidi"/>
                <w:sz w:val="20"/>
                <w:szCs w:val="20"/>
              </w:rPr>
              <w:t xml:space="preserve">Model projections of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influenza cases and hospitalizations averted in Texas, California, Connecticut, and Virginia by increasing the portion of treated high-risk individuals who </w:t>
            </w:r>
            <w:r>
              <w:rPr>
                <w:rFonts w:asciiTheme="majorBidi" w:hAnsiTheme="majorBidi" w:cstheme="majorBidi"/>
                <w:sz w:val="20"/>
                <w:szCs w:val="20"/>
              </w:rPr>
              <w:t>sought</w:t>
            </w:r>
            <w:r w:rsidRPr="00BE0FA3">
              <w:rPr>
                <w:rFonts w:asciiTheme="majorBidi" w:hAnsiTheme="majorBidi" w:cstheme="majorBidi"/>
                <w:sz w:val="20"/>
                <w:szCs w:val="20"/>
              </w:rPr>
              <w:t xml:space="preserve"> care and receive</w:t>
            </w:r>
            <w:r>
              <w:rPr>
                <w:rFonts w:asciiTheme="majorBidi" w:hAnsiTheme="majorBidi" w:cstheme="majorBidi"/>
                <w:sz w:val="20"/>
                <w:szCs w:val="20"/>
              </w:rPr>
              <w:t>d</w:t>
            </w:r>
            <w:r w:rsidRPr="00BE0FA3">
              <w:rPr>
                <w:rFonts w:asciiTheme="majorBidi" w:hAnsiTheme="majorBidi" w:cstheme="majorBidi"/>
                <w:sz w:val="20"/>
                <w:szCs w:val="20"/>
              </w:rPr>
              <w:t xml:space="preserve"> treatment within 48 hours of symptom onset. For the sensitivity analysis, we increased and decreased the effective vaccination coverage by 10</w:t>
            </w:r>
            <w:r>
              <w:rPr>
                <w:rFonts w:asciiTheme="majorBidi" w:hAnsiTheme="majorBidi" w:cstheme="majorBidi"/>
                <w:sz w:val="20"/>
                <w:szCs w:val="20"/>
              </w:rPr>
              <w:t>%</w:t>
            </w:r>
            <w:r w:rsidRPr="00BE0FA3">
              <w:rPr>
                <w:rFonts w:asciiTheme="majorBidi" w:hAnsiTheme="majorBidi" w:cstheme="majorBidi"/>
                <w:sz w:val="20"/>
                <w:szCs w:val="20"/>
              </w:rPr>
              <w:t xml:space="preserve"> and 20</w:t>
            </w:r>
            <w:r>
              <w:rPr>
                <w:rFonts w:asciiTheme="majorBidi" w:hAnsiTheme="majorBidi" w:cstheme="majorBidi"/>
                <w:sz w:val="20"/>
                <w:szCs w:val="20"/>
              </w:rPr>
              <w:t>%</w:t>
            </w:r>
            <w:r w:rsidRPr="00BE0FA3">
              <w:rPr>
                <w:rFonts w:asciiTheme="majorBidi" w:hAnsiTheme="majorBidi" w:cstheme="majorBidi"/>
                <w:sz w:val="20"/>
                <w:szCs w:val="20"/>
              </w:rPr>
              <w:t xml:space="preserve">. (A, C, E &amp; G) Total number </w:t>
            </w:r>
            <w:proofErr w:type="gramStart"/>
            <w:r w:rsidRPr="00BE0FA3">
              <w:rPr>
                <w:rFonts w:asciiTheme="majorBidi" w:hAnsiTheme="majorBidi" w:cstheme="majorBidi"/>
                <w:sz w:val="20"/>
                <w:szCs w:val="20"/>
              </w:rPr>
              <w:t xml:space="preserve">of </w:t>
            </w:r>
            <w:r>
              <w:rPr>
                <w:rFonts w:asciiTheme="majorBidi" w:hAnsiTheme="majorBidi" w:cstheme="majorBidi"/>
                <w:sz w:val="20"/>
                <w:szCs w:val="20"/>
              </w:rPr>
              <w:t xml:space="preserve"> symptomatic</w:t>
            </w:r>
            <w:proofErr w:type="gramEnd"/>
            <w:r>
              <w:rPr>
                <w:rFonts w:asciiTheme="majorBidi" w:hAnsiTheme="majorBidi" w:cstheme="majorBidi"/>
                <w:sz w:val="20"/>
                <w:szCs w:val="20"/>
              </w:rPr>
              <w:t xml:space="preserve"> </w:t>
            </w:r>
            <w:r w:rsidRPr="00BE0FA3">
              <w:rPr>
                <w:rFonts w:asciiTheme="majorBidi" w:hAnsiTheme="majorBidi" w:cstheme="majorBidi"/>
                <w:sz w:val="20"/>
                <w:szCs w:val="20"/>
              </w:rPr>
              <w:t>cases averted. (B, D, F &amp; H) Total number of hospitalizations averted.</w:t>
            </w:r>
          </w:p>
        </w:tc>
      </w:tr>
    </w:tbl>
    <w:p w14:paraId="4DA316D4" w14:textId="77777777" w:rsidR="00285089" w:rsidRPr="00BE0FA3" w:rsidRDefault="00285089" w:rsidP="00285089">
      <w:pPr>
        <w:spacing w:after="92" w:line="360" w:lineRule="auto"/>
        <w:jc w:val="both"/>
        <w:rPr>
          <w:rFonts w:asciiTheme="majorBidi" w:hAnsiTheme="majorBidi" w:cstheme="majorBidi"/>
          <w:color w:val="FF0000"/>
        </w:rPr>
      </w:pPr>
    </w:p>
    <w:tbl>
      <w:tblPr>
        <w:tblW w:w="0" w:type="auto"/>
        <w:jc w:val="center"/>
        <w:tblLook w:val="04A0" w:firstRow="1" w:lastRow="0" w:firstColumn="1" w:lastColumn="0" w:noHBand="0" w:noVBand="1"/>
      </w:tblPr>
      <w:tblGrid>
        <w:gridCol w:w="9026"/>
      </w:tblGrid>
      <w:tr w:rsidR="00285089" w14:paraId="5E07C76A" w14:textId="77777777" w:rsidTr="00995BD2">
        <w:trPr>
          <w:trHeight w:val="10700"/>
          <w:jc w:val="center"/>
        </w:trPr>
        <w:tc>
          <w:tcPr>
            <w:tcW w:w="9026" w:type="dxa"/>
          </w:tcPr>
          <w:p w14:paraId="04AF8ED9" w14:textId="77777777" w:rsidR="00285089" w:rsidRPr="00BE0FA3" w:rsidRDefault="00285089" w:rsidP="00365097">
            <w:pPr>
              <w:spacing w:after="0" w:line="360" w:lineRule="auto"/>
              <w:jc w:val="both"/>
              <w:rPr>
                <w:rFonts w:asciiTheme="majorBidi" w:hAnsiTheme="majorBidi" w:cstheme="majorBidi"/>
                <w:color w:val="FF0000"/>
              </w:rPr>
            </w:pPr>
            <w:r>
              <w:rPr>
                <w:rFonts w:asciiTheme="majorBidi" w:hAnsiTheme="majorBidi" w:cstheme="majorBidi"/>
                <w:noProof/>
                <w:color w:val="FF0000"/>
                <w:lang w:val="en-US"/>
              </w:rPr>
              <w:lastRenderedPageBreak/>
              <w:drawing>
                <wp:inline distT="0" distB="0" distL="0" distR="0" wp14:anchorId="362EEF6D" wp14:editId="2A021959">
                  <wp:extent cx="5715000" cy="774763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bwMode="auto">
                          <a:xfrm>
                            <a:off x="0" y="0"/>
                            <a:ext cx="5732722" cy="7771663"/>
                          </a:xfrm>
                          <a:prstGeom prst="rect">
                            <a:avLst/>
                          </a:prstGeom>
                        </pic:spPr>
                      </pic:pic>
                    </a:graphicData>
                  </a:graphic>
                </wp:inline>
              </w:drawing>
            </w:r>
          </w:p>
        </w:tc>
      </w:tr>
      <w:tr w:rsidR="00285089" w14:paraId="43E8CDF6" w14:textId="77777777" w:rsidTr="00995BD2">
        <w:trPr>
          <w:trHeight w:val="359"/>
          <w:jc w:val="center"/>
        </w:trPr>
        <w:tc>
          <w:tcPr>
            <w:tcW w:w="9026" w:type="dxa"/>
          </w:tcPr>
          <w:p w14:paraId="6B7A0A44" w14:textId="77777777" w:rsidR="00285089" w:rsidRPr="00BE0FA3" w:rsidRDefault="00285089" w:rsidP="00365097">
            <w:pPr>
              <w:spacing w:after="0" w:line="360" w:lineRule="auto"/>
              <w:jc w:val="both"/>
              <w:rPr>
                <w:rFonts w:asciiTheme="majorBidi" w:hAnsiTheme="majorBidi" w:cstheme="majorBidi"/>
                <w:color w:val="FF0000"/>
              </w:rPr>
            </w:pPr>
            <w:r w:rsidRPr="00BE0FA3">
              <w:rPr>
                <w:rFonts w:asciiTheme="majorBidi" w:hAnsiTheme="majorBidi" w:cstheme="majorBidi"/>
                <w:b/>
                <w:bCs/>
                <w:sz w:val="20"/>
                <w:szCs w:val="20"/>
              </w:rPr>
              <w:t xml:space="preserve">Fig. S5. </w:t>
            </w:r>
            <w:r w:rsidRPr="00BE0FA3">
              <w:rPr>
                <w:rFonts w:asciiTheme="majorBidi" w:hAnsiTheme="majorBidi" w:cstheme="majorBidi"/>
                <w:sz w:val="20"/>
                <w:szCs w:val="20"/>
              </w:rPr>
              <w:t xml:space="preserve">Model projections of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influenza cases and hospitalizations averted per </w:t>
            </w:r>
            <w:r>
              <w:rPr>
                <w:rFonts w:asciiTheme="majorBidi" w:hAnsiTheme="majorBidi" w:cstheme="majorBidi"/>
                <w:sz w:val="20"/>
                <w:szCs w:val="20"/>
              </w:rPr>
              <w:t>person treated</w:t>
            </w:r>
            <w:r w:rsidRPr="00BE0FA3">
              <w:rPr>
                <w:rFonts w:asciiTheme="majorBidi" w:hAnsiTheme="majorBidi" w:cstheme="majorBidi"/>
                <w:sz w:val="20"/>
                <w:szCs w:val="20"/>
              </w:rPr>
              <w:t xml:space="preserve"> by treating each age</w:t>
            </w:r>
            <w:r>
              <w:rPr>
                <w:rFonts w:asciiTheme="majorBidi" w:hAnsiTheme="majorBidi" w:cstheme="majorBidi"/>
                <w:sz w:val="20"/>
                <w:szCs w:val="20"/>
              </w:rPr>
              <w:t xml:space="preserve"> </w:t>
            </w:r>
            <w:r w:rsidRPr="00BE0FA3">
              <w:rPr>
                <w:rFonts w:asciiTheme="majorBidi" w:hAnsiTheme="majorBidi" w:cstheme="majorBidi"/>
                <w:sz w:val="20"/>
                <w:szCs w:val="20"/>
              </w:rPr>
              <w:t xml:space="preserve">group </w:t>
            </w:r>
            <w:r>
              <w:rPr>
                <w:rFonts w:asciiTheme="majorBidi" w:hAnsiTheme="majorBidi" w:cstheme="majorBidi"/>
                <w:sz w:val="20"/>
                <w:szCs w:val="20"/>
              </w:rPr>
              <w:t xml:space="preserve">within </w:t>
            </w:r>
            <w:r w:rsidRPr="00BE0FA3">
              <w:rPr>
                <w:rFonts w:asciiTheme="majorBidi" w:hAnsiTheme="majorBidi" w:cstheme="majorBidi"/>
                <w:sz w:val="20"/>
                <w:szCs w:val="20"/>
              </w:rPr>
              <w:t xml:space="preserve">48 hours </w:t>
            </w:r>
            <w:r>
              <w:rPr>
                <w:rFonts w:asciiTheme="majorBidi" w:hAnsiTheme="majorBidi" w:cstheme="majorBidi"/>
                <w:sz w:val="20"/>
                <w:szCs w:val="20"/>
              </w:rPr>
              <w:t>after</w:t>
            </w:r>
            <w:r w:rsidRPr="00BE0FA3">
              <w:rPr>
                <w:rFonts w:asciiTheme="majorBidi" w:hAnsiTheme="majorBidi" w:cstheme="majorBidi"/>
                <w:sz w:val="20"/>
                <w:szCs w:val="20"/>
              </w:rPr>
              <w:t xml:space="preserve"> symptom onset in Texas, California, Connecticut, and Virginia. (A, C, E &amp; G) </w:t>
            </w:r>
            <w:r>
              <w:rPr>
                <w:rFonts w:asciiTheme="majorBidi" w:hAnsiTheme="majorBidi" w:cstheme="majorBidi"/>
                <w:sz w:val="20"/>
                <w:szCs w:val="20"/>
              </w:rPr>
              <w:t>The n</w:t>
            </w:r>
            <w:r w:rsidRPr="00BE0FA3">
              <w:rPr>
                <w:rFonts w:asciiTheme="majorBidi" w:hAnsiTheme="majorBidi" w:cstheme="majorBidi"/>
                <w:sz w:val="20"/>
                <w:szCs w:val="20"/>
              </w:rPr>
              <w:t xml:space="preserve">umber of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cases averted per </w:t>
            </w:r>
            <w:r>
              <w:rPr>
                <w:rFonts w:asciiTheme="majorBidi" w:hAnsiTheme="majorBidi" w:cstheme="majorBidi"/>
                <w:sz w:val="20"/>
                <w:szCs w:val="20"/>
              </w:rPr>
              <w:t>person treated</w:t>
            </w:r>
            <w:r w:rsidRPr="00BE0FA3">
              <w:rPr>
                <w:rFonts w:asciiTheme="majorBidi" w:hAnsiTheme="majorBidi" w:cstheme="majorBidi"/>
                <w:sz w:val="20"/>
                <w:szCs w:val="20"/>
              </w:rPr>
              <w:t xml:space="preserve"> for each group stratified by age. (B, D, F &amp; H) </w:t>
            </w:r>
            <w:r>
              <w:rPr>
                <w:rFonts w:asciiTheme="majorBidi" w:hAnsiTheme="majorBidi" w:cstheme="majorBidi"/>
                <w:sz w:val="20"/>
                <w:szCs w:val="20"/>
              </w:rPr>
              <w:t>The n</w:t>
            </w:r>
            <w:r w:rsidRPr="00BE0FA3">
              <w:rPr>
                <w:rFonts w:asciiTheme="majorBidi" w:hAnsiTheme="majorBidi" w:cstheme="majorBidi"/>
                <w:sz w:val="20"/>
                <w:szCs w:val="20"/>
              </w:rPr>
              <w:t xml:space="preserve">umber of hospitalizations averted per </w:t>
            </w:r>
            <w:r>
              <w:rPr>
                <w:rFonts w:asciiTheme="majorBidi" w:hAnsiTheme="majorBidi" w:cstheme="majorBidi"/>
                <w:sz w:val="20"/>
                <w:szCs w:val="20"/>
              </w:rPr>
              <w:t>person treated</w:t>
            </w:r>
            <w:r w:rsidRPr="00BE0FA3">
              <w:rPr>
                <w:rFonts w:asciiTheme="majorBidi" w:hAnsiTheme="majorBidi" w:cstheme="majorBidi"/>
                <w:sz w:val="20"/>
                <w:szCs w:val="20"/>
              </w:rPr>
              <w:t xml:space="preserve"> for each group stratified by age.</w:t>
            </w:r>
          </w:p>
        </w:tc>
      </w:tr>
    </w:tbl>
    <w:tbl>
      <w:tblPr>
        <w:tblpPr w:leftFromText="180" w:rightFromText="180" w:vertAnchor="text" w:horzAnchor="margin" w:tblpY="-74"/>
        <w:tblW w:w="0" w:type="auto"/>
        <w:tblLook w:val="04A0" w:firstRow="1" w:lastRow="0" w:firstColumn="1" w:lastColumn="0" w:noHBand="0" w:noVBand="1"/>
      </w:tblPr>
      <w:tblGrid>
        <w:gridCol w:w="9026"/>
      </w:tblGrid>
      <w:tr w:rsidR="00995BD2" w14:paraId="7C833A0D" w14:textId="77777777" w:rsidTr="00995BD2">
        <w:trPr>
          <w:trHeight w:val="1158"/>
        </w:trPr>
        <w:tc>
          <w:tcPr>
            <w:tcW w:w="9026" w:type="dxa"/>
          </w:tcPr>
          <w:p w14:paraId="1A56518C" w14:textId="77777777" w:rsidR="00995BD2" w:rsidRPr="00BE0FA3" w:rsidRDefault="00995BD2" w:rsidP="00995BD2">
            <w:pPr>
              <w:spacing w:after="0" w:line="360" w:lineRule="auto"/>
              <w:jc w:val="both"/>
              <w:rPr>
                <w:rFonts w:asciiTheme="majorBidi" w:hAnsiTheme="majorBidi" w:cstheme="majorBidi"/>
                <w:color w:val="FF0000"/>
              </w:rPr>
            </w:pPr>
            <w:r>
              <w:rPr>
                <w:rFonts w:asciiTheme="majorBidi" w:hAnsiTheme="majorBidi" w:cstheme="majorBidi"/>
                <w:noProof/>
                <w:color w:val="FF0000"/>
                <w:lang w:val="en-US"/>
              </w:rPr>
              <w:lastRenderedPageBreak/>
              <w:drawing>
                <wp:inline distT="0" distB="0" distL="0" distR="0" wp14:anchorId="0A32676B" wp14:editId="6649FDFF">
                  <wp:extent cx="5716988" cy="5829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5731181" cy="5844353"/>
                          </a:xfrm>
                          <a:prstGeom prst="rect">
                            <a:avLst/>
                          </a:prstGeom>
                        </pic:spPr>
                      </pic:pic>
                    </a:graphicData>
                  </a:graphic>
                </wp:inline>
              </w:drawing>
            </w:r>
          </w:p>
        </w:tc>
      </w:tr>
      <w:tr w:rsidR="00995BD2" w14:paraId="13E31892" w14:textId="77777777" w:rsidTr="00995BD2">
        <w:tc>
          <w:tcPr>
            <w:tcW w:w="9026" w:type="dxa"/>
          </w:tcPr>
          <w:p w14:paraId="51570EE4" w14:textId="77777777" w:rsidR="00995BD2" w:rsidRPr="00BE0FA3" w:rsidRDefault="00995BD2" w:rsidP="00995BD2">
            <w:pPr>
              <w:spacing w:after="0" w:line="360" w:lineRule="auto"/>
              <w:jc w:val="both"/>
              <w:rPr>
                <w:rFonts w:asciiTheme="majorBidi" w:hAnsiTheme="majorBidi" w:cstheme="majorBidi"/>
                <w:color w:val="FF0000"/>
              </w:rPr>
            </w:pPr>
            <w:r w:rsidRPr="00BE0FA3">
              <w:rPr>
                <w:rFonts w:asciiTheme="majorBidi" w:hAnsiTheme="majorBidi" w:cstheme="majorBidi"/>
                <w:b/>
                <w:bCs/>
                <w:sz w:val="20"/>
                <w:szCs w:val="20"/>
              </w:rPr>
              <w:t xml:space="preserve">Fig. S6. </w:t>
            </w:r>
            <w:r w:rsidRPr="00BE0FA3">
              <w:rPr>
                <w:rFonts w:asciiTheme="majorBidi" w:hAnsiTheme="majorBidi" w:cstheme="majorBidi"/>
                <w:sz w:val="20"/>
                <w:szCs w:val="20"/>
              </w:rPr>
              <w:t>The mutual effect of attack rate and effective vaccination coverage</w:t>
            </w:r>
            <w:r>
              <w:rPr>
                <w:rFonts w:asciiTheme="majorBidi" w:hAnsiTheme="majorBidi" w:cstheme="majorBidi"/>
                <w:sz w:val="20"/>
                <w:szCs w:val="20"/>
              </w:rPr>
              <w:t xml:space="preserve"> level</w:t>
            </w:r>
            <w:r w:rsidRPr="00BE0FA3">
              <w:rPr>
                <w:rFonts w:asciiTheme="majorBidi" w:hAnsiTheme="majorBidi" w:cstheme="majorBidi"/>
                <w:sz w:val="20"/>
                <w:szCs w:val="20"/>
              </w:rPr>
              <w:t xml:space="preserve"> in Connecticut and Virginia on the number of </w:t>
            </w:r>
            <w:r>
              <w:rPr>
                <w:rFonts w:asciiTheme="majorBidi" w:hAnsiTheme="majorBidi" w:cstheme="majorBidi"/>
                <w:sz w:val="20"/>
                <w:szCs w:val="20"/>
              </w:rPr>
              <w:t xml:space="preserve">symptomatic </w:t>
            </w:r>
            <w:r w:rsidRPr="00BE0FA3">
              <w:rPr>
                <w:rFonts w:asciiTheme="majorBidi" w:hAnsiTheme="majorBidi" w:cstheme="majorBidi"/>
                <w:sz w:val="20"/>
                <w:szCs w:val="20"/>
              </w:rPr>
              <w:t xml:space="preserve">cases averted per </w:t>
            </w:r>
            <w:r>
              <w:rPr>
                <w:rFonts w:asciiTheme="majorBidi" w:hAnsiTheme="majorBidi" w:cstheme="majorBidi"/>
                <w:sz w:val="20"/>
                <w:szCs w:val="20"/>
              </w:rPr>
              <w:t>person treated</w:t>
            </w:r>
            <w:r w:rsidRPr="00BE0FA3">
              <w:rPr>
                <w:rFonts w:asciiTheme="majorBidi" w:hAnsiTheme="majorBidi" w:cstheme="majorBidi"/>
                <w:sz w:val="20"/>
                <w:szCs w:val="20"/>
              </w:rPr>
              <w:t xml:space="preserve"> for different treatment coverage values among high-risk individuals with influenza. Infected high-risk individuals </w:t>
            </w:r>
            <w:r>
              <w:rPr>
                <w:rFonts w:asciiTheme="majorBidi" w:hAnsiTheme="majorBidi" w:cstheme="majorBidi"/>
                <w:sz w:val="20"/>
                <w:szCs w:val="20"/>
              </w:rPr>
              <w:t>sought</w:t>
            </w:r>
            <w:r w:rsidRPr="00BE0FA3">
              <w:rPr>
                <w:rFonts w:asciiTheme="majorBidi" w:hAnsiTheme="majorBidi" w:cstheme="majorBidi"/>
                <w:sz w:val="20"/>
                <w:szCs w:val="20"/>
              </w:rPr>
              <w:t xml:space="preserve"> care and </w:t>
            </w:r>
            <w:r>
              <w:rPr>
                <w:rFonts w:asciiTheme="majorBidi" w:hAnsiTheme="majorBidi" w:cstheme="majorBidi"/>
                <w:sz w:val="20"/>
                <w:szCs w:val="20"/>
              </w:rPr>
              <w:t>received</w:t>
            </w:r>
            <w:r w:rsidRPr="00BE0FA3">
              <w:rPr>
                <w:rFonts w:asciiTheme="majorBidi" w:hAnsiTheme="majorBidi" w:cstheme="majorBidi"/>
                <w:sz w:val="20"/>
                <w:szCs w:val="20"/>
              </w:rPr>
              <w:t xml:space="preserve"> treatment within 48 hours </w:t>
            </w:r>
            <w:r>
              <w:rPr>
                <w:rFonts w:asciiTheme="majorBidi" w:hAnsiTheme="majorBidi" w:cstheme="majorBidi"/>
                <w:sz w:val="20"/>
                <w:szCs w:val="20"/>
              </w:rPr>
              <w:t>after</w:t>
            </w:r>
            <w:r w:rsidRPr="00BE0FA3">
              <w:rPr>
                <w:rFonts w:asciiTheme="majorBidi" w:hAnsiTheme="majorBidi" w:cstheme="majorBidi"/>
                <w:sz w:val="20"/>
                <w:szCs w:val="20"/>
              </w:rPr>
              <w:t xml:space="preserve"> symptom</w:t>
            </w:r>
            <w:r>
              <w:rPr>
                <w:rFonts w:asciiTheme="majorBidi" w:hAnsiTheme="majorBidi" w:cstheme="majorBidi"/>
                <w:sz w:val="20"/>
                <w:szCs w:val="20"/>
              </w:rPr>
              <w:t xml:space="preserve"> </w:t>
            </w:r>
            <w:r w:rsidRPr="00BE0FA3">
              <w:rPr>
                <w:rFonts w:asciiTheme="majorBidi" w:hAnsiTheme="majorBidi" w:cstheme="majorBidi"/>
                <w:sz w:val="20"/>
                <w:szCs w:val="20"/>
              </w:rPr>
              <w:t xml:space="preserve">onset. (A, B) </w:t>
            </w:r>
            <w:r>
              <w:rPr>
                <w:rFonts w:asciiTheme="majorBidi" w:hAnsiTheme="majorBidi" w:cstheme="majorBidi"/>
                <w:sz w:val="20"/>
                <w:szCs w:val="20"/>
              </w:rPr>
              <w:t>Low</w:t>
            </w:r>
            <w:r w:rsidRPr="00BE0FA3">
              <w:rPr>
                <w:rFonts w:asciiTheme="majorBidi" w:hAnsiTheme="majorBidi" w:cstheme="majorBidi"/>
                <w:sz w:val="20"/>
                <w:szCs w:val="20"/>
              </w:rPr>
              <w:t xml:space="preserve"> attack rate settings. (C, D) </w:t>
            </w:r>
            <w:proofErr w:type="spellStart"/>
            <w:r>
              <w:rPr>
                <w:rFonts w:asciiTheme="majorBidi" w:hAnsiTheme="majorBidi" w:cstheme="majorBidi"/>
                <w:sz w:val="20"/>
                <w:szCs w:val="20"/>
              </w:rPr>
              <w:t>Meidan</w:t>
            </w:r>
            <w:proofErr w:type="spellEnd"/>
            <w:r w:rsidRPr="00BE0FA3">
              <w:rPr>
                <w:rFonts w:asciiTheme="majorBidi" w:hAnsiTheme="majorBidi" w:cstheme="majorBidi"/>
                <w:sz w:val="20"/>
                <w:szCs w:val="20"/>
              </w:rPr>
              <w:t xml:space="preserve"> attack rate settings. (E, F) High attack rate settings.</w:t>
            </w:r>
          </w:p>
        </w:tc>
      </w:tr>
    </w:tbl>
    <w:p w14:paraId="7A492732" w14:textId="3BF74BC2" w:rsidR="002136E3" w:rsidRPr="00285089" w:rsidRDefault="002136E3" w:rsidP="00285089"/>
    <w:sectPr w:rsidR="002136E3" w:rsidRPr="00285089" w:rsidSect="008F141B">
      <w:footerReference w:type="default" r:id="rId20"/>
      <w:pgSz w:w="11906" w:h="16838"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BA138" w14:textId="77777777" w:rsidR="00B51332" w:rsidRDefault="00B51332">
      <w:pPr>
        <w:spacing w:after="0" w:line="240" w:lineRule="auto"/>
      </w:pPr>
      <w:r>
        <w:separator/>
      </w:r>
    </w:p>
  </w:endnote>
  <w:endnote w:type="continuationSeparator" w:id="0">
    <w:p w14:paraId="01222B29" w14:textId="77777777" w:rsidR="00B51332" w:rsidRDefault="00B5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altName w:val="Yu Gothic"/>
    <w:panose1 w:val="00000000000000000000"/>
    <w:charset w:val="80"/>
    <w:family w:val="auto"/>
    <w:notTrueType/>
    <w:pitch w:val="default"/>
    <w:sig w:usb0="00000001" w:usb1="08070000" w:usb2="00000010" w:usb3="00000000" w:csb0="00020000" w:csb1="00000000"/>
  </w:font>
  <w:font w:name="CIDFont+F5">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1381408"/>
      <w:docPartObj>
        <w:docPartGallery w:val="Page Numbers (Bottom of Page)"/>
        <w:docPartUnique/>
      </w:docPartObj>
    </w:sdtPr>
    <w:sdtEndPr>
      <w:rPr>
        <w:noProof/>
      </w:rPr>
    </w:sdtEndPr>
    <w:sdtContent>
      <w:p w14:paraId="07913463" w14:textId="39C97560" w:rsidR="00365097" w:rsidRDefault="0036509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82ECC2A" w14:textId="77777777" w:rsidR="00365097" w:rsidRDefault="00365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271D4" w14:textId="77777777" w:rsidR="00B51332" w:rsidRDefault="00B51332">
      <w:pPr>
        <w:spacing w:after="0" w:line="240" w:lineRule="auto"/>
      </w:pPr>
      <w:r>
        <w:separator/>
      </w:r>
    </w:p>
  </w:footnote>
  <w:footnote w:type="continuationSeparator" w:id="0">
    <w:p w14:paraId="7198353D" w14:textId="77777777" w:rsidR="00B51332" w:rsidRDefault="00B51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0652"/>
    <w:multiLevelType w:val="hybridMultilevel"/>
    <w:tmpl w:val="5900D322"/>
    <w:lvl w:ilvl="0" w:tplc="C2FA9096">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483A38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F7B813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9F38AF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717E5B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45B836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03901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CA6E544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FB6621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 w15:restartNumberingAfterBreak="0">
    <w:nsid w:val="15C71C3C"/>
    <w:multiLevelType w:val="hybridMultilevel"/>
    <w:tmpl w:val="66009AB0"/>
    <w:lvl w:ilvl="0" w:tplc="1D464FAE">
      <w:numFmt w:val="bullet"/>
      <w:lvlText w:val=""/>
      <w:lvlJc w:val="left"/>
      <w:pPr>
        <w:ind w:left="720" w:hanging="360"/>
      </w:pPr>
      <w:rPr>
        <w:rFonts w:ascii="Symbol" w:eastAsiaTheme="minorHAnsi" w:hAnsi="Symbol" w:cstheme="minorBidi" w:hint="default"/>
      </w:rPr>
    </w:lvl>
    <w:lvl w:ilvl="1" w:tplc="4A32AEE8" w:tentative="1">
      <w:start w:val="1"/>
      <w:numFmt w:val="bullet"/>
      <w:lvlText w:val="o"/>
      <w:lvlJc w:val="left"/>
      <w:pPr>
        <w:ind w:left="1440" w:hanging="360"/>
      </w:pPr>
      <w:rPr>
        <w:rFonts w:ascii="Courier New" w:hAnsi="Courier New" w:cs="Courier New" w:hint="default"/>
      </w:rPr>
    </w:lvl>
    <w:lvl w:ilvl="2" w:tplc="ABFA4BE6" w:tentative="1">
      <w:start w:val="1"/>
      <w:numFmt w:val="bullet"/>
      <w:lvlText w:val=""/>
      <w:lvlJc w:val="left"/>
      <w:pPr>
        <w:ind w:left="2160" w:hanging="360"/>
      </w:pPr>
      <w:rPr>
        <w:rFonts w:ascii="Wingdings" w:hAnsi="Wingdings" w:hint="default"/>
      </w:rPr>
    </w:lvl>
    <w:lvl w:ilvl="3" w:tplc="4BA2D4A6" w:tentative="1">
      <w:start w:val="1"/>
      <w:numFmt w:val="bullet"/>
      <w:lvlText w:val=""/>
      <w:lvlJc w:val="left"/>
      <w:pPr>
        <w:ind w:left="2880" w:hanging="360"/>
      </w:pPr>
      <w:rPr>
        <w:rFonts w:ascii="Symbol" w:hAnsi="Symbol" w:hint="default"/>
      </w:rPr>
    </w:lvl>
    <w:lvl w:ilvl="4" w:tplc="979E0F0C" w:tentative="1">
      <w:start w:val="1"/>
      <w:numFmt w:val="bullet"/>
      <w:lvlText w:val="o"/>
      <w:lvlJc w:val="left"/>
      <w:pPr>
        <w:ind w:left="3600" w:hanging="360"/>
      </w:pPr>
      <w:rPr>
        <w:rFonts w:ascii="Courier New" w:hAnsi="Courier New" w:cs="Courier New" w:hint="default"/>
      </w:rPr>
    </w:lvl>
    <w:lvl w:ilvl="5" w:tplc="9DA69800" w:tentative="1">
      <w:start w:val="1"/>
      <w:numFmt w:val="bullet"/>
      <w:lvlText w:val=""/>
      <w:lvlJc w:val="left"/>
      <w:pPr>
        <w:ind w:left="4320" w:hanging="360"/>
      </w:pPr>
      <w:rPr>
        <w:rFonts w:ascii="Wingdings" w:hAnsi="Wingdings" w:hint="default"/>
      </w:rPr>
    </w:lvl>
    <w:lvl w:ilvl="6" w:tplc="D7F8E606" w:tentative="1">
      <w:start w:val="1"/>
      <w:numFmt w:val="bullet"/>
      <w:lvlText w:val=""/>
      <w:lvlJc w:val="left"/>
      <w:pPr>
        <w:ind w:left="5040" w:hanging="360"/>
      </w:pPr>
      <w:rPr>
        <w:rFonts w:ascii="Symbol" w:hAnsi="Symbol" w:hint="default"/>
      </w:rPr>
    </w:lvl>
    <w:lvl w:ilvl="7" w:tplc="F6C68D4A" w:tentative="1">
      <w:start w:val="1"/>
      <w:numFmt w:val="bullet"/>
      <w:lvlText w:val="o"/>
      <w:lvlJc w:val="left"/>
      <w:pPr>
        <w:ind w:left="5760" w:hanging="360"/>
      </w:pPr>
      <w:rPr>
        <w:rFonts w:ascii="Courier New" w:hAnsi="Courier New" w:cs="Courier New" w:hint="default"/>
      </w:rPr>
    </w:lvl>
    <w:lvl w:ilvl="8" w:tplc="DE96B6A8" w:tentative="1">
      <w:start w:val="1"/>
      <w:numFmt w:val="bullet"/>
      <w:lvlText w:val=""/>
      <w:lvlJc w:val="left"/>
      <w:pPr>
        <w:ind w:left="6480" w:hanging="360"/>
      </w:pPr>
      <w:rPr>
        <w:rFonts w:ascii="Wingdings" w:hAnsi="Wingdings" w:hint="default"/>
      </w:rPr>
    </w:lvl>
  </w:abstractNum>
  <w:abstractNum w:abstractNumId="2" w15:restartNumberingAfterBreak="0">
    <w:nsid w:val="3C0601DA"/>
    <w:multiLevelType w:val="hybridMultilevel"/>
    <w:tmpl w:val="01825316"/>
    <w:lvl w:ilvl="0" w:tplc="B4408524">
      <w:start w:val="1"/>
      <w:numFmt w:val="decimal"/>
      <w:lvlText w:val="%1."/>
      <w:lvlJc w:val="left"/>
      <w:pPr>
        <w:ind w:left="720" w:hanging="360"/>
      </w:pPr>
      <w:rPr>
        <w:rFonts w:hint="default"/>
      </w:rPr>
    </w:lvl>
    <w:lvl w:ilvl="1" w:tplc="3AEE25B2" w:tentative="1">
      <w:start w:val="1"/>
      <w:numFmt w:val="lowerLetter"/>
      <w:lvlText w:val="%2."/>
      <w:lvlJc w:val="left"/>
      <w:pPr>
        <w:ind w:left="1440" w:hanging="360"/>
      </w:pPr>
    </w:lvl>
    <w:lvl w:ilvl="2" w:tplc="87EA85EA" w:tentative="1">
      <w:start w:val="1"/>
      <w:numFmt w:val="lowerRoman"/>
      <w:lvlText w:val="%3."/>
      <w:lvlJc w:val="right"/>
      <w:pPr>
        <w:ind w:left="2160" w:hanging="180"/>
      </w:pPr>
    </w:lvl>
    <w:lvl w:ilvl="3" w:tplc="05B682B6" w:tentative="1">
      <w:start w:val="1"/>
      <w:numFmt w:val="decimal"/>
      <w:lvlText w:val="%4."/>
      <w:lvlJc w:val="left"/>
      <w:pPr>
        <w:ind w:left="2880" w:hanging="360"/>
      </w:pPr>
    </w:lvl>
    <w:lvl w:ilvl="4" w:tplc="1012BE84" w:tentative="1">
      <w:start w:val="1"/>
      <w:numFmt w:val="lowerLetter"/>
      <w:lvlText w:val="%5."/>
      <w:lvlJc w:val="left"/>
      <w:pPr>
        <w:ind w:left="3600" w:hanging="360"/>
      </w:pPr>
    </w:lvl>
    <w:lvl w:ilvl="5" w:tplc="6F546C6C" w:tentative="1">
      <w:start w:val="1"/>
      <w:numFmt w:val="lowerRoman"/>
      <w:lvlText w:val="%6."/>
      <w:lvlJc w:val="right"/>
      <w:pPr>
        <w:ind w:left="4320" w:hanging="180"/>
      </w:pPr>
    </w:lvl>
    <w:lvl w:ilvl="6" w:tplc="D0C4AE4E" w:tentative="1">
      <w:start w:val="1"/>
      <w:numFmt w:val="decimal"/>
      <w:lvlText w:val="%7."/>
      <w:lvlJc w:val="left"/>
      <w:pPr>
        <w:ind w:left="5040" w:hanging="360"/>
      </w:pPr>
    </w:lvl>
    <w:lvl w:ilvl="7" w:tplc="73C49D16" w:tentative="1">
      <w:start w:val="1"/>
      <w:numFmt w:val="lowerLetter"/>
      <w:lvlText w:val="%8."/>
      <w:lvlJc w:val="left"/>
      <w:pPr>
        <w:ind w:left="5760" w:hanging="360"/>
      </w:pPr>
    </w:lvl>
    <w:lvl w:ilvl="8" w:tplc="CCAC7372" w:tentative="1">
      <w:start w:val="1"/>
      <w:numFmt w:val="lowerRoman"/>
      <w:lvlText w:val="%9."/>
      <w:lvlJc w:val="right"/>
      <w:pPr>
        <w:ind w:left="6480" w:hanging="180"/>
      </w:pPr>
    </w:lvl>
  </w:abstractNum>
  <w:abstractNum w:abstractNumId="3" w15:restartNumberingAfterBreak="0">
    <w:nsid w:val="4DE7654F"/>
    <w:multiLevelType w:val="hybridMultilevel"/>
    <w:tmpl w:val="E0AE23F8"/>
    <w:lvl w:ilvl="0" w:tplc="8A3EF7C0">
      <w:start w:val="1"/>
      <w:numFmt w:val="decimal"/>
      <w:lvlText w:val="%1."/>
      <w:lvlJc w:val="left"/>
      <w:pPr>
        <w:ind w:left="720" w:hanging="360"/>
      </w:pPr>
      <w:rPr>
        <w:rFonts w:hint="default"/>
      </w:rPr>
    </w:lvl>
    <w:lvl w:ilvl="1" w:tplc="11A66032" w:tentative="1">
      <w:start w:val="1"/>
      <w:numFmt w:val="lowerLetter"/>
      <w:lvlText w:val="%2."/>
      <w:lvlJc w:val="left"/>
      <w:pPr>
        <w:ind w:left="1440" w:hanging="360"/>
      </w:pPr>
    </w:lvl>
    <w:lvl w:ilvl="2" w:tplc="F9BADA46" w:tentative="1">
      <w:start w:val="1"/>
      <w:numFmt w:val="lowerRoman"/>
      <w:lvlText w:val="%3."/>
      <w:lvlJc w:val="right"/>
      <w:pPr>
        <w:ind w:left="2160" w:hanging="180"/>
      </w:pPr>
    </w:lvl>
    <w:lvl w:ilvl="3" w:tplc="2E1AFCD6" w:tentative="1">
      <w:start w:val="1"/>
      <w:numFmt w:val="decimal"/>
      <w:lvlText w:val="%4."/>
      <w:lvlJc w:val="left"/>
      <w:pPr>
        <w:ind w:left="2880" w:hanging="360"/>
      </w:pPr>
    </w:lvl>
    <w:lvl w:ilvl="4" w:tplc="29AC16AC" w:tentative="1">
      <w:start w:val="1"/>
      <w:numFmt w:val="lowerLetter"/>
      <w:lvlText w:val="%5."/>
      <w:lvlJc w:val="left"/>
      <w:pPr>
        <w:ind w:left="3600" w:hanging="360"/>
      </w:pPr>
    </w:lvl>
    <w:lvl w:ilvl="5" w:tplc="47FE6FFE" w:tentative="1">
      <w:start w:val="1"/>
      <w:numFmt w:val="lowerRoman"/>
      <w:lvlText w:val="%6."/>
      <w:lvlJc w:val="right"/>
      <w:pPr>
        <w:ind w:left="4320" w:hanging="180"/>
      </w:pPr>
    </w:lvl>
    <w:lvl w:ilvl="6" w:tplc="BBB82FB2" w:tentative="1">
      <w:start w:val="1"/>
      <w:numFmt w:val="decimal"/>
      <w:lvlText w:val="%7."/>
      <w:lvlJc w:val="left"/>
      <w:pPr>
        <w:ind w:left="5040" w:hanging="360"/>
      </w:pPr>
    </w:lvl>
    <w:lvl w:ilvl="7" w:tplc="0E34643C" w:tentative="1">
      <w:start w:val="1"/>
      <w:numFmt w:val="lowerLetter"/>
      <w:lvlText w:val="%8."/>
      <w:lvlJc w:val="left"/>
      <w:pPr>
        <w:ind w:left="5760" w:hanging="360"/>
      </w:pPr>
    </w:lvl>
    <w:lvl w:ilvl="8" w:tplc="B4EA1928" w:tentative="1">
      <w:start w:val="1"/>
      <w:numFmt w:val="lowerRoman"/>
      <w:lvlText w:val="%9."/>
      <w:lvlJc w:val="right"/>
      <w:pPr>
        <w:ind w:left="6480" w:hanging="180"/>
      </w:pPr>
    </w:lvl>
  </w:abstractNum>
  <w:abstractNum w:abstractNumId="4" w15:restartNumberingAfterBreak="0">
    <w:nsid w:val="580C0221"/>
    <w:multiLevelType w:val="multilevel"/>
    <w:tmpl w:val="098C855E"/>
    <w:lvl w:ilvl="0">
      <w:start w:val="1"/>
      <w:numFmt w:val="decimal"/>
      <w:pStyle w:val="Heading2"/>
      <w:lvlText w:val="%1."/>
      <w:lvlJc w:val="left"/>
      <w:pPr>
        <w:ind w:left="360" w:hanging="360"/>
      </w:pPr>
      <w:rPr>
        <w:b w:val="0"/>
        <w:i w:val="0"/>
        <w:strike w:val="0"/>
        <w:dstrike w:val="0"/>
        <w:color w:val="000000"/>
        <w:sz w:val="28"/>
        <w:szCs w:val="28"/>
        <w:u w:val="none" w:color="000000"/>
        <w:bdr w:val="none" w:sz="0" w:space="0" w:color="auto"/>
        <w:shd w:val="clear" w:color="auto" w:fill="auto"/>
        <w:vertAlign w:val="baseline"/>
      </w:rPr>
    </w:lvl>
    <w:lvl w:ilvl="1">
      <w:start w:val="1"/>
      <w:numFmt w:val="decimal"/>
      <w:pStyle w:val="Heading3"/>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29E0B85"/>
    <w:multiLevelType w:val="multilevel"/>
    <w:tmpl w:val="1B864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954FA9"/>
    <w:multiLevelType w:val="hybridMultilevel"/>
    <w:tmpl w:val="B0C4FC14"/>
    <w:lvl w:ilvl="0" w:tplc="723623F0">
      <w:start w:val="1"/>
      <w:numFmt w:val="decimal"/>
      <w:lvlText w:val="%1."/>
      <w:lvlJc w:val="left"/>
      <w:pPr>
        <w:ind w:left="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AAF1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38F7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1A66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E48D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D481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4EB1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8257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063E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A0NDAyMrUwNjM0NDJT0lEKTi0uzszPAykwMqwFANGQlootAAAA"/>
  </w:docVars>
  <w:rsids>
    <w:rsidRoot w:val="00DE10FF"/>
    <w:rsid w:val="00002983"/>
    <w:rsid w:val="00007958"/>
    <w:rsid w:val="00012C15"/>
    <w:rsid w:val="00023EBA"/>
    <w:rsid w:val="00025882"/>
    <w:rsid w:val="000322BA"/>
    <w:rsid w:val="00032A1D"/>
    <w:rsid w:val="00032C52"/>
    <w:rsid w:val="00032FAE"/>
    <w:rsid w:val="000334A6"/>
    <w:rsid w:val="00051118"/>
    <w:rsid w:val="00063499"/>
    <w:rsid w:val="00064772"/>
    <w:rsid w:val="0006700C"/>
    <w:rsid w:val="00071A16"/>
    <w:rsid w:val="000820EA"/>
    <w:rsid w:val="00092C1E"/>
    <w:rsid w:val="000966FF"/>
    <w:rsid w:val="000B65D7"/>
    <w:rsid w:val="000B7070"/>
    <w:rsid w:val="000D29AD"/>
    <w:rsid w:val="000D59F6"/>
    <w:rsid w:val="000E36ED"/>
    <w:rsid w:val="000F34AF"/>
    <w:rsid w:val="000F67EB"/>
    <w:rsid w:val="001025EF"/>
    <w:rsid w:val="0010668D"/>
    <w:rsid w:val="00106A34"/>
    <w:rsid w:val="00116DB9"/>
    <w:rsid w:val="00121131"/>
    <w:rsid w:val="00122970"/>
    <w:rsid w:val="00133889"/>
    <w:rsid w:val="001425C4"/>
    <w:rsid w:val="001442F3"/>
    <w:rsid w:val="001446E5"/>
    <w:rsid w:val="00153A9C"/>
    <w:rsid w:val="00165910"/>
    <w:rsid w:val="0017784A"/>
    <w:rsid w:val="001808D9"/>
    <w:rsid w:val="00184544"/>
    <w:rsid w:val="001922D4"/>
    <w:rsid w:val="00192A87"/>
    <w:rsid w:val="00197485"/>
    <w:rsid w:val="00197F5B"/>
    <w:rsid w:val="001A6815"/>
    <w:rsid w:val="001B400C"/>
    <w:rsid w:val="001C5AA2"/>
    <w:rsid w:val="001D1F73"/>
    <w:rsid w:val="001D2F9A"/>
    <w:rsid w:val="001D6436"/>
    <w:rsid w:val="001D6A7E"/>
    <w:rsid w:val="001E05CB"/>
    <w:rsid w:val="001E548B"/>
    <w:rsid w:val="001E6681"/>
    <w:rsid w:val="001E7157"/>
    <w:rsid w:val="001E7A11"/>
    <w:rsid w:val="001F3D88"/>
    <w:rsid w:val="00204224"/>
    <w:rsid w:val="002136E3"/>
    <w:rsid w:val="00214A39"/>
    <w:rsid w:val="00215A5F"/>
    <w:rsid w:val="00215AC8"/>
    <w:rsid w:val="00220992"/>
    <w:rsid w:val="0022419E"/>
    <w:rsid w:val="00234F66"/>
    <w:rsid w:val="002364CB"/>
    <w:rsid w:val="002375D3"/>
    <w:rsid w:val="002417E4"/>
    <w:rsid w:val="00242883"/>
    <w:rsid w:val="00243575"/>
    <w:rsid w:val="0025740D"/>
    <w:rsid w:val="00260FA2"/>
    <w:rsid w:val="00263FB5"/>
    <w:rsid w:val="0027368C"/>
    <w:rsid w:val="0027394D"/>
    <w:rsid w:val="0028090C"/>
    <w:rsid w:val="00283369"/>
    <w:rsid w:val="002838BE"/>
    <w:rsid w:val="00283EE2"/>
    <w:rsid w:val="002841B9"/>
    <w:rsid w:val="00285089"/>
    <w:rsid w:val="00286F6B"/>
    <w:rsid w:val="00294BBA"/>
    <w:rsid w:val="002A460B"/>
    <w:rsid w:val="002A600B"/>
    <w:rsid w:val="002A66BB"/>
    <w:rsid w:val="002B2506"/>
    <w:rsid w:val="002B3690"/>
    <w:rsid w:val="002C3080"/>
    <w:rsid w:val="002D27B6"/>
    <w:rsid w:val="002D6D5A"/>
    <w:rsid w:val="002D6FE9"/>
    <w:rsid w:val="002E5A09"/>
    <w:rsid w:val="002F3FE0"/>
    <w:rsid w:val="002F442C"/>
    <w:rsid w:val="003038B8"/>
    <w:rsid w:val="003072B4"/>
    <w:rsid w:val="00315581"/>
    <w:rsid w:val="003170A3"/>
    <w:rsid w:val="00320BC1"/>
    <w:rsid w:val="003225B7"/>
    <w:rsid w:val="003262D7"/>
    <w:rsid w:val="00334BDB"/>
    <w:rsid w:val="00335BAB"/>
    <w:rsid w:val="00342E8F"/>
    <w:rsid w:val="0034388A"/>
    <w:rsid w:val="00365097"/>
    <w:rsid w:val="00365682"/>
    <w:rsid w:val="0036764E"/>
    <w:rsid w:val="003712DD"/>
    <w:rsid w:val="00372A54"/>
    <w:rsid w:val="0037378E"/>
    <w:rsid w:val="003777F6"/>
    <w:rsid w:val="0039126A"/>
    <w:rsid w:val="003A7D3E"/>
    <w:rsid w:val="003B114C"/>
    <w:rsid w:val="003C1ECB"/>
    <w:rsid w:val="003C6850"/>
    <w:rsid w:val="003C6863"/>
    <w:rsid w:val="003E0228"/>
    <w:rsid w:val="003E1154"/>
    <w:rsid w:val="003E3759"/>
    <w:rsid w:val="003F1E72"/>
    <w:rsid w:val="003F2A15"/>
    <w:rsid w:val="003F4457"/>
    <w:rsid w:val="003F7DC7"/>
    <w:rsid w:val="00401900"/>
    <w:rsid w:val="004129C2"/>
    <w:rsid w:val="00414FD3"/>
    <w:rsid w:val="004164D8"/>
    <w:rsid w:val="00417067"/>
    <w:rsid w:val="00423F3D"/>
    <w:rsid w:val="00431B5D"/>
    <w:rsid w:val="00433043"/>
    <w:rsid w:val="00434AE6"/>
    <w:rsid w:val="00435673"/>
    <w:rsid w:val="00441002"/>
    <w:rsid w:val="0044665D"/>
    <w:rsid w:val="00457CFB"/>
    <w:rsid w:val="004676E2"/>
    <w:rsid w:val="004724D9"/>
    <w:rsid w:val="00472C3E"/>
    <w:rsid w:val="00480711"/>
    <w:rsid w:val="00481552"/>
    <w:rsid w:val="004826D4"/>
    <w:rsid w:val="004830AB"/>
    <w:rsid w:val="00496DFB"/>
    <w:rsid w:val="00497370"/>
    <w:rsid w:val="00497701"/>
    <w:rsid w:val="00497D40"/>
    <w:rsid w:val="004A2817"/>
    <w:rsid w:val="004A61AD"/>
    <w:rsid w:val="004B4F24"/>
    <w:rsid w:val="004C0BCE"/>
    <w:rsid w:val="004C353C"/>
    <w:rsid w:val="004D02F4"/>
    <w:rsid w:val="004D16FC"/>
    <w:rsid w:val="004D6617"/>
    <w:rsid w:val="004D6EC2"/>
    <w:rsid w:val="004E107C"/>
    <w:rsid w:val="004E1949"/>
    <w:rsid w:val="004E3D3A"/>
    <w:rsid w:val="004F1E63"/>
    <w:rsid w:val="00500B96"/>
    <w:rsid w:val="00501E6E"/>
    <w:rsid w:val="00503C58"/>
    <w:rsid w:val="005048B3"/>
    <w:rsid w:val="005060A1"/>
    <w:rsid w:val="00515BC8"/>
    <w:rsid w:val="0052049E"/>
    <w:rsid w:val="0052397C"/>
    <w:rsid w:val="005260E8"/>
    <w:rsid w:val="00526B38"/>
    <w:rsid w:val="0053414E"/>
    <w:rsid w:val="00536FD2"/>
    <w:rsid w:val="005408FA"/>
    <w:rsid w:val="00541D8F"/>
    <w:rsid w:val="005426B2"/>
    <w:rsid w:val="005572DD"/>
    <w:rsid w:val="0056593A"/>
    <w:rsid w:val="005672BB"/>
    <w:rsid w:val="005712CF"/>
    <w:rsid w:val="005720FD"/>
    <w:rsid w:val="00582B7B"/>
    <w:rsid w:val="005846F4"/>
    <w:rsid w:val="005B29BF"/>
    <w:rsid w:val="005B79A2"/>
    <w:rsid w:val="005C1C9C"/>
    <w:rsid w:val="005C32C1"/>
    <w:rsid w:val="005C5BFB"/>
    <w:rsid w:val="005C6271"/>
    <w:rsid w:val="005C649A"/>
    <w:rsid w:val="005D00AF"/>
    <w:rsid w:val="005D3D84"/>
    <w:rsid w:val="005D7EBA"/>
    <w:rsid w:val="005E2BA6"/>
    <w:rsid w:val="005E35E6"/>
    <w:rsid w:val="005E38EA"/>
    <w:rsid w:val="005E7A33"/>
    <w:rsid w:val="005F3077"/>
    <w:rsid w:val="00614814"/>
    <w:rsid w:val="006155BC"/>
    <w:rsid w:val="006159BA"/>
    <w:rsid w:val="00617052"/>
    <w:rsid w:val="006357B9"/>
    <w:rsid w:val="00640E11"/>
    <w:rsid w:val="006514F7"/>
    <w:rsid w:val="00652F16"/>
    <w:rsid w:val="006716B1"/>
    <w:rsid w:val="006757AE"/>
    <w:rsid w:val="0068458D"/>
    <w:rsid w:val="00687718"/>
    <w:rsid w:val="006940AA"/>
    <w:rsid w:val="00694A89"/>
    <w:rsid w:val="006962FB"/>
    <w:rsid w:val="006A323D"/>
    <w:rsid w:val="006A5BF0"/>
    <w:rsid w:val="006B2D63"/>
    <w:rsid w:val="006B402A"/>
    <w:rsid w:val="006B4D9A"/>
    <w:rsid w:val="006D4027"/>
    <w:rsid w:val="006D4434"/>
    <w:rsid w:val="006D7964"/>
    <w:rsid w:val="006F1F19"/>
    <w:rsid w:val="006F55B9"/>
    <w:rsid w:val="0071644C"/>
    <w:rsid w:val="00721EE4"/>
    <w:rsid w:val="00726AF3"/>
    <w:rsid w:val="007272DA"/>
    <w:rsid w:val="00745FE3"/>
    <w:rsid w:val="00750063"/>
    <w:rsid w:val="00755D49"/>
    <w:rsid w:val="00775912"/>
    <w:rsid w:val="00775A23"/>
    <w:rsid w:val="00776213"/>
    <w:rsid w:val="00781A3A"/>
    <w:rsid w:val="00791F62"/>
    <w:rsid w:val="00791F92"/>
    <w:rsid w:val="007A7658"/>
    <w:rsid w:val="007B26DC"/>
    <w:rsid w:val="007B420F"/>
    <w:rsid w:val="007C2FDA"/>
    <w:rsid w:val="007D1A22"/>
    <w:rsid w:val="007D544F"/>
    <w:rsid w:val="007E7C99"/>
    <w:rsid w:val="007F0E88"/>
    <w:rsid w:val="007F2D7A"/>
    <w:rsid w:val="007F3D60"/>
    <w:rsid w:val="00801198"/>
    <w:rsid w:val="00803096"/>
    <w:rsid w:val="00810984"/>
    <w:rsid w:val="008123AC"/>
    <w:rsid w:val="00814588"/>
    <w:rsid w:val="00815E04"/>
    <w:rsid w:val="008171F4"/>
    <w:rsid w:val="0082004E"/>
    <w:rsid w:val="00824D67"/>
    <w:rsid w:val="0083116E"/>
    <w:rsid w:val="0084122F"/>
    <w:rsid w:val="008430EE"/>
    <w:rsid w:val="008440DD"/>
    <w:rsid w:val="00844299"/>
    <w:rsid w:val="00852F0F"/>
    <w:rsid w:val="0085310B"/>
    <w:rsid w:val="008664CD"/>
    <w:rsid w:val="00881EE9"/>
    <w:rsid w:val="0088466A"/>
    <w:rsid w:val="008932F7"/>
    <w:rsid w:val="00896235"/>
    <w:rsid w:val="008A0532"/>
    <w:rsid w:val="008A5E7D"/>
    <w:rsid w:val="008A769A"/>
    <w:rsid w:val="008C5932"/>
    <w:rsid w:val="008D24E8"/>
    <w:rsid w:val="008D37FD"/>
    <w:rsid w:val="008D7375"/>
    <w:rsid w:val="008E3C8F"/>
    <w:rsid w:val="008E50A7"/>
    <w:rsid w:val="008E50D4"/>
    <w:rsid w:val="008E5ADF"/>
    <w:rsid w:val="008E72E4"/>
    <w:rsid w:val="008F097D"/>
    <w:rsid w:val="008F141B"/>
    <w:rsid w:val="008F17F0"/>
    <w:rsid w:val="008F7E2C"/>
    <w:rsid w:val="00904664"/>
    <w:rsid w:val="009053E1"/>
    <w:rsid w:val="00910A7B"/>
    <w:rsid w:val="00913476"/>
    <w:rsid w:val="0091523F"/>
    <w:rsid w:val="0091604A"/>
    <w:rsid w:val="00920280"/>
    <w:rsid w:val="00923A8D"/>
    <w:rsid w:val="009251E9"/>
    <w:rsid w:val="00925CAA"/>
    <w:rsid w:val="00930E0E"/>
    <w:rsid w:val="00933343"/>
    <w:rsid w:val="0093467C"/>
    <w:rsid w:val="00935FBB"/>
    <w:rsid w:val="009369E6"/>
    <w:rsid w:val="0093753A"/>
    <w:rsid w:val="0094010C"/>
    <w:rsid w:val="0095347F"/>
    <w:rsid w:val="00956CD7"/>
    <w:rsid w:val="00961037"/>
    <w:rsid w:val="00963047"/>
    <w:rsid w:val="00965241"/>
    <w:rsid w:val="00965DF7"/>
    <w:rsid w:val="00973AEA"/>
    <w:rsid w:val="00976EB6"/>
    <w:rsid w:val="0098070E"/>
    <w:rsid w:val="00981AD9"/>
    <w:rsid w:val="00993338"/>
    <w:rsid w:val="00995BD2"/>
    <w:rsid w:val="009A2CB9"/>
    <w:rsid w:val="009A6890"/>
    <w:rsid w:val="009B05E6"/>
    <w:rsid w:val="009B18B9"/>
    <w:rsid w:val="009B285D"/>
    <w:rsid w:val="009B28F8"/>
    <w:rsid w:val="009C18BD"/>
    <w:rsid w:val="009C4F5C"/>
    <w:rsid w:val="009D0378"/>
    <w:rsid w:val="009D2015"/>
    <w:rsid w:val="009D7191"/>
    <w:rsid w:val="009E6C02"/>
    <w:rsid w:val="009F006D"/>
    <w:rsid w:val="009F22CD"/>
    <w:rsid w:val="00A00ED2"/>
    <w:rsid w:val="00A031B4"/>
    <w:rsid w:val="00A05658"/>
    <w:rsid w:val="00A05ABC"/>
    <w:rsid w:val="00A111A5"/>
    <w:rsid w:val="00A11C40"/>
    <w:rsid w:val="00A16E3E"/>
    <w:rsid w:val="00A22863"/>
    <w:rsid w:val="00A26EF1"/>
    <w:rsid w:val="00A303B3"/>
    <w:rsid w:val="00A373BB"/>
    <w:rsid w:val="00A421AE"/>
    <w:rsid w:val="00A46FA2"/>
    <w:rsid w:val="00A64E0C"/>
    <w:rsid w:val="00A654AB"/>
    <w:rsid w:val="00A6603F"/>
    <w:rsid w:val="00A66FB5"/>
    <w:rsid w:val="00A72E35"/>
    <w:rsid w:val="00A72FD1"/>
    <w:rsid w:val="00A748AB"/>
    <w:rsid w:val="00A7709E"/>
    <w:rsid w:val="00A77493"/>
    <w:rsid w:val="00A83869"/>
    <w:rsid w:val="00A848BC"/>
    <w:rsid w:val="00A85B3F"/>
    <w:rsid w:val="00A94999"/>
    <w:rsid w:val="00A94A4E"/>
    <w:rsid w:val="00A96BE4"/>
    <w:rsid w:val="00AA1160"/>
    <w:rsid w:val="00AC3C05"/>
    <w:rsid w:val="00AC52E1"/>
    <w:rsid w:val="00AD35B9"/>
    <w:rsid w:val="00AD51A0"/>
    <w:rsid w:val="00AE0E02"/>
    <w:rsid w:val="00AF0553"/>
    <w:rsid w:val="00AF614F"/>
    <w:rsid w:val="00B046B9"/>
    <w:rsid w:val="00B04C9E"/>
    <w:rsid w:val="00B107CE"/>
    <w:rsid w:val="00B10C4B"/>
    <w:rsid w:val="00B11500"/>
    <w:rsid w:val="00B115E6"/>
    <w:rsid w:val="00B122BF"/>
    <w:rsid w:val="00B304D7"/>
    <w:rsid w:val="00B40E8C"/>
    <w:rsid w:val="00B51332"/>
    <w:rsid w:val="00B5306B"/>
    <w:rsid w:val="00B5614C"/>
    <w:rsid w:val="00B61062"/>
    <w:rsid w:val="00B6327E"/>
    <w:rsid w:val="00B63FC3"/>
    <w:rsid w:val="00B64A02"/>
    <w:rsid w:val="00B72948"/>
    <w:rsid w:val="00B80454"/>
    <w:rsid w:val="00B80C29"/>
    <w:rsid w:val="00B9513D"/>
    <w:rsid w:val="00B965FA"/>
    <w:rsid w:val="00B96636"/>
    <w:rsid w:val="00BA16D4"/>
    <w:rsid w:val="00BA37C5"/>
    <w:rsid w:val="00BD1932"/>
    <w:rsid w:val="00BD1F9D"/>
    <w:rsid w:val="00BD5349"/>
    <w:rsid w:val="00BD78A0"/>
    <w:rsid w:val="00BD7958"/>
    <w:rsid w:val="00BE0FA3"/>
    <w:rsid w:val="00BE6605"/>
    <w:rsid w:val="00BE6AC4"/>
    <w:rsid w:val="00BF2486"/>
    <w:rsid w:val="00BF7670"/>
    <w:rsid w:val="00C01B59"/>
    <w:rsid w:val="00C05EA6"/>
    <w:rsid w:val="00C066D4"/>
    <w:rsid w:val="00C13B17"/>
    <w:rsid w:val="00C1570B"/>
    <w:rsid w:val="00C30BE9"/>
    <w:rsid w:val="00C412CB"/>
    <w:rsid w:val="00C43F0B"/>
    <w:rsid w:val="00C46D56"/>
    <w:rsid w:val="00C52B54"/>
    <w:rsid w:val="00C64D39"/>
    <w:rsid w:val="00C7007A"/>
    <w:rsid w:val="00C71CA6"/>
    <w:rsid w:val="00C81627"/>
    <w:rsid w:val="00C8418D"/>
    <w:rsid w:val="00C87D8F"/>
    <w:rsid w:val="00C93E48"/>
    <w:rsid w:val="00C96B7A"/>
    <w:rsid w:val="00C9712C"/>
    <w:rsid w:val="00CA1467"/>
    <w:rsid w:val="00CA3FA8"/>
    <w:rsid w:val="00CB000F"/>
    <w:rsid w:val="00CB1220"/>
    <w:rsid w:val="00CD153A"/>
    <w:rsid w:val="00CD46BE"/>
    <w:rsid w:val="00CD4C33"/>
    <w:rsid w:val="00CE3D72"/>
    <w:rsid w:val="00CE4717"/>
    <w:rsid w:val="00CE5D42"/>
    <w:rsid w:val="00CF05EA"/>
    <w:rsid w:val="00D003A5"/>
    <w:rsid w:val="00D05726"/>
    <w:rsid w:val="00D066D6"/>
    <w:rsid w:val="00D152AB"/>
    <w:rsid w:val="00D15E2D"/>
    <w:rsid w:val="00D242D5"/>
    <w:rsid w:val="00D33001"/>
    <w:rsid w:val="00D33BF7"/>
    <w:rsid w:val="00D40668"/>
    <w:rsid w:val="00D611C0"/>
    <w:rsid w:val="00D705EB"/>
    <w:rsid w:val="00D7145C"/>
    <w:rsid w:val="00D75061"/>
    <w:rsid w:val="00D86A8C"/>
    <w:rsid w:val="00D87AA8"/>
    <w:rsid w:val="00D9286C"/>
    <w:rsid w:val="00D9623C"/>
    <w:rsid w:val="00D9732E"/>
    <w:rsid w:val="00DA723D"/>
    <w:rsid w:val="00DB1CDE"/>
    <w:rsid w:val="00DC66CD"/>
    <w:rsid w:val="00DD35DD"/>
    <w:rsid w:val="00DE0EA8"/>
    <w:rsid w:val="00DE0F9D"/>
    <w:rsid w:val="00DE10FF"/>
    <w:rsid w:val="00DE3077"/>
    <w:rsid w:val="00DE5678"/>
    <w:rsid w:val="00DF09BE"/>
    <w:rsid w:val="00E05616"/>
    <w:rsid w:val="00E07159"/>
    <w:rsid w:val="00E13967"/>
    <w:rsid w:val="00E163CD"/>
    <w:rsid w:val="00E20C19"/>
    <w:rsid w:val="00E2172A"/>
    <w:rsid w:val="00E2406C"/>
    <w:rsid w:val="00E27BB9"/>
    <w:rsid w:val="00E40575"/>
    <w:rsid w:val="00E614AD"/>
    <w:rsid w:val="00E70B0C"/>
    <w:rsid w:val="00E7406D"/>
    <w:rsid w:val="00E805A2"/>
    <w:rsid w:val="00E82646"/>
    <w:rsid w:val="00E82664"/>
    <w:rsid w:val="00E85808"/>
    <w:rsid w:val="00E92D03"/>
    <w:rsid w:val="00E96DED"/>
    <w:rsid w:val="00EA5E65"/>
    <w:rsid w:val="00EB23C5"/>
    <w:rsid w:val="00EC31C8"/>
    <w:rsid w:val="00ED5381"/>
    <w:rsid w:val="00ED77D2"/>
    <w:rsid w:val="00EF597F"/>
    <w:rsid w:val="00F00965"/>
    <w:rsid w:val="00F01ED8"/>
    <w:rsid w:val="00F025E4"/>
    <w:rsid w:val="00F05E62"/>
    <w:rsid w:val="00F11609"/>
    <w:rsid w:val="00F12783"/>
    <w:rsid w:val="00F12E4A"/>
    <w:rsid w:val="00F26C7B"/>
    <w:rsid w:val="00F27A46"/>
    <w:rsid w:val="00F27D32"/>
    <w:rsid w:val="00F27F96"/>
    <w:rsid w:val="00F33660"/>
    <w:rsid w:val="00F45F50"/>
    <w:rsid w:val="00F55A71"/>
    <w:rsid w:val="00F73DC7"/>
    <w:rsid w:val="00F8733F"/>
    <w:rsid w:val="00F91142"/>
    <w:rsid w:val="00F94589"/>
    <w:rsid w:val="00F9464E"/>
    <w:rsid w:val="00FB0100"/>
    <w:rsid w:val="00FB36B7"/>
    <w:rsid w:val="00FB51B7"/>
    <w:rsid w:val="00FC2EAD"/>
    <w:rsid w:val="00FD64C8"/>
    <w:rsid w:val="00FE1868"/>
    <w:rsid w:val="00FF59F4"/>
    <w:rsid w:val="00FF77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84596"/>
  <w15:chartTrackingRefBased/>
  <w15:docId w15:val="{C2A6A359-B17A-4085-9BB7-59DF11D2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089"/>
    <w:rPr>
      <w:lang w:val="en-GB"/>
    </w:rPr>
  </w:style>
  <w:style w:type="paragraph" w:styleId="Heading1">
    <w:name w:val="heading 1"/>
    <w:next w:val="Normal"/>
    <w:link w:val="Heading1Char"/>
    <w:autoRedefine/>
    <w:uiPriority w:val="9"/>
    <w:qFormat/>
    <w:rsid w:val="007D1A22"/>
    <w:pPr>
      <w:keepNext/>
      <w:keepLines/>
      <w:spacing w:after="0" w:line="276" w:lineRule="auto"/>
      <w:ind w:right="59"/>
      <w:outlineLvl w:val="0"/>
    </w:pPr>
    <w:rPr>
      <w:rFonts w:ascii="Times New Roman" w:eastAsia="Times New Roman" w:hAnsi="Times New Roman" w:cs="Times New Roman"/>
      <w:b/>
      <w:bCs/>
      <w:color w:val="000000"/>
      <w:sz w:val="28"/>
      <w:lang w:val="en-GB"/>
    </w:rPr>
  </w:style>
  <w:style w:type="paragraph" w:styleId="Heading2">
    <w:name w:val="heading 2"/>
    <w:next w:val="Normal"/>
    <w:link w:val="Heading2Char"/>
    <w:uiPriority w:val="9"/>
    <w:unhideWhenUsed/>
    <w:qFormat/>
    <w:rsid w:val="0095347F"/>
    <w:pPr>
      <w:keepNext/>
      <w:keepLines/>
      <w:numPr>
        <w:numId w:val="3"/>
      </w:numPr>
      <w:spacing w:after="0"/>
      <w:ind w:right="59"/>
      <w:outlineLvl w:val="1"/>
    </w:pPr>
    <w:rPr>
      <w:rFonts w:ascii="Times New Roman" w:eastAsia="Times New Roman" w:hAnsi="Times New Roman" w:cs="Times New Roman"/>
      <w:b/>
      <w:color w:val="000000"/>
      <w:sz w:val="26"/>
      <w:lang w:val="en-GB"/>
    </w:rPr>
  </w:style>
  <w:style w:type="paragraph" w:styleId="Heading3">
    <w:name w:val="heading 3"/>
    <w:next w:val="Normal"/>
    <w:link w:val="Heading3Char"/>
    <w:uiPriority w:val="9"/>
    <w:unhideWhenUsed/>
    <w:qFormat/>
    <w:rsid w:val="0095347F"/>
    <w:pPr>
      <w:keepNext/>
      <w:keepLines/>
      <w:numPr>
        <w:ilvl w:val="1"/>
        <w:numId w:val="3"/>
      </w:numPr>
      <w:spacing w:after="0"/>
      <w:ind w:right="59"/>
      <w:outlineLvl w:val="2"/>
    </w:pPr>
    <w:rPr>
      <w:rFonts w:ascii="Times New Roman" w:eastAsia="Times New Roman" w:hAnsi="Times New Roman" w:cs="Times New Roman"/>
      <w:b/>
      <w:bCs/>
      <w:color w:val="00000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A22"/>
    <w:rPr>
      <w:rFonts w:ascii="Times New Roman" w:eastAsia="Times New Roman" w:hAnsi="Times New Roman" w:cs="Times New Roman"/>
      <w:b/>
      <w:bCs/>
      <w:color w:val="000000"/>
      <w:sz w:val="28"/>
    </w:rPr>
  </w:style>
  <w:style w:type="character" w:customStyle="1" w:styleId="Heading2Char">
    <w:name w:val="Heading 2 Char"/>
    <w:basedOn w:val="DefaultParagraphFont"/>
    <w:link w:val="Heading2"/>
    <w:uiPriority w:val="9"/>
    <w:rsid w:val="0095347F"/>
    <w:rPr>
      <w:rFonts w:ascii="Times New Roman" w:eastAsia="Times New Roman" w:hAnsi="Times New Roman" w:cs="Times New Roman"/>
      <w:b/>
      <w:color w:val="000000"/>
      <w:sz w:val="26"/>
    </w:rPr>
  </w:style>
  <w:style w:type="character" w:customStyle="1" w:styleId="Heading3Char">
    <w:name w:val="Heading 3 Char"/>
    <w:basedOn w:val="DefaultParagraphFont"/>
    <w:link w:val="Heading3"/>
    <w:uiPriority w:val="9"/>
    <w:rsid w:val="0095347F"/>
    <w:rPr>
      <w:rFonts w:ascii="Times New Roman" w:eastAsia="Times New Roman" w:hAnsi="Times New Roman" w:cs="Times New Roman"/>
      <w:b/>
      <w:bCs/>
      <w:color w:val="000000"/>
      <w:sz w:val="26"/>
      <w:szCs w:val="26"/>
    </w:rPr>
  </w:style>
  <w:style w:type="paragraph" w:styleId="BalloonText">
    <w:name w:val="Balloon Text"/>
    <w:basedOn w:val="Normal"/>
    <w:link w:val="BalloonTextChar"/>
    <w:uiPriority w:val="99"/>
    <w:semiHidden/>
    <w:unhideWhenUsed/>
    <w:rsid w:val="00DE1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0FF"/>
    <w:rPr>
      <w:rFonts w:ascii="Segoe UI" w:hAnsi="Segoe UI" w:cs="Segoe UI"/>
      <w:sz w:val="18"/>
      <w:szCs w:val="18"/>
    </w:rPr>
  </w:style>
  <w:style w:type="paragraph" w:styleId="NormalWeb">
    <w:name w:val="Normal (Web)"/>
    <w:basedOn w:val="Normal"/>
    <w:uiPriority w:val="99"/>
    <w:unhideWhenUsed/>
    <w:rsid w:val="00DE10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E10FF"/>
    <w:rPr>
      <w:color w:val="0000FF"/>
      <w:u w:val="single"/>
    </w:rPr>
  </w:style>
  <w:style w:type="table" w:styleId="TableGrid">
    <w:name w:val="Table Grid"/>
    <w:basedOn w:val="TableNormal"/>
    <w:uiPriority w:val="39"/>
    <w:rsid w:val="00DE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10FF"/>
    <w:rPr>
      <w:rFonts w:ascii="Tahoma" w:hAnsi="Tahoma" w:cs="Tahoma"/>
      <w:b w:val="0"/>
      <w:i w:val="0"/>
      <w:caps w:val="0"/>
      <w:strike w:val="0"/>
      <w:sz w:val="16"/>
      <w:szCs w:val="16"/>
      <w:u w:val="none"/>
    </w:rPr>
  </w:style>
  <w:style w:type="paragraph" w:styleId="CommentText">
    <w:name w:val="annotation text"/>
    <w:basedOn w:val="Normal"/>
    <w:link w:val="CommentTextChar"/>
    <w:uiPriority w:val="99"/>
    <w:semiHidden/>
    <w:unhideWhenUsed/>
    <w:rsid w:val="00DE10FF"/>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DE10FF"/>
    <w:rPr>
      <w:rFonts w:ascii="Tahoma" w:hAnsi="Tahoma" w:cs="Tahoma"/>
      <w:sz w:val="16"/>
      <w:szCs w:val="20"/>
      <w:lang w:val="en-GB"/>
    </w:rPr>
  </w:style>
  <w:style w:type="character" w:styleId="Emphasis">
    <w:name w:val="Emphasis"/>
    <w:basedOn w:val="DefaultParagraphFont"/>
    <w:uiPriority w:val="20"/>
    <w:qFormat/>
    <w:rsid w:val="00DE10FF"/>
    <w:rPr>
      <w:i/>
      <w:iCs/>
    </w:rPr>
  </w:style>
  <w:style w:type="paragraph" w:styleId="CommentSubject">
    <w:name w:val="annotation subject"/>
    <w:basedOn w:val="CommentText"/>
    <w:next w:val="CommentText"/>
    <w:link w:val="CommentSubjectChar"/>
    <w:uiPriority w:val="99"/>
    <w:semiHidden/>
    <w:unhideWhenUsed/>
    <w:rsid w:val="007F3D60"/>
    <w:rPr>
      <w:b/>
      <w:bCs/>
    </w:rPr>
  </w:style>
  <w:style w:type="character" w:customStyle="1" w:styleId="CommentSubjectChar">
    <w:name w:val="Comment Subject Char"/>
    <w:basedOn w:val="CommentTextChar"/>
    <w:link w:val="CommentSubject"/>
    <w:uiPriority w:val="99"/>
    <w:semiHidden/>
    <w:rsid w:val="007F3D60"/>
    <w:rPr>
      <w:rFonts w:ascii="Tahoma" w:hAnsi="Tahoma" w:cs="Tahoma"/>
      <w:b/>
      <w:bCs/>
      <w:sz w:val="20"/>
      <w:szCs w:val="20"/>
      <w:lang w:val="en-GB"/>
    </w:rPr>
  </w:style>
  <w:style w:type="paragraph" w:styleId="Revision">
    <w:name w:val="Revision"/>
    <w:hidden/>
    <w:uiPriority w:val="99"/>
    <w:semiHidden/>
    <w:rsid w:val="00C05EA6"/>
    <w:pPr>
      <w:spacing w:after="0" w:line="240" w:lineRule="auto"/>
    </w:pPr>
  </w:style>
  <w:style w:type="paragraph" w:styleId="TOC1">
    <w:name w:val="toc 1"/>
    <w:hidden/>
    <w:uiPriority w:val="39"/>
    <w:rsid w:val="0094010C"/>
    <w:pPr>
      <w:spacing w:after="120"/>
      <w:ind w:left="25" w:right="69" w:hanging="10"/>
    </w:pPr>
    <w:rPr>
      <w:rFonts w:ascii="Times New Roman" w:eastAsia="Times New Roman" w:hAnsi="Times New Roman" w:cs="Times New Roman"/>
      <w:color w:val="000000"/>
    </w:rPr>
  </w:style>
  <w:style w:type="paragraph" w:styleId="TOC2">
    <w:name w:val="toc 2"/>
    <w:hidden/>
    <w:uiPriority w:val="39"/>
    <w:rsid w:val="0094010C"/>
    <w:pPr>
      <w:spacing w:after="123"/>
      <w:ind w:left="231" w:right="88" w:hanging="10"/>
      <w:jc w:val="right"/>
    </w:pPr>
    <w:rPr>
      <w:rFonts w:ascii="Times New Roman" w:eastAsia="Times New Roman" w:hAnsi="Times New Roman" w:cs="Times New Roman"/>
      <w:color w:val="000000"/>
      <w:lang w:val="en-GB"/>
    </w:rPr>
  </w:style>
  <w:style w:type="paragraph" w:styleId="Header">
    <w:name w:val="header"/>
    <w:basedOn w:val="Normal"/>
    <w:link w:val="HeaderChar"/>
    <w:uiPriority w:val="99"/>
    <w:unhideWhenUsed/>
    <w:rsid w:val="0094010C"/>
    <w:pPr>
      <w:tabs>
        <w:tab w:val="center" w:pos="4680"/>
        <w:tab w:val="right" w:pos="9360"/>
      </w:tabs>
      <w:spacing w:after="0" w:line="240" w:lineRule="auto"/>
      <w:ind w:left="10" w:hanging="10"/>
      <w:jc w:val="both"/>
    </w:pPr>
    <w:rPr>
      <w:rFonts w:ascii="Times New Roman" w:eastAsia="Times New Roman" w:hAnsi="Times New Roman" w:cs="Times New Roman"/>
      <w:color w:val="000000"/>
    </w:rPr>
  </w:style>
  <w:style w:type="character" w:customStyle="1" w:styleId="HeaderChar">
    <w:name w:val="Header Char"/>
    <w:basedOn w:val="DefaultParagraphFont"/>
    <w:link w:val="Header"/>
    <w:uiPriority w:val="99"/>
    <w:rsid w:val="0094010C"/>
    <w:rPr>
      <w:rFonts w:ascii="Times New Roman" w:eastAsia="Times New Roman" w:hAnsi="Times New Roman" w:cs="Times New Roman"/>
      <w:color w:val="000000"/>
    </w:rPr>
  </w:style>
  <w:style w:type="character" w:styleId="FollowedHyperlink">
    <w:name w:val="FollowedHyperlink"/>
    <w:basedOn w:val="DefaultParagraphFont"/>
    <w:uiPriority w:val="99"/>
    <w:semiHidden/>
    <w:unhideWhenUsed/>
    <w:rsid w:val="0094010C"/>
    <w:rPr>
      <w:color w:val="954F72" w:themeColor="followedHyperlink"/>
      <w:u w:val="single"/>
    </w:rPr>
  </w:style>
  <w:style w:type="table" w:styleId="GridTable4-Accent3">
    <w:name w:val="Grid Table 4 Accent 3"/>
    <w:basedOn w:val="TableNormal"/>
    <w:uiPriority w:val="49"/>
    <w:rsid w:val="0094010C"/>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ntstyle01">
    <w:name w:val="fontstyle01"/>
    <w:basedOn w:val="DefaultParagraphFont"/>
    <w:rsid w:val="0094010C"/>
    <w:rPr>
      <w:rFonts w:ascii="CIDFont+F3" w:eastAsia="CIDFont+F3" w:hint="eastAsia"/>
      <w:b w:val="0"/>
      <w:bCs w:val="0"/>
      <w:i w:val="0"/>
      <w:iCs w:val="0"/>
      <w:color w:val="000000"/>
      <w:sz w:val="22"/>
      <w:szCs w:val="22"/>
    </w:rPr>
  </w:style>
  <w:style w:type="character" w:customStyle="1" w:styleId="fontstyle21">
    <w:name w:val="fontstyle21"/>
    <w:basedOn w:val="DefaultParagraphFont"/>
    <w:rsid w:val="0094010C"/>
    <w:rPr>
      <w:rFonts w:ascii="CIDFont+F5" w:hAnsi="CIDFont+F5" w:hint="default"/>
      <w:b w:val="0"/>
      <w:bCs w:val="0"/>
      <w:i/>
      <w:iCs/>
      <w:color w:val="252525"/>
      <w:sz w:val="22"/>
      <w:szCs w:val="22"/>
    </w:rPr>
  </w:style>
  <w:style w:type="paragraph" w:styleId="Footer">
    <w:name w:val="footer"/>
    <w:basedOn w:val="Normal"/>
    <w:link w:val="FooterChar"/>
    <w:uiPriority w:val="99"/>
    <w:unhideWhenUsed/>
    <w:rsid w:val="00694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A89"/>
  </w:style>
  <w:style w:type="character" w:styleId="Strong">
    <w:name w:val="Strong"/>
    <w:basedOn w:val="DefaultParagraphFont"/>
    <w:uiPriority w:val="22"/>
    <w:qFormat/>
    <w:rsid w:val="000F67EB"/>
    <w:rPr>
      <w:b/>
      <w:bCs/>
    </w:rPr>
  </w:style>
  <w:style w:type="character" w:customStyle="1" w:styleId="UnresolvedMention1">
    <w:name w:val="Unresolved Mention1"/>
    <w:basedOn w:val="DefaultParagraphFont"/>
    <w:uiPriority w:val="99"/>
    <w:semiHidden/>
    <w:unhideWhenUsed/>
    <w:rsid w:val="000F67EB"/>
    <w:rPr>
      <w:color w:val="605E5C"/>
      <w:shd w:val="clear" w:color="auto" w:fill="E1DFDD"/>
    </w:rPr>
  </w:style>
  <w:style w:type="character" w:customStyle="1" w:styleId="subhead-body">
    <w:name w:val="subhead-body"/>
    <w:basedOn w:val="DefaultParagraphFont"/>
    <w:rsid w:val="00457CFB"/>
  </w:style>
  <w:style w:type="character" w:styleId="PlaceholderText">
    <w:name w:val="Placeholder Text"/>
    <w:basedOn w:val="DefaultParagraphFont"/>
    <w:uiPriority w:val="99"/>
    <w:semiHidden/>
    <w:rsid w:val="00012C15"/>
    <w:rPr>
      <w:color w:val="808080"/>
    </w:rPr>
  </w:style>
  <w:style w:type="paragraph" w:styleId="ListParagraph">
    <w:name w:val="List Paragraph"/>
    <w:basedOn w:val="Normal"/>
    <w:uiPriority w:val="34"/>
    <w:qFormat/>
    <w:rsid w:val="00BD1932"/>
    <w:pPr>
      <w:ind w:left="720"/>
      <w:contextualSpacing/>
    </w:pPr>
  </w:style>
  <w:style w:type="character" w:styleId="LineNumber">
    <w:name w:val="line number"/>
    <w:basedOn w:val="DefaultParagraphFont"/>
    <w:uiPriority w:val="99"/>
    <w:semiHidden/>
    <w:unhideWhenUsed/>
    <w:rsid w:val="008F141B"/>
  </w:style>
  <w:style w:type="character" w:customStyle="1" w:styleId="UnresolvedMention2">
    <w:name w:val="Unresolved Mention2"/>
    <w:basedOn w:val="DefaultParagraphFont"/>
    <w:uiPriority w:val="99"/>
    <w:semiHidden/>
    <w:unhideWhenUsed/>
    <w:rsid w:val="00D87AA8"/>
    <w:rPr>
      <w:color w:val="605E5C"/>
      <w:shd w:val="clear" w:color="auto" w:fill="E1DFDD"/>
    </w:rPr>
  </w:style>
  <w:style w:type="paragraph" w:customStyle="1" w:styleId="paragraph">
    <w:name w:val="paragraph"/>
    <w:basedOn w:val="Normal"/>
    <w:rsid w:val="00D87AA8"/>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D87AA8"/>
  </w:style>
  <w:style w:type="character" w:customStyle="1" w:styleId="eop">
    <w:name w:val="eop"/>
    <w:basedOn w:val="DefaultParagraphFont"/>
    <w:rsid w:val="00D87AA8"/>
  </w:style>
  <w:style w:type="character" w:customStyle="1" w:styleId="UnresolvedMention3">
    <w:name w:val="Unresolved Mention3"/>
    <w:basedOn w:val="DefaultParagraphFont"/>
    <w:uiPriority w:val="99"/>
    <w:semiHidden/>
    <w:unhideWhenUsed/>
    <w:rsid w:val="00D87AA8"/>
    <w:rPr>
      <w:color w:val="605E5C"/>
      <w:shd w:val="clear" w:color="auto" w:fill="E1DFDD"/>
    </w:rPr>
  </w:style>
  <w:style w:type="character" w:styleId="UnresolvedMention">
    <w:name w:val="Unresolved Mention"/>
    <w:basedOn w:val="DefaultParagraphFont"/>
    <w:uiPriority w:val="99"/>
    <w:semiHidden/>
    <w:unhideWhenUsed/>
    <w:rsid w:val="00D87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901B6D2-89C4-441C-9C67-E4603E40E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19</Pages>
  <Words>38584</Words>
  <Characters>219935</Characters>
  <Application>Microsoft Office Word</Application>
  <DocSecurity>0</DocSecurity>
  <Lines>1832</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 Yechezkel</dc:creator>
  <cp:lastModifiedBy>Matan El Yechezkel</cp:lastModifiedBy>
  <cp:revision>22</cp:revision>
  <dcterms:created xsi:type="dcterms:W3CDTF">2020-11-26T09:36:00Z</dcterms:created>
  <dcterms:modified xsi:type="dcterms:W3CDTF">2021-02-03T08:52:00Z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http://www.zotero.org/styles/bmc-medicine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http://www.zotero.org/styles/bmc-medicine</vt:lpwstr>
  </property>
  <property fmtid="{D5CDD505-2E9C-101B-9397-08002B2CF9AE}" pid="8" name="Mendeley Recent Style Id 4_1">
    <vt:lpwstr>http://www.zotero.org/styles/bmc-public-health</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http://www.zotero.org/styles/scientific-reports</vt:lpwstr>
  </property>
  <property fmtid="{D5CDD505-2E9C-101B-9397-08002B2CF9AE}" pid="14" name="Mendeley Recent Style Name 0_1">
    <vt:lpwstr>American Medical Association 11th edition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BMC Medicine</vt:lpwstr>
  </property>
  <property fmtid="{D5CDD505-2E9C-101B-9397-08002B2CF9AE}" pid="18" name="Mendeley Recent Style Name 4_1">
    <vt:lpwstr>BMC Public Health</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10th edition - Harvard</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Scientific Reports</vt:lpwstr>
  </property>
  <property fmtid="{D5CDD505-2E9C-101B-9397-08002B2CF9AE}" pid="24" name="Mendeley Unique User Id_1">
    <vt:lpwstr>901b4a5d-5873-34a6-91ae-eaf434a8ceef</vt:lpwstr>
  </property>
  <property fmtid="{D5CDD505-2E9C-101B-9397-08002B2CF9AE}" pid="25" name="UseTimer">
    <vt:bool>true</vt:bool>
  </property>
  <property fmtid="{D5CDD505-2E9C-101B-9397-08002B2CF9AE}" pid="26" name="LastTick">
    <vt:r8>44159.8480324074</vt:r8>
  </property>
  <property fmtid="{D5CDD505-2E9C-101B-9397-08002B2CF9AE}" pid="27" name="EditTotal">
    <vt:i4>5958</vt:i4>
  </property>
  <property fmtid="{D5CDD505-2E9C-101B-9397-08002B2CF9AE}" pid="28" name="EditTimer">
    <vt:i4>2465</vt:i4>
  </property>
</Properties>
</file>