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64ECF5" w14:textId="73E35617" w:rsidR="00157A36" w:rsidRDefault="009C7D1D" w:rsidP="00507062">
      <w:pPr>
        <w:spacing w:line="360" w:lineRule="auto"/>
        <w:rPr>
          <w:rFonts w:ascii="Times New Roman" w:hAnsi="Times New Roman" w:cs="Times New Roman"/>
          <w:b/>
          <w:bCs/>
          <w:sz w:val="24"/>
          <w:szCs w:val="24"/>
        </w:rPr>
      </w:pPr>
      <w:r w:rsidRPr="009C7D1D">
        <w:rPr>
          <w:rFonts w:ascii="Times New Roman" w:hAnsi="Times New Roman" w:cs="Times New Roman"/>
          <w:b/>
          <w:bCs/>
          <w:sz w:val="24"/>
          <w:szCs w:val="24"/>
        </w:rPr>
        <w:t>PROTOCOL</w:t>
      </w:r>
    </w:p>
    <w:p w14:paraId="230D1EE6" w14:textId="36638F82" w:rsidR="000274AF" w:rsidRPr="00E236AC" w:rsidRDefault="00D765D2" w:rsidP="00507062">
      <w:pPr>
        <w:spacing w:line="360" w:lineRule="auto"/>
        <w:rPr>
          <w:rFonts w:ascii="Times New Roman" w:hAnsi="Times New Roman" w:cs="Times New Roman"/>
          <w:sz w:val="24"/>
          <w:szCs w:val="24"/>
        </w:rPr>
      </w:pPr>
      <w:bookmarkStart w:id="0" w:name="OLE_LINK1"/>
      <w:r>
        <w:rPr>
          <w:rFonts w:ascii="Times New Roman" w:hAnsi="Times New Roman" w:cs="Times New Roman"/>
          <w:b/>
          <w:bCs/>
          <w:sz w:val="24"/>
          <w:szCs w:val="24"/>
        </w:rPr>
        <w:t>Handling</w:t>
      </w:r>
      <w:r w:rsidR="00FD3EE1">
        <w:rPr>
          <w:rFonts w:ascii="Times New Roman" w:hAnsi="Times New Roman" w:cs="Times New Roman"/>
          <w:b/>
          <w:bCs/>
          <w:sz w:val="24"/>
          <w:szCs w:val="24"/>
        </w:rPr>
        <w:t xml:space="preserve"> </w:t>
      </w:r>
      <w:r w:rsidR="00045AD8">
        <w:rPr>
          <w:rFonts w:ascii="Times New Roman" w:hAnsi="Times New Roman" w:cs="Times New Roman" w:hint="eastAsia"/>
          <w:b/>
          <w:bCs/>
          <w:sz w:val="24"/>
          <w:szCs w:val="24"/>
        </w:rPr>
        <w:t>metho</w:t>
      </w:r>
      <w:r w:rsidR="00045AD8">
        <w:rPr>
          <w:rFonts w:ascii="Times New Roman" w:hAnsi="Times New Roman" w:cs="Times New Roman"/>
          <w:b/>
          <w:bCs/>
          <w:sz w:val="24"/>
          <w:szCs w:val="24"/>
        </w:rPr>
        <w:t xml:space="preserve">ds for </w:t>
      </w:r>
      <w:r w:rsidR="00FD3EE1">
        <w:rPr>
          <w:rFonts w:ascii="Times New Roman" w:hAnsi="Times New Roman" w:cs="Times New Roman"/>
          <w:b/>
          <w:bCs/>
          <w:sz w:val="24"/>
          <w:szCs w:val="24"/>
        </w:rPr>
        <w:t>z</w:t>
      </w:r>
      <w:r w:rsidR="00C0269A">
        <w:rPr>
          <w:rFonts w:ascii="Times New Roman" w:hAnsi="Times New Roman" w:cs="Times New Roman" w:hint="eastAsia"/>
          <w:b/>
          <w:bCs/>
          <w:sz w:val="24"/>
          <w:szCs w:val="24"/>
        </w:rPr>
        <w:t>er</w:t>
      </w:r>
      <w:r w:rsidR="00C0269A">
        <w:rPr>
          <w:rFonts w:ascii="Times New Roman" w:hAnsi="Times New Roman" w:cs="Times New Roman"/>
          <w:b/>
          <w:bCs/>
          <w:sz w:val="24"/>
          <w:szCs w:val="24"/>
        </w:rPr>
        <w:t>o-events studies in meta-analyses</w:t>
      </w:r>
      <w:r w:rsidR="007B2ED7">
        <w:rPr>
          <w:rFonts w:ascii="Times New Roman" w:hAnsi="Times New Roman" w:cs="Times New Roman"/>
          <w:b/>
          <w:bCs/>
          <w:sz w:val="24"/>
          <w:szCs w:val="24"/>
        </w:rPr>
        <w:t xml:space="preserve"> of adverse events</w:t>
      </w:r>
      <w:bookmarkEnd w:id="0"/>
      <w:r w:rsidR="008D7337">
        <w:rPr>
          <w:rFonts w:ascii="Times New Roman" w:hAnsi="Times New Roman" w:cs="Times New Roman"/>
          <w:b/>
          <w:bCs/>
          <w:sz w:val="24"/>
          <w:szCs w:val="24"/>
        </w:rPr>
        <w:t xml:space="preserve">: </w:t>
      </w:r>
      <w:r w:rsidR="00AE70D0">
        <w:rPr>
          <w:rFonts w:ascii="Times New Roman" w:hAnsi="Times New Roman" w:cs="Times New Roman"/>
          <w:b/>
          <w:bCs/>
          <w:sz w:val="24"/>
          <w:szCs w:val="24"/>
        </w:rPr>
        <w:t xml:space="preserve">meta-epidemiological </w:t>
      </w:r>
      <w:r w:rsidR="008D7337">
        <w:rPr>
          <w:rFonts w:ascii="Times New Roman" w:hAnsi="Times New Roman" w:cs="Times New Roman"/>
          <w:b/>
          <w:bCs/>
          <w:sz w:val="24"/>
          <w:szCs w:val="24"/>
        </w:rPr>
        <w:t>s</w:t>
      </w:r>
      <w:r w:rsidR="000B06F7">
        <w:rPr>
          <w:rFonts w:ascii="Times New Roman" w:hAnsi="Times New Roman" w:cs="Times New Roman"/>
          <w:b/>
          <w:bCs/>
          <w:sz w:val="24"/>
          <w:szCs w:val="24"/>
        </w:rPr>
        <w:t>tudy</w:t>
      </w:r>
    </w:p>
    <w:p w14:paraId="7ACF8DCC" w14:textId="16C2C050" w:rsidR="00AF60B2" w:rsidRDefault="003A64AB" w:rsidP="00507062">
      <w:pPr>
        <w:spacing w:line="360" w:lineRule="auto"/>
        <w:rPr>
          <w:rFonts w:ascii="Times New Roman" w:hAnsi="Times New Roman" w:cs="Times New Roman"/>
          <w:sz w:val="24"/>
          <w:szCs w:val="24"/>
        </w:rPr>
      </w:pPr>
      <w:r w:rsidRPr="003A64AB">
        <w:rPr>
          <w:rFonts w:ascii="Times New Roman" w:hAnsi="Times New Roman" w:cs="Times New Roman"/>
          <w:b/>
          <w:bCs/>
          <w:sz w:val="24"/>
          <w:szCs w:val="24"/>
        </w:rPr>
        <w:t>Drafted by:</w:t>
      </w:r>
      <w:r>
        <w:rPr>
          <w:rFonts w:ascii="Times New Roman" w:hAnsi="Times New Roman" w:cs="Times New Roman"/>
          <w:sz w:val="24"/>
          <w:szCs w:val="24"/>
        </w:rPr>
        <w:t xml:space="preserve"> </w:t>
      </w:r>
      <w:r w:rsidR="00C40408">
        <w:rPr>
          <w:rFonts w:ascii="Times New Roman" w:hAnsi="Times New Roman" w:cs="Times New Roman" w:hint="eastAsia"/>
          <w:sz w:val="24"/>
          <w:szCs w:val="24"/>
        </w:rPr>
        <w:t>Ch</w:t>
      </w:r>
      <w:r w:rsidR="00C40408">
        <w:rPr>
          <w:rFonts w:ascii="Times New Roman" w:hAnsi="Times New Roman" w:cs="Times New Roman"/>
          <w:sz w:val="24"/>
          <w:szCs w:val="24"/>
        </w:rPr>
        <w:t>ang X</w:t>
      </w:r>
      <w:r w:rsidR="00C40408">
        <w:rPr>
          <w:rFonts w:ascii="Times New Roman" w:hAnsi="Times New Roman" w:cs="Times New Roman" w:hint="eastAsia"/>
          <w:sz w:val="24"/>
          <w:szCs w:val="24"/>
        </w:rPr>
        <w:t>u</w:t>
      </w:r>
      <w:r w:rsidR="00C40408" w:rsidRPr="00C40408">
        <w:rPr>
          <w:rFonts w:ascii="Times New Roman" w:hAnsi="Times New Roman" w:cs="Times New Roman"/>
          <w:sz w:val="24"/>
          <w:szCs w:val="24"/>
          <w:vertAlign w:val="superscript"/>
        </w:rPr>
        <w:t>1,2</w:t>
      </w:r>
    </w:p>
    <w:p w14:paraId="735F18DE" w14:textId="2A5DA1F3" w:rsidR="00C40408" w:rsidRPr="00C40408" w:rsidRDefault="00C40408" w:rsidP="00507062">
      <w:pPr>
        <w:pStyle w:val="a4"/>
        <w:numPr>
          <w:ilvl w:val="0"/>
          <w:numId w:val="7"/>
        </w:numPr>
        <w:spacing w:line="360" w:lineRule="auto"/>
        <w:ind w:firstLineChars="0"/>
        <w:rPr>
          <w:rFonts w:ascii="Times New Roman" w:hAnsi="Times New Roman" w:cs="Times New Roman"/>
          <w:color w:val="000000" w:themeColor="text1"/>
          <w:sz w:val="24"/>
          <w:szCs w:val="24"/>
        </w:rPr>
      </w:pPr>
      <w:r w:rsidRPr="00C40408">
        <w:rPr>
          <w:rFonts w:ascii="Times New Roman" w:hAnsi="Times New Roman" w:cs="Times New Roman"/>
          <w:color w:val="000000" w:themeColor="text1"/>
          <w:sz w:val="24"/>
          <w:szCs w:val="24"/>
        </w:rPr>
        <w:t xml:space="preserve">Department of Population Medicine, College of Medicine, Qatar University, Al Jamiaa Street, P. O. Box 2713, Doha, Qatar; </w:t>
      </w:r>
    </w:p>
    <w:p w14:paraId="651AB0DB" w14:textId="649D76C4" w:rsidR="00C40408" w:rsidRPr="00C40408" w:rsidRDefault="00C40408" w:rsidP="00507062">
      <w:pPr>
        <w:pStyle w:val="a4"/>
        <w:numPr>
          <w:ilvl w:val="0"/>
          <w:numId w:val="7"/>
        </w:numPr>
        <w:spacing w:line="360" w:lineRule="auto"/>
        <w:ind w:firstLineChars="0"/>
        <w:rPr>
          <w:rFonts w:ascii="Times New Roman" w:hAnsi="Times New Roman" w:cs="Times New Roman"/>
          <w:color w:val="000000" w:themeColor="text1"/>
          <w:sz w:val="24"/>
          <w:szCs w:val="24"/>
        </w:rPr>
      </w:pPr>
      <w:r w:rsidRPr="00C40408">
        <w:rPr>
          <w:rFonts w:ascii="Times New Roman" w:hAnsi="Times New Roman" w:cs="Times New Roman"/>
          <w:color w:val="000000" w:themeColor="text1"/>
          <w:sz w:val="24"/>
          <w:szCs w:val="24"/>
        </w:rPr>
        <w:t>Chinese Evidence-based Medicine Center, West China Hospital, Sichuan University, Chengdu, China;</w:t>
      </w:r>
    </w:p>
    <w:p w14:paraId="7C47AE65" w14:textId="77777777" w:rsidR="00C40408" w:rsidRPr="00C40408" w:rsidRDefault="00C40408" w:rsidP="00507062">
      <w:pPr>
        <w:spacing w:line="360" w:lineRule="auto"/>
        <w:rPr>
          <w:rFonts w:ascii="Times New Roman" w:hAnsi="Times New Roman" w:cs="Times New Roman"/>
          <w:sz w:val="24"/>
          <w:szCs w:val="24"/>
        </w:rPr>
      </w:pPr>
    </w:p>
    <w:p w14:paraId="59657C7B" w14:textId="77777777" w:rsidR="00021D12" w:rsidRPr="00A82A06" w:rsidRDefault="00021D12" w:rsidP="00507062">
      <w:pPr>
        <w:spacing w:line="360" w:lineRule="auto"/>
        <w:rPr>
          <w:rFonts w:ascii="Times New Roman" w:hAnsi="Times New Roman" w:cs="Times New Roman"/>
          <w:sz w:val="24"/>
          <w:szCs w:val="24"/>
        </w:rPr>
      </w:pPr>
    </w:p>
    <w:p w14:paraId="6EED71F3" w14:textId="77777777" w:rsidR="00AF60B2" w:rsidRPr="00C37B1B" w:rsidRDefault="00AF60B2" w:rsidP="00507062">
      <w:pPr>
        <w:pStyle w:val="2"/>
        <w:spacing w:line="360" w:lineRule="auto"/>
        <w:rPr>
          <w:rFonts w:ascii="Times New Roman" w:hAnsi="Times New Roman" w:cs="Times New Roman"/>
          <w:color w:val="000000" w:themeColor="text1"/>
          <w:sz w:val="24"/>
          <w:szCs w:val="24"/>
        </w:rPr>
      </w:pPr>
      <w:r w:rsidRPr="00C37B1B">
        <w:rPr>
          <w:rFonts w:ascii="Times New Roman" w:hAnsi="Times New Roman" w:cs="Times New Roman"/>
          <w:color w:val="000000" w:themeColor="text1"/>
          <w:sz w:val="24"/>
          <w:szCs w:val="24"/>
          <w:vertAlign w:val="superscript"/>
        </w:rPr>
        <w:sym w:font="Wingdings" w:char="F02A"/>
      </w:r>
      <w:r w:rsidRPr="00C37B1B">
        <w:rPr>
          <w:rFonts w:ascii="Times New Roman" w:hAnsi="Times New Roman" w:cs="Times New Roman"/>
          <w:color w:val="000000" w:themeColor="text1"/>
          <w:sz w:val="24"/>
          <w:szCs w:val="24"/>
          <w:lang w:val="en-GB"/>
        </w:rPr>
        <w:t>Correspondence to</w:t>
      </w:r>
      <w:r w:rsidRPr="00C37B1B">
        <w:rPr>
          <w:rFonts w:ascii="Times New Roman" w:hAnsi="Times New Roman" w:cs="Times New Roman"/>
          <w:color w:val="000000" w:themeColor="text1"/>
          <w:sz w:val="24"/>
          <w:szCs w:val="24"/>
        </w:rPr>
        <w:t>:</w:t>
      </w:r>
    </w:p>
    <w:p w14:paraId="26395790" w14:textId="30CE6980" w:rsidR="00AF60B2" w:rsidRPr="00C37B1B" w:rsidRDefault="002E726A" w:rsidP="00507062">
      <w:pPr>
        <w:spacing w:line="360" w:lineRule="auto"/>
        <w:rPr>
          <w:rFonts w:ascii="Times New Roman" w:hAnsi="Times New Roman" w:cs="Times New Roman"/>
          <w:color w:val="000000" w:themeColor="text1"/>
          <w:sz w:val="24"/>
          <w:szCs w:val="24"/>
        </w:rPr>
      </w:pPr>
      <w:r w:rsidRPr="00C37B1B">
        <w:rPr>
          <w:rFonts w:ascii="Times New Roman" w:hAnsi="Times New Roman" w:cs="Times New Roman"/>
          <w:color w:val="000000" w:themeColor="text1"/>
          <w:sz w:val="24"/>
          <w:szCs w:val="24"/>
        </w:rPr>
        <w:t xml:space="preserve">Dr. </w:t>
      </w:r>
      <w:r w:rsidR="00AF60B2" w:rsidRPr="00C37B1B">
        <w:rPr>
          <w:rFonts w:ascii="Times New Roman" w:hAnsi="Times New Roman" w:cs="Times New Roman"/>
          <w:color w:val="000000" w:themeColor="text1"/>
          <w:sz w:val="24"/>
          <w:szCs w:val="24"/>
        </w:rPr>
        <w:t xml:space="preserve">Chang Xu - </w:t>
      </w:r>
      <w:hyperlink r:id="rId8" w:history="1">
        <w:r w:rsidR="00AF60B2" w:rsidRPr="00C37B1B">
          <w:rPr>
            <w:rStyle w:val="a3"/>
            <w:rFonts w:ascii="Times New Roman" w:hAnsi="Times New Roman" w:cs="Times New Roman"/>
            <w:sz w:val="24"/>
            <w:szCs w:val="24"/>
          </w:rPr>
          <w:t>xuchang2016@runbox.com</w:t>
        </w:r>
      </w:hyperlink>
      <w:r w:rsidR="00AF60B2" w:rsidRPr="00C37B1B">
        <w:rPr>
          <w:rFonts w:ascii="Times New Roman" w:hAnsi="Times New Roman" w:cs="Times New Roman"/>
          <w:color w:val="000000" w:themeColor="text1"/>
          <w:sz w:val="24"/>
          <w:szCs w:val="24"/>
        </w:rPr>
        <w:t xml:space="preserve"> </w:t>
      </w:r>
    </w:p>
    <w:p w14:paraId="50C4D5E5" w14:textId="77777777" w:rsidR="00AF60B2" w:rsidRPr="00C37B1B" w:rsidRDefault="00AF60B2" w:rsidP="00507062">
      <w:pPr>
        <w:spacing w:line="360" w:lineRule="auto"/>
        <w:rPr>
          <w:rFonts w:ascii="Times New Roman" w:hAnsi="Times New Roman" w:cs="Times New Roman"/>
          <w:color w:val="000000" w:themeColor="text1"/>
          <w:sz w:val="24"/>
          <w:szCs w:val="24"/>
        </w:rPr>
      </w:pPr>
      <w:r w:rsidRPr="00C37B1B">
        <w:rPr>
          <w:rFonts w:ascii="Times New Roman" w:hAnsi="Times New Roman" w:cs="Times New Roman"/>
          <w:color w:val="000000" w:themeColor="text1"/>
          <w:sz w:val="24"/>
          <w:szCs w:val="24"/>
        </w:rPr>
        <w:t xml:space="preserve">Department of Population Medicine, College of Medicine, Qatar University, Al Jamiaa Street, P. O. Box 2713, Doha, Qatar; </w:t>
      </w:r>
    </w:p>
    <w:p w14:paraId="199D8051" w14:textId="7FAD2F87" w:rsidR="00BC503A" w:rsidRDefault="00BC503A" w:rsidP="00507062">
      <w:pPr>
        <w:widowControl/>
        <w:spacing w:line="360" w:lineRule="auto"/>
        <w:jc w:val="left"/>
        <w:rPr>
          <w:rFonts w:ascii="Times New Roman" w:hAnsi="Times New Roman" w:cs="Times New Roman"/>
          <w:sz w:val="24"/>
          <w:szCs w:val="24"/>
        </w:rPr>
      </w:pPr>
      <w:r>
        <w:rPr>
          <w:rFonts w:ascii="Times New Roman" w:hAnsi="Times New Roman" w:cs="Times New Roman"/>
          <w:sz w:val="24"/>
          <w:szCs w:val="24"/>
        </w:rPr>
        <w:br w:type="page"/>
      </w:r>
    </w:p>
    <w:p w14:paraId="2449476A" w14:textId="77777777" w:rsidR="00CC62C4" w:rsidRPr="00382636" w:rsidRDefault="00CC62C4" w:rsidP="00507062">
      <w:pPr>
        <w:pStyle w:val="2"/>
        <w:spacing w:line="360" w:lineRule="auto"/>
        <w:rPr>
          <w:rFonts w:ascii="Times New Roman" w:hAnsi="Times New Roman" w:cs="Times New Roman"/>
          <w:sz w:val="24"/>
          <w:szCs w:val="24"/>
          <w:lang w:val="en-AU"/>
        </w:rPr>
      </w:pPr>
      <w:r w:rsidRPr="00382636">
        <w:rPr>
          <w:rFonts w:ascii="Times New Roman" w:hAnsi="Times New Roman" w:cs="Times New Roman"/>
          <w:sz w:val="24"/>
          <w:szCs w:val="24"/>
          <w:lang w:val="en-AU"/>
        </w:rPr>
        <w:lastRenderedPageBreak/>
        <w:t>Research question</w:t>
      </w:r>
    </w:p>
    <w:p w14:paraId="43500D97" w14:textId="5E09E563" w:rsidR="00CC62C4" w:rsidRDefault="00197C2B" w:rsidP="00507062">
      <w:pPr>
        <w:spacing w:line="360" w:lineRule="auto"/>
        <w:rPr>
          <w:rFonts w:ascii="Times New Roman" w:hAnsi="Times New Roman" w:cs="Times New Roman"/>
          <w:sz w:val="24"/>
          <w:szCs w:val="24"/>
          <w:lang w:val="en-AU"/>
        </w:rPr>
      </w:pPr>
      <w:r>
        <w:rPr>
          <w:rFonts w:ascii="Times New Roman" w:hAnsi="Times New Roman" w:cs="Times New Roman"/>
          <w:sz w:val="24"/>
          <w:szCs w:val="24"/>
          <w:lang w:val="en-AU"/>
        </w:rPr>
        <w:t xml:space="preserve">In the era of evidence-based medicine, </w:t>
      </w:r>
      <w:r w:rsidR="006B25AA">
        <w:rPr>
          <w:rFonts w:ascii="Times New Roman" w:hAnsi="Times New Roman" w:cs="Times New Roman"/>
          <w:sz w:val="24"/>
          <w:szCs w:val="24"/>
          <w:lang w:val="en-AU"/>
        </w:rPr>
        <w:t xml:space="preserve">systematic review and </w:t>
      </w:r>
      <w:r w:rsidR="00D809D3">
        <w:rPr>
          <w:rFonts w:ascii="Times New Roman" w:hAnsi="Times New Roman" w:cs="Times New Roman"/>
          <w:sz w:val="24"/>
          <w:szCs w:val="24"/>
          <w:lang w:val="en-AU"/>
        </w:rPr>
        <w:t xml:space="preserve">meta-analysis </w:t>
      </w:r>
      <w:r w:rsidR="006B25AA">
        <w:rPr>
          <w:rFonts w:ascii="Times New Roman" w:hAnsi="Times New Roman" w:cs="Times New Roman"/>
          <w:sz w:val="24"/>
          <w:szCs w:val="24"/>
          <w:lang w:val="en-AU"/>
        </w:rPr>
        <w:t>contributes the most important source of evidence</w:t>
      </w:r>
      <w:r w:rsidR="000D3055">
        <w:rPr>
          <w:rFonts w:ascii="Times New Roman" w:hAnsi="Times New Roman" w:cs="Times New Roman"/>
          <w:sz w:val="24"/>
          <w:szCs w:val="24"/>
          <w:lang w:val="en-AU"/>
        </w:rPr>
        <w:t xml:space="preserve"> and</w:t>
      </w:r>
      <w:r w:rsidR="0042370B">
        <w:rPr>
          <w:rFonts w:ascii="Times New Roman" w:hAnsi="Times New Roman" w:cs="Times New Roman"/>
          <w:sz w:val="24"/>
          <w:szCs w:val="24"/>
          <w:lang w:val="en-AU"/>
        </w:rPr>
        <w:t xml:space="preserve"> has been </w:t>
      </w:r>
      <w:r w:rsidR="00402DB7">
        <w:rPr>
          <w:rFonts w:ascii="Times New Roman" w:hAnsi="Times New Roman" w:cs="Times New Roman"/>
          <w:sz w:val="24"/>
          <w:szCs w:val="24"/>
          <w:lang w:val="en-AU"/>
        </w:rPr>
        <w:t xml:space="preserve">widely used to assess the </w:t>
      </w:r>
      <w:r w:rsidR="0059380D" w:rsidRPr="0059380D">
        <w:rPr>
          <w:rFonts w:ascii="Times New Roman" w:hAnsi="Times New Roman" w:cs="Times New Roman"/>
          <w:sz w:val="24"/>
          <w:szCs w:val="24"/>
          <w:lang w:val="en-AU"/>
        </w:rPr>
        <w:t xml:space="preserve">effectiveness </w:t>
      </w:r>
      <w:r w:rsidR="00402DB7">
        <w:rPr>
          <w:rFonts w:ascii="Times New Roman" w:hAnsi="Times New Roman" w:cs="Times New Roman"/>
          <w:sz w:val="24"/>
          <w:szCs w:val="24"/>
          <w:lang w:val="en-AU"/>
        </w:rPr>
        <w:t>and safety of healthcare intervention</w:t>
      </w:r>
      <w:r w:rsidR="0042370B">
        <w:rPr>
          <w:rFonts w:ascii="Times New Roman" w:hAnsi="Times New Roman" w:cs="Times New Roman"/>
          <w:sz w:val="24"/>
          <w:szCs w:val="24"/>
          <w:lang w:val="en-AU"/>
        </w:rPr>
        <w:t xml:space="preserve">. </w:t>
      </w:r>
      <w:r w:rsidR="00B14EFA">
        <w:rPr>
          <w:rFonts w:ascii="Times New Roman" w:hAnsi="Times New Roman" w:cs="Times New Roman"/>
          <w:sz w:val="24"/>
          <w:szCs w:val="24"/>
          <w:lang w:val="en-AU"/>
        </w:rPr>
        <w:t>I</w:t>
      </w:r>
      <w:r w:rsidR="00B14EFA">
        <w:rPr>
          <w:rFonts w:ascii="Times New Roman" w:hAnsi="Times New Roman" w:cs="Times New Roman" w:hint="eastAsia"/>
          <w:sz w:val="24"/>
          <w:szCs w:val="24"/>
          <w:lang w:val="en-AU"/>
        </w:rPr>
        <w:t>n</w:t>
      </w:r>
      <w:r w:rsidR="00B14EFA">
        <w:rPr>
          <w:rFonts w:ascii="Times New Roman" w:hAnsi="Times New Roman" w:cs="Times New Roman"/>
          <w:sz w:val="24"/>
          <w:szCs w:val="24"/>
          <w:lang w:val="en-AU"/>
        </w:rPr>
        <w:t xml:space="preserve"> </w:t>
      </w:r>
      <w:r w:rsidR="00BE1611">
        <w:rPr>
          <w:rFonts w:ascii="Times New Roman" w:hAnsi="Times New Roman" w:cs="Times New Roman"/>
          <w:sz w:val="24"/>
          <w:szCs w:val="24"/>
          <w:lang w:val="en-AU"/>
        </w:rPr>
        <w:t xml:space="preserve">a </w:t>
      </w:r>
      <w:r w:rsidR="00B14EFA">
        <w:rPr>
          <w:rFonts w:ascii="Times New Roman" w:hAnsi="Times New Roman" w:cs="Times New Roman"/>
          <w:sz w:val="24"/>
          <w:szCs w:val="24"/>
          <w:lang w:val="en-AU"/>
        </w:rPr>
        <w:t xml:space="preserve">meta-analysis, </w:t>
      </w:r>
      <w:r w:rsidR="00476408">
        <w:rPr>
          <w:rFonts w:ascii="Times New Roman" w:hAnsi="Times New Roman" w:cs="Times New Roman"/>
          <w:sz w:val="24"/>
          <w:szCs w:val="24"/>
          <w:lang w:val="en-AU"/>
        </w:rPr>
        <w:t>data</w:t>
      </w:r>
      <w:r w:rsidR="00B14EFA">
        <w:rPr>
          <w:rFonts w:ascii="Times New Roman" w:hAnsi="Times New Roman" w:cs="Times New Roman"/>
          <w:sz w:val="24"/>
          <w:szCs w:val="24"/>
          <w:lang w:val="en-AU"/>
        </w:rPr>
        <w:t xml:space="preserve"> </w:t>
      </w:r>
      <w:r w:rsidR="00C814E2">
        <w:rPr>
          <w:rFonts w:ascii="Times New Roman" w:hAnsi="Times New Roman" w:cs="Times New Roman"/>
          <w:sz w:val="24"/>
          <w:szCs w:val="24"/>
          <w:lang w:val="en-AU"/>
        </w:rPr>
        <w:t xml:space="preserve">from available studies on the same topic </w:t>
      </w:r>
      <w:r w:rsidR="007446B0">
        <w:rPr>
          <w:rFonts w:ascii="Times New Roman" w:hAnsi="Times New Roman" w:cs="Times New Roman"/>
          <w:sz w:val="24"/>
          <w:szCs w:val="24"/>
          <w:lang w:val="en-AU"/>
        </w:rPr>
        <w:t>are</w:t>
      </w:r>
      <w:r w:rsidR="00B14EFA">
        <w:rPr>
          <w:rFonts w:ascii="Times New Roman" w:hAnsi="Times New Roman" w:cs="Times New Roman"/>
          <w:sz w:val="24"/>
          <w:szCs w:val="24"/>
          <w:lang w:val="en-AU"/>
        </w:rPr>
        <w:t xml:space="preserve"> quantitively synthesized </w:t>
      </w:r>
      <w:r w:rsidR="00112212">
        <w:rPr>
          <w:rFonts w:ascii="Times New Roman" w:hAnsi="Times New Roman" w:cs="Times New Roman"/>
          <w:sz w:val="24"/>
          <w:szCs w:val="24"/>
          <w:lang w:val="en-AU"/>
        </w:rPr>
        <w:t>as</w:t>
      </w:r>
      <w:r w:rsidR="00A556AA">
        <w:rPr>
          <w:rFonts w:ascii="Times New Roman" w:hAnsi="Times New Roman" w:cs="Times New Roman"/>
          <w:sz w:val="24"/>
          <w:szCs w:val="24"/>
          <w:lang w:val="en-AU"/>
        </w:rPr>
        <w:t xml:space="preserve"> an effort to reduce the uncertainty</w:t>
      </w:r>
      <w:r w:rsidR="002812D8" w:rsidRPr="002812D8">
        <w:rPr>
          <w:rFonts w:ascii="Times New Roman" w:hAnsi="Times New Roman" w:cs="Times New Roman"/>
          <w:sz w:val="24"/>
          <w:szCs w:val="24"/>
          <w:lang w:val="en-AU"/>
        </w:rPr>
        <w:t xml:space="preserve"> </w:t>
      </w:r>
      <w:r w:rsidR="002812D8">
        <w:rPr>
          <w:rFonts w:ascii="Times New Roman" w:hAnsi="Times New Roman" w:cs="Times New Roman"/>
          <w:sz w:val="24"/>
          <w:szCs w:val="24"/>
          <w:lang w:val="en-AU"/>
        </w:rPr>
        <w:t>and increase the credibility</w:t>
      </w:r>
      <w:r w:rsidR="00A556AA">
        <w:rPr>
          <w:rFonts w:ascii="Times New Roman" w:hAnsi="Times New Roman" w:cs="Times New Roman"/>
          <w:sz w:val="24"/>
          <w:szCs w:val="24"/>
          <w:lang w:val="en-AU"/>
        </w:rPr>
        <w:t>.</w:t>
      </w:r>
      <w:r w:rsidR="002812D8">
        <w:rPr>
          <w:rFonts w:ascii="Times New Roman" w:hAnsi="Times New Roman" w:cs="Times New Roman"/>
          <w:sz w:val="24"/>
          <w:szCs w:val="24"/>
          <w:lang w:val="en-AU"/>
        </w:rPr>
        <w:t xml:space="preserve"> </w:t>
      </w:r>
      <w:r w:rsidR="00776BEC">
        <w:rPr>
          <w:rFonts w:ascii="Times New Roman" w:hAnsi="Times New Roman" w:cs="Times New Roman"/>
          <w:sz w:val="24"/>
          <w:szCs w:val="24"/>
          <w:lang w:val="en-AU"/>
        </w:rPr>
        <w:t>I</w:t>
      </w:r>
      <w:r w:rsidR="00776BEC">
        <w:rPr>
          <w:rFonts w:ascii="Times New Roman" w:hAnsi="Times New Roman" w:cs="Times New Roman" w:hint="eastAsia"/>
          <w:sz w:val="24"/>
          <w:szCs w:val="24"/>
          <w:lang w:val="en-AU"/>
        </w:rPr>
        <w:t>t</w:t>
      </w:r>
      <w:r w:rsidR="00776BEC">
        <w:rPr>
          <w:rFonts w:ascii="Times New Roman" w:hAnsi="Times New Roman" w:cs="Times New Roman"/>
          <w:sz w:val="24"/>
          <w:szCs w:val="24"/>
          <w:lang w:val="en-AU"/>
        </w:rPr>
        <w:t xml:space="preserve"> has been well-recognized that </w:t>
      </w:r>
      <w:r w:rsidR="00637774">
        <w:rPr>
          <w:rFonts w:ascii="Times New Roman" w:hAnsi="Times New Roman" w:cs="Times New Roman"/>
          <w:sz w:val="24"/>
          <w:szCs w:val="24"/>
          <w:lang w:val="en-AU"/>
        </w:rPr>
        <w:t xml:space="preserve">meta-analysis </w:t>
      </w:r>
      <w:r w:rsidR="00E84845">
        <w:rPr>
          <w:rFonts w:ascii="Times New Roman" w:hAnsi="Times New Roman" w:cs="Times New Roman"/>
          <w:sz w:val="24"/>
          <w:szCs w:val="24"/>
          <w:lang w:val="en-AU"/>
        </w:rPr>
        <w:t xml:space="preserve">could achieve reasonable </w:t>
      </w:r>
      <w:r w:rsidR="006761F6">
        <w:rPr>
          <w:rFonts w:ascii="Times New Roman" w:hAnsi="Times New Roman" w:cs="Times New Roman"/>
          <w:sz w:val="24"/>
          <w:szCs w:val="24"/>
          <w:lang w:val="en-AU"/>
        </w:rPr>
        <w:t xml:space="preserve">statistical </w:t>
      </w:r>
      <w:r w:rsidR="00E84845">
        <w:rPr>
          <w:rFonts w:ascii="Times New Roman" w:hAnsi="Times New Roman" w:cs="Times New Roman"/>
          <w:sz w:val="24"/>
          <w:szCs w:val="24"/>
          <w:lang w:val="en-AU"/>
        </w:rPr>
        <w:t xml:space="preserve">properties </w:t>
      </w:r>
      <w:r w:rsidR="0010381D">
        <w:rPr>
          <w:rFonts w:ascii="Times New Roman" w:hAnsi="Times New Roman" w:cs="Times New Roman"/>
          <w:sz w:val="24"/>
          <w:szCs w:val="24"/>
          <w:lang w:val="en-AU"/>
        </w:rPr>
        <w:t>for efficacy assessment</w:t>
      </w:r>
      <w:r w:rsidR="00FE15C8">
        <w:rPr>
          <w:rFonts w:ascii="Times New Roman" w:hAnsi="Times New Roman" w:cs="Times New Roman"/>
          <w:sz w:val="24"/>
          <w:szCs w:val="24"/>
          <w:lang w:val="en-AU"/>
        </w:rPr>
        <w:t>;</w:t>
      </w:r>
      <w:r w:rsidR="0010381D">
        <w:rPr>
          <w:rFonts w:ascii="Times New Roman" w:hAnsi="Times New Roman" w:cs="Times New Roman"/>
          <w:sz w:val="24"/>
          <w:szCs w:val="24"/>
          <w:lang w:val="en-AU"/>
        </w:rPr>
        <w:t xml:space="preserve"> </w:t>
      </w:r>
      <w:r w:rsidR="00FE15C8">
        <w:rPr>
          <w:rFonts w:ascii="Times New Roman" w:hAnsi="Times New Roman" w:cs="Times New Roman"/>
          <w:sz w:val="24"/>
          <w:szCs w:val="24"/>
          <w:lang w:val="en-AU"/>
        </w:rPr>
        <w:t>however, for safety assessment, due to the potential low events rate</w:t>
      </w:r>
      <w:r w:rsidR="00395A3D">
        <w:rPr>
          <w:rFonts w:ascii="Times New Roman" w:hAnsi="Times New Roman" w:cs="Times New Roman"/>
          <w:sz w:val="24"/>
          <w:szCs w:val="24"/>
          <w:lang w:val="en-AU"/>
        </w:rPr>
        <w:t xml:space="preserve"> and limited sample size, the observed events tend to be rare and often zero, make the data synthesis </w:t>
      </w:r>
      <w:r w:rsidR="009566CC" w:rsidRPr="009566CC">
        <w:rPr>
          <w:rFonts w:ascii="Times New Roman" w:hAnsi="Times New Roman" w:cs="Times New Roman"/>
          <w:sz w:val="24"/>
          <w:szCs w:val="24"/>
          <w:lang w:val="en-AU"/>
        </w:rPr>
        <w:t>challengeable</w:t>
      </w:r>
      <w:r w:rsidR="009566CC">
        <w:rPr>
          <w:rFonts w:ascii="Times New Roman" w:hAnsi="Times New Roman" w:cs="Times New Roman"/>
          <w:sz w:val="24"/>
          <w:szCs w:val="24"/>
          <w:lang w:val="en-AU"/>
        </w:rPr>
        <w:t xml:space="preserve">. </w:t>
      </w:r>
    </w:p>
    <w:p w14:paraId="3339B420" w14:textId="1557B7B0" w:rsidR="009D7BD3" w:rsidRDefault="009D7BD3" w:rsidP="00507062">
      <w:pPr>
        <w:spacing w:line="360" w:lineRule="auto"/>
        <w:rPr>
          <w:rFonts w:ascii="Times New Roman" w:hAnsi="Times New Roman" w:cs="Times New Roman"/>
          <w:sz w:val="24"/>
          <w:szCs w:val="24"/>
          <w:lang w:val="en-AU"/>
        </w:rPr>
      </w:pPr>
    </w:p>
    <w:p w14:paraId="29EDB1CC" w14:textId="5AA71280" w:rsidR="009D7BD3" w:rsidRPr="00A100FB" w:rsidRDefault="001E2BC9" w:rsidP="00507062">
      <w:pPr>
        <w:spacing w:line="360" w:lineRule="auto"/>
        <w:rPr>
          <w:rFonts w:ascii="Times New Roman" w:hAnsi="Times New Roman" w:cs="Times New Roman"/>
          <w:sz w:val="24"/>
          <w:szCs w:val="24"/>
          <w:lang w:val="en-AU"/>
        </w:rPr>
      </w:pPr>
      <w:r>
        <w:rPr>
          <w:rFonts w:ascii="Times New Roman" w:hAnsi="Times New Roman" w:cs="Times New Roman"/>
          <w:sz w:val="24"/>
          <w:szCs w:val="24"/>
          <w:lang w:val="en-AU"/>
        </w:rPr>
        <w:t>F</w:t>
      </w:r>
      <w:r>
        <w:rPr>
          <w:rFonts w:ascii="Times New Roman" w:hAnsi="Times New Roman" w:cs="Times New Roman" w:hint="eastAsia"/>
          <w:sz w:val="24"/>
          <w:szCs w:val="24"/>
          <w:lang w:val="en-AU"/>
        </w:rPr>
        <w:t>o</w:t>
      </w:r>
      <w:r>
        <w:rPr>
          <w:rFonts w:ascii="Times New Roman" w:hAnsi="Times New Roman" w:cs="Times New Roman"/>
          <w:sz w:val="24"/>
          <w:szCs w:val="24"/>
          <w:lang w:val="en-AU"/>
        </w:rPr>
        <w:t xml:space="preserve">r studies with zero-events in a single arm, several well-established methods </w:t>
      </w:r>
      <w:r w:rsidR="00094E05">
        <w:rPr>
          <w:rFonts w:ascii="Times New Roman" w:hAnsi="Times New Roman" w:cs="Times New Roman"/>
          <w:sz w:val="24"/>
          <w:szCs w:val="24"/>
          <w:lang w:val="en-AU"/>
        </w:rPr>
        <w:t>(e.g. P</w:t>
      </w:r>
      <w:r w:rsidR="00094E05">
        <w:rPr>
          <w:rFonts w:ascii="Times New Roman" w:hAnsi="Times New Roman" w:cs="Times New Roman" w:hint="eastAsia"/>
          <w:sz w:val="24"/>
          <w:szCs w:val="24"/>
          <w:lang w:val="en-AU"/>
        </w:rPr>
        <w:t>e</w:t>
      </w:r>
      <w:r w:rsidR="00094E05">
        <w:rPr>
          <w:rFonts w:ascii="Times New Roman" w:hAnsi="Times New Roman" w:cs="Times New Roman"/>
          <w:sz w:val="24"/>
          <w:szCs w:val="24"/>
          <w:lang w:val="en-AU"/>
        </w:rPr>
        <w:t>to O</w:t>
      </w:r>
      <w:r w:rsidR="00094E05">
        <w:rPr>
          <w:rFonts w:ascii="Times New Roman" w:hAnsi="Times New Roman" w:cs="Times New Roman" w:hint="eastAsia"/>
          <w:sz w:val="24"/>
          <w:szCs w:val="24"/>
          <w:lang w:val="en-AU"/>
        </w:rPr>
        <w:t>dds</w:t>
      </w:r>
      <w:r w:rsidR="00094E05">
        <w:rPr>
          <w:rFonts w:ascii="Times New Roman" w:hAnsi="Times New Roman" w:cs="Times New Roman"/>
          <w:sz w:val="24"/>
          <w:szCs w:val="24"/>
          <w:lang w:val="en-AU"/>
        </w:rPr>
        <w:t xml:space="preserve"> ratio, continuity correction, </w:t>
      </w:r>
      <w:r w:rsidR="00094E05" w:rsidRPr="00DE2C47">
        <w:rPr>
          <w:rFonts w:ascii="Times New Roman" w:hAnsi="Times New Roman" w:cs="Times New Roman"/>
          <w:sz w:val="24"/>
          <w:szCs w:val="24"/>
          <w:lang w:val="en-AU"/>
        </w:rPr>
        <w:t>Mantel–Haenszel</w:t>
      </w:r>
      <w:r w:rsidR="00094E05">
        <w:rPr>
          <w:rFonts w:ascii="Times New Roman" w:hAnsi="Times New Roman" w:cs="Times New Roman"/>
          <w:sz w:val="24"/>
          <w:szCs w:val="24"/>
          <w:lang w:val="en-AU"/>
        </w:rPr>
        <w:t xml:space="preserve">) </w:t>
      </w:r>
      <w:r>
        <w:rPr>
          <w:rFonts w:ascii="Times New Roman" w:hAnsi="Times New Roman" w:cs="Times New Roman"/>
          <w:sz w:val="24"/>
          <w:szCs w:val="24"/>
          <w:lang w:val="en-AU"/>
        </w:rPr>
        <w:t xml:space="preserve">were available to synthesis the information of such studies into meta-analysis, and </w:t>
      </w:r>
      <w:r w:rsidRPr="001E2BC9">
        <w:rPr>
          <w:rFonts w:ascii="Times New Roman" w:hAnsi="Times New Roman" w:cs="Times New Roman"/>
          <w:sz w:val="24"/>
          <w:szCs w:val="24"/>
          <w:lang w:val="en-AU"/>
        </w:rPr>
        <w:t>there is a unanimous agreement that such studies should be incorporated into meta-analysis</w:t>
      </w:r>
      <w:r>
        <w:rPr>
          <w:rFonts w:ascii="Times New Roman" w:hAnsi="Times New Roman" w:cs="Times New Roman"/>
          <w:sz w:val="24"/>
          <w:szCs w:val="24"/>
          <w:lang w:val="en-AU"/>
        </w:rPr>
        <w:t xml:space="preserve">. </w:t>
      </w:r>
      <w:r w:rsidR="003319EF">
        <w:rPr>
          <w:rFonts w:ascii="Times New Roman" w:hAnsi="Times New Roman" w:cs="Times New Roman"/>
          <w:sz w:val="24"/>
          <w:szCs w:val="24"/>
          <w:lang w:val="en-AU"/>
        </w:rPr>
        <w:t>Fo</w:t>
      </w:r>
      <w:r w:rsidR="003319EF">
        <w:rPr>
          <w:rFonts w:ascii="Times New Roman" w:hAnsi="Times New Roman" w:cs="Times New Roman" w:hint="eastAsia"/>
          <w:sz w:val="24"/>
          <w:szCs w:val="24"/>
          <w:lang w:val="en-AU"/>
        </w:rPr>
        <w:t>r</w:t>
      </w:r>
      <w:r w:rsidR="003319EF">
        <w:rPr>
          <w:rFonts w:ascii="Times New Roman" w:hAnsi="Times New Roman" w:cs="Times New Roman"/>
          <w:sz w:val="24"/>
          <w:szCs w:val="24"/>
          <w:lang w:val="en-AU"/>
        </w:rPr>
        <w:t xml:space="preserve"> studies with zero-events</w:t>
      </w:r>
      <w:r>
        <w:rPr>
          <w:rFonts w:ascii="Times New Roman" w:hAnsi="Times New Roman" w:cs="Times New Roman"/>
          <w:sz w:val="24"/>
          <w:szCs w:val="24"/>
          <w:lang w:val="en-AU"/>
        </w:rPr>
        <w:t xml:space="preserve"> in both arms</w:t>
      </w:r>
      <w:r w:rsidR="003319EF">
        <w:rPr>
          <w:rFonts w:ascii="Times New Roman" w:hAnsi="Times New Roman" w:cs="Times New Roman"/>
          <w:sz w:val="24"/>
          <w:szCs w:val="24"/>
          <w:lang w:val="en-AU"/>
        </w:rPr>
        <w:t xml:space="preserve">, </w:t>
      </w:r>
      <w:r w:rsidR="007334C7">
        <w:rPr>
          <w:rFonts w:ascii="Times New Roman" w:hAnsi="Times New Roman" w:cs="Times New Roman"/>
          <w:sz w:val="24"/>
          <w:szCs w:val="24"/>
          <w:lang w:val="en-AU"/>
        </w:rPr>
        <w:t>researchers either discard them from the meta-analysis or incorporate them through some sophisticated methods</w:t>
      </w:r>
      <w:r w:rsidR="00BB633C">
        <w:rPr>
          <w:rFonts w:ascii="Times New Roman" w:hAnsi="Times New Roman" w:cs="Times New Roman"/>
          <w:sz w:val="24"/>
          <w:szCs w:val="24"/>
          <w:lang w:val="en-AU"/>
        </w:rPr>
        <w:t xml:space="preserve"> (e.g. B</w:t>
      </w:r>
      <w:r w:rsidR="00BB633C">
        <w:rPr>
          <w:rFonts w:ascii="Times New Roman" w:hAnsi="Times New Roman" w:cs="Times New Roman" w:hint="eastAsia"/>
          <w:sz w:val="24"/>
          <w:szCs w:val="24"/>
          <w:lang w:val="en-AU"/>
        </w:rPr>
        <w:t>a</w:t>
      </w:r>
      <w:r w:rsidR="00BB633C">
        <w:rPr>
          <w:rFonts w:ascii="Times New Roman" w:hAnsi="Times New Roman" w:cs="Times New Roman"/>
          <w:sz w:val="24"/>
          <w:szCs w:val="24"/>
          <w:lang w:val="en-AU"/>
        </w:rPr>
        <w:t>yesian</w:t>
      </w:r>
      <w:r w:rsidR="00094E05">
        <w:rPr>
          <w:rFonts w:ascii="Times New Roman" w:hAnsi="Times New Roman" w:cs="Times New Roman"/>
          <w:sz w:val="24"/>
          <w:szCs w:val="24"/>
          <w:lang w:val="en-AU"/>
        </w:rPr>
        <w:t>, generalized linear mixed model (GLMM)</w:t>
      </w:r>
      <w:r w:rsidR="00BB633C">
        <w:rPr>
          <w:rFonts w:ascii="Times New Roman" w:hAnsi="Times New Roman" w:cs="Times New Roman"/>
          <w:sz w:val="24"/>
          <w:szCs w:val="24"/>
          <w:lang w:val="en-AU"/>
        </w:rPr>
        <w:t>)</w:t>
      </w:r>
      <w:r w:rsidR="005175D2">
        <w:rPr>
          <w:rFonts w:ascii="Times New Roman" w:hAnsi="Times New Roman" w:cs="Times New Roman"/>
          <w:sz w:val="24"/>
          <w:szCs w:val="24"/>
          <w:lang w:val="en-AU"/>
        </w:rPr>
        <w:t xml:space="preserve">. </w:t>
      </w:r>
      <w:r w:rsidR="004F4557">
        <w:rPr>
          <w:rFonts w:ascii="Times New Roman" w:hAnsi="Times New Roman" w:cs="Times New Roman"/>
          <w:sz w:val="24"/>
          <w:szCs w:val="24"/>
          <w:lang w:val="en-AU"/>
        </w:rPr>
        <w:t xml:space="preserve">Due to the nature of such data, the results were most likely unstable and </w:t>
      </w:r>
      <w:r w:rsidR="004F4557" w:rsidRPr="004F4557">
        <w:rPr>
          <w:rFonts w:ascii="Times New Roman" w:hAnsi="Times New Roman" w:cs="Times New Roman"/>
          <w:sz w:val="24"/>
          <w:szCs w:val="24"/>
          <w:lang w:val="en-AU"/>
        </w:rPr>
        <w:t>susceptive</w:t>
      </w:r>
      <w:r w:rsidR="004F4557">
        <w:rPr>
          <w:rFonts w:ascii="Times New Roman" w:hAnsi="Times New Roman" w:cs="Times New Roman"/>
          <w:sz w:val="24"/>
          <w:szCs w:val="24"/>
          <w:lang w:val="en-AU"/>
        </w:rPr>
        <w:t xml:space="preserve"> to the methods </w:t>
      </w:r>
      <w:r w:rsidR="00DB1560">
        <w:rPr>
          <w:rFonts w:ascii="Times New Roman" w:hAnsi="Times New Roman" w:cs="Times New Roman"/>
          <w:sz w:val="24"/>
          <w:szCs w:val="24"/>
          <w:lang w:val="en-AU"/>
        </w:rPr>
        <w:t>employed</w:t>
      </w:r>
      <w:r w:rsidR="00EE4711">
        <w:rPr>
          <w:rFonts w:ascii="Times New Roman" w:hAnsi="Times New Roman" w:cs="Times New Roman"/>
          <w:sz w:val="24"/>
          <w:szCs w:val="24"/>
          <w:lang w:val="en-AU"/>
        </w:rPr>
        <w:t>, which further largely impacted the credibility of the conclusions</w:t>
      </w:r>
      <w:r w:rsidR="005800C1">
        <w:rPr>
          <w:rFonts w:ascii="Times New Roman" w:hAnsi="Times New Roman" w:cs="Times New Roman"/>
          <w:sz w:val="24"/>
          <w:szCs w:val="24"/>
          <w:lang w:val="en-AU"/>
        </w:rPr>
        <w:t xml:space="preserve"> of a meta-analysis</w:t>
      </w:r>
      <w:r w:rsidR="00EE4711">
        <w:rPr>
          <w:rFonts w:ascii="Times New Roman" w:hAnsi="Times New Roman" w:cs="Times New Roman"/>
          <w:sz w:val="24"/>
          <w:szCs w:val="24"/>
          <w:lang w:val="en-AU"/>
        </w:rPr>
        <w:t xml:space="preserve">. </w:t>
      </w:r>
      <w:r w:rsidR="005800C1">
        <w:rPr>
          <w:rFonts w:ascii="Times New Roman" w:hAnsi="Times New Roman" w:cs="Times New Roman"/>
          <w:sz w:val="24"/>
          <w:szCs w:val="24"/>
          <w:lang w:val="en-AU"/>
        </w:rPr>
        <w:t>U</w:t>
      </w:r>
      <w:r w:rsidR="005800C1">
        <w:rPr>
          <w:rFonts w:ascii="Times New Roman" w:hAnsi="Times New Roman" w:cs="Times New Roman" w:hint="eastAsia"/>
          <w:sz w:val="24"/>
          <w:szCs w:val="24"/>
          <w:lang w:val="en-AU"/>
        </w:rPr>
        <w:t>n</w:t>
      </w:r>
      <w:r w:rsidR="005800C1">
        <w:rPr>
          <w:rFonts w:ascii="Times New Roman" w:hAnsi="Times New Roman" w:cs="Times New Roman"/>
          <w:sz w:val="24"/>
          <w:szCs w:val="24"/>
          <w:lang w:val="en-AU"/>
        </w:rPr>
        <w:t xml:space="preserve">derstanding how </w:t>
      </w:r>
      <w:r w:rsidR="004B5E97">
        <w:rPr>
          <w:rFonts w:ascii="Times New Roman" w:hAnsi="Times New Roman" w:cs="Times New Roman"/>
          <w:sz w:val="24"/>
          <w:szCs w:val="24"/>
          <w:lang w:val="en-AU"/>
        </w:rPr>
        <w:t xml:space="preserve">such studies were handled </w:t>
      </w:r>
      <w:r w:rsidR="000C6D44">
        <w:rPr>
          <w:rFonts w:ascii="Times New Roman" w:hAnsi="Times New Roman" w:cs="Times New Roman"/>
          <w:sz w:val="24"/>
          <w:szCs w:val="24"/>
          <w:lang w:val="en-AU"/>
        </w:rPr>
        <w:t>is necessarily important</w:t>
      </w:r>
      <w:r w:rsidR="00C503AA">
        <w:rPr>
          <w:rFonts w:ascii="Times New Roman" w:hAnsi="Times New Roman" w:cs="Times New Roman"/>
          <w:sz w:val="24"/>
          <w:szCs w:val="24"/>
          <w:lang w:val="en-AU"/>
        </w:rPr>
        <w:t>, which</w:t>
      </w:r>
      <w:r w:rsidR="00572AB5">
        <w:rPr>
          <w:rFonts w:ascii="Times New Roman" w:hAnsi="Times New Roman" w:cs="Times New Roman"/>
          <w:sz w:val="24"/>
          <w:szCs w:val="24"/>
          <w:lang w:val="en-AU"/>
        </w:rPr>
        <w:t xml:space="preserve"> will </w:t>
      </w:r>
      <w:r w:rsidR="00572AB5" w:rsidRPr="00572AB5">
        <w:rPr>
          <w:rFonts w:ascii="Times New Roman" w:hAnsi="Times New Roman" w:cs="Times New Roman"/>
          <w:sz w:val="24"/>
          <w:szCs w:val="24"/>
          <w:lang w:val="en-AU"/>
        </w:rPr>
        <w:t>have implications for further guidelines, practice and policy.</w:t>
      </w:r>
    </w:p>
    <w:p w14:paraId="302DEA9D" w14:textId="77777777" w:rsidR="007224DF" w:rsidRPr="00094E05" w:rsidRDefault="007224DF" w:rsidP="00507062">
      <w:pPr>
        <w:spacing w:line="360" w:lineRule="auto"/>
        <w:rPr>
          <w:rFonts w:ascii="Times New Roman" w:hAnsi="Times New Roman" w:cs="Times New Roman"/>
          <w:sz w:val="24"/>
          <w:szCs w:val="24"/>
          <w:lang w:val="en-AU"/>
        </w:rPr>
      </w:pPr>
    </w:p>
    <w:p w14:paraId="71262648" w14:textId="77777777" w:rsidR="00CC62C4" w:rsidRPr="008009C2" w:rsidRDefault="00CC62C4" w:rsidP="00507062">
      <w:pPr>
        <w:pStyle w:val="2"/>
        <w:spacing w:line="360" w:lineRule="auto"/>
        <w:rPr>
          <w:rFonts w:ascii="Times New Roman" w:hAnsi="Times New Roman" w:cs="Times New Roman"/>
          <w:b w:val="0"/>
          <w:bCs w:val="0"/>
          <w:sz w:val="24"/>
          <w:szCs w:val="24"/>
          <w:lang w:val="en-AU"/>
        </w:rPr>
      </w:pPr>
      <w:r w:rsidRPr="00382636">
        <w:rPr>
          <w:rFonts w:ascii="Times New Roman" w:hAnsi="Times New Roman" w:cs="Times New Roman"/>
          <w:sz w:val="24"/>
          <w:szCs w:val="24"/>
          <w:lang w:val="en-AU"/>
        </w:rPr>
        <w:t>Searches</w:t>
      </w:r>
    </w:p>
    <w:p w14:paraId="24221C78" w14:textId="58081EF6" w:rsidR="00304432" w:rsidRDefault="00223A6E" w:rsidP="00507062">
      <w:pPr>
        <w:spacing w:line="360" w:lineRule="auto"/>
        <w:rPr>
          <w:rFonts w:ascii="Times New Roman" w:hAnsi="Times New Roman" w:cs="Times New Roman"/>
          <w:sz w:val="24"/>
          <w:szCs w:val="24"/>
        </w:rPr>
      </w:pPr>
      <w:r>
        <w:rPr>
          <w:rFonts w:ascii="Times New Roman" w:hAnsi="Times New Roman" w:cs="Times New Roman" w:hint="eastAsia"/>
          <w:sz w:val="24"/>
          <w:szCs w:val="24"/>
        </w:rPr>
        <w:t>We</w:t>
      </w:r>
      <w:r>
        <w:rPr>
          <w:rFonts w:ascii="Times New Roman" w:hAnsi="Times New Roman" w:cs="Times New Roman"/>
          <w:sz w:val="24"/>
          <w:szCs w:val="24"/>
        </w:rPr>
        <w:t xml:space="preserve"> will search P</w:t>
      </w:r>
      <w:r>
        <w:rPr>
          <w:rFonts w:ascii="Times New Roman" w:hAnsi="Times New Roman" w:cs="Times New Roman" w:hint="eastAsia"/>
          <w:sz w:val="24"/>
          <w:szCs w:val="24"/>
        </w:rPr>
        <w:t>u</w:t>
      </w:r>
      <w:r>
        <w:rPr>
          <w:rFonts w:ascii="Times New Roman" w:hAnsi="Times New Roman" w:cs="Times New Roman"/>
          <w:sz w:val="24"/>
          <w:szCs w:val="24"/>
        </w:rPr>
        <w:t>bM</w:t>
      </w:r>
      <w:r>
        <w:rPr>
          <w:rFonts w:ascii="Times New Roman" w:hAnsi="Times New Roman" w:cs="Times New Roman" w:hint="eastAsia"/>
          <w:sz w:val="24"/>
          <w:szCs w:val="24"/>
        </w:rPr>
        <w:t>e</w:t>
      </w:r>
      <w:r>
        <w:rPr>
          <w:rFonts w:ascii="Times New Roman" w:hAnsi="Times New Roman" w:cs="Times New Roman"/>
          <w:sz w:val="24"/>
          <w:szCs w:val="24"/>
        </w:rPr>
        <w:t xml:space="preserve">d for </w:t>
      </w:r>
      <w:r w:rsidR="00CF4956">
        <w:rPr>
          <w:rFonts w:ascii="Times New Roman" w:hAnsi="Times New Roman" w:cs="Times New Roman"/>
          <w:sz w:val="24"/>
          <w:szCs w:val="24"/>
        </w:rPr>
        <w:t xml:space="preserve">all related meta-analyses of </w:t>
      </w:r>
      <w:r w:rsidR="0085006B">
        <w:rPr>
          <w:rFonts w:ascii="Times New Roman" w:hAnsi="Times New Roman" w:cs="Times New Roman"/>
          <w:sz w:val="24"/>
          <w:szCs w:val="24"/>
        </w:rPr>
        <w:t xml:space="preserve">randomized controlled trials for </w:t>
      </w:r>
      <w:r w:rsidR="00CF4956">
        <w:rPr>
          <w:rFonts w:ascii="Times New Roman" w:hAnsi="Times New Roman" w:cs="Times New Roman"/>
          <w:sz w:val="24"/>
          <w:szCs w:val="24"/>
        </w:rPr>
        <w:t xml:space="preserve">adverse events. </w:t>
      </w:r>
      <w:r w:rsidR="00801013">
        <w:rPr>
          <w:rFonts w:ascii="Times New Roman" w:hAnsi="Times New Roman" w:cs="Times New Roman"/>
          <w:sz w:val="24"/>
          <w:szCs w:val="24"/>
        </w:rPr>
        <w:t xml:space="preserve">The </w:t>
      </w:r>
      <w:r w:rsidR="001B63F7">
        <w:rPr>
          <w:rFonts w:ascii="Times New Roman" w:hAnsi="Times New Roman" w:cs="Times New Roman"/>
          <w:sz w:val="24"/>
          <w:szCs w:val="24"/>
        </w:rPr>
        <w:t xml:space="preserve">primary </w:t>
      </w:r>
      <w:r w:rsidR="00801013">
        <w:rPr>
          <w:rFonts w:ascii="Times New Roman" w:hAnsi="Times New Roman" w:cs="Times New Roman"/>
          <w:sz w:val="24"/>
          <w:szCs w:val="24"/>
        </w:rPr>
        <w:t xml:space="preserve">search strategy was developed by a </w:t>
      </w:r>
      <w:r w:rsidR="00430839">
        <w:rPr>
          <w:rFonts w:ascii="Times New Roman" w:hAnsi="Times New Roman" w:cs="Times New Roman"/>
          <w:sz w:val="24"/>
          <w:szCs w:val="24"/>
        </w:rPr>
        <w:t>l</w:t>
      </w:r>
      <w:r w:rsidR="00801013">
        <w:rPr>
          <w:rFonts w:ascii="Times New Roman" w:hAnsi="Times New Roman" w:cs="Times New Roman"/>
          <w:sz w:val="24"/>
          <w:szCs w:val="24"/>
        </w:rPr>
        <w:t>i</w:t>
      </w:r>
      <w:r w:rsidR="00801013">
        <w:rPr>
          <w:rFonts w:ascii="Times New Roman" w:hAnsi="Times New Roman" w:cs="Times New Roman" w:hint="eastAsia"/>
          <w:sz w:val="24"/>
          <w:szCs w:val="24"/>
        </w:rPr>
        <w:t>b</w:t>
      </w:r>
      <w:r w:rsidR="00801013">
        <w:rPr>
          <w:rFonts w:ascii="Times New Roman" w:hAnsi="Times New Roman" w:cs="Times New Roman"/>
          <w:sz w:val="24"/>
          <w:szCs w:val="24"/>
        </w:rPr>
        <w:t>rar</w:t>
      </w:r>
      <w:r w:rsidR="00430839">
        <w:rPr>
          <w:rFonts w:ascii="Times New Roman" w:hAnsi="Times New Roman" w:cs="Times New Roman"/>
          <w:sz w:val="24"/>
          <w:szCs w:val="24"/>
        </w:rPr>
        <w:t>ian</w:t>
      </w:r>
      <w:r w:rsidR="001B63F7">
        <w:rPr>
          <w:rFonts w:ascii="Times New Roman" w:hAnsi="Times New Roman" w:cs="Times New Roman"/>
          <w:sz w:val="24"/>
          <w:szCs w:val="24"/>
        </w:rPr>
        <w:t>, and then discussed with the lead author for further adjustment</w:t>
      </w:r>
      <w:r w:rsidR="00857EF0">
        <w:rPr>
          <w:rFonts w:ascii="Times New Roman" w:hAnsi="Times New Roman" w:cs="Times New Roman"/>
          <w:sz w:val="24"/>
          <w:szCs w:val="24"/>
        </w:rPr>
        <w:t xml:space="preserve"> (see S</w:t>
      </w:r>
      <w:r w:rsidR="00857EF0">
        <w:rPr>
          <w:rFonts w:ascii="Times New Roman" w:hAnsi="Times New Roman" w:cs="Times New Roman" w:hint="eastAsia"/>
          <w:sz w:val="24"/>
          <w:szCs w:val="24"/>
        </w:rPr>
        <w:t>u</w:t>
      </w:r>
      <w:r w:rsidR="00857EF0">
        <w:rPr>
          <w:rFonts w:ascii="Times New Roman" w:hAnsi="Times New Roman" w:cs="Times New Roman"/>
          <w:sz w:val="24"/>
          <w:szCs w:val="24"/>
        </w:rPr>
        <w:t>pplements)</w:t>
      </w:r>
      <w:r w:rsidR="001B63F7">
        <w:rPr>
          <w:rFonts w:ascii="Times New Roman" w:hAnsi="Times New Roman" w:cs="Times New Roman"/>
          <w:sz w:val="24"/>
          <w:szCs w:val="24"/>
        </w:rPr>
        <w:t xml:space="preserve">. </w:t>
      </w:r>
      <w:r w:rsidR="00BE0036">
        <w:rPr>
          <w:rFonts w:ascii="Times New Roman" w:hAnsi="Times New Roman" w:cs="Times New Roman"/>
          <w:sz w:val="24"/>
          <w:szCs w:val="24"/>
        </w:rPr>
        <w:t>C</w:t>
      </w:r>
      <w:r w:rsidR="00BE0036">
        <w:rPr>
          <w:rFonts w:ascii="Times New Roman" w:hAnsi="Times New Roman" w:cs="Times New Roman" w:hint="eastAsia"/>
          <w:sz w:val="24"/>
          <w:szCs w:val="24"/>
        </w:rPr>
        <w:t>o</w:t>
      </w:r>
      <w:r w:rsidR="00BE0036">
        <w:rPr>
          <w:rFonts w:ascii="Times New Roman" w:hAnsi="Times New Roman" w:cs="Times New Roman"/>
          <w:sz w:val="24"/>
          <w:szCs w:val="24"/>
        </w:rPr>
        <w:t xml:space="preserve">nsidering the huge number of meta-analysis published in recent decades, we </w:t>
      </w:r>
      <w:r w:rsidR="00917445">
        <w:rPr>
          <w:rFonts w:ascii="Times New Roman" w:hAnsi="Times New Roman" w:cs="Times New Roman"/>
          <w:sz w:val="24"/>
          <w:szCs w:val="24"/>
        </w:rPr>
        <w:t xml:space="preserve">will </w:t>
      </w:r>
      <w:r w:rsidR="00BE0036">
        <w:rPr>
          <w:rFonts w:ascii="Times New Roman" w:hAnsi="Times New Roman" w:cs="Times New Roman"/>
          <w:sz w:val="24"/>
          <w:szCs w:val="24"/>
        </w:rPr>
        <w:t xml:space="preserve">limit our search </w:t>
      </w:r>
      <w:r w:rsidR="00BE0036">
        <w:rPr>
          <w:rFonts w:ascii="Times New Roman" w:hAnsi="Times New Roman" w:cs="Times New Roman"/>
          <w:sz w:val="24"/>
          <w:szCs w:val="24"/>
        </w:rPr>
        <w:lastRenderedPageBreak/>
        <w:t xml:space="preserve">to recent 5 years (2015/01/01 to 2020/01/01). </w:t>
      </w:r>
      <w:r w:rsidR="00B7358B">
        <w:rPr>
          <w:rFonts w:ascii="Times New Roman" w:hAnsi="Times New Roman" w:cs="Times New Roman"/>
          <w:sz w:val="24"/>
          <w:szCs w:val="24"/>
        </w:rPr>
        <w:t>To better understand how studies of zero-events were handled in meta-analyses of adverse events in the past, w</w:t>
      </w:r>
      <w:r w:rsidR="00EA41E3">
        <w:rPr>
          <w:rFonts w:ascii="Times New Roman" w:hAnsi="Times New Roman" w:cs="Times New Roman" w:hint="eastAsia"/>
          <w:sz w:val="24"/>
          <w:szCs w:val="24"/>
        </w:rPr>
        <w:t>e</w:t>
      </w:r>
      <w:r w:rsidR="00EA41E3">
        <w:rPr>
          <w:rFonts w:ascii="Times New Roman" w:hAnsi="Times New Roman" w:cs="Times New Roman"/>
          <w:sz w:val="24"/>
          <w:szCs w:val="24"/>
        </w:rPr>
        <w:t xml:space="preserve"> will also</w:t>
      </w:r>
      <w:r w:rsidR="00AA5355">
        <w:rPr>
          <w:rFonts w:ascii="Times New Roman" w:hAnsi="Times New Roman" w:cs="Times New Roman"/>
          <w:sz w:val="24"/>
          <w:szCs w:val="24"/>
        </w:rPr>
        <w:t xml:space="preserve"> include</w:t>
      </w:r>
      <w:r w:rsidR="00304924">
        <w:rPr>
          <w:rFonts w:ascii="Times New Roman" w:hAnsi="Times New Roman" w:cs="Times New Roman"/>
          <w:sz w:val="24"/>
          <w:szCs w:val="24"/>
        </w:rPr>
        <w:t xml:space="preserve"> our previous dataset for meta-analyses of rare events (J</w:t>
      </w:r>
      <w:r w:rsidR="00304924" w:rsidRPr="00304924">
        <w:rPr>
          <w:rFonts w:ascii="Times New Roman" w:hAnsi="Times New Roman" w:cs="Times New Roman"/>
          <w:sz w:val="24"/>
          <w:szCs w:val="24"/>
        </w:rPr>
        <w:t>anuary</w:t>
      </w:r>
      <w:r w:rsidR="00304924">
        <w:rPr>
          <w:rFonts w:ascii="Times New Roman" w:hAnsi="Times New Roman" w:cs="Times New Roman" w:hint="eastAsia"/>
          <w:sz w:val="24"/>
          <w:szCs w:val="24"/>
        </w:rPr>
        <w:t xml:space="preserve"> </w:t>
      </w:r>
      <w:r w:rsidR="00304924" w:rsidRPr="00304924">
        <w:rPr>
          <w:rFonts w:ascii="Times New Roman" w:hAnsi="Times New Roman" w:cs="Times New Roman"/>
          <w:sz w:val="24"/>
          <w:szCs w:val="24"/>
        </w:rPr>
        <w:t>2008 to April 2011</w:t>
      </w:r>
      <w:r w:rsidR="00304924">
        <w:rPr>
          <w:rFonts w:ascii="Times New Roman" w:hAnsi="Times New Roman" w:cs="Times New Roman"/>
          <w:sz w:val="24"/>
          <w:szCs w:val="24"/>
        </w:rPr>
        <w:t>)</w:t>
      </w:r>
      <w:r w:rsidR="00934E6A">
        <w:rPr>
          <w:rFonts w:ascii="Times New Roman" w:hAnsi="Times New Roman" w:cs="Times New Roman"/>
          <w:sz w:val="24"/>
          <w:szCs w:val="24"/>
        </w:rPr>
        <w:t xml:space="preserve">. </w:t>
      </w:r>
    </w:p>
    <w:p w14:paraId="6DEE8D70" w14:textId="77777777" w:rsidR="003477D1" w:rsidRPr="00382636" w:rsidRDefault="003477D1" w:rsidP="00507062">
      <w:pPr>
        <w:spacing w:line="360" w:lineRule="auto"/>
        <w:rPr>
          <w:rFonts w:ascii="Times New Roman" w:hAnsi="Times New Roman" w:cs="Times New Roman"/>
          <w:sz w:val="24"/>
          <w:szCs w:val="24"/>
        </w:rPr>
      </w:pPr>
    </w:p>
    <w:p w14:paraId="647810BE" w14:textId="2F6D61D7" w:rsidR="00CC62C4" w:rsidRDefault="00CC62C4" w:rsidP="00507062">
      <w:pPr>
        <w:spacing w:line="360" w:lineRule="auto"/>
        <w:rPr>
          <w:rFonts w:ascii="Times New Roman" w:hAnsi="Times New Roman" w:cs="Times New Roman"/>
          <w:sz w:val="24"/>
          <w:szCs w:val="24"/>
        </w:rPr>
      </w:pPr>
      <w:r w:rsidRPr="00382636">
        <w:rPr>
          <w:rFonts w:ascii="Times New Roman" w:hAnsi="Times New Roman" w:cs="Times New Roman"/>
          <w:sz w:val="24"/>
          <w:szCs w:val="24"/>
        </w:rPr>
        <w:t>Grey literature will not be considered as we only aim</w:t>
      </w:r>
      <w:r w:rsidR="00DB6DA4">
        <w:rPr>
          <w:rFonts w:ascii="Times New Roman" w:hAnsi="Times New Roman" w:cs="Times New Roman"/>
          <w:sz w:val="24"/>
          <w:szCs w:val="24"/>
        </w:rPr>
        <w:t>ed at</w:t>
      </w:r>
      <w:r w:rsidRPr="00382636">
        <w:rPr>
          <w:rFonts w:ascii="Times New Roman" w:hAnsi="Times New Roman" w:cs="Times New Roman"/>
          <w:sz w:val="24"/>
          <w:szCs w:val="24"/>
        </w:rPr>
        <w:t xml:space="preserve"> published meta-analyses. </w:t>
      </w:r>
      <w:r w:rsidR="00672C4D">
        <w:rPr>
          <w:rFonts w:ascii="Times New Roman" w:hAnsi="Times New Roman" w:cs="Times New Roman"/>
          <w:sz w:val="24"/>
          <w:szCs w:val="24"/>
        </w:rPr>
        <w:t xml:space="preserve">We </w:t>
      </w:r>
      <w:r w:rsidR="00672C4D">
        <w:rPr>
          <w:rFonts w:ascii="Times New Roman" w:hAnsi="Times New Roman" w:cs="Times New Roman" w:hint="eastAsia"/>
          <w:sz w:val="24"/>
          <w:szCs w:val="24"/>
        </w:rPr>
        <w:t>h</w:t>
      </w:r>
      <w:r w:rsidR="00672C4D">
        <w:rPr>
          <w:rFonts w:ascii="Times New Roman" w:hAnsi="Times New Roman" w:cs="Times New Roman"/>
          <w:sz w:val="24"/>
          <w:szCs w:val="24"/>
        </w:rPr>
        <w:t xml:space="preserve">ypothesized that these published meta-analyses would </w:t>
      </w:r>
      <w:r w:rsidR="00D0018E">
        <w:rPr>
          <w:rFonts w:ascii="Times New Roman" w:hAnsi="Times New Roman" w:cs="Times New Roman"/>
          <w:sz w:val="24"/>
          <w:szCs w:val="24"/>
        </w:rPr>
        <w:t xml:space="preserve">be of more </w:t>
      </w:r>
      <w:r w:rsidR="00D0018E" w:rsidRPr="00D0018E">
        <w:rPr>
          <w:rFonts w:ascii="Times New Roman" w:hAnsi="Times New Roman" w:cs="Times New Roman"/>
          <w:sz w:val="24"/>
          <w:szCs w:val="24"/>
        </w:rPr>
        <w:t>deliberate</w:t>
      </w:r>
      <w:r w:rsidR="00D0018E">
        <w:rPr>
          <w:rFonts w:ascii="Times New Roman" w:hAnsi="Times New Roman" w:cs="Times New Roman"/>
          <w:sz w:val="24"/>
          <w:szCs w:val="24"/>
        </w:rPr>
        <w:t xml:space="preserve"> </w:t>
      </w:r>
      <w:r w:rsidR="00672C4D">
        <w:rPr>
          <w:rFonts w:ascii="Times New Roman" w:hAnsi="Times New Roman" w:cs="Times New Roman"/>
          <w:sz w:val="24"/>
          <w:szCs w:val="24"/>
        </w:rPr>
        <w:t xml:space="preserve">in dealing with zero-events studies after strict peer review process. </w:t>
      </w:r>
      <w:r w:rsidR="009116E2">
        <w:rPr>
          <w:rFonts w:ascii="Times New Roman" w:hAnsi="Times New Roman" w:cs="Times New Roman"/>
          <w:sz w:val="24"/>
          <w:szCs w:val="24"/>
        </w:rPr>
        <w:t>Considering t</w:t>
      </w:r>
      <w:r w:rsidRPr="00382636">
        <w:rPr>
          <w:rFonts w:ascii="Times New Roman" w:hAnsi="Times New Roman" w:cs="Times New Roman"/>
          <w:sz w:val="24"/>
          <w:szCs w:val="24"/>
        </w:rPr>
        <w:t>he sample would be representative, we will not use hand search for the reference lists of each systematic reviews and meta-analyses.</w:t>
      </w:r>
      <w:r w:rsidR="001025A7">
        <w:rPr>
          <w:rFonts w:ascii="Times New Roman" w:hAnsi="Times New Roman" w:cs="Times New Roman"/>
          <w:sz w:val="24"/>
          <w:szCs w:val="24"/>
        </w:rPr>
        <w:t xml:space="preserve"> </w:t>
      </w:r>
    </w:p>
    <w:p w14:paraId="124F4642" w14:textId="77777777" w:rsidR="00857EF0" w:rsidRPr="009116E2" w:rsidRDefault="00857EF0" w:rsidP="00507062">
      <w:pPr>
        <w:spacing w:line="360" w:lineRule="auto"/>
        <w:rPr>
          <w:rFonts w:ascii="Times New Roman" w:hAnsi="Times New Roman" w:cs="Times New Roman"/>
          <w:sz w:val="24"/>
          <w:szCs w:val="24"/>
        </w:rPr>
      </w:pPr>
    </w:p>
    <w:p w14:paraId="6D273059" w14:textId="77777777" w:rsidR="00CC62C4" w:rsidRPr="00382636" w:rsidRDefault="00CC62C4" w:rsidP="00507062">
      <w:pPr>
        <w:pStyle w:val="2"/>
        <w:spacing w:line="360" w:lineRule="auto"/>
        <w:rPr>
          <w:rFonts w:ascii="Times New Roman" w:hAnsi="Times New Roman" w:cs="Times New Roman"/>
          <w:sz w:val="24"/>
          <w:szCs w:val="24"/>
          <w:lang w:val="en-AU"/>
        </w:rPr>
      </w:pPr>
      <w:r w:rsidRPr="00382636">
        <w:rPr>
          <w:rFonts w:ascii="Times New Roman" w:hAnsi="Times New Roman" w:cs="Times New Roman"/>
          <w:sz w:val="24"/>
          <w:szCs w:val="24"/>
          <w:lang w:val="en-AU"/>
        </w:rPr>
        <w:t>Types of study to be included</w:t>
      </w:r>
    </w:p>
    <w:p w14:paraId="1376B2AE" w14:textId="147370E1" w:rsidR="00CC62C4" w:rsidRPr="00382636" w:rsidRDefault="009B7CF1" w:rsidP="00507062">
      <w:pPr>
        <w:spacing w:line="360" w:lineRule="auto"/>
        <w:rPr>
          <w:rFonts w:ascii="Times New Roman" w:hAnsi="Times New Roman" w:cs="Times New Roman"/>
          <w:sz w:val="24"/>
          <w:szCs w:val="24"/>
          <w:lang w:val="en-AU"/>
        </w:rPr>
      </w:pPr>
      <w:r>
        <w:rPr>
          <w:rFonts w:ascii="Times New Roman" w:hAnsi="Times New Roman" w:cs="Times New Roman"/>
          <w:sz w:val="24"/>
          <w:szCs w:val="24"/>
          <w:lang w:val="en-AU"/>
        </w:rPr>
        <w:t xml:space="preserve">Meta-analyses of randomized controlled trials </w:t>
      </w:r>
      <w:r w:rsidR="00AD5D22">
        <w:rPr>
          <w:rFonts w:ascii="Times New Roman" w:hAnsi="Times New Roman" w:cs="Times New Roman"/>
          <w:sz w:val="24"/>
          <w:szCs w:val="24"/>
          <w:lang w:val="en-AU"/>
        </w:rPr>
        <w:t>with</w:t>
      </w:r>
      <w:r>
        <w:rPr>
          <w:rFonts w:ascii="Times New Roman" w:hAnsi="Times New Roman" w:cs="Times New Roman"/>
          <w:sz w:val="24"/>
          <w:szCs w:val="24"/>
          <w:lang w:val="en-AU"/>
        </w:rPr>
        <w:t xml:space="preserve"> adverse events</w:t>
      </w:r>
      <w:r w:rsidR="00AD5D22">
        <w:rPr>
          <w:rFonts w:ascii="Times New Roman" w:hAnsi="Times New Roman" w:cs="Times New Roman"/>
          <w:sz w:val="24"/>
          <w:szCs w:val="24"/>
          <w:lang w:val="en-AU"/>
        </w:rPr>
        <w:t xml:space="preserve"> as the unique outcome(s)</w:t>
      </w:r>
      <w:r>
        <w:rPr>
          <w:rFonts w:ascii="Times New Roman" w:hAnsi="Times New Roman" w:cs="Times New Roman"/>
          <w:sz w:val="24"/>
          <w:szCs w:val="24"/>
          <w:lang w:val="en-AU"/>
        </w:rPr>
        <w:t xml:space="preserve">. </w:t>
      </w:r>
      <w:r w:rsidR="00AD5D22">
        <w:rPr>
          <w:rFonts w:ascii="Times New Roman" w:hAnsi="Times New Roman" w:cs="Times New Roman"/>
          <w:sz w:val="24"/>
          <w:szCs w:val="24"/>
          <w:lang w:val="en-AU"/>
        </w:rPr>
        <w:t xml:space="preserve">We </w:t>
      </w:r>
      <w:r w:rsidR="00AD5D22">
        <w:rPr>
          <w:rFonts w:ascii="Times New Roman" w:hAnsi="Times New Roman" w:cs="Times New Roman" w:hint="eastAsia"/>
          <w:sz w:val="24"/>
          <w:szCs w:val="24"/>
          <w:lang w:val="en-AU"/>
        </w:rPr>
        <w:t>de</w:t>
      </w:r>
      <w:r w:rsidR="00AD5D22">
        <w:rPr>
          <w:rFonts w:ascii="Times New Roman" w:hAnsi="Times New Roman" w:cs="Times New Roman"/>
          <w:sz w:val="24"/>
          <w:szCs w:val="24"/>
          <w:lang w:val="en-AU"/>
        </w:rPr>
        <w:t xml:space="preserve">fined </w:t>
      </w:r>
      <w:r w:rsidR="006D7577">
        <w:rPr>
          <w:rFonts w:ascii="Times New Roman" w:hAnsi="Times New Roman" w:cs="Times New Roman"/>
          <w:sz w:val="24"/>
          <w:szCs w:val="24"/>
          <w:lang w:val="en-AU"/>
        </w:rPr>
        <w:t>adverse events as “</w:t>
      </w:r>
      <w:r w:rsidR="0078634A" w:rsidRPr="0078634A">
        <w:rPr>
          <w:rFonts w:ascii="Times New Roman" w:hAnsi="Times New Roman" w:cs="Times New Roman"/>
          <w:sz w:val="24"/>
          <w:szCs w:val="24"/>
          <w:lang w:val="en-AU"/>
        </w:rPr>
        <w:t>an</w:t>
      </w:r>
      <w:r w:rsidR="0078634A">
        <w:rPr>
          <w:rFonts w:ascii="Times New Roman" w:hAnsi="Times New Roman" w:cs="Times New Roman"/>
          <w:sz w:val="24"/>
          <w:szCs w:val="24"/>
          <w:lang w:val="en-AU"/>
        </w:rPr>
        <w:t>y</w:t>
      </w:r>
      <w:r w:rsidR="0078634A" w:rsidRPr="0078634A">
        <w:rPr>
          <w:rFonts w:ascii="Times New Roman" w:hAnsi="Times New Roman" w:cs="Times New Roman"/>
          <w:sz w:val="24"/>
          <w:szCs w:val="24"/>
          <w:lang w:val="en-AU"/>
        </w:rPr>
        <w:t xml:space="preserve"> unintended effect or effects of an intervention</w:t>
      </w:r>
      <w:r w:rsidR="006D7577">
        <w:rPr>
          <w:rFonts w:ascii="Times New Roman" w:hAnsi="Times New Roman" w:cs="Times New Roman"/>
          <w:sz w:val="24"/>
          <w:szCs w:val="24"/>
          <w:lang w:val="en-AU"/>
        </w:rPr>
        <w:t>”</w:t>
      </w:r>
      <w:r w:rsidR="00AC77F4">
        <w:rPr>
          <w:rFonts w:ascii="Times New Roman" w:hAnsi="Times New Roman" w:cs="Times New Roman"/>
          <w:sz w:val="24"/>
          <w:szCs w:val="24"/>
          <w:lang w:val="en-AU"/>
        </w:rPr>
        <w:t xml:space="preserve">, which could be </w:t>
      </w:r>
      <w:r w:rsidR="00AC77F4" w:rsidRPr="00AC77F4">
        <w:rPr>
          <w:rFonts w:ascii="Times New Roman" w:hAnsi="Times New Roman" w:cs="Times New Roman"/>
          <w:sz w:val="24"/>
          <w:szCs w:val="24"/>
          <w:lang w:val="en-AU"/>
        </w:rPr>
        <w:t>an adverse event, adverse effect, adverse reaction,</w:t>
      </w:r>
      <w:r w:rsidR="00AC77F4">
        <w:rPr>
          <w:rFonts w:ascii="Times New Roman" w:hAnsi="Times New Roman" w:cs="Times New Roman" w:hint="eastAsia"/>
          <w:sz w:val="24"/>
          <w:szCs w:val="24"/>
          <w:lang w:val="en-AU"/>
        </w:rPr>
        <w:t xml:space="preserve"> </w:t>
      </w:r>
      <w:r w:rsidR="00AC77F4" w:rsidRPr="00AC77F4">
        <w:rPr>
          <w:rFonts w:ascii="Times New Roman" w:hAnsi="Times New Roman" w:cs="Times New Roman"/>
          <w:sz w:val="24"/>
          <w:szCs w:val="24"/>
          <w:lang w:val="en-AU"/>
        </w:rPr>
        <w:t>harms, or complications associated with any healthcare</w:t>
      </w:r>
      <w:r w:rsidR="00AC77F4">
        <w:rPr>
          <w:rFonts w:ascii="Times New Roman" w:hAnsi="Times New Roman" w:cs="Times New Roman" w:hint="eastAsia"/>
          <w:sz w:val="24"/>
          <w:szCs w:val="24"/>
          <w:lang w:val="en-AU"/>
        </w:rPr>
        <w:t xml:space="preserve"> </w:t>
      </w:r>
      <w:r w:rsidR="00AC77F4" w:rsidRPr="00AC77F4">
        <w:rPr>
          <w:rFonts w:ascii="Times New Roman" w:hAnsi="Times New Roman" w:cs="Times New Roman"/>
          <w:sz w:val="24"/>
          <w:szCs w:val="24"/>
          <w:lang w:val="en-AU"/>
        </w:rPr>
        <w:t>intervention</w:t>
      </w:r>
      <w:r w:rsidR="00AC77F4">
        <w:rPr>
          <w:rFonts w:ascii="Times New Roman" w:hAnsi="Times New Roman" w:cs="Times New Roman"/>
          <w:sz w:val="24"/>
          <w:szCs w:val="24"/>
          <w:lang w:val="en-AU"/>
        </w:rPr>
        <w:t>.</w:t>
      </w:r>
      <w:r w:rsidR="0039784D">
        <w:rPr>
          <w:rFonts w:ascii="Times New Roman" w:hAnsi="Times New Roman" w:cs="Times New Roman"/>
          <w:sz w:val="24"/>
          <w:szCs w:val="24"/>
          <w:lang w:val="en-AU"/>
        </w:rPr>
        <w:t xml:space="preserve"> An</w:t>
      </w:r>
      <w:r w:rsidR="0039784D">
        <w:rPr>
          <w:rFonts w:ascii="Times New Roman" w:hAnsi="Times New Roman" w:cs="Times New Roman" w:hint="eastAsia"/>
          <w:sz w:val="24"/>
          <w:szCs w:val="24"/>
          <w:lang w:val="en-AU"/>
        </w:rPr>
        <w:t>d</w:t>
      </w:r>
      <w:r w:rsidR="0039784D">
        <w:rPr>
          <w:rFonts w:ascii="Times New Roman" w:hAnsi="Times New Roman" w:cs="Times New Roman"/>
          <w:sz w:val="24"/>
          <w:szCs w:val="24"/>
          <w:lang w:val="en-AU"/>
        </w:rPr>
        <w:t xml:space="preserve"> all “adverse events” should be binary outcomes.</w:t>
      </w:r>
      <w:r w:rsidR="00AC77F4">
        <w:rPr>
          <w:rFonts w:ascii="Times New Roman" w:hAnsi="Times New Roman" w:cs="Times New Roman"/>
          <w:sz w:val="24"/>
          <w:szCs w:val="24"/>
          <w:lang w:val="en-AU"/>
        </w:rPr>
        <w:t xml:space="preserve"> </w:t>
      </w:r>
      <w:r w:rsidR="00CC772E">
        <w:rPr>
          <w:rFonts w:ascii="Times New Roman" w:hAnsi="Times New Roman" w:cs="Times New Roman"/>
          <w:sz w:val="24"/>
          <w:szCs w:val="24"/>
          <w:lang w:val="en-AU"/>
        </w:rPr>
        <w:t>W</w:t>
      </w:r>
      <w:r w:rsidR="00CC772E">
        <w:rPr>
          <w:rFonts w:ascii="Times New Roman" w:hAnsi="Times New Roman" w:cs="Times New Roman" w:hint="eastAsia"/>
          <w:sz w:val="24"/>
          <w:szCs w:val="24"/>
          <w:lang w:val="en-AU"/>
        </w:rPr>
        <w:t>e</w:t>
      </w:r>
      <w:r w:rsidR="00CC772E">
        <w:rPr>
          <w:rFonts w:ascii="Times New Roman" w:hAnsi="Times New Roman" w:cs="Times New Roman"/>
          <w:sz w:val="24"/>
          <w:szCs w:val="24"/>
          <w:lang w:val="en-AU"/>
        </w:rPr>
        <w:t xml:space="preserve"> will not consider those meta-analyses </w:t>
      </w:r>
      <w:r w:rsidR="00EB29D8">
        <w:rPr>
          <w:rFonts w:ascii="Times New Roman" w:hAnsi="Times New Roman" w:cs="Times New Roman"/>
          <w:sz w:val="24"/>
          <w:szCs w:val="24"/>
          <w:lang w:val="en-AU"/>
        </w:rPr>
        <w:t xml:space="preserve">assessing </w:t>
      </w:r>
      <w:r w:rsidR="00452BEB">
        <w:rPr>
          <w:rFonts w:ascii="Times New Roman" w:hAnsi="Times New Roman" w:cs="Times New Roman"/>
          <w:sz w:val="24"/>
          <w:szCs w:val="24"/>
          <w:lang w:val="en-AU"/>
        </w:rPr>
        <w:t>both effectiveness and safety; we will also not consider meta-analys</w:t>
      </w:r>
      <w:r w:rsidR="009C37F6">
        <w:rPr>
          <w:rFonts w:ascii="Times New Roman" w:hAnsi="Times New Roman" w:cs="Times New Roman"/>
          <w:sz w:val="24"/>
          <w:szCs w:val="24"/>
          <w:lang w:val="en-AU"/>
        </w:rPr>
        <w:t>e</w:t>
      </w:r>
      <w:r w:rsidR="00452BEB">
        <w:rPr>
          <w:rFonts w:ascii="Times New Roman" w:hAnsi="Times New Roman" w:cs="Times New Roman"/>
          <w:sz w:val="24"/>
          <w:szCs w:val="24"/>
          <w:lang w:val="en-AU"/>
        </w:rPr>
        <w:t>s of incidence or prevalence of adverse events</w:t>
      </w:r>
      <w:r w:rsidR="00576FB8">
        <w:rPr>
          <w:rFonts w:ascii="Times New Roman" w:hAnsi="Times New Roman" w:cs="Times New Roman"/>
          <w:sz w:val="24"/>
          <w:szCs w:val="24"/>
          <w:lang w:val="en-AU"/>
        </w:rPr>
        <w:t xml:space="preserve"> that with only </w:t>
      </w:r>
      <w:r w:rsidR="003E3117">
        <w:rPr>
          <w:rFonts w:ascii="Times New Roman" w:hAnsi="Times New Roman" w:cs="Times New Roman"/>
          <w:sz w:val="24"/>
          <w:szCs w:val="24"/>
          <w:lang w:val="en-AU"/>
        </w:rPr>
        <w:t xml:space="preserve">a </w:t>
      </w:r>
      <w:r w:rsidR="00576FB8">
        <w:rPr>
          <w:rFonts w:ascii="Times New Roman" w:hAnsi="Times New Roman" w:cs="Times New Roman"/>
          <w:sz w:val="24"/>
          <w:szCs w:val="24"/>
          <w:lang w:val="en-AU"/>
        </w:rPr>
        <w:t>single arm</w:t>
      </w:r>
      <w:r w:rsidR="00452BEB">
        <w:rPr>
          <w:rFonts w:ascii="Times New Roman" w:hAnsi="Times New Roman" w:cs="Times New Roman"/>
          <w:sz w:val="24"/>
          <w:szCs w:val="24"/>
          <w:lang w:val="en-AU"/>
        </w:rPr>
        <w:t xml:space="preserve">. </w:t>
      </w:r>
      <w:r w:rsidR="009E1CD4">
        <w:rPr>
          <w:rFonts w:ascii="Times New Roman" w:hAnsi="Times New Roman" w:cs="Times New Roman"/>
          <w:sz w:val="24"/>
          <w:szCs w:val="24"/>
          <w:lang w:val="en-AU"/>
        </w:rPr>
        <w:t>S</w:t>
      </w:r>
      <w:r w:rsidR="009E1CD4">
        <w:rPr>
          <w:rFonts w:ascii="Times New Roman" w:hAnsi="Times New Roman" w:cs="Times New Roman" w:hint="eastAsia"/>
          <w:sz w:val="24"/>
          <w:szCs w:val="24"/>
          <w:lang w:val="en-AU"/>
        </w:rPr>
        <w:t>y</w:t>
      </w:r>
      <w:r w:rsidR="009E1CD4">
        <w:rPr>
          <w:rFonts w:ascii="Times New Roman" w:hAnsi="Times New Roman" w:cs="Times New Roman"/>
          <w:sz w:val="24"/>
          <w:szCs w:val="24"/>
          <w:lang w:val="en-AU"/>
        </w:rPr>
        <w:t>stematic reviews without a meta-analysis will be excluded.</w:t>
      </w:r>
    </w:p>
    <w:p w14:paraId="4BB189DD" w14:textId="77777777" w:rsidR="00CC62C4" w:rsidRPr="00EB29D8" w:rsidRDefault="00CC62C4" w:rsidP="00507062">
      <w:pPr>
        <w:spacing w:line="360" w:lineRule="auto"/>
        <w:rPr>
          <w:rFonts w:ascii="Times New Roman" w:hAnsi="Times New Roman" w:cs="Times New Roman"/>
          <w:sz w:val="24"/>
          <w:szCs w:val="24"/>
          <w:lang w:val="en-AU"/>
        </w:rPr>
      </w:pPr>
    </w:p>
    <w:p w14:paraId="7502B627" w14:textId="77777777" w:rsidR="00CC62C4" w:rsidRPr="00382636" w:rsidRDefault="00CC62C4" w:rsidP="00507062">
      <w:pPr>
        <w:pStyle w:val="2"/>
        <w:spacing w:line="360" w:lineRule="auto"/>
        <w:rPr>
          <w:rFonts w:ascii="Times New Roman" w:hAnsi="Times New Roman" w:cs="Times New Roman"/>
          <w:sz w:val="24"/>
          <w:szCs w:val="24"/>
          <w:lang w:val="en-AU"/>
        </w:rPr>
      </w:pPr>
      <w:r w:rsidRPr="00382636">
        <w:rPr>
          <w:rFonts w:ascii="Times New Roman" w:hAnsi="Times New Roman" w:cs="Times New Roman"/>
          <w:sz w:val="24"/>
          <w:szCs w:val="24"/>
          <w:lang w:val="en-AU"/>
        </w:rPr>
        <w:t>Context</w:t>
      </w:r>
    </w:p>
    <w:p w14:paraId="65893781" w14:textId="040D79E3" w:rsidR="00CD17D2" w:rsidRDefault="00CC62C4" w:rsidP="00507062">
      <w:pPr>
        <w:spacing w:line="360" w:lineRule="auto"/>
        <w:rPr>
          <w:rFonts w:ascii="Times New Roman" w:hAnsi="Times New Roman" w:cs="Times New Roman"/>
          <w:sz w:val="24"/>
          <w:szCs w:val="24"/>
          <w:lang w:val="en-AU"/>
        </w:rPr>
      </w:pPr>
      <w:r w:rsidRPr="00382636">
        <w:rPr>
          <w:rFonts w:ascii="Times New Roman" w:hAnsi="Times New Roman" w:cs="Times New Roman"/>
          <w:sz w:val="24"/>
          <w:szCs w:val="24"/>
          <w:lang w:val="en-AU"/>
        </w:rPr>
        <w:t xml:space="preserve">This </w:t>
      </w:r>
      <w:r w:rsidR="007E6B78">
        <w:rPr>
          <w:rFonts w:ascii="Times New Roman" w:hAnsi="Times New Roman" w:cs="Times New Roman"/>
          <w:sz w:val="24"/>
          <w:szCs w:val="24"/>
          <w:lang w:val="en-AU"/>
        </w:rPr>
        <w:t xml:space="preserve">study will focus on how zero-events studies were dealt with in meta-analyses of adverse events. </w:t>
      </w:r>
      <w:r w:rsidR="001A26B6">
        <w:rPr>
          <w:rFonts w:ascii="Times New Roman" w:hAnsi="Times New Roman" w:cs="Times New Roman"/>
          <w:sz w:val="24"/>
          <w:szCs w:val="24"/>
          <w:lang w:val="en-AU"/>
        </w:rPr>
        <w:t>W</w:t>
      </w:r>
      <w:r w:rsidR="001A26B6">
        <w:rPr>
          <w:rFonts w:ascii="Times New Roman" w:hAnsi="Times New Roman" w:cs="Times New Roman" w:hint="eastAsia"/>
          <w:sz w:val="24"/>
          <w:szCs w:val="24"/>
          <w:lang w:val="en-AU"/>
        </w:rPr>
        <w:t>e</w:t>
      </w:r>
      <w:r w:rsidR="001A26B6">
        <w:rPr>
          <w:rFonts w:ascii="Times New Roman" w:hAnsi="Times New Roman" w:cs="Times New Roman"/>
          <w:sz w:val="24"/>
          <w:szCs w:val="24"/>
          <w:lang w:val="en-AU"/>
        </w:rPr>
        <w:t xml:space="preserve"> will summarize this information for zero-events in a single arm and zero-events in both arms separately</w:t>
      </w:r>
      <w:r w:rsidR="00B35ABA">
        <w:rPr>
          <w:rFonts w:ascii="Times New Roman" w:hAnsi="Times New Roman" w:cs="Times New Roman"/>
          <w:sz w:val="24"/>
          <w:szCs w:val="24"/>
          <w:lang w:val="en-AU"/>
        </w:rPr>
        <w:t>, with a special focus on the later</w:t>
      </w:r>
      <w:r w:rsidR="001A26B6">
        <w:rPr>
          <w:rFonts w:ascii="Times New Roman" w:hAnsi="Times New Roman" w:cs="Times New Roman"/>
          <w:sz w:val="24"/>
          <w:szCs w:val="24"/>
          <w:lang w:val="en-AU"/>
        </w:rPr>
        <w:t xml:space="preserve">. </w:t>
      </w:r>
      <w:r w:rsidR="00CD17D2">
        <w:rPr>
          <w:rFonts w:ascii="Times New Roman" w:hAnsi="Times New Roman" w:cs="Times New Roman"/>
          <w:sz w:val="24"/>
          <w:szCs w:val="24"/>
          <w:lang w:val="en-AU"/>
        </w:rPr>
        <w:t>T</w:t>
      </w:r>
      <w:r w:rsidR="00CD17D2">
        <w:rPr>
          <w:rFonts w:ascii="Times New Roman" w:hAnsi="Times New Roman" w:cs="Times New Roman" w:hint="eastAsia"/>
          <w:sz w:val="24"/>
          <w:szCs w:val="24"/>
          <w:lang w:val="en-AU"/>
        </w:rPr>
        <w:t>h</w:t>
      </w:r>
      <w:r w:rsidR="00B35ABA">
        <w:rPr>
          <w:rFonts w:ascii="Times New Roman" w:hAnsi="Times New Roman" w:cs="Times New Roman"/>
          <w:sz w:val="24"/>
          <w:szCs w:val="24"/>
          <w:lang w:val="en-AU"/>
        </w:rPr>
        <w:t>e</w:t>
      </w:r>
      <w:r w:rsidR="00CD17D2">
        <w:rPr>
          <w:rFonts w:ascii="Times New Roman" w:hAnsi="Times New Roman" w:cs="Times New Roman"/>
          <w:sz w:val="24"/>
          <w:szCs w:val="24"/>
          <w:lang w:val="en-AU"/>
        </w:rPr>
        <w:t>s</w:t>
      </w:r>
      <w:r w:rsidR="00B35ABA">
        <w:rPr>
          <w:rFonts w:ascii="Times New Roman" w:hAnsi="Times New Roman" w:cs="Times New Roman"/>
          <w:sz w:val="24"/>
          <w:szCs w:val="24"/>
          <w:lang w:val="en-AU"/>
        </w:rPr>
        <w:t>e</w:t>
      </w:r>
      <w:r w:rsidR="00CD17D2">
        <w:rPr>
          <w:rFonts w:ascii="Times New Roman" w:hAnsi="Times New Roman" w:cs="Times New Roman"/>
          <w:sz w:val="24"/>
          <w:szCs w:val="24"/>
          <w:lang w:val="en-AU"/>
        </w:rPr>
        <w:t xml:space="preserve"> include:</w:t>
      </w:r>
    </w:p>
    <w:p w14:paraId="4EB880CE" w14:textId="00486D27" w:rsidR="00A61F8F" w:rsidRPr="00DB60C8" w:rsidRDefault="00A61F8F" w:rsidP="00507062">
      <w:pPr>
        <w:spacing w:line="360" w:lineRule="auto"/>
        <w:rPr>
          <w:rFonts w:ascii="Times New Roman" w:hAnsi="Times New Roman" w:cs="Times New Roman"/>
          <w:b/>
          <w:bCs/>
          <w:i/>
          <w:iCs/>
          <w:sz w:val="24"/>
          <w:szCs w:val="24"/>
          <w:lang w:val="en-AU"/>
        </w:rPr>
      </w:pPr>
      <w:r w:rsidRPr="00DB60C8">
        <w:rPr>
          <w:rFonts w:ascii="Times New Roman" w:hAnsi="Times New Roman" w:cs="Times New Roman" w:hint="eastAsia"/>
          <w:b/>
          <w:bCs/>
          <w:i/>
          <w:iCs/>
          <w:sz w:val="24"/>
          <w:szCs w:val="24"/>
          <w:lang w:val="en-AU"/>
        </w:rPr>
        <w:t>Ma</w:t>
      </w:r>
      <w:r w:rsidRPr="00DB60C8">
        <w:rPr>
          <w:rFonts w:ascii="Times New Roman" w:hAnsi="Times New Roman" w:cs="Times New Roman"/>
          <w:b/>
          <w:bCs/>
          <w:i/>
          <w:iCs/>
          <w:sz w:val="24"/>
          <w:szCs w:val="24"/>
          <w:lang w:val="en-AU"/>
        </w:rPr>
        <w:t>in information</w:t>
      </w:r>
      <w:r w:rsidR="00A81689">
        <w:rPr>
          <w:rFonts w:ascii="Times New Roman" w:hAnsi="Times New Roman" w:cs="Times New Roman"/>
          <w:b/>
          <w:bCs/>
          <w:i/>
          <w:iCs/>
          <w:sz w:val="24"/>
          <w:szCs w:val="24"/>
          <w:lang w:val="en-AU"/>
        </w:rPr>
        <w:t>: Meta</w:t>
      </w:r>
      <w:r w:rsidR="00A81689">
        <w:rPr>
          <w:rFonts w:ascii="Times New Roman" w:hAnsi="Times New Roman" w:cs="Times New Roman" w:hint="eastAsia"/>
          <w:b/>
          <w:bCs/>
          <w:i/>
          <w:iCs/>
          <w:sz w:val="24"/>
          <w:szCs w:val="24"/>
          <w:lang w:val="en-AU"/>
        </w:rPr>
        <w:t>-analys</w:t>
      </w:r>
      <w:r w:rsidR="00A81689">
        <w:rPr>
          <w:rFonts w:ascii="Times New Roman" w:hAnsi="Times New Roman" w:cs="Times New Roman"/>
          <w:b/>
          <w:bCs/>
          <w:i/>
          <w:iCs/>
          <w:sz w:val="24"/>
          <w:szCs w:val="24"/>
          <w:lang w:val="en-AU"/>
        </w:rPr>
        <w:t>is with zero-events in both arms</w:t>
      </w:r>
    </w:p>
    <w:p w14:paraId="14EE169E" w14:textId="646BF910" w:rsidR="00E50CD9" w:rsidRDefault="00E50CD9" w:rsidP="00507062">
      <w:pPr>
        <w:pStyle w:val="a4"/>
        <w:numPr>
          <w:ilvl w:val="0"/>
          <w:numId w:val="1"/>
        </w:numPr>
        <w:spacing w:line="360" w:lineRule="auto"/>
        <w:ind w:firstLineChars="0"/>
        <w:rPr>
          <w:rFonts w:ascii="Times New Roman" w:hAnsi="Times New Roman" w:cs="Times New Roman"/>
          <w:sz w:val="24"/>
          <w:szCs w:val="24"/>
          <w:lang w:val="en-AU"/>
        </w:rPr>
      </w:pPr>
      <w:r>
        <w:rPr>
          <w:rFonts w:ascii="Times New Roman" w:hAnsi="Times New Roman" w:cs="Times New Roman" w:hint="eastAsia"/>
          <w:sz w:val="24"/>
          <w:szCs w:val="24"/>
          <w:lang w:val="en-AU"/>
        </w:rPr>
        <w:t>Wh</w:t>
      </w:r>
      <w:r>
        <w:rPr>
          <w:rFonts w:ascii="Times New Roman" w:hAnsi="Times New Roman" w:cs="Times New Roman"/>
          <w:sz w:val="24"/>
          <w:szCs w:val="24"/>
          <w:lang w:val="en-AU"/>
        </w:rPr>
        <w:t>ether studies with zero-events in both arms were synthesized;</w:t>
      </w:r>
    </w:p>
    <w:p w14:paraId="65093308" w14:textId="53B02DFF" w:rsidR="00CD17D2" w:rsidRDefault="004E7441" w:rsidP="00507062">
      <w:pPr>
        <w:pStyle w:val="a4"/>
        <w:numPr>
          <w:ilvl w:val="0"/>
          <w:numId w:val="1"/>
        </w:numPr>
        <w:spacing w:line="360" w:lineRule="auto"/>
        <w:ind w:firstLineChars="0"/>
        <w:rPr>
          <w:rFonts w:ascii="Times New Roman" w:hAnsi="Times New Roman" w:cs="Times New Roman"/>
          <w:sz w:val="24"/>
          <w:szCs w:val="24"/>
          <w:lang w:val="en-AU"/>
        </w:rPr>
      </w:pPr>
      <w:r>
        <w:rPr>
          <w:rFonts w:ascii="Times New Roman" w:hAnsi="Times New Roman" w:cs="Times New Roman"/>
          <w:sz w:val="24"/>
          <w:szCs w:val="24"/>
          <w:lang w:val="en-AU"/>
        </w:rPr>
        <w:t>W</w:t>
      </w:r>
      <w:r w:rsidR="00CD17D2">
        <w:rPr>
          <w:rFonts w:ascii="Times New Roman" w:hAnsi="Times New Roman" w:cs="Times New Roman" w:hint="eastAsia"/>
          <w:sz w:val="24"/>
          <w:szCs w:val="24"/>
          <w:lang w:val="en-AU"/>
        </w:rPr>
        <w:t>hich</w:t>
      </w:r>
      <w:r w:rsidR="00CD17D2">
        <w:rPr>
          <w:rFonts w:ascii="Times New Roman" w:hAnsi="Times New Roman" w:cs="Times New Roman"/>
          <w:sz w:val="24"/>
          <w:szCs w:val="24"/>
          <w:lang w:val="en-AU"/>
        </w:rPr>
        <w:t xml:space="preserve"> effect estimator (e.g. OR, RR, RD) was used;</w:t>
      </w:r>
    </w:p>
    <w:p w14:paraId="60E8DCB9" w14:textId="6D418057" w:rsidR="00CD17D2" w:rsidRDefault="004E7441" w:rsidP="00507062">
      <w:pPr>
        <w:pStyle w:val="a4"/>
        <w:numPr>
          <w:ilvl w:val="0"/>
          <w:numId w:val="1"/>
        </w:numPr>
        <w:spacing w:line="360" w:lineRule="auto"/>
        <w:ind w:firstLineChars="0"/>
        <w:rPr>
          <w:rFonts w:ascii="Times New Roman" w:hAnsi="Times New Roman" w:cs="Times New Roman"/>
          <w:sz w:val="24"/>
          <w:szCs w:val="24"/>
          <w:lang w:val="en-AU"/>
        </w:rPr>
      </w:pPr>
      <w:r>
        <w:rPr>
          <w:rFonts w:ascii="Times New Roman" w:hAnsi="Times New Roman" w:cs="Times New Roman"/>
          <w:sz w:val="24"/>
          <w:szCs w:val="24"/>
          <w:lang w:val="en-AU"/>
        </w:rPr>
        <w:lastRenderedPageBreak/>
        <w:t>W</w:t>
      </w:r>
      <w:r w:rsidR="0018548B">
        <w:rPr>
          <w:rFonts w:ascii="Times New Roman" w:hAnsi="Times New Roman" w:cs="Times New Roman"/>
          <w:sz w:val="24"/>
          <w:szCs w:val="24"/>
          <w:lang w:val="en-AU"/>
        </w:rPr>
        <w:t>hich synthesis method was used;</w:t>
      </w:r>
    </w:p>
    <w:p w14:paraId="5A90BB68" w14:textId="634114C1" w:rsidR="0018548B" w:rsidRDefault="0060505F" w:rsidP="00507062">
      <w:pPr>
        <w:pStyle w:val="a4"/>
        <w:numPr>
          <w:ilvl w:val="0"/>
          <w:numId w:val="1"/>
        </w:numPr>
        <w:spacing w:line="360" w:lineRule="auto"/>
        <w:ind w:firstLineChars="0"/>
        <w:rPr>
          <w:rFonts w:ascii="Times New Roman" w:hAnsi="Times New Roman" w:cs="Times New Roman"/>
          <w:sz w:val="24"/>
          <w:szCs w:val="24"/>
          <w:lang w:val="en-AU"/>
        </w:rPr>
      </w:pPr>
      <w:r>
        <w:rPr>
          <w:rFonts w:ascii="Times New Roman" w:hAnsi="Times New Roman" w:cs="Times New Roman"/>
          <w:sz w:val="24"/>
          <w:szCs w:val="24"/>
          <w:lang w:val="en-AU"/>
        </w:rPr>
        <w:t>W</w:t>
      </w:r>
      <w:r w:rsidR="009A73CA">
        <w:rPr>
          <w:rFonts w:ascii="Times New Roman" w:hAnsi="Times New Roman" w:cs="Times New Roman" w:hint="eastAsia"/>
          <w:sz w:val="24"/>
          <w:szCs w:val="24"/>
          <w:lang w:val="en-AU"/>
        </w:rPr>
        <w:t>h</w:t>
      </w:r>
      <w:r w:rsidR="009A73CA">
        <w:rPr>
          <w:rFonts w:ascii="Times New Roman" w:hAnsi="Times New Roman" w:cs="Times New Roman"/>
          <w:sz w:val="24"/>
          <w:szCs w:val="24"/>
          <w:lang w:val="en-AU"/>
        </w:rPr>
        <w:t>ether a sensitivity analysis was employed through at least one different synthesis methods;</w:t>
      </w:r>
    </w:p>
    <w:p w14:paraId="52C6212E" w14:textId="3CB414CA" w:rsidR="00A04B49" w:rsidRDefault="00A04B49" w:rsidP="00507062">
      <w:pPr>
        <w:pStyle w:val="a4"/>
        <w:numPr>
          <w:ilvl w:val="0"/>
          <w:numId w:val="1"/>
        </w:numPr>
        <w:spacing w:line="360" w:lineRule="auto"/>
        <w:ind w:firstLineChars="0"/>
        <w:rPr>
          <w:rFonts w:ascii="Times New Roman" w:hAnsi="Times New Roman" w:cs="Times New Roman"/>
          <w:sz w:val="24"/>
          <w:szCs w:val="24"/>
          <w:lang w:val="en-AU"/>
        </w:rPr>
      </w:pPr>
      <w:r>
        <w:rPr>
          <w:rFonts w:ascii="Times New Roman" w:hAnsi="Times New Roman" w:cs="Times New Roman" w:hint="eastAsia"/>
          <w:sz w:val="24"/>
          <w:szCs w:val="24"/>
          <w:lang w:val="en-AU"/>
        </w:rPr>
        <w:t>F</w:t>
      </w:r>
      <w:r>
        <w:rPr>
          <w:rFonts w:ascii="Times New Roman" w:hAnsi="Times New Roman" w:cs="Times New Roman"/>
          <w:sz w:val="24"/>
          <w:szCs w:val="24"/>
          <w:lang w:val="en-AU"/>
        </w:rPr>
        <w:t>o</w:t>
      </w:r>
      <w:r>
        <w:rPr>
          <w:rFonts w:ascii="Times New Roman" w:hAnsi="Times New Roman" w:cs="Times New Roman" w:hint="eastAsia"/>
          <w:sz w:val="24"/>
          <w:szCs w:val="24"/>
          <w:lang w:val="en-AU"/>
        </w:rPr>
        <w:t>r</w:t>
      </w:r>
      <w:r>
        <w:rPr>
          <w:rFonts w:ascii="Times New Roman" w:hAnsi="Times New Roman" w:cs="Times New Roman"/>
          <w:sz w:val="24"/>
          <w:szCs w:val="24"/>
          <w:lang w:val="en-AU"/>
        </w:rPr>
        <w:t xml:space="preserve"> those failed to synthesize studies with zero-events in both arms, whether any further analysis was conducted to evaluate the potential impact (of excluding such studies) on the results;</w:t>
      </w:r>
    </w:p>
    <w:p w14:paraId="638E5176" w14:textId="2FCAF29F" w:rsidR="00A81689" w:rsidRDefault="00A81689" w:rsidP="00507062">
      <w:pPr>
        <w:spacing w:line="360" w:lineRule="auto"/>
        <w:rPr>
          <w:rFonts w:ascii="Times New Roman" w:hAnsi="Times New Roman" w:cs="Times New Roman"/>
          <w:b/>
          <w:bCs/>
          <w:i/>
          <w:iCs/>
          <w:sz w:val="24"/>
          <w:szCs w:val="24"/>
          <w:lang w:val="en-AU"/>
        </w:rPr>
      </w:pPr>
      <w:r w:rsidRPr="00DB60C8">
        <w:rPr>
          <w:rFonts w:ascii="Times New Roman" w:hAnsi="Times New Roman" w:cs="Times New Roman" w:hint="eastAsia"/>
          <w:b/>
          <w:bCs/>
          <w:i/>
          <w:iCs/>
          <w:sz w:val="24"/>
          <w:szCs w:val="24"/>
          <w:lang w:val="en-AU"/>
        </w:rPr>
        <w:t>Ma</w:t>
      </w:r>
      <w:r w:rsidRPr="00DB60C8">
        <w:rPr>
          <w:rFonts w:ascii="Times New Roman" w:hAnsi="Times New Roman" w:cs="Times New Roman"/>
          <w:b/>
          <w:bCs/>
          <w:i/>
          <w:iCs/>
          <w:sz w:val="24"/>
          <w:szCs w:val="24"/>
          <w:lang w:val="en-AU"/>
        </w:rPr>
        <w:t>in information</w:t>
      </w:r>
      <w:r>
        <w:rPr>
          <w:rFonts w:ascii="Times New Roman" w:hAnsi="Times New Roman" w:cs="Times New Roman"/>
          <w:b/>
          <w:bCs/>
          <w:i/>
          <w:iCs/>
          <w:sz w:val="24"/>
          <w:szCs w:val="24"/>
          <w:lang w:val="en-AU"/>
        </w:rPr>
        <w:t>:</w:t>
      </w:r>
      <w:r w:rsidRPr="00A81689">
        <w:rPr>
          <w:rFonts w:ascii="Times New Roman" w:hAnsi="Times New Roman" w:cs="Times New Roman"/>
          <w:b/>
          <w:bCs/>
          <w:i/>
          <w:iCs/>
          <w:sz w:val="24"/>
          <w:szCs w:val="24"/>
          <w:lang w:val="en-AU"/>
        </w:rPr>
        <w:t xml:space="preserve"> </w:t>
      </w:r>
      <w:r>
        <w:rPr>
          <w:rFonts w:ascii="Times New Roman" w:hAnsi="Times New Roman" w:cs="Times New Roman"/>
          <w:b/>
          <w:bCs/>
          <w:i/>
          <w:iCs/>
          <w:sz w:val="24"/>
          <w:szCs w:val="24"/>
          <w:lang w:val="en-AU"/>
        </w:rPr>
        <w:t>Meta</w:t>
      </w:r>
      <w:r>
        <w:rPr>
          <w:rFonts w:ascii="Times New Roman" w:hAnsi="Times New Roman" w:cs="Times New Roman" w:hint="eastAsia"/>
          <w:b/>
          <w:bCs/>
          <w:i/>
          <w:iCs/>
          <w:sz w:val="24"/>
          <w:szCs w:val="24"/>
          <w:lang w:val="en-AU"/>
        </w:rPr>
        <w:t>-analys</w:t>
      </w:r>
      <w:r>
        <w:rPr>
          <w:rFonts w:ascii="Times New Roman" w:hAnsi="Times New Roman" w:cs="Times New Roman"/>
          <w:b/>
          <w:bCs/>
          <w:i/>
          <w:iCs/>
          <w:sz w:val="24"/>
          <w:szCs w:val="24"/>
          <w:lang w:val="en-AU"/>
        </w:rPr>
        <w:t>is with zero-events in</w:t>
      </w:r>
      <w:r>
        <w:rPr>
          <w:rFonts w:ascii="Times New Roman" w:hAnsi="Times New Roman" w:cs="Times New Roman"/>
          <w:sz w:val="24"/>
          <w:szCs w:val="24"/>
          <w:lang w:val="en-AU"/>
        </w:rPr>
        <w:t xml:space="preserve"> </w:t>
      </w:r>
      <w:r w:rsidRPr="00A81689">
        <w:rPr>
          <w:rFonts w:ascii="Times New Roman" w:hAnsi="Times New Roman" w:cs="Times New Roman"/>
          <w:b/>
          <w:bCs/>
          <w:i/>
          <w:iCs/>
          <w:sz w:val="24"/>
          <w:szCs w:val="24"/>
          <w:lang w:val="en-AU"/>
        </w:rPr>
        <w:t>single arm</w:t>
      </w:r>
    </w:p>
    <w:p w14:paraId="4F975E1A" w14:textId="067E3B22" w:rsidR="00A81689" w:rsidRPr="00A81689" w:rsidRDefault="00A81689" w:rsidP="00507062">
      <w:pPr>
        <w:pStyle w:val="a4"/>
        <w:numPr>
          <w:ilvl w:val="0"/>
          <w:numId w:val="5"/>
        </w:numPr>
        <w:spacing w:line="360" w:lineRule="auto"/>
        <w:ind w:firstLineChars="0"/>
        <w:rPr>
          <w:rFonts w:ascii="Times New Roman" w:hAnsi="Times New Roman" w:cs="Times New Roman"/>
          <w:sz w:val="24"/>
          <w:szCs w:val="24"/>
          <w:lang w:val="en-AU"/>
        </w:rPr>
      </w:pPr>
      <w:r w:rsidRPr="00A81689">
        <w:rPr>
          <w:rFonts w:ascii="Times New Roman" w:hAnsi="Times New Roman" w:cs="Times New Roman"/>
          <w:sz w:val="24"/>
          <w:szCs w:val="24"/>
          <w:lang w:val="en-AU"/>
        </w:rPr>
        <w:t>w</w:t>
      </w:r>
      <w:r w:rsidRPr="00A81689">
        <w:rPr>
          <w:rFonts w:ascii="Times New Roman" w:hAnsi="Times New Roman" w:cs="Times New Roman" w:hint="eastAsia"/>
          <w:sz w:val="24"/>
          <w:szCs w:val="24"/>
          <w:lang w:val="en-AU"/>
        </w:rPr>
        <w:t>hich</w:t>
      </w:r>
      <w:r w:rsidRPr="00A81689">
        <w:rPr>
          <w:rFonts w:ascii="Times New Roman" w:hAnsi="Times New Roman" w:cs="Times New Roman"/>
          <w:sz w:val="24"/>
          <w:szCs w:val="24"/>
          <w:lang w:val="en-AU"/>
        </w:rPr>
        <w:t xml:space="preserve"> effect estimator (e.g. OR, RR, RD) was used;</w:t>
      </w:r>
    </w:p>
    <w:p w14:paraId="7D01F7B7" w14:textId="04BE650D" w:rsidR="00A81689" w:rsidRDefault="00A81689" w:rsidP="00507062">
      <w:pPr>
        <w:pStyle w:val="a4"/>
        <w:numPr>
          <w:ilvl w:val="0"/>
          <w:numId w:val="5"/>
        </w:numPr>
        <w:spacing w:line="360" w:lineRule="auto"/>
        <w:ind w:firstLineChars="0"/>
        <w:rPr>
          <w:rFonts w:ascii="Times New Roman" w:hAnsi="Times New Roman" w:cs="Times New Roman"/>
          <w:sz w:val="24"/>
          <w:szCs w:val="24"/>
          <w:lang w:val="en-AU"/>
        </w:rPr>
      </w:pPr>
      <w:r>
        <w:rPr>
          <w:rFonts w:ascii="Times New Roman" w:hAnsi="Times New Roman" w:cs="Times New Roman"/>
          <w:sz w:val="24"/>
          <w:szCs w:val="24"/>
          <w:lang w:val="en-AU"/>
        </w:rPr>
        <w:t>which synthesis method was used;</w:t>
      </w:r>
    </w:p>
    <w:p w14:paraId="4F891360" w14:textId="52DAB8F6" w:rsidR="00A81689" w:rsidRDefault="004E7441" w:rsidP="00507062">
      <w:pPr>
        <w:pStyle w:val="a4"/>
        <w:numPr>
          <w:ilvl w:val="0"/>
          <w:numId w:val="5"/>
        </w:numPr>
        <w:spacing w:line="360" w:lineRule="auto"/>
        <w:ind w:firstLineChars="0"/>
        <w:rPr>
          <w:rFonts w:ascii="Times New Roman" w:hAnsi="Times New Roman" w:cs="Times New Roman"/>
          <w:sz w:val="24"/>
          <w:szCs w:val="24"/>
          <w:lang w:val="en-AU"/>
        </w:rPr>
      </w:pPr>
      <w:r>
        <w:rPr>
          <w:rFonts w:ascii="Times New Roman" w:hAnsi="Times New Roman" w:cs="Times New Roman" w:hint="eastAsia"/>
          <w:sz w:val="24"/>
          <w:szCs w:val="24"/>
          <w:lang w:val="en-AU"/>
        </w:rPr>
        <w:t>w</w:t>
      </w:r>
      <w:r w:rsidR="00A81689">
        <w:rPr>
          <w:rFonts w:ascii="Times New Roman" w:hAnsi="Times New Roman" w:cs="Times New Roman" w:hint="eastAsia"/>
          <w:sz w:val="24"/>
          <w:szCs w:val="24"/>
          <w:lang w:val="en-AU"/>
        </w:rPr>
        <w:t>h</w:t>
      </w:r>
      <w:r w:rsidR="00A81689">
        <w:rPr>
          <w:rFonts w:ascii="Times New Roman" w:hAnsi="Times New Roman" w:cs="Times New Roman"/>
          <w:sz w:val="24"/>
          <w:szCs w:val="24"/>
          <w:lang w:val="en-AU"/>
        </w:rPr>
        <w:t>ether a sensitivity analysis was employed through at least one different synthesis methods;</w:t>
      </w:r>
    </w:p>
    <w:p w14:paraId="17CA8685" w14:textId="77777777" w:rsidR="00A81689" w:rsidRPr="00A81689" w:rsidRDefault="00A81689" w:rsidP="00507062">
      <w:pPr>
        <w:spacing w:line="360" w:lineRule="auto"/>
        <w:rPr>
          <w:rFonts w:ascii="Times New Roman" w:hAnsi="Times New Roman" w:cs="Times New Roman"/>
          <w:sz w:val="24"/>
          <w:szCs w:val="24"/>
          <w:lang w:val="en-AU"/>
        </w:rPr>
      </w:pPr>
    </w:p>
    <w:p w14:paraId="23684FF0" w14:textId="52EB33CA" w:rsidR="00A61F8F" w:rsidRPr="00796158" w:rsidRDefault="00A61F8F" w:rsidP="00507062">
      <w:pPr>
        <w:spacing w:line="360" w:lineRule="auto"/>
        <w:rPr>
          <w:rFonts w:ascii="Times New Roman" w:hAnsi="Times New Roman" w:cs="Times New Roman"/>
          <w:sz w:val="24"/>
          <w:szCs w:val="24"/>
          <w:lang w:val="en-AU"/>
        </w:rPr>
      </w:pPr>
      <w:r w:rsidRPr="00DB60C8">
        <w:rPr>
          <w:rFonts w:ascii="Times New Roman" w:hAnsi="Times New Roman" w:cs="Times New Roman"/>
          <w:b/>
          <w:bCs/>
          <w:i/>
          <w:iCs/>
          <w:sz w:val="24"/>
          <w:szCs w:val="24"/>
          <w:lang w:val="en-AU"/>
        </w:rPr>
        <w:t>O</w:t>
      </w:r>
      <w:r w:rsidRPr="00DB60C8">
        <w:rPr>
          <w:rFonts w:ascii="Times New Roman" w:hAnsi="Times New Roman" w:cs="Times New Roman" w:hint="eastAsia"/>
          <w:b/>
          <w:bCs/>
          <w:i/>
          <w:iCs/>
          <w:sz w:val="24"/>
          <w:szCs w:val="24"/>
          <w:lang w:val="en-AU"/>
        </w:rPr>
        <w:t>t</w:t>
      </w:r>
      <w:r w:rsidRPr="00DB60C8">
        <w:rPr>
          <w:rFonts w:ascii="Times New Roman" w:hAnsi="Times New Roman" w:cs="Times New Roman"/>
          <w:b/>
          <w:bCs/>
          <w:i/>
          <w:iCs/>
          <w:sz w:val="24"/>
          <w:szCs w:val="24"/>
          <w:lang w:val="en-AU"/>
        </w:rPr>
        <w:t>her information</w:t>
      </w:r>
    </w:p>
    <w:p w14:paraId="242EADA4" w14:textId="13778531" w:rsidR="00A61F8F" w:rsidRDefault="00A61F8F" w:rsidP="00507062">
      <w:pPr>
        <w:pStyle w:val="a4"/>
        <w:numPr>
          <w:ilvl w:val="0"/>
          <w:numId w:val="2"/>
        </w:numPr>
        <w:spacing w:line="360" w:lineRule="auto"/>
        <w:ind w:firstLineChars="0"/>
        <w:rPr>
          <w:rFonts w:ascii="Times New Roman" w:hAnsi="Times New Roman" w:cs="Times New Roman"/>
          <w:sz w:val="24"/>
          <w:szCs w:val="24"/>
          <w:lang w:val="en-AU"/>
        </w:rPr>
      </w:pPr>
      <w:r w:rsidRPr="00A61F8F">
        <w:rPr>
          <w:rFonts w:ascii="Times New Roman" w:hAnsi="Times New Roman" w:cs="Times New Roman" w:hint="eastAsia"/>
          <w:sz w:val="24"/>
          <w:szCs w:val="24"/>
          <w:lang w:val="en-AU"/>
        </w:rPr>
        <w:t>Ho</w:t>
      </w:r>
      <w:r w:rsidRPr="00A61F8F">
        <w:rPr>
          <w:rFonts w:ascii="Times New Roman" w:hAnsi="Times New Roman" w:cs="Times New Roman"/>
          <w:sz w:val="24"/>
          <w:szCs w:val="24"/>
          <w:lang w:val="en-AU"/>
        </w:rPr>
        <w:t xml:space="preserve">w </w:t>
      </w:r>
      <w:r>
        <w:rPr>
          <w:rFonts w:ascii="Times New Roman" w:hAnsi="Times New Roman" w:cs="Times New Roman"/>
          <w:sz w:val="24"/>
          <w:szCs w:val="24"/>
          <w:lang w:val="en-AU"/>
        </w:rPr>
        <w:t>between-study heterogeneity w</w:t>
      </w:r>
      <w:r w:rsidR="00C778FC">
        <w:rPr>
          <w:rFonts w:ascii="Times New Roman" w:hAnsi="Times New Roman" w:cs="Times New Roman"/>
          <w:sz w:val="24"/>
          <w:szCs w:val="24"/>
          <w:lang w:val="en-AU"/>
        </w:rPr>
        <w:t>as</w:t>
      </w:r>
      <w:r>
        <w:rPr>
          <w:rFonts w:ascii="Times New Roman" w:hAnsi="Times New Roman" w:cs="Times New Roman"/>
          <w:sz w:val="24"/>
          <w:szCs w:val="24"/>
          <w:lang w:val="en-AU"/>
        </w:rPr>
        <w:t xml:space="preserve"> measured</w:t>
      </w:r>
      <w:r w:rsidR="00C778FC">
        <w:rPr>
          <w:rFonts w:ascii="Times New Roman" w:hAnsi="Times New Roman" w:cs="Times New Roman"/>
          <w:sz w:val="24"/>
          <w:szCs w:val="24"/>
          <w:lang w:val="en-AU"/>
        </w:rPr>
        <w:t>, and if conducted, whether a substantial heterogeneity was detected (According to C</w:t>
      </w:r>
      <w:r w:rsidR="00C778FC">
        <w:rPr>
          <w:rFonts w:ascii="Times New Roman" w:hAnsi="Times New Roman" w:cs="Times New Roman" w:hint="eastAsia"/>
          <w:sz w:val="24"/>
          <w:szCs w:val="24"/>
          <w:lang w:val="en-AU"/>
        </w:rPr>
        <w:t>o</w:t>
      </w:r>
      <w:r w:rsidR="00C778FC">
        <w:rPr>
          <w:rFonts w:ascii="Times New Roman" w:hAnsi="Times New Roman" w:cs="Times New Roman"/>
          <w:sz w:val="24"/>
          <w:szCs w:val="24"/>
          <w:lang w:val="en-AU"/>
        </w:rPr>
        <w:t>chrane’s standard</w:t>
      </w:r>
      <w:r w:rsidR="008F6662">
        <w:rPr>
          <w:rFonts w:ascii="Times New Roman" w:hAnsi="Times New Roman" w:cs="Times New Roman"/>
          <w:sz w:val="24"/>
          <w:szCs w:val="24"/>
          <w:lang w:val="en-AU"/>
        </w:rPr>
        <w:t>, for example, I</w:t>
      </w:r>
      <w:r w:rsidR="008F6662" w:rsidRPr="00547FA8">
        <w:rPr>
          <w:rFonts w:ascii="Times New Roman" w:hAnsi="Times New Roman" w:cs="Times New Roman" w:hint="eastAsia"/>
          <w:sz w:val="24"/>
          <w:szCs w:val="24"/>
          <w:vertAlign w:val="superscript"/>
          <w:lang w:val="en-AU"/>
        </w:rPr>
        <w:t>2</w:t>
      </w:r>
      <w:r w:rsidR="008F6662">
        <w:rPr>
          <w:rFonts w:ascii="Times New Roman" w:hAnsi="Times New Roman" w:cs="Times New Roman"/>
          <w:sz w:val="24"/>
          <w:szCs w:val="24"/>
          <w:lang w:val="en-AU"/>
        </w:rPr>
        <w:t xml:space="preserve"> &gt; </w:t>
      </w:r>
      <w:r w:rsidR="00755ABA">
        <w:rPr>
          <w:rFonts w:ascii="Times New Roman" w:hAnsi="Times New Roman" w:cs="Times New Roman"/>
          <w:sz w:val="24"/>
          <w:szCs w:val="24"/>
          <w:lang w:val="en-AU"/>
        </w:rPr>
        <w:t>5</w:t>
      </w:r>
      <w:r w:rsidR="008F6662">
        <w:rPr>
          <w:rFonts w:ascii="Times New Roman" w:hAnsi="Times New Roman" w:cs="Times New Roman"/>
          <w:sz w:val="24"/>
          <w:szCs w:val="24"/>
          <w:lang w:val="en-AU"/>
        </w:rPr>
        <w:t>0%</w:t>
      </w:r>
      <w:r w:rsidR="00C778FC">
        <w:rPr>
          <w:rFonts w:ascii="Times New Roman" w:hAnsi="Times New Roman" w:cs="Times New Roman"/>
          <w:sz w:val="24"/>
          <w:szCs w:val="24"/>
          <w:lang w:val="en-AU"/>
        </w:rPr>
        <w:t>)</w:t>
      </w:r>
      <w:r>
        <w:rPr>
          <w:rFonts w:ascii="Times New Roman" w:hAnsi="Times New Roman" w:cs="Times New Roman"/>
          <w:sz w:val="24"/>
          <w:szCs w:val="24"/>
          <w:lang w:val="en-AU"/>
        </w:rPr>
        <w:t>;</w:t>
      </w:r>
    </w:p>
    <w:p w14:paraId="0067A2DE" w14:textId="0A9C594F" w:rsidR="00A61F8F" w:rsidRPr="00A61F8F" w:rsidRDefault="00A61F8F" w:rsidP="00507062">
      <w:pPr>
        <w:pStyle w:val="a4"/>
        <w:numPr>
          <w:ilvl w:val="0"/>
          <w:numId w:val="2"/>
        </w:numPr>
        <w:spacing w:line="360" w:lineRule="auto"/>
        <w:ind w:firstLineChars="0"/>
        <w:rPr>
          <w:rFonts w:ascii="Times New Roman" w:hAnsi="Times New Roman" w:cs="Times New Roman"/>
          <w:sz w:val="24"/>
          <w:szCs w:val="24"/>
          <w:lang w:val="en-AU"/>
        </w:rPr>
      </w:pPr>
      <w:r>
        <w:rPr>
          <w:rFonts w:ascii="Times New Roman" w:hAnsi="Times New Roman" w:cs="Times New Roman"/>
          <w:sz w:val="24"/>
          <w:szCs w:val="24"/>
          <w:lang w:val="en-AU"/>
        </w:rPr>
        <w:t>H</w:t>
      </w:r>
      <w:r>
        <w:rPr>
          <w:rFonts w:ascii="Times New Roman" w:hAnsi="Times New Roman" w:cs="Times New Roman" w:hint="eastAsia"/>
          <w:sz w:val="24"/>
          <w:szCs w:val="24"/>
          <w:lang w:val="en-AU"/>
        </w:rPr>
        <w:t>o</w:t>
      </w:r>
      <w:r>
        <w:rPr>
          <w:rFonts w:ascii="Times New Roman" w:hAnsi="Times New Roman" w:cs="Times New Roman"/>
          <w:sz w:val="24"/>
          <w:szCs w:val="24"/>
          <w:lang w:val="en-AU"/>
        </w:rPr>
        <w:t xml:space="preserve">w publication bias </w:t>
      </w:r>
      <w:r w:rsidR="00C778FC">
        <w:rPr>
          <w:rFonts w:ascii="Times New Roman" w:hAnsi="Times New Roman" w:cs="Times New Roman"/>
          <w:sz w:val="24"/>
          <w:szCs w:val="24"/>
          <w:lang w:val="en-AU"/>
        </w:rPr>
        <w:t>was</w:t>
      </w:r>
      <w:r>
        <w:rPr>
          <w:rFonts w:ascii="Times New Roman" w:hAnsi="Times New Roman" w:cs="Times New Roman"/>
          <w:sz w:val="24"/>
          <w:szCs w:val="24"/>
          <w:lang w:val="en-AU"/>
        </w:rPr>
        <w:t xml:space="preserve"> measured</w:t>
      </w:r>
      <w:r w:rsidR="00B274AE">
        <w:rPr>
          <w:rFonts w:ascii="Times New Roman" w:hAnsi="Times New Roman" w:cs="Times New Roman"/>
          <w:sz w:val="24"/>
          <w:szCs w:val="24"/>
          <w:lang w:val="en-AU"/>
        </w:rPr>
        <w:t>, and if conducted, whether a publication bias was detected (A</w:t>
      </w:r>
      <w:r w:rsidR="00B274AE">
        <w:rPr>
          <w:rFonts w:ascii="Times New Roman" w:hAnsi="Times New Roman" w:cs="Times New Roman" w:hint="eastAsia"/>
          <w:sz w:val="24"/>
          <w:szCs w:val="24"/>
          <w:lang w:val="en-AU"/>
        </w:rPr>
        <w:t>cc</w:t>
      </w:r>
      <w:r w:rsidR="00B274AE">
        <w:rPr>
          <w:rFonts w:ascii="Times New Roman" w:hAnsi="Times New Roman" w:cs="Times New Roman"/>
          <w:sz w:val="24"/>
          <w:szCs w:val="24"/>
          <w:lang w:val="en-AU"/>
        </w:rPr>
        <w:t xml:space="preserve">ording to the measuring method itself, for p-value driven method, we set the cut-off point as p </w:t>
      </w:r>
      <w:r w:rsidR="00D34806">
        <w:rPr>
          <w:rFonts w:ascii="Times New Roman" w:hAnsi="Times New Roman" w:cs="Times New Roman"/>
          <w:sz w:val="24"/>
          <w:szCs w:val="24"/>
          <w:lang w:val="en-AU"/>
        </w:rPr>
        <w:t>=</w:t>
      </w:r>
      <w:r w:rsidR="00B274AE">
        <w:rPr>
          <w:rFonts w:ascii="Times New Roman" w:hAnsi="Times New Roman" w:cs="Times New Roman"/>
          <w:sz w:val="24"/>
          <w:szCs w:val="24"/>
          <w:lang w:val="en-AU"/>
        </w:rPr>
        <w:t xml:space="preserve"> 0.1</w:t>
      </w:r>
      <w:r w:rsidR="008F6662">
        <w:rPr>
          <w:rFonts w:ascii="Times New Roman" w:hAnsi="Times New Roman" w:cs="Times New Roman"/>
          <w:sz w:val="24"/>
          <w:szCs w:val="24"/>
          <w:lang w:val="en-AU"/>
        </w:rPr>
        <w:t>0</w:t>
      </w:r>
      <w:r w:rsidR="00B274AE">
        <w:rPr>
          <w:rFonts w:ascii="Times New Roman" w:hAnsi="Times New Roman" w:cs="Times New Roman"/>
          <w:sz w:val="24"/>
          <w:szCs w:val="24"/>
          <w:lang w:val="en-AU"/>
        </w:rPr>
        <w:t>);</w:t>
      </w:r>
    </w:p>
    <w:p w14:paraId="4F3F8AD1" w14:textId="77777777" w:rsidR="00CD17D2" w:rsidRDefault="00CD17D2" w:rsidP="00507062">
      <w:pPr>
        <w:spacing w:line="360" w:lineRule="auto"/>
        <w:rPr>
          <w:rFonts w:ascii="Times New Roman" w:hAnsi="Times New Roman" w:cs="Times New Roman"/>
          <w:sz w:val="24"/>
          <w:szCs w:val="24"/>
          <w:lang w:val="en-AU"/>
        </w:rPr>
      </w:pPr>
    </w:p>
    <w:p w14:paraId="0412F254" w14:textId="5C233F48" w:rsidR="00CC62C4" w:rsidRDefault="007144D9" w:rsidP="00507062">
      <w:pPr>
        <w:spacing w:line="360" w:lineRule="auto"/>
        <w:rPr>
          <w:rFonts w:ascii="Times New Roman" w:hAnsi="Times New Roman" w:cs="Times New Roman"/>
          <w:sz w:val="24"/>
          <w:szCs w:val="24"/>
          <w:lang w:val="en-AU"/>
        </w:rPr>
      </w:pPr>
      <w:r>
        <w:rPr>
          <w:rFonts w:ascii="Times New Roman" w:hAnsi="Times New Roman" w:cs="Times New Roman"/>
          <w:sz w:val="24"/>
          <w:szCs w:val="24"/>
          <w:lang w:val="en-AU"/>
        </w:rPr>
        <w:t>W</w:t>
      </w:r>
      <w:r>
        <w:rPr>
          <w:rFonts w:ascii="Times New Roman" w:hAnsi="Times New Roman" w:cs="Times New Roman" w:hint="eastAsia"/>
          <w:sz w:val="24"/>
          <w:szCs w:val="24"/>
          <w:lang w:val="en-AU"/>
        </w:rPr>
        <w:t>e</w:t>
      </w:r>
      <w:r>
        <w:rPr>
          <w:rFonts w:ascii="Times New Roman" w:hAnsi="Times New Roman" w:cs="Times New Roman"/>
          <w:sz w:val="24"/>
          <w:szCs w:val="24"/>
          <w:lang w:val="en-AU"/>
        </w:rPr>
        <w:t xml:space="preserve"> will further categorize the methods used in meta-analyses as frequentist and B</w:t>
      </w:r>
      <w:r>
        <w:rPr>
          <w:rFonts w:ascii="Times New Roman" w:hAnsi="Times New Roman" w:cs="Times New Roman" w:hint="eastAsia"/>
          <w:sz w:val="24"/>
          <w:szCs w:val="24"/>
          <w:lang w:val="en-AU"/>
        </w:rPr>
        <w:t>a</w:t>
      </w:r>
      <w:r>
        <w:rPr>
          <w:rFonts w:ascii="Times New Roman" w:hAnsi="Times New Roman" w:cs="Times New Roman"/>
          <w:sz w:val="24"/>
          <w:szCs w:val="24"/>
          <w:lang w:val="en-AU"/>
        </w:rPr>
        <w:t>yesian framework</w:t>
      </w:r>
      <w:r w:rsidR="00B82038">
        <w:rPr>
          <w:rFonts w:ascii="Times New Roman" w:hAnsi="Times New Roman" w:cs="Times New Roman"/>
          <w:sz w:val="24"/>
          <w:szCs w:val="24"/>
          <w:lang w:val="en-AU"/>
        </w:rPr>
        <w:t>, where for each framework, the detailed methods will be summarized.</w:t>
      </w:r>
      <w:r w:rsidR="004146A6">
        <w:rPr>
          <w:rFonts w:ascii="Times New Roman" w:hAnsi="Times New Roman" w:cs="Times New Roman"/>
          <w:sz w:val="24"/>
          <w:szCs w:val="24"/>
          <w:lang w:val="en-AU"/>
        </w:rPr>
        <w:t xml:space="preserve"> </w:t>
      </w:r>
      <w:r w:rsidR="00BC4DCF">
        <w:rPr>
          <w:rFonts w:ascii="Times New Roman" w:hAnsi="Times New Roman" w:cs="Times New Roman"/>
          <w:sz w:val="24"/>
          <w:szCs w:val="24"/>
          <w:lang w:val="en-AU"/>
        </w:rPr>
        <w:t>S</w:t>
      </w:r>
      <w:r w:rsidR="00BC4DCF">
        <w:rPr>
          <w:rFonts w:ascii="Times New Roman" w:hAnsi="Times New Roman" w:cs="Times New Roman" w:hint="eastAsia"/>
          <w:sz w:val="24"/>
          <w:szCs w:val="24"/>
          <w:lang w:val="en-AU"/>
        </w:rPr>
        <w:t>u</w:t>
      </w:r>
      <w:r w:rsidR="00BC4DCF">
        <w:rPr>
          <w:rFonts w:ascii="Times New Roman" w:hAnsi="Times New Roman" w:cs="Times New Roman"/>
          <w:sz w:val="24"/>
          <w:szCs w:val="24"/>
          <w:lang w:val="en-AU"/>
        </w:rPr>
        <w:t xml:space="preserve">ch information will be compared </w:t>
      </w:r>
      <w:r w:rsidR="00255711">
        <w:rPr>
          <w:rFonts w:ascii="Times New Roman" w:hAnsi="Times New Roman" w:cs="Times New Roman"/>
          <w:sz w:val="24"/>
          <w:szCs w:val="24"/>
          <w:lang w:val="en-AU"/>
        </w:rPr>
        <w:t xml:space="preserve">for meta-analyses </w:t>
      </w:r>
      <w:r w:rsidR="00F916F7">
        <w:rPr>
          <w:rFonts w:ascii="Times New Roman" w:hAnsi="Times New Roman" w:cs="Times New Roman"/>
          <w:sz w:val="24"/>
          <w:szCs w:val="24"/>
          <w:lang w:val="en-AU"/>
        </w:rPr>
        <w:t xml:space="preserve">published </w:t>
      </w:r>
      <w:r w:rsidR="00F970B9">
        <w:rPr>
          <w:rFonts w:ascii="Times New Roman" w:hAnsi="Times New Roman" w:cs="Times New Roman"/>
          <w:sz w:val="24"/>
          <w:szCs w:val="24"/>
          <w:lang w:val="en-AU"/>
        </w:rPr>
        <w:t>in</w:t>
      </w:r>
      <w:r w:rsidR="00255711">
        <w:rPr>
          <w:rFonts w:ascii="Times New Roman" w:hAnsi="Times New Roman" w:cs="Times New Roman"/>
          <w:sz w:val="24"/>
          <w:szCs w:val="24"/>
          <w:lang w:val="en-AU"/>
        </w:rPr>
        <w:t xml:space="preserve"> recent 5 years and those published in 2008 to 2011. </w:t>
      </w:r>
    </w:p>
    <w:p w14:paraId="65E7333D" w14:textId="77777777" w:rsidR="00CC62C4" w:rsidRPr="00382636" w:rsidRDefault="00CC62C4" w:rsidP="00507062">
      <w:pPr>
        <w:spacing w:line="360" w:lineRule="auto"/>
        <w:rPr>
          <w:rFonts w:ascii="Times New Roman" w:hAnsi="Times New Roman" w:cs="Times New Roman"/>
          <w:sz w:val="24"/>
          <w:szCs w:val="24"/>
          <w:lang w:val="en-AU"/>
        </w:rPr>
      </w:pPr>
    </w:p>
    <w:p w14:paraId="71A5AA3C" w14:textId="77777777" w:rsidR="00CC62C4" w:rsidRPr="00382636" w:rsidRDefault="00CC62C4" w:rsidP="00507062">
      <w:pPr>
        <w:pStyle w:val="2"/>
        <w:spacing w:line="360" w:lineRule="auto"/>
        <w:rPr>
          <w:rFonts w:ascii="Times New Roman" w:hAnsi="Times New Roman" w:cs="Times New Roman"/>
          <w:sz w:val="24"/>
          <w:szCs w:val="24"/>
          <w:lang w:val="en-AU"/>
        </w:rPr>
      </w:pPr>
      <w:r w:rsidRPr="00382636">
        <w:rPr>
          <w:rFonts w:ascii="Times New Roman" w:hAnsi="Times New Roman" w:cs="Times New Roman"/>
          <w:sz w:val="24"/>
          <w:szCs w:val="24"/>
          <w:lang w:val="en-AU"/>
        </w:rPr>
        <w:t>Main outcome(s)</w:t>
      </w:r>
    </w:p>
    <w:p w14:paraId="7B80C265" w14:textId="50F3877D" w:rsidR="00CC62C4" w:rsidRPr="00382636" w:rsidRDefault="0017612C" w:rsidP="00507062">
      <w:pPr>
        <w:spacing w:line="360" w:lineRule="auto"/>
        <w:rPr>
          <w:rFonts w:ascii="Times New Roman" w:hAnsi="Times New Roman" w:cs="Times New Roman"/>
          <w:sz w:val="24"/>
          <w:szCs w:val="24"/>
          <w:lang w:val="en-AU"/>
        </w:rPr>
      </w:pPr>
      <w:r>
        <w:rPr>
          <w:rFonts w:ascii="Times New Roman" w:hAnsi="Times New Roman" w:cs="Times New Roman"/>
          <w:sz w:val="24"/>
          <w:szCs w:val="24"/>
          <w:lang w:val="en-AU"/>
        </w:rPr>
        <w:t>T</w:t>
      </w:r>
      <w:r>
        <w:rPr>
          <w:rFonts w:ascii="Times New Roman" w:hAnsi="Times New Roman" w:cs="Times New Roman" w:hint="eastAsia"/>
          <w:sz w:val="24"/>
          <w:szCs w:val="24"/>
          <w:lang w:val="en-AU"/>
        </w:rPr>
        <w:t>h</w:t>
      </w:r>
      <w:r>
        <w:rPr>
          <w:rFonts w:ascii="Times New Roman" w:hAnsi="Times New Roman" w:cs="Times New Roman"/>
          <w:sz w:val="24"/>
          <w:szCs w:val="24"/>
          <w:lang w:val="en-AU"/>
        </w:rPr>
        <w:t xml:space="preserve">e primary outcome is the </w:t>
      </w:r>
      <w:r w:rsidR="00DF3431">
        <w:rPr>
          <w:rFonts w:ascii="Times New Roman" w:hAnsi="Times New Roman" w:cs="Times New Roman"/>
          <w:sz w:val="24"/>
          <w:szCs w:val="24"/>
          <w:lang w:val="en-AU"/>
        </w:rPr>
        <w:t xml:space="preserve">percentage (and ranks) of the methods used for dealing with zero-events studies. </w:t>
      </w:r>
      <w:r w:rsidR="00A66139">
        <w:rPr>
          <w:rFonts w:ascii="Times New Roman" w:hAnsi="Times New Roman" w:cs="Times New Roman"/>
          <w:sz w:val="24"/>
          <w:szCs w:val="24"/>
          <w:lang w:val="en-AU"/>
        </w:rPr>
        <w:t>T</w:t>
      </w:r>
      <w:r w:rsidR="00CB35F9">
        <w:rPr>
          <w:rFonts w:ascii="Times New Roman" w:hAnsi="Times New Roman" w:cs="Times New Roman"/>
          <w:sz w:val="24"/>
          <w:szCs w:val="24"/>
          <w:lang w:val="en-AU"/>
        </w:rPr>
        <w:t xml:space="preserve">he co-primary outcome is the proportion of meta-analyses </w:t>
      </w:r>
      <w:r w:rsidR="00CB35F9">
        <w:rPr>
          <w:rFonts w:ascii="Times New Roman" w:hAnsi="Times New Roman" w:cs="Times New Roman"/>
          <w:sz w:val="24"/>
          <w:szCs w:val="24"/>
          <w:lang w:val="en-AU"/>
        </w:rPr>
        <w:lastRenderedPageBreak/>
        <w:t>that zero-events studies were correctly dealt with</w:t>
      </w:r>
      <w:r w:rsidR="00BB4477">
        <w:rPr>
          <w:rFonts w:ascii="Times New Roman" w:hAnsi="Times New Roman" w:cs="Times New Roman"/>
          <w:sz w:val="24"/>
          <w:szCs w:val="24"/>
          <w:lang w:val="en-AU"/>
        </w:rPr>
        <w:t xml:space="preserve"> over years</w:t>
      </w:r>
      <w:r w:rsidR="00CB35F9">
        <w:rPr>
          <w:rFonts w:ascii="Times New Roman" w:hAnsi="Times New Roman" w:cs="Times New Roman"/>
          <w:sz w:val="24"/>
          <w:szCs w:val="24"/>
          <w:lang w:val="en-AU"/>
        </w:rPr>
        <w:t xml:space="preserve">. </w:t>
      </w:r>
      <w:r w:rsidR="001461B4">
        <w:rPr>
          <w:rFonts w:ascii="Times New Roman" w:hAnsi="Times New Roman" w:cs="Times New Roman"/>
          <w:sz w:val="24"/>
          <w:szCs w:val="24"/>
          <w:lang w:val="en-AU"/>
        </w:rPr>
        <w:t xml:space="preserve">We defined those meta-analyses discard zero-events studies </w:t>
      </w:r>
      <w:r w:rsidR="00332D48">
        <w:rPr>
          <w:rFonts w:ascii="Times New Roman" w:hAnsi="Times New Roman" w:cs="Times New Roman"/>
          <w:sz w:val="24"/>
          <w:szCs w:val="24"/>
          <w:lang w:val="en-AU"/>
        </w:rPr>
        <w:t xml:space="preserve">as incorrectly dealt with. </w:t>
      </w:r>
    </w:p>
    <w:p w14:paraId="15AE8D9C" w14:textId="77777777" w:rsidR="00CC62C4" w:rsidRPr="00382636" w:rsidRDefault="00CC62C4" w:rsidP="00507062">
      <w:pPr>
        <w:spacing w:line="360" w:lineRule="auto"/>
        <w:rPr>
          <w:rFonts w:ascii="Times New Roman" w:hAnsi="Times New Roman" w:cs="Times New Roman"/>
          <w:sz w:val="24"/>
          <w:szCs w:val="24"/>
          <w:lang w:val="en-AU"/>
        </w:rPr>
      </w:pPr>
    </w:p>
    <w:p w14:paraId="647B6952" w14:textId="19388650" w:rsidR="00CC62C4" w:rsidRPr="00382636" w:rsidRDefault="00CC62C4" w:rsidP="00507062">
      <w:pPr>
        <w:pStyle w:val="2"/>
        <w:spacing w:line="360" w:lineRule="auto"/>
        <w:rPr>
          <w:rFonts w:ascii="Times New Roman" w:hAnsi="Times New Roman" w:cs="Times New Roman"/>
          <w:sz w:val="24"/>
          <w:szCs w:val="24"/>
          <w:lang w:val="en-AU"/>
        </w:rPr>
      </w:pPr>
      <w:r w:rsidRPr="00382636">
        <w:rPr>
          <w:rFonts w:ascii="Times New Roman" w:hAnsi="Times New Roman" w:cs="Times New Roman"/>
          <w:sz w:val="24"/>
          <w:szCs w:val="24"/>
          <w:lang w:val="en-AU"/>
        </w:rPr>
        <w:t xml:space="preserve">Assessment of </w:t>
      </w:r>
      <w:r w:rsidR="003C221E">
        <w:rPr>
          <w:rFonts w:ascii="Times New Roman" w:hAnsi="Times New Roman" w:cs="Times New Roman"/>
          <w:sz w:val="24"/>
          <w:szCs w:val="24"/>
          <w:lang w:val="en-AU"/>
        </w:rPr>
        <w:t>risk of bias</w:t>
      </w:r>
    </w:p>
    <w:p w14:paraId="6D844BD9" w14:textId="57A0F3D7" w:rsidR="00CC62C4" w:rsidRPr="00382636" w:rsidRDefault="00CC62C4" w:rsidP="00507062">
      <w:pPr>
        <w:spacing w:line="360" w:lineRule="auto"/>
        <w:rPr>
          <w:rFonts w:ascii="Times New Roman" w:hAnsi="Times New Roman" w:cs="Times New Roman"/>
          <w:sz w:val="24"/>
          <w:szCs w:val="24"/>
          <w:lang w:val="en-AU"/>
        </w:rPr>
      </w:pPr>
      <w:r w:rsidRPr="00382636">
        <w:rPr>
          <w:rFonts w:ascii="Times New Roman" w:hAnsi="Times New Roman" w:cs="Times New Roman"/>
          <w:sz w:val="24"/>
          <w:szCs w:val="24"/>
          <w:lang w:val="en-AU"/>
        </w:rPr>
        <w:t xml:space="preserve">The </w:t>
      </w:r>
      <w:r w:rsidR="003C221E">
        <w:rPr>
          <w:rFonts w:ascii="Times New Roman" w:hAnsi="Times New Roman" w:cs="Times New Roman"/>
          <w:sz w:val="24"/>
          <w:szCs w:val="24"/>
          <w:lang w:val="en-AU"/>
        </w:rPr>
        <w:t xml:space="preserve">PRISMA-harms and AMSTAR 2.0 checklists will be used to assess the potential bias </w:t>
      </w:r>
      <w:r w:rsidR="00F71430">
        <w:rPr>
          <w:rFonts w:ascii="Times New Roman" w:hAnsi="Times New Roman" w:cs="Times New Roman"/>
          <w:sz w:val="24"/>
          <w:szCs w:val="24"/>
          <w:lang w:val="en-AU"/>
        </w:rPr>
        <w:t xml:space="preserve">(quality) </w:t>
      </w:r>
      <w:r w:rsidR="003C221E">
        <w:rPr>
          <w:rFonts w:ascii="Times New Roman" w:hAnsi="Times New Roman" w:cs="Times New Roman"/>
          <w:sz w:val="24"/>
          <w:szCs w:val="24"/>
          <w:lang w:val="en-AU"/>
        </w:rPr>
        <w:t xml:space="preserve">on reporting and methodology. </w:t>
      </w:r>
      <w:r w:rsidR="009C0E37">
        <w:rPr>
          <w:rFonts w:ascii="Times New Roman" w:hAnsi="Times New Roman" w:cs="Times New Roman"/>
          <w:sz w:val="24"/>
          <w:szCs w:val="24"/>
          <w:lang w:val="en-AU"/>
        </w:rPr>
        <w:t>T</w:t>
      </w:r>
      <w:r w:rsidR="009C0E37">
        <w:rPr>
          <w:rFonts w:ascii="Times New Roman" w:hAnsi="Times New Roman" w:cs="Times New Roman" w:hint="eastAsia"/>
          <w:sz w:val="24"/>
          <w:szCs w:val="24"/>
          <w:lang w:val="en-AU"/>
        </w:rPr>
        <w:t>h</w:t>
      </w:r>
      <w:r w:rsidR="009C0E37">
        <w:rPr>
          <w:rFonts w:ascii="Times New Roman" w:hAnsi="Times New Roman" w:cs="Times New Roman"/>
          <w:sz w:val="24"/>
          <w:szCs w:val="24"/>
          <w:lang w:val="en-AU"/>
        </w:rPr>
        <w:t>is will be treated as separate paper(s).</w:t>
      </w:r>
    </w:p>
    <w:p w14:paraId="075EB49A" w14:textId="77777777" w:rsidR="00CC62C4" w:rsidRPr="00382636" w:rsidRDefault="00CC62C4" w:rsidP="00507062">
      <w:pPr>
        <w:spacing w:line="360" w:lineRule="auto"/>
        <w:rPr>
          <w:rFonts w:ascii="Times New Roman" w:hAnsi="Times New Roman" w:cs="Times New Roman"/>
          <w:sz w:val="24"/>
          <w:szCs w:val="24"/>
          <w:lang w:val="en-AU"/>
        </w:rPr>
      </w:pPr>
    </w:p>
    <w:p w14:paraId="574339A8" w14:textId="77777777" w:rsidR="00CC62C4" w:rsidRPr="00382636" w:rsidRDefault="00CC62C4" w:rsidP="00507062">
      <w:pPr>
        <w:pStyle w:val="2"/>
        <w:spacing w:line="360" w:lineRule="auto"/>
        <w:rPr>
          <w:rFonts w:ascii="Times New Roman" w:hAnsi="Times New Roman" w:cs="Times New Roman"/>
          <w:sz w:val="24"/>
          <w:szCs w:val="24"/>
          <w:lang w:val="en-AU"/>
        </w:rPr>
      </w:pPr>
      <w:r w:rsidRPr="00382636">
        <w:rPr>
          <w:rFonts w:ascii="Times New Roman" w:hAnsi="Times New Roman" w:cs="Times New Roman"/>
          <w:sz w:val="24"/>
          <w:szCs w:val="24"/>
          <w:lang w:val="en-AU"/>
        </w:rPr>
        <w:t>Data extraction (selection and coding)</w:t>
      </w:r>
    </w:p>
    <w:p w14:paraId="2C6D6882" w14:textId="44A70564" w:rsidR="006863E8" w:rsidRDefault="00CC62C4" w:rsidP="00507062">
      <w:pPr>
        <w:spacing w:line="360" w:lineRule="auto"/>
        <w:rPr>
          <w:rFonts w:ascii="Times New Roman" w:hAnsi="Times New Roman" w:cs="Times New Roman"/>
          <w:sz w:val="24"/>
          <w:szCs w:val="24"/>
          <w:lang w:val="en-AU"/>
        </w:rPr>
      </w:pPr>
      <w:r w:rsidRPr="00382636">
        <w:rPr>
          <w:rFonts w:ascii="Times New Roman" w:hAnsi="Times New Roman" w:cs="Times New Roman"/>
          <w:sz w:val="24"/>
          <w:szCs w:val="24"/>
          <w:lang w:val="en-AU"/>
        </w:rPr>
        <w:t xml:space="preserve">Two authors will screen the literature for eligibility independently through the Rayyan online app, since this app allows a restrict blinding for the two rators to ensure the process was independent. </w:t>
      </w:r>
      <w:r w:rsidR="006863E8">
        <w:rPr>
          <w:rFonts w:ascii="Times New Roman" w:hAnsi="Times New Roman" w:cs="Times New Roman"/>
          <w:sz w:val="24"/>
          <w:szCs w:val="24"/>
          <w:lang w:val="en-AU"/>
        </w:rPr>
        <w:t>Th</w:t>
      </w:r>
      <w:r w:rsidR="006863E8">
        <w:rPr>
          <w:rFonts w:ascii="Times New Roman" w:hAnsi="Times New Roman" w:cs="Times New Roman" w:hint="eastAsia"/>
          <w:sz w:val="24"/>
          <w:szCs w:val="24"/>
          <w:lang w:val="en-AU"/>
        </w:rPr>
        <w:t>e</w:t>
      </w:r>
      <w:r w:rsidR="006863E8">
        <w:rPr>
          <w:rFonts w:ascii="Times New Roman" w:hAnsi="Times New Roman" w:cs="Times New Roman"/>
          <w:sz w:val="24"/>
          <w:szCs w:val="24"/>
          <w:lang w:val="en-AU"/>
        </w:rPr>
        <w:t xml:space="preserve"> titles and abstracts will be first screened and those obviously not meet the criteria will be excluded; then the full-text will be checked for final decision.</w:t>
      </w:r>
    </w:p>
    <w:p w14:paraId="0020FD9D" w14:textId="77777777" w:rsidR="006863E8" w:rsidRDefault="006863E8" w:rsidP="00507062">
      <w:pPr>
        <w:spacing w:line="360" w:lineRule="auto"/>
        <w:rPr>
          <w:rFonts w:ascii="Times New Roman" w:hAnsi="Times New Roman" w:cs="Times New Roman"/>
          <w:sz w:val="24"/>
          <w:szCs w:val="24"/>
          <w:lang w:val="en-AU"/>
        </w:rPr>
      </w:pPr>
    </w:p>
    <w:p w14:paraId="4907C756" w14:textId="36248BA3" w:rsidR="00CC62C4" w:rsidRPr="00382636" w:rsidRDefault="00BF566B" w:rsidP="00507062">
      <w:pPr>
        <w:spacing w:line="360" w:lineRule="auto"/>
        <w:rPr>
          <w:rFonts w:ascii="Times New Roman" w:hAnsi="Times New Roman" w:cs="Times New Roman"/>
          <w:sz w:val="24"/>
          <w:szCs w:val="24"/>
          <w:lang w:val="en-AU"/>
        </w:rPr>
      </w:pPr>
      <w:r>
        <w:rPr>
          <w:rFonts w:ascii="Times New Roman" w:hAnsi="Times New Roman" w:cs="Times New Roman"/>
          <w:sz w:val="24"/>
          <w:szCs w:val="24"/>
          <w:lang w:val="en-AU"/>
        </w:rPr>
        <w:t>D</w:t>
      </w:r>
      <w:r>
        <w:rPr>
          <w:rFonts w:ascii="Times New Roman" w:hAnsi="Times New Roman" w:cs="Times New Roman" w:hint="eastAsia"/>
          <w:sz w:val="24"/>
          <w:szCs w:val="24"/>
          <w:lang w:val="en-AU"/>
        </w:rPr>
        <w:t>a</w:t>
      </w:r>
      <w:r>
        <w:rPr>
          <w:rFonts w:ascii="Times New Roman" w:hAnsi="Times New Roman" w:cs="Times New Roman"/>
          <w:sz w:val="24"/>
          <w:szCs w:val="24"/>
          <w:lang w:val="en-AU"/>
        </w:rPr>
        <w:t xml:space="preserve">ta exaction </w:t>
      </w:r>
      <w:r w:rsidR="006D4259">
        <w:rPr>
          <w:rFonts w:ascii="Times New Roman" w:hAnsi="Times New Roman" w:cs="Times New Roman"/>
          <w:sz w:val="24"/>
          <w:szCs w:val="24"/>
          <w:lang w:val="en-AU"/>
        </w:rPr>
        <w:t>(above mentioned information in “C</w:t>
      </w:r>
      <w:r w:rsidR="006D4259">
        <w:rPr>
          <w:rFonts w:ascii="Times New Roman" w:hAnsi="Times New Roman" w:cs="Times New Roman" w:hint="eastAsia"/>
          <w:sz w:val="24"/>
          <w:szCs w:val="24"/>
          <w:lang w:val="en-AU"/>
        </w:rPr>
        <w:t>on</w:t>
      </w:r>
      <w:r w:rsidR="006D4259">
        <w:rPr>
          <w:rFonts w:ascii="Times New Roman" w:hAnsi="Times New Roman" w:cs="Times New Roman"/>
          <w:sz w:val="24"/>
          <w:szCs w:val="24"/>
          <w:lang w:val="en-AU"/>
        </w:rPr>
        <w:t xml:space="preserve">text” section) </w:t>
      </w:r>
      <w:r>
        <w:rPr>
          <w:rFonts w:ascii="Times New Roman" w:hAnsi="Times New Roman" w:cs="Times New Roman"/>
          <w:sz w:val="24"/>
          <w:szCs w:val="24"/>
          <w:lang w:val="en-AU"/>
        </w:rPr>
        <w:t>will be employed by an experienced statistician (master degree), and</w:t>
      </w:r>
      <w:r w:rsidR="00CC62C4" w:rsidRPr="00382636">
        <w:rPr>
          <w:rFonts w:ascii="Times New Roman" w:hAnsi="Times New Roman" w:cs="Times New Roman"/>
          <w:sz w:val="24"/>
          <w:szCs w:val="24"/>
          <w:lang w:val="en-AU"/>
        </w:rPr>
        <w:t xml:space="preserve"> will be double checked by </w:t>
      </w:r>
      <w:r>
        <w:rPr>
          <w:rFonts w:ascii="Times New Roman" w:hAnsi="Times New Roman" w:cs="Times New Roman"/>
          <w:sz w:val="24"/>
          <w:szCs w:val="24"/>
          <w:lang w:val="en-AU"/>
        </w:rPr>
        <w:t>the lead author</w:t>
      </w:r>
      <w:r w:rsidR="00CC62C4" w:rsidRPr="00382636">
        <w:rPr>
          <w:rFonts w:ascii="Times New Roman" w:hAnsi="Times New Roman" w:cs="Times New Roman"/>
          <w:sz w:val="24"/>
          <w:szCs w:val="24"/>
          <w:lang w:val="en-AU"/>
        </w:rPr>
        <w:t xml:space="preserve">. Baseline characteristics such as author name, number of authors, publication year, region of first author, use of reporting guidance, </w:t>
      </w:r>
      <w:r w:rsidR="00EA61F4">
        <w:rPr>
          <w:rFonts w:ascii="Times New Roman" w:hAnsi="Times New Roman" w:cs="Times New Roman"/>
          <w:sz w:val="24"/>
          <w:szCs w:val="24"/>
          <w:lang w:val="en-AU"/>
        </w:rPr>
        <w:t>use of GRADE</w:t>
      </w:r>
      <w:r w:rsidR="00EA61F4">
        <w:rPr>
          <w:rFonts w:ascii="Times New Roman" w:hAnsi="Times New Roman" w:cs="Times New Roman" w:hint="eastAsia"/>
          <w:sz w:val="24"/>
          <w:szCs w:val="24"/>
          <w:lang w:val="en-AU"/>
        </w:rPr>
        <w:t>,</w:t>
      </w:r>
      <w:r w:rsidR="00EA61F4">
        <w:rPr>
          <w:rFonts w:ascii="Times New Roman" w:hAnsi="Times New Roman" w:cs="Times New Roman"/>
          <w:sz w:val="24"/>
          <w:szCs w:val="24"/>
          <w:lang w:val="en-AU"/>
        </w:rPr>
        <w:t xml:space="preserve"> </w:t>
      </w:r>
      <w:r w:rsidR="00CC62C4" w:rsidRPr="00382636">
        <w:rPr>
          <w:rFonts w:ascii="Times New Roman" w:hAnsi="Times New Roman" w:cs="Times New Roman"/>
          <w:sz w:val="24"/>
          <w:szCs w:val="24"/>
          <w:lang w:val="en-AU"/>
        </w:rPr>
        <w:t>funding information, type of meta-analyses</w:t>
      </w:r>
      <w:r w:rsidR="006908A8">
        <w:rPr>
          <w:rFonts w:ascii="Times New Roman" w:hAnsi="Times New Roman" w:cs="Times New Roman"/>
          <w:sz w:val="24"/>
          <w:szCs w:val="24"/>
          <w:lang w:val="en-AU"/>
        </w:rPr>
        <w:t xml:space="preserve"> (e.g. generic, network)</w:t>
      </w:r>
      <w:r w:rsidR="00CC62C4" w:rsidRPr="00382636">
        <w:rPr>
          <w:rFonts w:ascii="Times New Roman" w:hAnsi="Times New Roman" w:cs="Times New Roman"/>
          <w:sz w:val="24"/>
          <w:szCs w:val="24"/>
          <w:lang w:val="en-AU"/>
        </w:rPr>
        <w:t xml:space="preserve"> will </w:t>
      </w:r>
      <w:r>
        <w:rPr>
          <w:rFonts w:ascii="Times New Roman" w:hAnsi="Times New Roman" w:cs="Times New Roman"/>
          <w:sz w:val="24"/>
          <w:szCs w:val="24"/>
          <w:lang w:val="en-AU"/>
        </w:rPr>
        <w:t xml:space="preserve">also </w:t>
      </w:r>
      <w:r w:rsidR="00CC62C4" w:rsidRPr="00382636">
        <w:rPr>
          <w:rFonts w:ascii="Times New Roman" w:hAnsi="Times New Roman" w:cs="Times New Roman"/>
          <w:sz w:val="24"/>
          <w:szCs w:val="24"/>
          <w:lang w:val="en-AU"/>
        </w:rPr>
        <w:t xml:space="preserve">be extracted. </w:t>
      </w:r>
    </w:p>
    <w:p w14:paraId="4A76F7E5" w14:textId="77777777" w:rsidR="00CC62C4" w:rsidRPr="00EA61F4" w:rsidRDefault="00CC62C4" w:rsidP="00507062">
      <w:pPr>
        <w:spacing w:line="360" w:lineRule="auto"/>
        <w:rPr>
          <w:rFonts w:ascii="Times New Roman" w:hAnsi="Times New Roman" w:cs="Times New Roman"/>
          <w:sz w:val="24"/>
          <w:szCs w:val="24"/>
          <w:lang w:val="en-AU"/>
        </w:rPr>
      </w:pPr>
    </w:p>
    <w:p w14:paraId="5110FB3C" w14:textId="77777777" w:rsidR="00CC62C4" w:rsidRPr="00382636" w:rsidRDefault="00CC62C4" w:rsidP="00507062">
      <w:pPr>
        <w:pStyle w:val="2"/>
        <w:spacing w:line="360" w:lineRule="auto"/>
        <w:rPr>
          <w:rFonts w:ascii="Times New Roman" w:hAnsi="Times New Roman" w:cs="Times New Roman"/>
          <w:sz w:val="24"/>
          <w:szCs w:val="24"/>
          <w:lang w:val="en-AU"/>
        </w:rPr>
      </w:pPr>
      <w:r w:rsidRPr="00382636">
        <w:rPr>
          <w:rFonts w:ascii="Times New Roman" w:hAnsi="Times New Roman" w:cs="Times New Roman"/>
          <w:sz w:val="24"/>
          <w:szCs w:val="24"/>
          <w:lang w:val="en-AU"/>
        </w:rPr>
        <w:t>Analysis of subgroups or subsets</w:t>
      </w:r>
    </w:p>
    <w:p w14:paraId="13830DFB" w14:textId="4AE45CA4" w:rsidR="00CC62C4" w:rsidRPr="00966293" w:rsidRDefault="00433D00" w:rsidP="00507062">
      <w:pPr>
        <w:pStyle w:val="a4"/>
        <w:numPr>
          <w:ilvl w:val="0"/>
          <w:numId w:val="3"/>
        </w:numPr>
        <w:spacing w:line="360" w:lineRule="auto"/>
        <w:ind w:firstLineChars="0"/>
        <w:rPr>
          <w:rFonts w:ascii="Times New Roman" w:hAnsi="Times New Roman" w:cs="Times New Roman"/>
          <w:sz w:val="24"/>
          <w:szCs w:val="24"/>
          <w:lang w:val="en-AU"/>
        </w:rPr>
      </w:pPr>
      <w:r w:rsidRPr="00966293">
        <w:rPr>
          <w:rFonts w:ascii="Times New Roman" w:hAnsi="Times New Roman" w:cs="Times New Roman"/>
          <w:sz w:val="24"/>
          <w:szCs w:val="24"/>
          <w:lang w:val="en-AU"/>
        </w:rPr>
        <w:t>Eligible meta-analyses published in recent 5 years (2015/01/01 to 2020/01/01)</w:t>
      </w:r>
    </w:p>
    <w:p w14:paraId="35C2CAA8" w14:textId="13B6BD21" w:rsidR="00433D00" w:rsidRPr="00966293" w:rsidRDefault="00433D00" w:rsidP="00507062">
      <w:pPr>
        <w:pStyle w:val="a4"/>
        <w:numPr>
          <w:ilvl w:val="0"/>
          <w:numId w:val="3"/>
        </w:numPr>
        <w:spacing w:line="360" w:lineRule="auto"/>
        <w:ind w:firstLineChars="0"/>
        <w:rPr>
          <w:rFonts w:ascii="Times New Roman" w:hAnsi="Times New Roman" w:cs="Times New Roman"/>
          <w:sz w:val="24"/>
          <w:szCs w:val="24"/>
          <w:lang w:val="en-AU"/>
        </w:rPr>
      </w:pPr>
      <w:r w:rsidRPr="00966293">
        <w:rPr>
          <w:rFonts w:ascii="Times New Roman" w:hAnsi="Times New Roman" w:cs="Times New Roman"/>
          <w:sz w:val="24"/>
          <w:szCs w:val="24"/>
          <w:lang w:val="en-AU"/>
        </w:rPr>
        <w:t>Eligible meta-analyses published from J</w:t>
      </w:r>
      <w:r w:rsidRPr="00966293">
        <w:rPr>
          <w:rFonts w:ascii="Times New Roman" w:hAnsi="Times New Roman" w:cs="Times New Roman" w:hint="eastAsia"/>
          <w:sz w:val="24"/>
          <w:szCs w:val="24"/>
          <w:lang w:val="en-AU"/>
        </w:rPr>
        <w:t>a</w:t>
      </w:r>
      <w:r w:rsidRPr="00966293">
        <w:rPr>
          <w:rFonts w:ascii="Times New Roman" w:hAnsi="Times New Roman" w:cs="Times New Roman"/>
          <w:sz w:val="24"/>
          <w:szCs w:val="24"/>
          <w:lang w:val="en-AU"/>
        </w:rPr>
        <w:t>n-2008 to A</w:t>
      </w:r>
      <w:r w:rsidRPr="00966293">
        <w:rPr>
          <w:rFonts w:ascii="Times New Roman" w:hAnsi="Times New Roman" w:cs="Times New Roman" w:hint="eastAsia"/>
          <w:sz w:val="24"/>
          <w:szCs w:val="24"/>
          <w:lang w:val="en-AU"/>
        </w:rPr>
        <w:t>pr</w:t>
      </w:r>
      <w:r w:rsidRPr="00966293">
        <w:rPr>
          <w:rFonts w:ascii="Times New Roman" w:hAnsi="Times New Roman" w:cs="Times New Roman"/>
          <w:sz w:val="24"/>
          <w:szCs w:val="24"/>
          <w:lang w:val="en-AU"/>
        </w:rPr>
        <w:t>il-2011.</w:t>
      </w:r>
    </w:p>
    <w:p w14:paraId="25BC2037" w14:textId="77777777" w:rsidR="00CC62C4" w:rsidRPr="00382636" w:rsidRDefault="00CC62C4" w:rsidP="00507062">
      <w:pPr>
        <w:spacing w:line="360" w:lineRule="auto"/>
        <w:rPr>
          <w:rFonts w:ascii="Times New Roman" w:hAnsi="Times New Roman" w:cs="Times New Roman"/>
          <w:sz w:val="24"/>
          <w:szCs w:val="24"/>
          <w:lang w:val="en-AU"/>
        </w:rPr>
      </w:pPr>
    </w:p>
    <w:p w14:paraId="3D2CA324" w14:textId="77777777" w:rsidR="00CC62C4" w:rsidRPr="00382636" w:rsidRDefault="00CC62C4" w:rsidP="00507062">
      <w:pPr>
        <w:pStyle w:val="2"/>
        <w:spacing w:line="360" w:lineRule="auto"/>
        <w:rPr>
          <w:rFonts w:ascii="Times New Roman" w:hAnsi="Times New Roman" w:cs="Times New Roman"/>
          <w:sz w:val="24"/>
          <w:szCs w:val="24"/>
          <w:lang w:val="en-AU"/>
        </w:rPr>
      </w:pPr>
      <w:r w:rsidRPr="00382636">
        <w:rPr>
          <w:rFonts w:ascii="Times New Roman" w:hAnsi="Times New Roman" w:cs="Times New Roman"/>
          <w:sz w:val="24"/>
          <w:szCs w:val="24"/>
          <w:lang w:val="en-AU"/>
        </w:rPr>
        <w:lastRenderedPageBreak/>
        <w:t>Contact details for further information</w:t>
      </w:r>
    </w:p>
    <w:p w14:paraId="747B68A7" w14:textId="77777777" w:rsidR="00CC62C4" w:rsidRPr="00382636" w:rsidRDefault="00CE2F3B" w:rsidP="00507062">
      <w:pPr>
        <w:spacing w:line="360" w:lineRule="auto"/>
        <w:rPr>
          <w:rFonts w:ascii="Times New Roman" w:hAnsi="Times New Roman" w:cs="Times New Roman"/>
          <w:sz w:val="24"/>
          <w:szCs w:val="24"/>
          <w:lang w:val="en-AU"/>
        </w:rPr>
      </w:pPr>
      <w:hyperlink r:id="rId9" w:history="1">
        <w:r w:rsidR="00CC62C4" w:rsidRPr="00382636">
          <w:rPr>
            <w:rStyle w:val="a3"/>
            <w:rFonts w:ascii="Times New Roman" w:hAnsi="Times New Roman" w:cs="Times New Roman"/>
            <w:sz w:val="24"/>
            <w:szCs w:val="24"/>
            <w:lang w:val="en-AU"/>
          </w:rPr>
          <w:t>xuchang2016@runbox.com</w:t>
        </w:r>
      </w:hyperlink>
    </w:p>
    <w:p w14:paraId="3D6AC0EF" w14:textId="77777777" w:rsidR="00CC62C4" w:rsidRPr="00382636" w:rsidRDefault="00CC62C4" w:rsidP="00507062">
      <w:pPr>
        <w:spacing w:line="360" w:lineRule="auto"/>
        <w:rPr>
          <w:rFonts w:ascii="Times New Roman" w:hAnsi="Times New Roman" w:cs="Times New Roman"/>
          <w:sz w:val="24"/>
          <w:szCs w:val="24"/>
          <w:lang w:val="en-AU"/>
        </w:rPr>
      </w:pPr>
    </w:p>
    <w:p w14:paraId="43786AD0" w14:textId="77777777" w:rsidR="00CC62C4" w:rsidRPr="00382636" w:rsidRDefault="00CC62C4" w:rsidP="00507062">
      <w:pPr>
        <w:pStyle w:val="2"/>
        <w:spacing w:line="360" w:lineRule="auto"/>
        <w:rPr>
          <w:rFonts w:ascii="Times New Roman" w:hAnsi="Times New Roman" w:cs="Times New Roman"/>
          <w:sz w:val="24"/>
          <w:szCs w:val="24"/>
          <w:lang w:val="en-AU"/>
        </w:rPr>
      </w:pPr>
      <w:r w:rsidRPr="00382636">
        <w:rPr>
          <w:rFonts w:ascii="Times New Roman" w:hAnsi="Times New Roman" w:cs="Times New Roman"/>
          <w:sz w:val="24"/>
          <w:szCs w:val="24"/>
          <w:lang w:val="en-AU"/>
        </w:rPr>
        <w:t>Conflicts of interest</w:t>
      </w:r>
    </w:p>
    <w:p w14:paraId="7DA68D2B" w14:textId="77777777" w:rsidR="00CC62C4" w:rsidRPr="00382636" w:rsidRDefault="00CC62C4" w:rsidP="00507062">
      <w:pPr>
        <w:spacing w:line="360" w:lineRule="auto"/>
        <w:rPr>
          <w:rFonts w:ascii="Times New Roman" w:eastAsiaTheme="majorEastAsia" w:hAnsi="Times New Roman" w:cs="Times New Roman"/>
          <w:sz w:val="24"/>
          <w:szCs w:val="24"/>
          <w:lang w:val="en-AU"/>
        </w:rPr>
      </w:pPr>
      <w:r w:rsidRPr="00382636">
        <w:rPr>
          <w:rFonts w:ascii="Times New Roman" w:eastAsiaTheme="majorEastAsia" w:hAnsi="Times New Roman" w:cs="Times New Roman"/>
          <w:sz w:val="24"/>
          <w:szCs w:val="24"/>
          <w:lang w:val="en-AU"/>
        </w:rPr>
        <w:t xml:space="preserve">We declare no conflict of interest. </w:t>
      </w:r>
    </w:p>
    <w:p w14:paraId="7982A221" w14:textId="77777777" w:rsidR="00CC62C4" w:rsidRPr="00382636" w:rsidRDefault="00CC62C4" w:rsidP="00507062">
      <w:pPr>
        <w:pStyle w:val="2"/>
        <w:spacing w:line="360" w:lineRule="auto"/>
        <w:rPr>
          <w:rFonts w:ascii="Times New Roman" w:hAnsi="Times New Roman" w:cs="Times New Roman"/>
          <w:sz w:val="24"/>
          <w:szCs w:val="24"/>
          <w:lang w:val="en-AU"/>
        </w:rPr>
      </w:pPr>
      <w:r w:rsidRPr="00382636">
        <w:rPr>
          <w:rFonts w:ascii="Times New Roman" w:hAnsi="Times New Roman" w:cs="Times New Roman"/>
          <w:sz w:val="24"/>
          <w:szCs w:val="24"/>
          <w:lang w:val="en-AU"/>
        </w:rPr>
        <w:t>Funding</w:t>
      </w:r>
    </w:p>
    <w:p w14:paraId="2392C167" w14:textId="77777777" w:rsidR="00CC62C4" w:rsidRPr="00382636" w:rsidRDefault="00CC62C4" w:rsidP="00507062">
      <w:pPr>
        <w:spacing w:line="360" w:lineRule="auto"/>
        <w:rPr>
          <w:rFonts w:ascii="Times New Roman" w:hAnsi="Times New Roman" w:cs="Times New Roman"/>
          <w:sz w:val="24"/>
          <w:szCs w:val="24"/>
          <w:lang w:val="en-AU"/>
        </w:rPr>
      </w:pPr>
      <w:r w:rsidRPr="00382636">
        <w:rPr>
          <w:rFonts w:ascii="Times New Roman" w:hAnsi="Times New Roman" w:cs="Times New Roman"/>
          <w:sz w:val="24"/>
          <w:szCs w:val="24"/>
          <w:lang w:val="en-AU"/>
        </w:rPr>
        <w:t xml:space="preserve">This study did not receive any financial supporting. </w:t>
      </w:r>
    </w:p>
    <w:p w14:paraId="3FB439B1" w14:textId="77777777" w:rsidR="00F75D2C" w:rsidRDefault="00CC62C4" w:rsidP="00507062">
      <w:pPr>
        <w:spacing w:line="360" w:lineRule="auto"/>
        <w:rPr>
          <w:rFonts w:ascii="Times New Roman" w:hAnsi="Times New Roman" w:cs="Times New Roman"/>
          <w:sz w:val="24"/>
          <w:szCs w:val="24"/>
          <w:lang w:val="en-AU"/>
        </w:rPr>
      </w:pPr>
      <w:r w:rsidRPr="00382636">
        <w:rPr>
          <w:rFonts w:ascii="Times New Roman" w:hAnsi="Times New Roman" w:cs="Times New Roman"/>
          <w:color w:val="000000"/>
          <w:sz w:val="24"/>
          <w:szCs w:val="24"/>
        </w:rPr>
        <w:br/>
      </w:r>
      <w:r w:rsidRPr="00382636">
        <w:rPr>
          <w:rStyle w:val="20"/>
          <w:rFonts w:ascii="Times New Roman" w:hAnsi="Times New Roman" w:cs="Times New Roman"/>
          <w:sz w:val="24"/>
          <w:szCs w:val="24"/>
        </w:rPr>
        <w:t>Stage of review</w:t>
      </w:r>
      <w:r w:rsidRPr="00382636">
        <w:rPr>
          <w:rFonts w:ascii="Times New Roman" w:hAnsi="Times New Roman" w:cs="Times New Roman"/>
          <w:color w:val="0D7F25"/>
          <w:sz w:val="24"/>
          <w:szCs w:val="24"/>
        </w:rPr>
        <w:br/>
      </w:r>
      <w:r w:rsidRPr="00382636">
        <w:rPr>
          <w:rFonts w:ascii="Times New Roman" w:hAnsi="Times New Roman" w:cs="Times New Roman"/>
          <w:sz w:val="24"/>
          <w:szCs w:val="24"/>
          <w:lang w:val="en-AU"/>
        </w:rPr>
        <w:t xml:space="preserve">Review Ongoing: </w:t>
      </w:r>
      <w:r w:rsidR="00DC7272">
        <w:rPr>
          <w:rFonts w:ascii="Times New Roman" w:hAnsi="Times New Roman" w:cs="Times New Roman"/>
          <w:sz w:val="24"/>
          <w:szCs w:val="24"/>
          <w:lang w:val="en-AU"/>
        </w:rPr>
        <w:t>L</w:t>
      </w:r>
      <w:r w:rsidRPr="00382636">
        <w:rPr>
          <w:rFonts w:ascii="Times New Roman" w:hAnsi="Times New Roman" w:cs="Times New Roman"/>
          <w:sz w:val="24"/>
          <w:szCs w:val="24"/>
          <w:lang w:val="en-AU"/>
        </w:rPr>
        <w:t xml:space="preserve">iterature search has been conducted </w:t>
      </w:r>
      <w:r w:rsidR="00DC7272">
        <w:rPr>
          <w:rFonts w:ascii="Times New Roman" w:hAnsi="Times New Roman" w:cs="Times New Roman" w:hint="eastAsia"/>
          <w:sz w:val="24"/>
          <w:szCs w:val="24"/>
          <w:lang w:val="en-AU"/>
        </w:rPr>
        <w:t>and</w:t>
      </w:r>
      <w:r w:rsidR="00DC7272">
        <w:rPr>
          <w:rFonts w:ascii="Times New Roman" w:hAnsi="Times New Roman" w:cs="Times New Roman"/>
          <w:sz w:val="24"/>
          <w:szCs w:val="24"/>
          <w:lang w:val="en-AU"/>
        </w:rPr>
        <w:t xml:space="preserve"> is currently on literature screen </w:t>
      </w:r>
      <w:r w:rsidRPr="00382636">
        <w:rPr>
          <w:rFonts w:ascii="Times New Roman" w:hAnsi="Times New Roman" w:cs="Times New Roman"/>
          <w:sz w:val="24"/>
          <w:szCs w:val="24"/>
          <w:lang w:val="en-AU"/>
        </w:rPr>
        <w:t xml:space="preserve">(By </w:t>
      </w:r>
      <w:r w:rsidR="00E92192">
        <w:rPr>
          <w:rFonts w:ascii="Times New Roman" w:hAnsi="Times New Roman" w:cs="Times New Roman"/>
          <w:sz w:val="24"/>
          <w:szCs w:val="24"/>
          <w:lang w:val="en-AU"/>
        </w:rPr>
        <w:t>28</w:t>
      </w:r>
      <w:r w:rsidR="00E92192" w:rsidRPr="00E92192">
        <w:rPr>
          <w:rFonts w:ascii="Times New Roman" w:hAnsi="Times New Roman" w:cs="Times New Roman"/>
          <w:sz w:val="24"/>
          <w:szCs w:val="24"/>
          <w:vertAlign w:val="superscript"/>
          <w:lang w:val="en-AU"/>
        </w:rPr>
        <w:t>th</w:t>
      </w:r>
      <w:r w:rsidR="00E92192">
        <w:rPr>
          <w:rFonts w:ascii="Times New Roman" w:hAnsi="Times New Roman" w:cs="Times New Roman"/>
          <w:sz w:val="24"/>
          <w:szCs w:val="24"/>
          <w:lang w:val="en-AU"/>
        </w:rPr>
        <w:t>-</w:t>
      </w:r>
      <w:r w:rsidR="00DC7272">
        <w:rPr>
          <w:rFonts w:ascii="Times New Roman" w:hAnsi="Times New Roman" w:cs="Times New Roman"/>
          <w:sz w:val="24"/>
          <w:szCs w:val="24"/>
          <w:lang w:val="en-AU"/>
        </w:rPr>
        <w:t>July</w:t>
      </w:r>
      <w:r w:rsidRPr="00382636">
        <w:rPr>
          <w:rFonts w:ascii="Times New Roman" w:hAnsi="Times New Roman" w:cs="Times New Roman"/>
          <w:sz w:val="24"/>
          <w:szCs w:val="24"/>
          <w:lang w:val="en-AU"/>
        </w:rPr>
        <w:t>, 20</w:t>
      </w:r>
      <w:r w:rsidR="00DC7272">
        <w:rPr>
          <w:rFonts w:ascii="Times New Roman" w:hAnsi="Times New Roman" w:cs="Times New Roman"/>
          <w:sz w:val="24"/>
          <w:szCs w:val="24"/>
          <w:lang w:val="en-AU"/>
        </w:rPr>
        <w:t>20</w:t>
      </w:r>
      <w:r w:rsidRPr="00382636">
        <w:rPr>
          <w:rFonts w:ascii="Times New Roman" w:hAnsi="Times New Roman" w:cs="Times New Roman"/>
          <w:sz w:val="24"/>
          <w:szCs w:val="24"/>
          <w:lang w:val="en-AU"/>
        </w:rPr>
        <w:t>).</w:t>
      </w:r>
    </w:p>
    <w:p w14:paraId="6C2FC0FC" w14:textId="77777777" w:rsidR="00F75D2C" w:rsidRDefault="00F75D2C" w:rsidP="00507062">
      <w:pPr>
        <w:spacing w:line="360" w:lineRule="auto"/>
        <w:rPr>
          <w:rFonts w:ascii="Times New Roman" w:hAnsi="Times New Roman" w:cs="Times New Roman"/>
          <w:sz w:val="24"/>
          <w:szCs w:val="24"/>
          <w:lang w:val="en-AU"/>
        </w:rPr>
      </w:pPr>
    </w:p>
    <w:p w14:paraId="0E1C486B" w14:textId="4F9B96A4" w:rsidR="00F75D2C" w:rsidRPr="000B2241" w:rsidRDefault="00F75D2C" w:rsidP="00507062">
      <w:pPr>
        <w:spacing w:line="360" w:lineRule="auto"/>
        <w:rPr>
          <w:rFonts w:ascii="Times New Roman" w:hAnsi="Times New Roman" w:cs="Times New Roman"/>
          <w:b/>
          <w:bCs/>
          <w:sz w:val="24"/>
          <w:szCs w:val="24"/>
          <w:lang w:val="en-AU"/>
        </w:rPr>
      </w:pPr>
      <w:r w:rsidRPr="000B2241">
        <w:rPr>
          <w:rFonts w:ascii="Times New Roman" w:hAnsi="Times New Roman" w:cs="Times New Roman" w:hint="eastAsia"/>
          <w:b/>
          <w:bCs/>
          <w:sz w:val="24"/>
          <w:szCs w:val="24"/>
          <w:lang w:val="en-AU"/>
        </w:rPr>
        <w:t>D</w:t>
      </w:r>
      <w:r w:rsidRPr="000B2241">
        <w:rPr>
          <w:rFonts w:ascii="Times New Roman" w:hAnsi="Times New Roman" w:cs="Times New Roman"/>
          <w:b/>
          <w:bCs/>
          <w:sz w:val="24"/>
          <w:szCs w:val="24"/>
          <w:lang w:val="en-AU"/>
        </w:rPr>
        <w:t>e</w:t>
      </w:r>
      <w:r w:rsidRPr="000B2241">
        <w:rPr>
          <w:rFonts w:ascii="Times New Roman" w:hAnsi="Times New Roman" w:cs="Times New Roman" w:hint="eastAsia"/>
          <w:b/>
          <w:bCs/>
          <w:sz w:val="24"/>
          <w:szCs w:val="24"/>
          <w:lang w:val="en-AU"/>
        </w:rPr>
        <w:t>vi</w:t>
      </w:r>
      <w:r w:rsidRPr="000B2241">
        <w:rPr>
          <w:rFonts w:ascii="Times New Roman" w:hAnsi="Times New Roman" w:cs="Times New Roman"/>
          <w:b/>
          <w:bCs/>
          <w:sz w:val="24"/>
          <w:szCs w:val="24"/>
          <w:lang w:val="en-AU"/>
        </w:rPr>
        <w:t>ations of protocol and the article</w:t>
      </w:r>
    </w:p>
    <w:p w14:paraId="66927335" w14:textId="03BA9469" w:rsidR="00F75D2C" w:rsidRPr="001720C9" w:rsidRDefault="00F75D2C" w:rsidP="00F75D2C">
      <w:pPr>
        <w:spacing w:line="360" w:lineRule="auto"/>
        <w:rPr>
          <w:rFonts w:ascii="Times New Roman" w:hAnsi="Times New Roman" w:cs="Times New Roman"/>
          <w:color w:val="000000" w:themeColor="text1"/>
          <w:szCs w:val="21"/>
        </w:rPr>
      </w:pPr>
      <w:r>
        <w:rPr>
          <w:rFonts w:ascii="Times New Roman" w:hAnsi="Times New Roman" w:cs="Times New Roman"/>
          <w:color w:val="000000" w:themeColor="text1"/>
          <w:szCs w:val="21"/>
        </w:rPr>
        <w:t>S</w:t>
      </w:r>
      <w:r>
        <w:rPr>
          <w:rFonts w:ascii="Times New Roman" w:hAnsi="Times New Roman" w:cs="Times New Roman" w:hint="eastAsia"/>
          <w:color w:val="000000" w:themeColor="text1"/>
          <w:szCs w:val="21"/>
        </w:rPr>
        <w:t>o</w:t>
      </w:r>
      <w:r>
        <w:rPr>
          <w:rFonts w:ascii="Times New Roman" w:hAnsi="Times New Roman" w:cs="Times New Roman"/>
          <w:color w:val="000000" w:themeColor="text1"/>
          <w:szCs w:val="21"/>
        </w:rPr>
        <w:t>me</w:t>
      </w:r>
      <w:r w:rsidRPr="001720C9">
        <w:rPr>
          <w:rFonts w:ascii="Times New Roman" w:hAnsi="Times New Roman" w:cs="Times New Roman"/>
          <w:color w:val="000000" w:themeColor="text1"/>
          <w:szCs w:val="21"/>
        </w:rPr>
        <w:t xml:space="preserve"> </w:t>
      </w:r>
      <w:r>
        <w:rPr>
          <w:rFonts w:ascii="Times New Roman" w:hAnsi="Times New Roman" w:cs="Times New Roman"/>
          <w:color w:val="000000" w:themeColor="text1"/>
          <w:szCs w:val="21"/>
        </w:rPr>
        <w:t xml:space="preserve">minor </w:t>
      </w:r>
      <w:r w:rsidRPr="001720C9">
        <w:rPr>
          <w:rFonts w:ascii="Times New Roman" w:hAnsi="Times New Roman" w:cs="Times New Roman"/>
          <w:color w:val="000000" w:themeColor="text1"/>
          <w:szCs w:val="21"/>
        </w:rPr>
        <w:t>change</w:t>
      </w:r>
      <w:r>
        <w:rPr>
          <w:rFonts w:ascii="Times New Roman" w:hAnsi="Times New Roman" w:cs="Times New Roman"/>
          <w:color w:val="000000" w:themeColor="text1"/>
          <w:szCs w:val="21"/>
        </w:rPr>
        <w:t>s</w:t>
      </w:r>
      <w:r w:rsidRPr="001720C9">
        <w:rPr>
          <w:rFonts w:ascii="Times New Roman" w:hAnsi="Times New Roman" w:cs="Times New Roman"/>
          <w:color w:val="000000" w:themeColor="text1"/>
          <w:szCs w:val="21"/>
        </w:rPr>
        <w:t xml:space="preserve"> w</w:t>
      </w:r>
      <w:r>
        <w:rPr>
          <w:rFonts w:ascii="Times New Roman" w:hAnsi="Times New Roman" w:cs="Times New Roman"/>
          <w:color w:val="000000" w:themeColor="text1"/>
          <w:szCs w:val="21"/>
        </w:rPr>
        <w:t>ere</w:t>
      </w:r>
      <w:r w:rsidRPr="001720C9">
        <w:rPr>
          <w:rFonts w:ascii="Times New Roman" w:hAnsi="Times New Roman" w:cs="Times New Roman"/>
          <w:color w:val="000000" w:themeColor="text1"/>
          <w:szCs w:val="21"/>
        </w:rPr>
        <w:t xml:space="preserve"> made</w:t>
      </w:r>
      <w:r>
        <w:rPr>
          <w:rFonts w:ascii="Times New Roman" w:hAnsi="Times New Roman" w:cs="Times New Roman"/>
          <w:color w:val="000000" w:themeColor="text1"/>
          <w:szCs w:val="21"/>
        </w:rPr>
        <w:t xml:space="preserve"> as follows: First, in the protocol, we planned to collect the information of h</w:t>
      </w:r>
      <w:r w:rsidRPr="00287F25">
        <w:rPr>
          <w:rFonts w:ascii="Times New Roman" w:hAnsi="Times New Roman" w:cs="Times New Roman"/>
          <w:color w:val="000000" w:themeColor="text1"/>
          <w:szCs w:val="21"/>
        </w:rPr>
        <w:t>ow between-study heterogeneity was measured</w:t>
      </w:r>
      <w:r>
        <w:rPr>
          <w:rFonts w:ascii="Times New Roman" w:hAnsi="Times New Roman" w:cs="Times New Roman"/>
          <w:color w:val="000000" w:themeColor="text1"/>
          <w:szCs w:val="21"/>
        </w:rPr>
        <w:t xml:space="preserve"> and how publication bias was detected. T</w:t>
      </w:r>
      <w:r>
        <w:rPr>
          <w:rFonts w:ascii="Times New Roman" w:hAnsi="Times New Roman" w:cs="Times New Roman" w:hint="eastAsia"/>
          <w:color w:val="000000" w:themeColor="text1"/>
          <w:szCs w:val="21"/>
        </w:rPr>
        <w:t>h</w:t>
      </w:r>
      <w:r>
        <w:rPr>
          <w:rFonts w:ascii="Times New Roman" w:hAnsi="Times New Roman" w:cs="Times New Roman"/>
          <w:color w:val="000000" w:themeColor="text1"/>
          <w:szCs w:val="21"/>
        </w:rPr>
        <w:t>is was not done as such information was already represented in our other recent study. Second, one of our aims was to categorize the methods for dealing with zero-events studies in terms of the frequentist and Bayesian frameworks. However, we only identified one study using B</w:t>
      </w:r>
      <w:r>
        <w:rPr>
          <w:rFonts w:ascii="Times New Roman" w:hAnsi="Times New Roman" w:cs="Times New Roman" w:hint="eastAsia"/>
          <w:color w:val="000000" w:themeColor="text1"/>
          <w:szCs w:val="21"/>
        </w:rPr>
        <w:t>a</w:t>
      </w:r>
      <w:r>
        <w:rPr>
          <w:rFonts w:ascii="Times New Roman" w:hAnsi="Times New Roman" w:cs="Times New Roman"/>
          <w:color w:val="000000" w:themeColor="text1"/>
          <w:szCs w:val="21"/>
        </w:rPr>
        <w:t>yesian methods, so we removed this aim. Third, o</w:t>
      </w:r>
      <w:r>
        <w:rPr>
          <w:rFonts w:ascii="Times New Roman" w:hAnsi="Times New Roman" w:cs="Times New Roman" w:hint="eastAsia"/>
          <w:color w:val="000000" w:themeColor="text1"/>
          <w:szCs w:val="21"/>
        </w:rPr>
        <w:t>u</w:t>
      </w:r>
      <w:r>
        <w:rPr>
          <w:rFonts w:ascii="Times New Roman" w:hAnsi="Times New Roman" w:cs="Times New Roman"/>
          <w:color w:val="000000" w:themeColor="text1"/>
          <w:szCs w:val="21"/>
        </w:rPr>
        <w:t xml:space="preserve">r primary “population” was meta-analyses </w:t>
      </w:r>
      <w:r w:rsidRPr="001720C9">
        <w:rPr>
          <w:rFonts w:ascii="Times New Roman" w:hAnsi="Times New Roman" w:cs="Times New Roman"/>
          <w:szCs w:val="21"/>
          <w:lang w:val="en-AU"/>
        </w:rPr>
        <w:t>of randomized controlled trials</w:t>
      </w:r>
      <w:r>
        <w:rPr>
          <w:rFonts w:ascii="Times New Roman" w:hAnsi="Times New Roman" w:cs="Times New Roman"/>
          <w:szCs w:val="21"/>
          <w:lang w:val="en-AU"/>
        </w:rPr>
        <w:t xml:space="preserve"> (RCTs) on intervention safety. However, during the search procedure, we realized that many meta-analyses with </w:t>
      </w:r>
      <w:r w:rsidRPr="00F456CD">
        <w:rPr>
          <w:rFonts w:ascii="Times New Roman" w:hAnsi="Times New Roman" w:cs="Times New Roman"/>
          <w:szCs w:val="21"/>
          <w:lang w:val="en-AU"/>
        </w:rPr>
        <w:t>non-randomized studies of intervention</w:t>
      </w:r>
      <w:r>
        <w:rPr>
          <w:rFonts w:ascii="Times New Roman" w:hAnsi="Times New Roman" w:cs="Times New Roman"/>
          <w:szCs w:val="21"/>
          <w:lang w:val="en-AU"/>
        </w:rPr>
        <w:t xml:space="preserve"> (NRSI) also faced </w:t>
      </w:r>
      <w:r>
        <w:rPr>
          <w:rFonts w:ascii="Times New Roman" w:hAnsi="Times New Roman" w:cs="Times New Roman" w:hint="eastAsia"/>
          <w:szCs w:val="21"/>
          <w:lang w:val="en-AU"/>
        </w:rPr>
        <w:t>the</w:t>
      </w:r>
      <w:r>
        <w:rPr>
          <w:rFonts w:ascii="Times New Roman" w:hAnsi="Times New Roman" w:cs="Times New Roman"/>
          <w:szCs w:val="21"/>
          <w:lang w:val="en-AU"/>
        </w:rPr>
        <w:t xml:space="preserve"> zero-events problem. We therefore decided to include meta-analyses with </w:t>
      </w:r>
      <w:r w:rsidRPr="00F456CD">
        <w:rPr>
          <w:rFonts w:ascii="Times New Roman" w:hAnsi="Times New Roman" w:cs="Times New Roman"/>
          <w:szCs w:val="21"/>
          <w:lang w:val="en-AU"/>
        </w:rPr>
        <w:t>non-randomized studies</w:t>
      </w:r>
      <w:r>
        <w:rPr>
          <w:rFonts w:ascii="Times New Roman" w:hAnsi="Times New Roman" w:cs="Times New Roman"/>
          <w:szCs w:val="21"/>
          <w:lang w:val="en-AU"/>
        </w:rPr>
        <w:t xml:space="preserve"> as well.</w:t>
      </w:r>
    </w:p>
    <w:p w14:paraId="2362C21C" w14:textId="75425DFA" w:rsidR="00E92192" w:rsidRPr="008E53E4" w:rsidRDefault="00E92192" w:rsidP="00507062">
      <w:pPr>
        <w:spacing w:line="360" w:lineRule="auto"/>
        <w:rPr>
          <w:rFonts w:ascii="Times New Roman" w:hAnsi="Times New Roman" w:cs="Times New Roman"/>
          <w:sz w:val="24"/>
          <w:szCs w:val="24"/>
          <w:lang w:val="en-AU"/>
        </w:rPr>
      </w:pPr>
      <w:r>
        <w:rPr>
          <w:rFonts w:ascii="Times New Roman" w:hAnsi="Times New Roman" w:cs="Times New Roman"/>
          <w:sz w:val="24"/>
          <w:szCs w:val="24"/>
        </w:rPr>
        <w:br w:type="page"/>
      </w:r>
    </w:p>
    <w:p w14:paraId="32F19CE5" w14:textId="344DAFEC" w:rsidR="00FC7471" w:rsidRPr="00FC7471" w:rsidRDefault="00FC7471" w:rsidP="00507062">
      <w:pPr>
        <w:pStyle w:val="2"/>
        <w:spacing w:line="360" w:lineRule="auto"/>
        <w:rPr>
          <w:rFonts w:ascii="Times New Roman" w:hAnsi="Times New Roman" w:cs="Times New Roman"/>
          <w:sz w:val="24"/>
          <w:szCs w:val="24"/>
        </w:rPr>
      </w:pPr>
      <w:r w:rsidRPr="00FC7471">
        <w:rPr>
          <w:rFonts w:ascii="Times New Roman" w:hAnsi="Times New Roman" w:cs="Times New Roman"/>
          <w:sz w:val="24"/>
          <w:szCs w:val="24"/>
        </w:rPr>
        <w:lastRenderedPageBreak/>
        <w:t>Supplements-Search strategy</w:t>
      </w:r>
      <w:r>
        <w:rPr>
          <w:rFonts w:ascii="Times New Roman" w:hAnsi="Times New Roman" w:cs="Times New Roman"/>
          <w:sz w:val="24"/>
          <w:szCs w:val="24"/>
        </w:rPr>
        <w:t xml:space="preserve"> (P</w:t>
      </w:r>
      <w:r>
        <w:rPr>
          <w:rFonts w:ascii="Times New Roman" w:hAnsi="Times New Roman" w:cs="Times New Roman" w:hint="eastAsia"/>
          <w:sz w:val="24"/>
          <w:szCs w:val="24"/>
        </w:rPr>
        <w:t>u</w:t>
      </w:r>
      <w:r>
        <w:rPr>
          <w:rFonts w:ascii="Times New Roman" w:hAnsi="Times New Roman" w:cs="Times New Roman"/>
          <w:sz w:val="24"/>
          <w:szCs w:val="24"/>
        </w:rPr>
        <w:t>bM</w:t>
      </w:r>
      <w:r>
        <w:rPr>
          <w:rFonts w:ascii="Times New Roman" w:hAnsi="Times New Roman" w:cs="Times New Roman" w:hint="eastAsia"/>
          <w:sz w:val="24"/>
          <w:szCs w:val="24"/>
        </w:rPr>
        <w:t>e</w:t>
      </w:r>
      <w:r>
        <w:rPr>
          <w:rFonts w:ascii="Times New Roman" w:hAnsi="Times New Roman" w:cs="Times New Roman"/>
          <w:sz w:val="24"/>
          <w:szCs w:val="24"/>
        </w:rPr>
        <w:t>d</w:t>
      </w:r>
      <w:r w:rsidRPr="00FC7471">
        <w:rPr>
          <w:rFonts w:ascii="Times New Roman" w:hAnsi="Times New Roman" w:cs="Times New Roman"/>
          <w:b w:val="0"/>
          <w:bCs w:val="0"/>
          <w:sz w:val="24"/>
          <w:szCs w:val="24"/>
        </w:rPr>
        <w:t>, conducted at 28</w:t>
      </w:r>
      <w:r w:rsidRPr="00FC7471">
        <w:rPr>
          <w:rFonts w:ascii="Times New Roman" w:hAnsi="Times New Roman" w:cs="Times New Roman"/>
          <w:b w:val="0"/>
          <w:bCs w:val="0"/>
          <w:sz w:val="24"/>
          <w:szCs w:val="24"/>
          <w:vertAlign w:val="superscript"/>
        </w:rPr>
        <w:t>th</w:t>
      </w:r>
      <w:r w:rsidRPr="00FC7471">
        <w:rPr>
          <w:rFonts w:ascii="Times New Roman" w:hAnsi="Times New Roman" w:cs="Times New Roman"/>
          <w:b w:val="0"/>
          <w:bCs w:val="0"/>
          <w:sz w:val="24"/>
          <w:szCs w:val="24"/>
        </w:rPr>
        <w:t>-J</w:t>
      </w:r>
      <w:r w:rsidRPr="00FC7471">
        <w:rPr>
          <w:rFonts w:ascii="Times New Roman" w:hAnsi="Times New Roman" w:cs="Times New Roman" w:hint="eastAsia"/>
          <w:b w:val="0"/>
          <w:bCs w:val="0"/>
          <w:sz w:val="24"/>
          <w:szCs w:val="24"/>
        </w:rPr>
        <w:t>u</w:t>
      </w:r>
      <w:r w:rsidRPr="00FC7471">
        <w:rPr>
          <w:rFonts w:ascii="Times New Roman" w:hAnsi="Times New Roman" w:cs="Times New Roman"/>
          <w:b w:val="0"/>
          <w:bCs w:val="0"/>
          <w:sz w:val="24"/>
          <w:szCs w:val="24"/>
        </w:rPr>
        <w:t>ly, 2020</w:t>
      </w:r>
      <w:r>
        <w:rPr>
          <w:rFonts w:ascii="Times New Roman" w:hAnsi="Times New Roman" w:cs="Times New Roman"/>
          <w:sz w:val="24"/>
          <w:szCs w:val="24"/>
        </w:rPr>
        <w:t>)</w:t>
      </w:r>
    </w:p>
    <w:p w14:paraId="67D158C7" w14:textId="1EBD69B1" w:rsidR="00FC7471" w:rsidRPr="00E92192" w:rsidRDefault="00FC7471" w:rsidP="00507062">
      <w:pPr>
        <w:pStyle w:val="a4"/>
        <w:numPr>
          <w:ilvl w:val="0"/>
          <w:numId w:val="4"/>
        </w:numPr>
        <w:spacing w:line="360" w:lineRule="auto"/>
        <w:ind w:firstLineChars="0"/>
        <w:rPr>
          <w:rFonts w:ascii="Times New Roman" w:hAnsi="Times New Roman" w:cs="Times New Roman"/>
          <w:sz w:val="24"/>
          <w:szCs w:val="24"/>
        </w:rPr>
      </w:pPr>
      <w:r w:rsidRPr="00E92192">
        <w:rPr>
          <w:rFonts w:ascii="Times New Roman" w:hAnsi="Times New Roman" w:cs="Times New Roman"/>
          <w:sz w:val="24"/>
          <w:szCs w:val="24"/>
        </w:rPr>
        <w:t>"Systematic Reviews as Topic"[Mesh] OR "Systematic Review" [Publication Type] OR "Meta-Analysis as Topic"[Mesh] OR "Meta-Analysis" [Publication Type] OR "meta-analysis"[Title/Abstract] OR "meta analysis"[Title/Abstract] OR "systematic review"[Title/Abstract]</w:t>
      </w:r>
    </w:p>
    <w:p w14:paraId="6547B85C" w14:textId="638C63A5" w:rsidR="00FC7471" w:rsidRPr="00E92192" w:rsidRDefault="00FC7471" w:rsidP="00507062">
      <w:pPr>
        <w:pStyle w:val="a4"/>
        <w:numPr>
          <w:ilvl w:val="0"/>
          <w:numId w:val="4"/>
        </w:numPr>
        <w:spacing w:line="360" w:lineRule="auto"/>
        <w:ind w:firstLineChars="0"/>
        <w:rPr>
          <w:rFonts w:ascii="Times New Roman" w:hAnsi="Times New Roman" w:cs="Times New Roman"/>
          <w:sz w:val="24"/>
          <w:szCs w:val="24"/>
        </w:rPr>
      </w:pPr>
      <w:r w:rsidRPr="00E92192">
        <w:rPr>
          <w:rFonts w:ascii="Times New Roman" w:hAnsi="Times New Roman" w:cs="Times New Roman"/>
          <w:sz w:val="24"/>
          <w:szCs w:val="24"/>
        </w:rPr>
        <w:t>"randomized controlled trials as topic"[MeSH Major Topic] OR "clinical trials as topic"[MeSH Major Topic] OR "controlled clinical trials as topic"[MeSH Major Topic]</w:t>
      </w:r>
    </w:p>
    <w:p w14:paraId="0B789B1C" w14:textId="1BD7A190" w:rsidR="00FC7471" w:rsidRPr="00E92192" w:rsidRDefault="00FC7471" w:rsidP="00507062">
      <w:pPr>
        <w:pStyle w:val="a4"/>
        <w:numPr>
          <w:ilvl w:val="0"/>
          <w:numId w:val="4"/>
        </w:numPr>
        <w:spacing w:line="360" w:lineRule="auto"/>
        <w:ind w:firstLineChars="0"/>
        <w:rPr>
          <w:rFonts w:ascii="Times New Roman" w:hAnsi="Times New Roman" w:cs="Times New Roman"/>
          <w:sz w:val="24"/>
          <w:szCs w:val="24"/>
        </w:rPr>
      </w:pPr>
      <w:r w:rsidRPr="00E92192">
        <w:rPr>
          <w:rFonts w:ascii="Times New Roman" w:hAnsi="Times New Roman" w:cs="Times New Roman"/>
          <w:sz w:val="24"/>
          <w:szCs w:val="24"/>
        </w:rPr>
        <w:t>"randomized controlled trial*"[Title/Abstract] OR "controlled clinical trial*"[Title/Abstract] OR "clinical trial*"[Title/Abstract] OR "controlled trial*"[Title/Abstract] OR "trial*"[Title/Abstract]</w:t>
      </w:r>
    </w:p>
    <w:p w14:paraId="2CE3340D" w14:textId="3A5DC504" w:rsidR="00FC7471" w:rsidRPr="00E92192" w:rsidRDefault="00FC7471" w:rsidP="00507062">
      <w:pPr>
        <w:pStyle w:val="a4"/>
        <w:numPr>
          <w:ilvl w:val="0"/>
          <w:numId w:val="4"/>
        </w:numPr>
        <w:spacing w:line="360" w:lineRule="auto"/>
        <w:ind w:firstLineChars="0"/>
        <w:rPr>
          <w:rFonts w:ascii="Times New Roman" w:hAnsi="Times New Roman" w:cs="Times New Roman"/>
          <w:sz w:val="24"/>
          <w:szCs w:val="24"/>
        </w:rPr>
      </w:pPr>
      <w:r w:rsidRPr="00E92192">
        <w:rPr>
          <w:rFonts w:ascii="Times New Roman" w:hAnsi="Times New Roman" w:cs="Times New Roman"/>
          <w:sz w:val="24"/>
          <w:szCs w:val="24"/>
        </w:rPr>
        <w:t>"safety"[Title/Abstract] OR "harm*"[Title/Abstract] OR safe[Title/Abstract] OR poisoning[Title/Abstract]  OR toxicity[Title/Abstract]  OR tolerability[Title/Abstract]  OR "complication*"[Title/Abstract] OR "adverse event*"[Title/Abstract] OR "adverse outcome*"[Title/Abstract] OR "untoward effect*"[Title/Abstract] OR "side effect*"[Title/Abstract] OR adverse n2 reaction[Title/Abstract]</w:t>
      </w:r>
    </w:p>
    <w:p w14:paraId="23509703" w14:textId="3A5BEAAB" w:rsidR="00FC7471" w:rsidRPr="00E92192" w:rsidRDefault="00FC7471" w:rsidP="00507062">
      <w:pPr>
        <w:pStyle w:val="a4"/>
        <w:numPr>
          <w:ilvl w:val="0"/>
          <w:numId w:val="4"/>
        </w:numPr>
        <w:spacing w:line="360" w:lineRule="auto"/>
        <w:ind w:firstLineChars="0"/>
        <w:rPr>
          <w:rFonts w:ascii="Times New Roman" w:hAnsi="Times New Roman" w:cs="Times New Roman"/>
          <w:sz w:val="24"/>
          <w:szCs w:val="24"/>
        </w:rPr>
      </w:pPr>
      <w:r w:rsidRPr="00E92192">
        <w:rPr>
          <w:rFonts w:ascii="Times New Roman" w:hAnsi="Times New Roman" w:cs="Times New Roman"/>
          <w:sz w:val="24"/>
          <w:szCs w:val="24"/>
        </w:rPr>
        <w:t>#2 or #3</w:t>
      </w:r>
    </w:p>
    <w:p w14:paraId="65BE2215" w14:textId="73466F25" w:rsidR="00FC7471" w:rsidRPr="00E92192" w:rsidRDefault="00FC7471" w:rsidP="00507062">
      <w:pPr>
        <w:pStyle w:val="a4"/>
        <w:numPr>
          <w:ilvl w:val="0"/>
          <w:numId w:val="4"/>
        </w:numPr>
        <w:spacing w:line="360" w:lineRule="auto"/>
        <w:ind w:firstLineChars="0"/>
        <w:rPr>
          <w:rFonts w:ascii="Times New Roman" w:hAnsi="Times New Roman" w:cs="Times New Roman"/>
          <w:sz w:val="24"/>
          <w:szCs w:val="24"/>
        </w:rPr>
      </w:pPr>
      <w:r w:rsidRPr="00E92192">
        <w:rPr>
          <w:rFonts w:ascii="Times New Roman" w:hAnsi="Times New Roman" w:cs="Times New Roman"/>
          <w:sz w:val="24"/>
          <w:szCs w:val="24"/>
        </w:rPr>
        <w:t>#1 AND #4 AND #5</w:t>
      </w:r>
    </w:p>
    <w:p w14:paraId="4A2E7138" w14:textId="7022D427" w:rsidR="00FC7471" w:rsidRPr="00E92192" w:rsidRDefault="00FC7471" w:rsidP="00507062">
      <w:pPr>
        <w:pStyle w:val="a4"/>
        <w:numPr>
          <w:ilvl w:val="0"/>
          <w:numId w:val="4"/>
        </w:numPr>
        <w:spacing w:line="360" w:lineRule="auto"/>
        <w:ind w:firstLineChars="0"/>
        <w:rPr>
          <w:rFonts w:ascii="Times New Roman" w:hAnsi="Times New Roman" w:cs="Times New Roman"/>
          <w:sz w:val="24"/>
          <w:szCs w:val="24"/>
        </w:rPr>
      </w:pPr>
      <w:r w:rsidRPr="00E92192">
        <w:rPr>
          <w:rFonts w:ascii="Times New Roman" w:hAnsi="Times New Roman" w:cs="Times New Roman"/>
          <w:sz w:val="24"/>
          <w:szCs w:val="24"/>
        </w:rPr>
        <w:t>Protocol[Title] OR overview [Title] OR "narrative review" [Title]</w:t>
      </w:r>
    </w:p>
    <w:p w14:paraId="72BA5944" w14:textId="0331C3CC" w:rsidR="00FC7471" w:rsidRPr="00E92192" w:rsidRDefault="00FC7471" w:rsidP="00507062">
      <w:pPr>
        <w:pStyle w:val="a4"/>
        <w:numPr>
          <w:ilvl w:val="0"/>
          <w:numId w:val="4"/>
        </w:numPr>
        <w:spacing w:line="360" w:lineRule="auto"/>
        <w:ind w:firstLineChars="0"/>
        <w:rPr>
          <w:rFonts w:ascii="Times New Roman" w:hAnsi="Times New Roman" w:cs="Times New Roman"/>
          <w:sz w:val="24"/>
          <w:szCs w:val="24"/>
        </w:rPr>
      </w:pPr>
      <w:r w:rsidRPr="00E92192">
        <w:rPr>
          <w:rFonts w:ascii="Times New Roman" w:hAnsi="Times New Roman" w:cs="Times New Roman"/>
          <w:sz w:val="24"/>
          <w:szCs w:val="24"/>
        </w:rPr>
        <w:t>#6 NOT #7</w:t>
      </w:r>
    </w:p>
    <w:p w14:paraId="71FF836E" w14:textId="0C0B89E2" w:rsidR="00FC7471" w:rsidRPr="00E92192" w:rsidRDefault="00FC7471" w:rsidP="00507062">
      <w:pPr>
        <w:pStyle w:val="a4"/>
        <w:numPr>
          <w:ilvl w:val="0"/>
          <w:numId w:val="4"/>
        </w:numPr>
        <w:spacing w:line="360" w:lineRule="auto"/>
        <w:ind w:firstLineChars="0"/>
        <w:rPr>
          <w:rFonts w:ascii="Times New Roman" w:hAnsi="Times New Roman" w:cs="Times New Roman"/>
          <w:sz w:val="24"/>
          <w:szCs w:val="24"/>
        </w:rPr>
      </w:pPr>
      <w:r w:rsidRPr="00E92192">
        <w:rPr>
          <w:rFonts w:ascii="Times New Roman" w:hAnsi="Times New Roman" w:cs="Times New Roman"/>
          <w:sz w:val="24"/>
          <w:szCs w:val="24"/>
        </w:rPr>
        <w:t>(#8) AND (("2018/01/02"[Date - Publication]: "2020/01/01"[Date - Publication])) AND (humans[Filter]) Filters: Humans</w:t>
      </w:r>
    </w:p>
    <w:p w14:paraId="72620B5E" w14:textId="0245BFB3" w:rsidR="00FC7471" w:rsidRPr="00E92192" w:rsidRDefault="00FC7471" w:rsidP="00507062">
      <w:pPr>
        <w:pStyle w:val="a4"/>
        <w:numPr>
          <w:ilvl w:val="0"/>
          <w:numId w:val="4"/>
        </w:numPr>
        <w:spacing w:line="360" w:lineRule="auto"/>
        <w:ind w:firstLineChars="0"/>
        <w:rPr>
          <w:rFonts w:ascii="Times New Roman" w:hAnsi="Times New Roman" w:cs="Times New Roman"/>
          <w:sz w:val="24"/>
          <w:szCs w:val="24"/>
        </w:rPr>
      </w:pPr>
      <w:r w:rsidRPr="00E92192">
        <w:rPr>
          <w:rFonts w:ascii="Times New Roman" w:hAnsi="Times New Roman" w:cs="Times New Roman"/>
          <w:sz w:val="24"/>
          <w:szCs w:val="24"/>
        </w:rPr>
        <w:t>(#8) AND (("2015/01/01"[Date - Publication]: "2018/01/01"[Date - Publication])) AND (humans[Filter]) Filters: Humans</w:t>
      </w:r>
    </w:p>
    <w:p w14:paraId="40DDE099" w14:textId="59F8D771" w:rsidR="001076ED" w:rsidRPr="00E92192" w:rsidRDefault="00FC7471" w:rsidP="00507062">
      <w:pPr>
        <w:pStyle w:val="a4"/>
        <w:numPr>
          <w:ilvl w:val="0"/>
          <w:numId w:val="4"/>
        </w:numPr>
        <w:spacing w:line="360" w:lineRule="auto"/>
        <w:ind w:firstLineChars="0"/>
        <w:rPr>
          <w:rFonts w:ascii="Times New Roman" w:hAnsi="Times New Roman" w:cs="Times New Roman"/>
          <w:sz w:val="24"/>
          <w:szCs w:val="24"/>
        </w:rPr>
      </w:pPr>
      <w:r w:rsidRPr="00E92192">
        <w:rPr>
          <w:rFonts w:ascii="Times New Roman" w:hAnsi="Times New Roman" w:cs="Times New Roman"/>
          <w:sz w:val="24"/>
          <w:szCs w:val="24"/>
        </w:rPr>
        <w:t>#9 or # 10</w:t>
      </w:r>
    </w:p>
    <w:p w14:paraId="386AB717" w14:textId="70FECB50" w:rsidR="007B2ED7" w:rsidRDefault="007B2ED7" w:rsidP="00507062">
      <w:pPr>
        <w:spacing w:line="360" w:lineRule="auto"/>
        <w:rPr>
          <w:rFonts w:ascii="Times New Roman" w:hAnsi="Times New Roman" w:cs="Times New Roman"/>
          <w:b/>
          <w:bCs/>
          <w:sz w:val="24"/>
          <w:szCs w:val="24"/>
        </w:rPr>
      </w:pPr>
    </w:p>
    <w:p w14:paraId="79CAB3B8" w14:textId="01329261" w:rsidR="00760445" w:rsidRDefault="00760445" w:rsidP="00507062">
      <w:pPr>
        <w:widowControl/>
        <w:spacing w:line="360" w:lineRule="auto"/>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56D84BA3" w14:textId="3AC266FD" w:rsidR="00760445" w:rsidRPr="00760445" w:rsidRDefault="00760445" w:rsidP="00507062">
      <w:pPr>
        <w:spacing w:line="360" w:lineRule="auto"/>
        <w:rPr>
          <w:rFonts w:ascii="Times New Roman" w:hAnsi="Times New Roman" w:cs="Times New Roman"/>
          <w:b/>
          <w:bCs/>
          <w:sz w:val="24"/>
          <w:szCs w:val="24"/>
        </w:rPr>
      </w:pPr>
      <w:r>
        <w:rPr>
          <w:rFonts w:ascii="Times New Roman" w:hAnsi="Times New Roman" w:cs="Times New Roman" w:hint="eastAsia"/>
          <w:b/>
          <w:bCs/>
          <w:sz w:val="24"/>
          <w:szCs w:val="24"/>
        </w:rPr>
        <w:lastRenderedPageBreak/>
        <w:t>L</w:t>
      </w:r>
      <w:r>
        <w:rPr>
          <w:rFonts w:ascii="Times New Roman" w:hAnsi="Times New Roman" w:cs="Times New Roman"/>
          <w:b/>
          <w:bCs/>
          <w:sz w:val="24"/>
          <w:szCs w:val="24"/>
        </w:rPr>
        <w:t>i</w:t>
      </w:r>
      <w:r>
        <w:rPr>
          <w:rFonts w:ascii="Times New Roman" w:hAnsi="Times New Roman" w:cs="Times New Roman" w:hint="eastAsia"/>
          <w:b/>
          <w:bCs/>
          <w:sz w:val="24"/>
          <w:szCs w:val="24"/>
        </w:rPr>
        <w:t>st</w:t>
      </w:r>
      <w:r>
        <w:rPr>
          <w:rFonts w:ascii="Times New Roman" w:hAnsi="Times New Roman" w:cs="Times New Roman"/>
          <w:b/>
          <w:bCs/>
          <w:sz w:val="24"/>
          <w:szCs w:val="24"/>
        </w:rPr>
        <w:t xml:space="preserve"> of included studies</w:t>
      </w:r>
      <w:r>
        <w:rPr>
          <w:rFonts w:ascii="Times New Roman" w:hAnsi="Times New Roman" w:cs="Times New Roman" w:hint="eastAsia"/>
          <w:b/>
          <w:bCs/>
          <w:sz w:val="24"/>
          <w:szCs w:val="24"/>
        </w:rPr>
        <w:t xml:space="preserve"> </w:t>
      </w:r>
      <w:r>
        <w:rPr>
          <w:rFonts w:ascii="Times New Roman" w:hAnsi="Times New Roman" w:cs="Times New Roman"/>
          <w:b/>
          <w:bCs/>
          <w:sz w:val="24"/>
          <w:szCs w:val="24"/>
        </w:rPr>
        <w:t>(</w:t>
      </w:r>
      <w:r w:rsidRPr="000A44A4">
        <w:rPr>
          <w:rFonts w:ascii="Times New Roman" w:eastAsia="宋体" w:hAnsi="Times New Roman" w:cs="Times New Roman"/>
          <w:b/>
          <w:bCs/>
          <w:szCs w:val="21"/>
        </w:rPr>
        <w:t>2015-2020</w:t>
      </w:r>
      <w:r>
        <w:rPr>
          <w:rFonts w:ascii="Times New Roman" w:eastAsia="宋体" w:hAnsi="Times New Roman" w:cs="Times New Roman"/>
          <w:b/>
          <w:bCs/>
          <w:szCs w:val="21"/>
        </w:rPr>
        <w:t>)</w:t>
      </w:r>
    </w:p>
    <w:p w14:paraId="42DA92F1"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Schiphorst AH, Verweij NM, Pronk A, Borel Rinkes IH, Hamaker ME. Non-surgical complications after laparoscopic and open surgery for colorectal cancer - A systematic review of randomised controlled trials. Eur J Surg Oncol. 2015;41(9):1118-1127. doi:10.1016/j.ejso.2015.04.007</w:t>
      </w:r>
    </w:p>
    <w:p w14:paraId="56440283"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Fabisiak A, Włodarczyk M, Fabisiak N, Storr M, Fichna J. Gastrointestinal Adverse Events of Cannabinoid 1 Receptor Inverse Agonists suggest their Potential Use in Irritable Bowel Syndrome with Constipation: A Systematic Review and Meta-Analysis. J Gastrointestin Liver Dis. 2019;28(4):473-481. Published 2019 Dec 9. doi:10.15403/jgld-265</w:t>
      </w:r>
    </w:p>
    <w:p w14:paraId="0A214910"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Varma A, Zis P. Nocebo effect in myasthenia gravis: systematic review and meta-analysis of placebo-controlled clinical trials. Acta Neurol Belg. 2019;119(2):257-264. doi:10.1007/s13760-019-01143-1</w:t>
      </w:r>
    </w:p>
    <w:p w14:paraId="39FCACC0"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Eke AC, Shukr GH, Chaalan TT, Nashif SK, Eleje GU. Intra-abdominal saline irrigation at cesarean section: a systematic review and meta-analysis. J Matern Fetal Neonatal Med. 2016;29(10):1588-1594. doi:10.3109/14767058.2015.1055723</w:t>
      </w:r>
    </w:p>
    <w:p w14:paraId="2D7C1599"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Ouyang AJ, Lv YN, Zhong HL, et al. Meta-analysis of digoxin use and risk of mortality in patients with atrial fibrillation. Am J Cardiol. 2015;115(7):901-906. doi:10.1016/j.amjcard.2015.01.013</w:t>
      </w:r>
    </w:p>
    <w:p w14:paraId="0C554BE0"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Yamada A, Wang J, Komaki Y, Komaki F, Micic D, Sakuraba A. Systematic review with meta-analysis: risk of new onset IBD with the use of anti-interleukin-17 agents. Aliment Pharmacol Ther. 2019;50(4):373-385. doi:10.1111/apt.15397</w:t>
      </w:r>
    </w:p>
    <w:p w14:paraId="3F4C9A2E"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Verrotti A, Prezioso G, Di Sabatino F, Franco V, Chiarelli F, Zaccara G. The adverse event profile of levetiracetam: A meta-analysis on children and adults. Seizure. 2015;31:49-55. doi:10.1016/j.seizure.2015.07.004</w:t>
      </w:r>
    </w:p>
    <w:p w14:paraId="78C3AD53"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Sirker A, Kwok CS, Kotronias R, et al. Influence of access site choice for cardiac catheterization on risk of adverse neurological events: A systematic review and meta-analysis. Am Heart J. 2016;181:107-119. doi:10.1016/j.ahj.2016.06.027</w:t>
      </w:r>
    </w:p>
    <w:p w14:paraId="05DD4876"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Alexander PE, Barty R, Fei Y, et al. Transfusion of fresher vs older red blood cells in hospitalized patients: a systematic review and meta-analysis. Blood. 2016;127(4):400-410. doi:10.1182/blood-2015-09-670950</w:t>
      </w:r>
    </w:p>
    <w:p w14:paraId="15317B5C"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lastRenderedPageBreak/>
        <w:t>Brotis AG, Tasiou A, Paterakis K, Tzerefos C, Fountas KN. Complications Associated with Surgery for Thoracic Disc Herniation: A Systematic Review and Network Meta-Analysis. World Neurosurg. 2019;132:334-342. doi:10.1016/j.wneu.2019.08.202</w:t>
      </w:r>
    </w:p>
    <w:p w14:paraId="26563D82"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Ahmed AM, Moahammed AT, Mattar OM, et al. Surgical treatment of diverticulitis and its complications: A systematic review and meta-analysis of randomized control trials. Surgeon. 2018;16(6):372-383. doi:10.1016/j.surge.2018.03.011</w:t>
      </w:r>
    </w:p>
    <w:p w14:paraId="558269D5"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Capogrosso Sansone A, Mantarro S, Tuccori M, et al. Safety Profile of Certolizumab Pegol in Patients with Immune-Mediated Inflammatory Diseases: A Systematic Review and Meta-Analysis. Drug Saf. 2015;38(10):869-888. doi:10.1007/s40264-015-0336-2</w:t>
      </w:r>
    </w:p>
    <w:p w14:paraId="072306C5"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Schulman AR, Popov V, Thompson CC. Randomized sham-controlled trials in endoscopy: a systematic review and meta-analysis of adverse events. Gastrointest Endosc. 2017;86(6):972-985.e3. doi:10.1016/j.gie.2017.07.046</w:t>
      </w:r>
    </w:p>
    <w:p w14:paraId="65C766BE"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Keir A, Pal S, Trivella M, et al. Adverse effects of red blood cell transfusions in neonates: a systematic review and meta-analysis. Transfusion. 2016;56(11):2773-2780. doi:10.1111/trf.13785</w:t>
      </w:r>
    </w:p>
    <w:p w14:paraId="2DBD6330"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de Carvalho ALR, Vital RB, de Lira CCS, et al. Laryngeal Mask Airway Versus Other Airway Devices for Anesthesia in Children With an Upper Respiratory Tract Infection: A Systematic Review and Meta-analysis of Respiratory Complications [published correction appears in Anesth Analg. 2019 Feb;128(2):e37]. Anesth Analg. 2018;127(4):941-950. doi:10.1213/ANE.0000000000003674</w:t>
      </w:r>
    </w:p>
    <w:p w14:paraId="5592EBF2"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Costa APF, Cobucci RNO, da Silva JM, da Costa Lima PH, Giraldo PC, Gonçalves AK. Safety of Human Papillomavirus 9-Valent Vaccine: A Meta-Analysis of Randomized Trials. J Immunol Res. 2017;2017:3736201. doi:10.1155/2017/3736201</w:t>
      </w:r>
    </w:p>
    <w:p w14:paraId="00729602"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Gafter-Gvili A, Gurion R, Raanani P, Shpilberg O, Vidal L. Bendamustine-associated infections-systematic review and meta-analysis of randomized controlled trials. Hematol Oncol. 2017;35(4):424-431. doi:10.1002/hon.2350</w:t>
      </w:r>
    </w:p>
    <w:p w14:paraId="46F17E34"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Tricco AC, Soobiah C, Blondal E, et al. Comparative safety of serotonin (5-HT3) receptor antagonists in patients undergoing surgery: a systematic review and network meta-analysis. BMC Med. 2015;13:142. Published 2015 Jun 18. doi:10.1186/s12916-015-0379-3</w:t>
      </w:r>
    </w:p>
    <w:p w14:paraId="39836290"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Toner AJ, Ganeshanathan V, Chan MT, Ho KM, Corcoran TB. Safety of Perioperative </w:t>
      </w:r>
      <w:r w:rsidRPr="000A44A4">
        <w:rPr>
          <w:rFonts w:ascii="Times New Roman" w:eastAsia="宋体" w:hAnsi="Times New Roman" w:cs="Times New Roman"/>
          <w:szCs w:val="21"/>
        </w:rPr>
        <w:lastRenderedPageBreak/>
        <w:t>Glucocorticoids in Elective Noncardiac Surgery: A Systematic Review and Meta-analysis. Anesthesiology. 2017;126(2):234-248. doi:10.1097/ALN.0000000000001466</w:t>
      </w:r>
    </w:p>
    <w:p w14:paraId="0069132C"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Kirby A, Hobson RP, Burke D, Cleveland V, Ford G, West RM. Appendicectomy for suspected uncomplicated appendicitis is associated with fewer complications than conservative antibiotic management: a meta-analysis of post-intervention complications. J Infect. 2015;70(2):105-110. doi:10.1016/j.jinf.2014.08.009</w:t>
      </w:r>
    </w:p>
    <w:p w14:paraId="5A111ED4"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Hill AM, Mitchell N, Hughes S, Pozniak AL. Risks of cardiovascular or central nervous system adverse events and immune reconstitution inflammatory syndrome, for dolutegravir versus other antiretrovirals: meta-analysis of randomized trials. Curr Opin HIV AIDS. 2018;13(2):102-111. doi:10.1097/COH.0000000000000445</w:t>
      </w:r>
    </w:p>
    <w:p w14:paraId="5DD88C6C"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Wei A, Gu Z, Li J, et al. Clinical Adverse Effects of Endothelin Receptor Antagonists: Insights From the Meta-Analysis of 4894 Patients From 24 Randomized Double-Blind Placebo-Controlled Clinical Trials. J Am Heart Assoc. 2016;5(11):e003896. Published 2016 Oct 26. doi:10.1161/JAHA.116.003896</w:t>
      </w:r>
    </w:p>
    <w:p w14:paraId="578FF88E"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Bertrand A, Kostine M, Barnetche T, Truchetet ME, Schaeverbeke T. Immune related adverse events associated with anti-CTLA-4 antibodies: systematic review and meta-analysis. BMC Med. 2015;13:211. Published 2015 Sep 4. doi:10.1186/s12916-015-0455-8</w:t>
      </w:r>
    </w:p>
    <w:p w14:paraId="493F39F3"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Dahal A, Bellows BK, Sonpavde G, et al. Incidence of Severe Nephrotoxicity With Cisplatin Based on Renal Function Eligibility Criteria: Indirect Comparison Meta-analysis. Am J Clin Oncol. 2016;39(5):497-506. doi:10.1097/COC.0000000000000081</w:t>
      </w:r>
    </w:p>
    <w:p w14:paraId="199EFB5E"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Veroniki AA, Rios P, Cogo E, et al. Comparative safety of antiepileptic drugs for neurological development in children exposed during pregnancy and breast feeding: a systematic review and network meta-analysis. BMJ Open. 2017;7(7):e017248. Published 2017 Jul 20. doi:10.1136/bmjopen-2017-017248</w:t>
      </w:r>
    </w:p>
    <w:p w14:paraId="031E01B2"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Katsanos AH, Schellinger PD, Köhrmann M, et al. Fatal oral anticoagulant-related intracranial hemorrhage: a systematic review and meta-analysis. Eur J Neurol. 2018;25(10):1299-1302. doi:10.1111/ene.13742</w:t>
      </w:r>
    </w:p>
    <w:p w14:paraId="3133B426"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Nagy A, Mátrai P, Hegyi P, et al. The effects of TNF-alpha inhibitor therapy on the incidence of infection in JIA children: a meta-analysis. Pediatr Rheumatol Online J. 2019;17(1):4. Published 2019 Jan 18. doi:10.1186/s12969-019-0305-x</w:t>
      </w:r>
    </w:p>
    <w:p w14:paraId="2792EF46"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lastRenderedPageBreak/>
        <w:t>Neto AS, Hemmes SN, Barbas CS, et al. Association between driving pressure and development of postoperative pulmonary complications in patients undergoing mechanical ventilation for general anaesthesia: a meta-analysis of individual patient data [published correction appears in Lancet Respir Med. 2016 Jun;4(6):e34]. Lancet Respir Med. 2016;4(4):272-280. doi:10.1016/S2213-2600(16)00057-6</w:t>
      </w:r>
    </w:p>
    <w:p w14:paraId="4AF21643"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Kaneoka A, Pisegna JM, Saito H, et al. A systematic review and meta-analysis of pneumonia associated with thin liquid vs. thickened liquid intake in patients who aspirate. Clin Rehabil. 2017;31(8):1116-1125. doi:10.1177/0269215516677739</w:t>
      </w:r>
    </w:p>
    <w:p w14:paraId="444CED45"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Almufleh A, Ramirez FD, So D, et al. H2 Receptor Antagonists versus Proton Pump Inhibitors in Patients on Dual Antiplatelet Therapy for Coronary Artery Disease: A Systematic Review. Cardiology. 2018;140(2):115-123. doi:10.1159/000489165</w:t>
      </w:r>
    </w:p>
    <w:p w14:paraId="56373D3E"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Doleman B, Moppett IK. Is early hip fracture surgery safe for patients on clopidogrel? Systematic review, meta-analysis and meta-regression. Injury. 2015;46(6):954-962. doi:10.1016/j.injury.2015.03.024</w:t>
      </w:r>
    </w:p>
    <w:p w14:paraId="203550D0"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Gyawali B, Shimokata T, Ando M, Honda K, Ando Y. Risk of serious adverse events and fatal adverse events with sorafenib in patients with solid cancer: a meta-analysis of phase 3 randomized controlled trials†. Ann Oncol. 2017;28(2):246-253. doi:10.1093/annonc/mdw549</w:t>
      </w:r>
    </w:p>
    <w:p w14:paraId="3869F482"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Gunter BR, Butler KA, Wallace RL, Smith SM, Harirforoosh S. Non-steroidal anti-inflammatory drug-induced cardiovascular adverse events: a meta-analysis. J Clin Pharm Ther. 2017;42(1):27-38. doi:10.1111/jcpt.12484</w:t>
      </w:r>
    </w:p>
    <w:p w14:paraId="53D5FADD"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Li BD, Bi ZY, Liu JF, et al. Adverse effects produced by different drugs used in the treatment of Parkinson's disease: A mixed treatment comparison. CNS Neurosci Ther. 2017;23(10):827-842. doi:10.1111/cns.12727</w:t>
      </w:r>
    </w:p>
    <w:p w14:paraId="5305CFBE"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Alfageh BH, Wang Z, Mongkhon P, et al. Safety and Tolerability of Antipsychotic Medication in Individuals with Autism Spectrum Disorder: A Systematic Review and Meta-Analysis. Paediatr Drugs. 2019;21(3):153-167. doi:10.1007/s40272-019-00333-x</w:t>
      </w:r>
    </w:p>
    <w:p w14:paraId="20FF959A"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Bell S, Rennie T, Marwick CA, Davey P. Effects of peri-operative nonsteroidal anti-inflammatory drugs on post-operative kidney function for adults with normal kidney function. Cochrane Database Syst Rev. 2018;11(11):CD011274. Published 2018 Nov 29. doi:10.1002/14651858.CD011274.pub2</w:t>
      </w:r>
    </w:p>
    <w:p w14:paraId="081AE5CD"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lastRenderedPageBreak/>
        <w:t>Castagné B, Viprey M, Martin J, Schott AM, Cucherat M, Soubrier M. Cardiovascular safety of tocilizumab: A systematic review and network meta-analysis. PLoS One. 2019;14(8):e0220178. Published 2019 Aug 1. doi:10.1371/journal.pone.0220178</w:t>
      </w:r>
    </w:p>
    <w:p w14:paraId="0AEEAD70"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Gu B, Gao W, Chu H, et al. Adverse events risk associated with anti-VEGFR agents in the treatment of advanced nonsmall-cell lung cancer: A meta-analysis. Medicine (Baltimore). 2016;95(48):e3752. doi:10.1097/MD.0000000000003752</w:t>
      </w:r>
    </w:p>
    <w:p w14:paraId="01804B80"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Biardeau X, Zanaty M, Aoun F, Benbouzid S, Peyronnet B. Voies d'abord et complications des bandelettes sous-urétrales synthétiques chez la femme : revue systématique de la littérature et méta-analyse [Approach and complications associated with suburethral synthetic slings in women: Systematic review and meta-analysis]. Prog Urol. 2016;26(4):254-269. doi:10.1016/j.purol.2015.08.314</w:t>
      </w:r>
    </w:p>
    <w:p w14:paraId="31DD2E9D"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Tang B, Wang J, Luo LL, Li QG, Huang D. Risks of budesonide/formoterol for the treatment of stable COPD: a meta-analysis. Int J Chron Obstruct Pulmon Dis. 2019;14:757-766. Published 2019 Apr 1. doi:10.2147/COPD.S192166</w:t>
      </w:r>
    </w:p>
    <w:p w14:paraId="0D5210F6"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Zhao B, Zhao H, Zhao J. Risk of fatal adverse events in cancer patients treated with sunitinib. Crit Rev Oncol Hematol. 2019;137:115-122. doi:10.1016/j.critrevonc.2019.03.007</w:t>
      </w:r>
    </w:p>
    <w:p w14:paraId="206156C4"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Liu B, Ding F, Liu Y, et al. Incidence and risk of hypertension associated with vascular endothelial growth factor receptor tyrosine kinase inhibitors in cancer patients: a comprehensive network meta-analysis of 72 randomized controlled trials involving 30013 patients. Oncotarget. 2016;7(41):67661-67673. doi:10.18632/oncotarget.11813</w:t>
      </w:r>
    </w:p>
    <w:p w14:paraId="514A7189"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Zhang B, Wu Q, Zhou YL, Guo X, Ge J, Fu J. Immune-related adverse events from combination immunotherapy in cancer patients: A comprehensive meta-analysis of randomized controlled trials. Int Immunopharmacol. 2018;63:292-298. doi:10.1016/j.intimp.2018.08.014</w:t>
      </w:r>
    </w:p>
    <w:p w14:paraId="2FF26C2D"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Botero Aguirre JP, Restrepo Hamid AM. Amphotericin B deoxycholate versus liposomal amphotericin B: effects on kidney function. Cochrane Database Syst Rev. 2015;(11):CD010481. Published 2015 Nov 23. doi:10.1002/14651858.CD010481.pub2</w:t>
      </w:r>
    </w:p>
    <w:p w14:paraId="022CBC97"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Morris BJ, Krieger JN. Does Circumcision Increase Meatal Stenosis Risk?-A Systematic Review and Meta-analysis. Urology. 2017;110:16-26. doi:10.1016/j.urology.2017.07.027</w:t>
      </w:r>
    </w:p>
    <w:p w14:paraId="094B8FDA"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Galling B, Roldán A, Rietschel L, et al. Safety and tolerability of antipsychotic co-treatment in patients with schizophrenia: results from a systematic review and meta-analysis of randomized </w:t>
      </w:r>
      <w:r w:rsidRPr="000A44A4">
        <w:rPr>
          <w:rFonts w:ascii="Times New Roman" w:eastAsia="宋体" w:hAnsi="Times New Roman" w:cs="Times New Roman"/>
          <w:szCs w:val="21"/>
        </w:rPr>
        <w:lastRenderedPageBreak/>
        <w:t>controlled trials. Expert Opin Drug Saf. 2016;15(5):591-612. doi:10.1517/14740338.2016.1165668</w:t>
      </w:r>
    </w:p>
    <w:p w14:paraId="32DA4B02"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Raccah BH, Perlman A, Danenberg HD, Pollak A, Muszkat M, Matok I. Major Bleeding and Hemorrhagic Stroke With Direct Oral Anticoagulants in Patients With Renal Failure: Systematic Review and Meta-Analysis of Randomized Trials. Chest. 2016;149(6):1516-1524. doi:10.1016/j.chest.2015.12.029</w:t>
      </w:r>
    </w:p>
    <w:p w14:paraId="7B7C47A8"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Yoon BH, Ha YC, Lee YK, Koo KH. Postoperative Deep Infection After Cemented Versus Cementless Total Hip Arthroplasty: A Meta-Analysis. J Arthroplasty. 2015;30(10):1823-1827. doi:10.1016/j.arth.2015.04.041</w:t>
      </w:r>
    </w:p>
    <w:p w14:paraId="69D5F4F9"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Yoon BH, Seo JG, Koo KH. Comparison of Postoperative Infection-Related Complications between Cemented and Cementless Hemiarthroplasty in Elderly Patients: A Meta-Analysis. Clin Orthop Surg. 2017;9(2):145-152. doi:10.4055/cios.2017.9.2.145</w:t>
      </w:r>
    </w:p>
    <w:p w14:paraId="5023DD22"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Diener C, Horneff G. Comparison of adverse events of biologicals for treatment of juvenile idiopathic arthritis: a systematic review. Expert Opin Drug Saf. 2019;18(8):719-732. doi:10.1080/14740338.2019.1632288</w:t>
      </w:r>
    </w:p>
    <w:p w14:paraId="0AE731AE"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Alves C, Ribeiro I, Penedones A, Mendes D, Batel Marques F. Risk of Ophthalmic Adverse Effects in Patients Treated with MEK Inhibitors: A Systematic Review and Meta-Analysis. Ophthalmic Res. 2017;57(1):60-69. doi:10.1159/000446845</w:t>
      </w:r>
    </w:p>
    <w:p w14:paraId="626988E5"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Cates CJ, Schmidt S, Ferrer M, Sayer B, Waterson S. Inhaled steroids with and without regular salmeterol for asthma: serious adverse events. Cochrane Database Syst Rev. 2018;12(12):CD006922. Published 2018 Dec 3. doi:10.1002/14651858.CD006922.pub4</w:t>
      </w:r>
    </w:p>
    <w:p w14:paraId="05B5AB3C"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Ching C, Eslick GD, Poulton AS. Evaluation of Methylphenidate Safety and Maximum-Dose Titration Rationale in Attention-Deficit/Hyperactivity Disorder: A Meta-analysis. JAMA Pediatr. 2019;173(7):630-639. doi:10.1001/jamapediatrics.2019.0905</w:t>
      </w:r>
    </w:p>
    <w:p w14:paraId="2576E1CF"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Qu CP, Sun GX, Yang SQ, Tian J, Si JG, Wang YF. Toxicities of different first-line chemotherapy regimens in the treatment of advanced ovarian cancer: A network meta-analysis. Medicine (Baltimore). 2017;96(2):e5797. doi:10.1097/MD.0000000000005797</w:t>
      </w:r>
    </w:p>
    <w:p w14:paraId="5CC180D6"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Peng C, Ling Y, Ma C, et al. Safety Outcomes of NOTES Cholecystectomy Versus Laparoscopic Cholecystectomy: A Systematic Review and Meta-Analysis. Surg Laparosc Endosc Percutan Tech. 2016;26(5):347-353. doi:10.1097/SLE.0000000000000284</w:t>
      </w:r>
    </w:p>
    <w:p w14:paraId="06788C41"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lastRenderedPageBreak/>
        <w:t>Xu C, Chen YP, Du XJ, et al. Comparative safety of immune checkpoint inhibitors in cancer: systematic review and network meta-analysis. BMJ. 2018;363:k4226. Published 2018 Nov 8. doi:10.1136/bmj.k4226</w:t>
      </w:r>
    </w:p>
    <w:p w14:paraId="59A94C6A"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Chang CH, Tseng PT, Chen NY, et al. Safety and tolerability of prescription omega-3 fatty acids: A systematic review and meta-analysis of randomized controlled trials. Prostaglandins Leukot Essent Fatty Acids. 2018;129:1-12. doi:10.1016/j.plefa.2018.01.001</w:t>
      </w:r>
    </w:p>
    <w:p w14:paraId="4EE55E31"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Du CR, Ying HM, Kong FF, Zhai RP, Hu CS. Concurrent chemoradiotherapy was associated with a higher severe late toxicity rate in nasopharyngeal carcinoma patients compared with radiotherapy alone: a meta-analysis based on randomized controlled trials. Radiat Oncol. 2015;10:70. Published 2015 Mar 26. doi:10.1186/s13014-015-0377-9</w:t>
      </w:r>
    </w:p>
    <w:p w14:paraId="505B55EA"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Li C, Cheng W, Guo J, Guan W. Relationship of inhaled long-acting bronchodilators with cardiovascular outcomes among patients with stable COPD: a meta-analysis and systematic review of 43 randomized trials. Int J Chron Obstruct Pulmon Dis. 2019;14:799-808. Published 2019 Apr 11. doi:10.2147/COPD.S198288</w:t>
      </w:r>
    </w:p>
    <w:p w14:paraId="5AFBE339"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Sathya C, Wayne C, Gotsch A, Vincent J, Sullivan KJ, Nasr A. Laparoscopic versus open pyloromyotomy in infants: a systematic review and meta-analysis. Pediatr Surg Int. 2017;33(3):325-333. doi:10.1007/s00383-016-4030-y</w:t>
      </w:r>
    </w:p>
    <w:p w14:paraId="0C48ED28"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Chou CY, Chang YT, Yang JL, et al. Effect of Long-term Incretin-Based Therapies on Ischemic Heart Diseases in Patients with Type 2 Diabetes Mellitus: A Network Meta-analysis. Sci Rep. 2017;7(1):15795. Published 2017 Nov 17. doi:10.1038/s41598-017-16101-1</w:t>
      </w:r>
    </w:p>
    <w:p w14:paraId="64BEDD23"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Chi CC, Wang SH, Wojnarowska F, Kirtschig G, Davies E, Bennett C. Safety of topical corticosteroids in pregnancy. Cochrane Database Syst Rev. 2015;(10):CD007346. Published 2015 Oct 26. doi:10.1002/14651858.CD007346.pub3</w:t>
      </w:r>
    </w:p>
    <w:p w14:paraId="09367E1B"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Ciccarese C, Iacovelli R, Bria E, et al. The incidence and relative risk of pulmonary toxicity in patients treated with anti-PD1/PD-L1 therapy for solid tumors: a meta-analysis of current studies. Immunotherapy. 2017;9(7):579-587. doi:10.2217/imt-2017-0018</w:t>
      </w:r>
    </w:p>
    <w:p w14:paraId="0A9084FD"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You CH, Lin CK, Chen PH, et al. Clarithromycin use and the risk of mortality and cardiovascular events: A systematic review and meta-analysis. PLoS One. 2019;14(12):e0226637. Published 2019 Dec 27. doi:10.1371/journal.pone.0226637</w:t>
      </w:r>
    </w:p>
    <w:p w14:paraId="654A93B5"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Gao C, Wang J, Li Y, et al. Incidence and risk of hematologic toxicities with hypomethylating </w:t>
      </w:r>
      <w:r w:rsidRPr="000A44A4">
        <w:rPr>
          <w:rFonts w:ascii="Times New Roman" w:eastAsia="宋体" w:hAnsi="Times New Roman" w:cs="Times New Roman"/>
          <w:szCs w:val="21"/>
        </w:rPr>
        <w:lastRenderedPageBreak/>
        <w:t>agents in the treatment of myelodysplastic syndromes and acute myeloid leukopenia: A systematic review and meta-analysis. Medicine (Baltimore). 2018;97(34):e11860. doi:10.1097/MD.0000000000011860</w:t>
      </w:r>
    </w:p>
    <w:p w14:paraId="791170A0"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Soo CG, Della Torre PK, Yolland TJ, Shatwell MA. Clopidogrel and hip fractures, is it safe? A systematic review and meta-analysis. BMC Musculoskelet Disord. 2016;17:136. Published 2016 Mar 22. doi:10.1186/s12891-016-0988-9</w:t>
      </w:r>
    </w:p>
    <w:p w14:paraId="2D1A9D37"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Ma C, Panaccione NR, Nguyen TM, et al. Adverse Events and Nocebo Effects in Inflammatory Bowel Disease: A Systematic Review and Meta-Analysis of Randomized Controlled Trials. J Crohns Colitis. 2019;13(9):1201-1216. doi:10.1093/ecco-jcc/jjz087</w:t>
      </w:r>
    </w:p>
    <w:p w14:paraId="710E20D1"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Uhlig C, Bluth T, Schwarz K, et al. Effects of Volatile Anesthetics on Mortality and Postoperative Pulmonary and Other Complications in Patients Undergoing Surgery: A Systematic Review and Meta-analysis. Anesthesiology. 2016;124(6):1230-1245. doi:10.1097/ALN.0000000000001120</w:t>
      </w:r>
    </w:p>
    <w:p w14:paraId="460DE9F6"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Maniotis C, Andreou C, Karalis I, Koutouzi G, Agelaki M, Koutouzis M. A systematic review on the safety of Prostar XL versus ProGlide after TAVR and EVAR. Cardiovasc Revasc Med. 2017;18(2):145-150. doi:10.1016/j.carrev.2016.11.004</w:t>
      </w:r>
    </w:p>
    <w:p w14:paraId="1ED55BE9"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Wang C, Wang F, Min X, et al. Toxicities of chemoradiotherapy and radiotherapy in nasopharyngeal carcinoma: an updated meta-analysis. J Int Med Res. 2019;47(7):2832-2847. doi:10.1177/0300060519858031</w:t>
      </w:r>
    </w:p>
    <w:p w14:paraId="7A33AF71"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Yang C, Yi Q, Zhang L, Cui H, Mao J. Safety of aripiprazole for tics in children and adolescents: A systematic review and meta-analysis. Medicine (Baltimore). 2019;98(22):e15816. doi:10.1097/MD.0000000000015816</w:t>
      </w:r>
    </w:p>
    <w:p w14:paraId="2BDE6BED"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Thomopoulos C, Parati G, Zanchetti A. Effects of blood-pressure-lowering treatment in hypertension: 9. Discontinuations for adverse events attributed to different classes of antihypertensive drugs: meta-analyses of randomized trials. J Hypertens. 2016;34(10):1921-1932. doi:10.1097/HJH.0000000000001052</w:t>
      </w:r>
    </w:p>
    <w:p w14:paraId="0EDF2FE7"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Li D, Yang JY, Wang T, Shen S, Tang H. Risks of diabetic foot syndrome and amputation associated with sodium glucose co-transporter 2 inhibitors: A Meta-analysis of Randomized Controlled Trials. Diabetes Metab. 2018;44(5):410-414. doi:10.1016/j.diabet.2018.02.001</w:t>
      </w:r>
    </w:p>
    <w:p w14:paraId="233D6B5D"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Kim DH, Rogers JR, Fulchino LA, Kim CA, Solomon DH, Kim SC. Bisphosphonates and risk </w:t>
      </w:r>
      <w:r w:rsidRPr="000A44A4">
        <w:rPr>
          <w:rFonts w:ascii="Times New Roman" w:eastAsia="宋体" w:hAnsi="Times New Roman" w:cs="Times New Roman"/>
          <w:szCs w:val="21"/>
        </w:rPr>
        <w:lastRenderedPageBreak/>
        <w:t>of cardiovascular events: a meta-analysis. PLoS One. 2015;10(4):e0122646. Published 2015 Apr 17. doi:10.1371/journal.pone.0122646</w:t>
      </w:r>
    </w:p>
    <w:p w14:paraId="064C9C57"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Yahav D, Green H, Eliakim-Raz N, Mor E, Husain S. Early double J stent removal in renal transplant patients to prevent urinary tract infection - systematic review and meta-analysis of randomized controlled trials. Eur J Clin Microbiol Infect Dis. 2018;37(4):773-778. doi:10.1007/s10096-017-3173-7</w:t>
      </w:r>
    </w:p>
    <w:p w14:paraId="44166902"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Caldeira D, Barra M, Ferreira A, et al. Systematic review with meta-analysis: the risk of major gastrointestinal bleeding with non-vitamin K antagonist oral anticoagulants. Aliment Pharmacol Ther. 2015;42(11-12):1239-1249. doi:10.1111/apt.13412</w:t>
      </w:r>
    </w:p>
    <w:p w14:paraId="2AC73C6F"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Caldeira D, Barra M, Santos AT, de Abreu D, Costa J, Ferreira JJ. Risk of insomnia with non-vitamin K oral anticoagulants: systematic review and meta-analysis. Sleep Breath. 2015;19(3):1043-1049. doi:10.1007/s11325-014-1112-8</w:t>
      </w:r>
    </w:p>
    <w:p w14:paraId="38662579"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Caldeira D, Canastro M, Barra M, et al. Risk of Substantial Intraocular Bleeding With Novel Oral Anticoagulants: Systematic Review and Meta-analysis. JAMA Ophthalmol. 2015;133(7):834-839. doi:10.1001/jamaophthalmol.2015.0985</w:t>
      </w:r>
    </w:p>
    <w:p w14:paraId="41B860CF"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Caldeira D, Gonçalves N, Pinto FJ, Costa J, Ferreira JJ. Risk of renal failure with the non-vitamin K antagonist oral anticoagulants: systematic review and meta-analysis. Pharmacoepidemiol Drug Saf. 2015;24(7):757-764. doi:10.1002/pds.3791</w:t>
      </w:r>
    </w:p>
    <w:p w14:paraId="5966B479"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Caldeira D, Rodrigues FB, Barra M, et al. Non-vitamin K antagonist oral anticoagulants and major bleeding-related fatality in patients with atrial fibrillation and venous thromboembolism: a systematic review and meta-analysis. Heart. 2015;101(15):1204-1211. doi:10.1136/heartjnl-2015-307489</w:t>
      </w:r>
    </w:p>
    <w:p w14:paraId="5426668A"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Caldeira D, Ferreira JJ, Pinto FJ, Costa J. Safety of non-vitamin K antagonist oral anticoagulants - coronary risks. Expert Opin Drug Saf. 2016;15(6):731-740. doi:10.1517/14740338.2016.1164689</w:t>
      </w:r>
    </w:p>
    <w:p w14:paraId="60389B24"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Caldeira D, Rodrigues FB, Duarte MM, et al. Cardiac Harms of Sofosbuvir: Systematic Review and Meta-Analysis. Drug Saf. 2018;41(1):77-86. doi:10.1007/s40264-017-0586-2</w:t>
      </w:r>
    </w:p>
    <w:p w14:paraId="76A49A34"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Caldeira D, Alves D, Costa J, Ferreira JJ, Pinto FJ. Ibrutinib increases the risk of hypertension and atrial fibrillation: Systematic review and meta-analysis. PLoS One. 2019;14(2):e0211228. Published 2019 Feb 20. doi:10.1371/journal.pone.0211228</w:t>
      </w:r>
    </w:p>
    <w:p w14:paraId="23BCACD6"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lastRenderedPageBreak/>
        <w:t>Giacoppo D, Colleran R, Cassese S, et al. Percutaneous Coronary Intervention vs Coronary Artery Bypass Grafting in Patients With Left Main Coronary Artery Stenosis: A Systematic Review and Meta-analysis. JAMA Cardiol. 2017;2(10):1079-1088. doi:10.1001/jamacardio.2017.2895</w:t>
      </w:r>
    </w:p>
    <w:p w14:paraId="183F4F9B"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Chierrito de Oliveira D, Guerrero de Sousa P, Borges Dos Reis C, et al. Safety of Treatments for ADHD in Adults: Pairwise and Network Meta-Analyses. J Atten Disord. 2019;23(2):111-120. doi:10.1177/1087054717696773</w:t>
      </w:r>
    </w:p>
    <w:p w14:paraId="4FDDBA2F"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Giugliano D, Maiorino MI, Longo M, Bellastella G, Chiodini P, Esposito K. Type 2 diabetes and risk of heart failure: a systematic review and meta-analysis from cardiovascular outcome trials. Endocrine. 2019;65(1):15-24. doi:10.1007/s12020-019-01931-y</w:t>
      </w:r>
    </w:p>
    <w:p w14:paraId="083C84DB"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Vukadinović D, Scholz SS, Messerli FH, et al. Peripheral edema and headache associated with amlodipine treatment: a meta-analysis of randomized, placebo-controlled trials. J Hypertens. 2019;37(10):2093-2103. doi:10.1097/HJH.0000000000002145</w:t>
      </w:r>
    </w:p>
    <w:p w14:paraId="14C168A1"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Cheng D, Gao H, Li W. Long-term risk of rosiglitazone on cardiovascular events - a systematic review and meta-analysis. Endokrynol Pol. 2018;69(4):381-394. doi:10.5603/EP.a2018.0036</w:t>
      </w:r>
    </w:p>
    <w:p w14:paraId="5AD79C43"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Li DF, Yang MF, Chang X, et al. Endocut Versus Conventional Blended Electrosurgical Current for Endoscopic Biliary Sphincterotomy: A Meta-Analysis of Complications. Dig Dis Sci. 2019;64(8):2088-2094. doi:10.1007/s10620-019-05513-w</w:t>
      </w:r>
    </w:p>
    <w:p w14:paraId="1C92A3E3"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Demiri M, Antunes T, Fletcher D, Martinez V. Perioperative adverse events attributed to α2-adrenoceptor agonists in patients not at risk of cardiovascular events: systematic review and meta-analysis. Br J Anaesth. 2019;123(6):795-807. doi:10.1016/j.bja.2019.07.029</w:t>
      </w:r>
    </w:p>
    <w:p w14:paraId="40A6045F"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Sobieraj DM, Martinez BK, Hernandez AV, et al. Adverse Effects of Pharmacologic Treatments of Major Depression in Older Adults. J Am Geriatr Soc. 2019;67(8):1571-1581. doi:10.1111/jgs.15966</w:t>
      </w:r>
    </w:p>
    <w:p w14:paraId="3C02803C"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Varvaki Rados D, Catani Pinto L, Reck Remonti L, Bauermann Leitão C, Gross JL. The Association between Sulfonylurea Use and All-Cause and Cardiovascular Mortality: A Meta-Analysis with Trial Sequential Analysis of Randomized Clinical Trials. PLoS Med. 2016;13(4):e1001992. Published 2016 Apr 12. doi:10.1371/journal.pmed.1001992</w:t>
      </w:r>
    </w:p>
    <w:p w14:paraId="46FE61D3"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Mohananey D, Sengodan P, Banerjee K, et al. Comparative analysis of cerebrovascular events in transcatheter and surgical aortic valve replacement: a systematic review and meta-analysis </w:t>
      </w:r>
      <w:r w:rsidRPr="000A44A4">
        <w:rPr>
          <w:rFonts w:ascii="Times New Roman" w:eastAsia="宋体" w:hAnsi="Times New Roman" w:cs="Times New Roman"/>
          <w:szCs w:val="21"/>
        </w:rPr>
        <w:lastRenderedPageBreak/>
        <w:t>of randomised trials. EuroIntervention. 2018;14(1):69-77. doi:10.4244/EIJ-D-17-00732</w:t>
      </w:r>
    </w:p>
    <w:p w14:paraId="27FBC84D"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Hong D, Zhang G, Zhang X, Lian X. Pulmonary Toxicities of Gefitinib in Patients With Advanced Non-Small-Cell Lung Cancer: A Meta-Analysis of Randomized Controlled Trials [published correction appears in Medicine (Baltimore). 2016 Jul 29;95(30):e156a]. Medicine (Baltimore). 2016;95(9):e3008. doi:10.1097/MD.0000000000003008</w:t>
      </w:r>
    </w:p>
    <w:p w14:paraId="013FF3FD"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Mannucci E, Monami M. Cardiovascular Safety of Incretin-Based Therapies in Type 2 Diabetes: Systematic Review of Integrated Analyses and Randomized Controlled Trials. Adv Ther. 2017;34(1):1-40. doi:10.1007/s12325-016-0432-4</w:t>
      </w:r>
    </w:p>
    <w:p w14:paraId="0D7FE55D"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Zabaleta-Del-Olmo E, Vlacho B, Jodar-Fernández L, et al. Safety of the reuse of needles for subcutaneous insulin injection: A systematic review and meta-analysis. Int J Nurs Stud. 2016;60:121-132. doi:10.1016/j.ijnurstu.2016.04.010</w:t>
      </w:r>
    </w:p>
    <w:p w14:paraId="7E8ED9F4"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Gorelik E, Masarwa R, Perlman A, et al. Fluoroquinolones and Cardiovascular Risk: A Systematic Review, Meta-analysis and Network Meta-analysis. Drug Saf. 2019;42(4):529-538. doi:10.1007/s40264-018-0751-2</w:t>
      </w:r>
    </w:p>
    <w:p w14:paraId="494C61AF"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Esaiassen E, Fjalstad JW, Juvet LK, van den Anker JN, Klingenberg C. Antibiotic exposure in neonates and early adverse outcomes: a systematic review and meta-analysis. J Antimicrob Chemother. 2017;72(7):1858-1870. doi:10.1093/jac/dkx088</w:t>
      </w:r>
    </w:p>
    <w:p w14:paraId="124C585C"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Karyotaki E, Kemmeren L, Riper H, et al. Is self-guided internet-based cognitive behavioural therapy (iCBT) harmful? An individual participant data meta-analysis. Psychol Med. 2018;48(15):2456-2466. doi:10.1017/S0033291718000648</w:t>
      </w:r>
    </w:p>
    <w:p w14:paraId="15E67679"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Elgendy IY, Mahmoud AN, Brilakis ES, Bavry AA. Drug-eluting stents versus bare metal stents for saphenous vein graft revascularisation: a meta-analysis of randomised trials. EuroIntervention. 2018;14(2):215-223. doi:10.4244/EIJ-D-17-00839</w:t>
      </w:r>
    </w:p>
    <w:p w14:paraId="455BCA83"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Penninga EI, Graudal N, Ladekarl MB, Jürgens G. Adverse Events Associated with Flumazenil Treatment for the Management of Suspected Benzodiazepine Intoxication--A Systematic Review with Meta-Analyses of Randomised Trials. Basic Clin Pharmacol Toxicol. 2016;118(1):37-44. doi:10.1111/bcpt.12434</w:t>
      </w:r>
    </w:p>
    <w:p w14:paraId="6D74D329"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Curtis E, Fuggle N, Shaw S, et al. Safety of Cyclooxygenase-2 Inhibitors in Osteoarthritis: Outcomes of a Systematic Review and Meta-Analysis. Drugs Aging. 2019;36(Suppl 1):25-44. doi:10.1007/s40266-019-00664-x</w:t>
      </w:r>
    </w:p>
    <w:p w14:paraId="35D5C85A"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lastRenderedPageBreak/>
        <w:t>Osland E, Yunus RM, Khan S, Memon B, Memon MA. Late Postoperative Complications in Laparoscopic Sleeve Gastrectomy (LVSG) Versus Laparoscopic Roux-en-y Gastric Bypass (LRYGB): Meta-analysis and Systematic Review. Surg Laparosc Endosc Percutan Tech. 2016;26(3):193-201. doi:10.1097/SLE.0000000000000279</w:t>
      </w:r>
    </w:p>
    <w:p w14:paraId="6573F34B"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Barzilay E, Gadot Y, Koren G. Safety of vaginal delivery in very low birthweight vertex singletons: a meta-analysis. J Matern Fetal Neonatal Med. 2016;29(22):3724-3729. doi:10.3109/14767058.2016.1141889</w:t>
      </w:r>
    </w:p>
    <w:p w14:paraId="2C4972D7"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Shah ED, Farida JP, Siegel CA, Chong K, Melmed GY. Risk for Overall Infection with Anti-TNF and Anti-integrin Agents Used in IBD: A Systematic Review and Meta-analysis. Inflamm Bowel Dis. 2017;23(4):570-577. doi:10.1097/MIB.0000000000001049</w:t>
      </w:r>
    </w:p>
    <w:p w14:paraId="18C77FD8"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Ammann EM, Haskins CB, Fillman KM, et al. Intravenous immune globulin and thromboembolic adverse events: A systematic review and meta-analysis of RCTs. Am J Hematol. 2016;91(6):594-605. doi:10.1002/ajh.24358</w:t>
      </w:r>
    </w:p>
    <w:p w14:paraId="38803DDD"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Balk EM, Earley A, Avendano EA, Raman G. Long-Term Health Outcomes in Women With Silicone Gel Breast Implants: A Systematic Review. Ann Intern Med. 2016;164(3):164-175. doi:10.7326/M15-1169</w:t>
      </w:r>
    </w:p>
    <w:p w14:paraId="2AD20A33"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Whitlock EP, Burda BU, Williams SB, Guirguis-Blake JM, Evans CV. Bleeding Risks With Aspirin Use for Primary Prevention in Adults: A Systematic Review for the U.S. Preventive Services Task Force. Ann Intern Med. 2016;164(12):826-835. doi:10.7326/M15-2112</w:t>
      </w:r>
    </w:p>
    <w:p w14:paraId="56DE01DF"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Khosrow-Khavar F, Filion KB, Al-Qurashi S, et al. Cardiotoxicity of aromatase inhibitors and tamoxifen in postmenopausal women with breast cancer: a systematic review and meta-analysis of randomized controlled trials. Ann Oncol. 2017;28(3):487-496. doi:10.1093/annonc/mdw673</w:t>
      </w:r>
    </w:p>
    <w:p w14:paraId="1DFA9C75"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Aljebab F, Choonara I, Conroy S. Systematic review of the toxicity of short-course oral corticosteroids in children. Arch Dis Child. 2016;101(4):365-370. doi:10.1136/archdischild-2015-309522</w:t>
      </w:r>
    </w:p>
    <w:p w14:paraId="3251032E"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Aljebab F, Choonara I, Conroy S. Systematic Review of the Toxicity of Long-Course Oral Corticosteroids in Children. PLoS One. 2017;12(1):e0170259. Published 2017 Jan 26. doi:10.1371/journal.pone.0170259</w:t>
      </w:r>
    </w:p>
    <w:p w14:paraId="68F3CAE8"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Farah D, Leme GM, Eliaschewitz FG, Fonseca MCM. A safety and tolerability profile </w:t>
      </w:r>
      <w:r w:rsidRPr="000A44A4">
        <w:rPr>
          <w:rFonts w:ascii="Times New Roman" w:eastAsia="宋体" w:hAnsi="Times New Roman" w:cs="Times New Roman"/>
          <w:szCs w:val="21"/>
        </w:rPr>
        <w:lastRenderedPageBreak/>
        <w:t>comparison between dipeptidyl peptidase-4 inhibitors and sulfonylureas in diabetic patients: A systematic review and meta-analysis. Diabetes Res Clin Pract. 2019;149:47-63. doi:10.1016/j.diabres.2019.01.025</w:t>
      </w:r>
    </w:p>
    <w:p w14:paraId="6BBC2642"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Petrelli F, Ardito R, Ghidini A, et al. Different Toxicity of Cetuximab and Panitumumab in Metastatic Colorectal Cancer Treatment: A Systematic Review and Meta-Analysis. Oncology. 2018;94(4):191-199. doi:10.1159/000486338</w:t>
      </w:r>
    </w:p>
    <w:p w14:paraId="2C14951C"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Fogacci F, Banach M, Mikhailidis DP, et al. Safety of red yeast rice supplementation: A systematic review and meta-analysis of randomized controlled trials. Pharmacol Res. 2019;143:1-16. doi:10.1016/j.phrs.2019.02.028</w:t>
      </w:r>
    </w:p>
    <w:p w14:paraId="2CA912A3"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Lussana F, Cattaneo M, Rambaldi A, Squizzato A. Ruxolitinib-associated infections: A systematic review and meta-analysis. Am J Hematol. 2018;93(3):339-347. doi:10.1002/ajh.24976</w:t>
      </w:r>
    </w:p>
    <w:p w14:paraId="6D3CCB48"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Zhao F, Lei R, Yang SK, et al. Comparative effect of iso-osmolar versus low-osmolar contrast media on the incidence of contrast-induced acute kidney injury in diabetic patients: a systematic review and meta-analysis. Cancer Imaging. 2019;19(1):38. Published 2019 Jun 18. doi:10.1186/s40644-019-0224-6</w:t>
      </w:r>
    </w:p>
    <w:p w14:paraId="504F81B7"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Aires FT, Dedivitis RA, Petrarolha SM, Bernardo WM, Cernea CR, Brandão LG. Early oral feeding after total laryngectomy: A systematic review. Head Neck. 2015;37(10):1532-1535. doi:10.1002/hed.23755</w:t>
      </w:r>
    </w:p>
    <w:p w14:paraId="15302D5D"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Huang F, Luo ZC. Risk of Adverse Drug Events Observed with Baricitinib 2 mg Versus Baricitinib 4 mg Once Daily for the Treatment of Rheumatoid Arthritis: A Systematic Review and Meta-Analysis of Randomized Controlled Trials. BioDrugs. 2018;32(5):415-423. doi:10.1007/s40259-018-0304-3</w:t>
      </w:r>
    </w:p>
    <w:p w14:paraId="74490121"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Huang F, Luo ZC. Adverse drug events associated with 5mg versus 10mg Tofacitinib (Janus kinase inhibitor) twice daily for the treatment of autoimmune diseases: A systematic review and meta-analysis of randomized controlled trials. Clin Rheumatol. 2019;38(2):523-534. doi:10.1007/s10067-018-4299-4</w:t>
      </w:r>
    </w:p>
    <w:p w14:paraId="2FBD3F9B"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Wang FB, Pu YW, Zhong FY, Lv XD, Yang ZX, Xing CG. Laparoscopic permanent sigmoid stoma creation through the extraperitoneal route versus transperitoneal route. A meta-analysis of stoma-related complications. Saudi Med J. 2015;36(2):159-163. </w:t>
      </w:r>
      <w:r w:rsidRPr="000A44A4">
        <w:rPr>
          <w:rFonts w:ascii="Times New Roman" w:eastAsia="宋体" w:hAnsi="Times New Roman" w:cs="Times New Roman"/>
          <w:szCs w:val="21"/>
        </w:rPr>
        <w:lastRenderedPageBreak/>
        <w:t>doi:10.15537/smj.2015.2.10203</w:t>
      </w:r>
    </w:p>
    <w:p w14:paraId="0A3DF773"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Chen F, Pu F. Safety of Denosumab Versus Zoledronic Acid in Patients with Bone Metastases: A Meta-Analysis of Randomized Controlled Trials. Oncol Res Treat. 2016;39(7-8):453-459. doi:10.1159/000447372</w:t>
      </w:r>
    </w:p>
    <w:p w14:paraId="064ABDF7"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Catalá-López F, Corrales I, de la Fuente-Honrubia C, et al. Risk of thromboembolism with thrombopoietin receptor agonists in adult patients with thrombocytopenia: Systematic review and meta-analysis of randomized controlled trials. Med Clin (Barc). 2015;145(12):511-519. doi:10.1016/j.medcli.2015.03.014</w:t>
      </w:r>
    </w:p>
    <w:p w14:paraId="7C664F45"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Sandberg F, Viktorsdóttir MB, Salö M, Stenström P, Arnbjörnsson E. Comparison of major complications in children after laparoscopy-assisted gastrostomy and percutaneous endoscopic gastrostomy placement: a meta-analysis. Pediatr Surg Int. 2018;34(12):1321-1327. doi:10.1007/s00383-018-4358-6</w:t>
      </w:r>
    </w:p>
    <w:p w14:paraId="7BFC0026"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Zagmutt FJ, Carroll CA. Meta-analysis of adverse events in recent randomized clinical trials for dimethyl fumarate, glatiramer acetate and teriflunomide for the treatment of relapsing forms of multiple sclerosis. Int J Neurosci. 2015;125(11):798-807. doi:10.3109/00207454.2014.979982</w:t>
      </w:r>
    </w:p>
    <w:p w14:paraId="0D9EBC33"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Hovaguimian F, Köppel S, Spahn DR. Safety of Anticoagulation Interruption in Patients Undergoing Surgery or Invasive Procedures: A Systematic Review and Meta-analyses of Randomized Controlled Trials and Non-randomized Studies. World J Surg. 2017;41(10):2444-2456. doi:10.1007/s00268-017-4072-x</w:t>
      </w:r>
    </w:p>
    <w:p w14:paraId="1DA6B6E3"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Misawa F, Kishimoto T, Hagi K, Kane JM, Correll CU. Safety and tolerability of long-acting injectable versus oral antipsychotics: A meta-analysis of randomized controlled studies comparing the same antipsychotics. Schizophr Res. 2016;176(2-3):220-230. doi:10.1016/j.schres.2016.07.018</w:t>
      </w:r>
    </w:p>
    <w:p w14:paraId="1FC2EB73"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Roberto G, Raschi E, Piccinni C, et al. Adverse cardiovascular events associated with triptans and ergotamines for treatment of migraine: systematic review of observational studies. Cephalalgia. 2015;35(2):118-131. doi:10.1177/0333102414550416</w:t>
      </w:r>
    </w:p>
    <w:p w14:paraId="13CF4B1C"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Corona G, Tirabassi G, Santi D, et al. Sexual dysfunction in subjects treated with inhibitors of 5α-reductase for benign prostatic hyperplasia: a comprehensive review and meta-analysis. Andrology. 2017;5(4):671-678. doi:10.1111/andr.12353</w:t>
      </w:r>
    </w:p>
    <w:p w14:paraId="12812AB8"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lastRenderedPageBreak/>
        <w:t>Geminiani A, Tsigarida A, Chochlidakis K, Papaspyridakos PV, Feng C, Ercoli C. A meta-analysis of complications during sinus augmentation procedure. Quintessence Int. 2017;48(3):231-240. doi:10.3290/j.qi.a37644</w:t>
      </w:r>
    </w:p>
    <w:p w14:paraId="00509B81"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Vaos G, Dimopoulou A, Gkioka E, Zavras N. Immediate surgery or conservative treatment for complicated acute appendicitis in children? A meta-analysis. J Pediatr Surg. 2019;54(7):1365-1371. doi:10.1016/j.jpedsurg.2018.07.017</w:t>
      </w:r>
    </w:p>
    <w:p w14:paraId="2F6A625B"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Honvo G, Leclercq V, Geerinck A, et al. Safety of Topical Non-steroidal Anti-Inflammatory Drugs in Osteoarthritis: Outcomes of a Systematic Review and Meta-Analysis. Drugs Aging. 2019;36(Suppl 1):45-64. doi:10.1007/s40266-019-00661-0</w:t>
      </w:r>
    </w:p>
    <w:p w14:paraId="1F4C0345"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Honvo G, Reginster JY, Rabenda V, et al. Safety of Symptomatic Slow-Acting Drugs for Osteoarthritis: Outcomes of a Systematic Review and Meta-Analysis. Drugs Aging. 2019;36(Suppl 1):65-99. doi:10.1007/s40266-019-00662-z</w:t>
      </w:r>
    </w:p>
    <w:p w14:paraId="4226377F"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Honvo G, Reginster JY, Rannou F, et al. Safety of Intra-articular Hyaluronic Acid Injections in Osteoarthritis: Outcomes of a Systematic Review and Meta-Analysis. Drugs Aging. 2019;36(Suppl 1):101-127. doi:10.1007/s40266-019-00657-w</w:t>
      </w:r>
    </w:p>
    <w:p w14:paraId="4F2BDD46"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Roviello G, Sigala S, Danesi R, et al. Incidence and relative risk of adverse events of special interest in patients with castration resistant prostate cancer treated with CYP-17 inhibitors: A meta-analysis of published trials. Crit Rev Oncol Hematol. 2016;101:12-20. doi:10.1016/j.critrevonc.2016.02.013</w:t>
      </w:r>
    </w:p>
    <w:p w14:paraId="60D4B3F9"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Roviello G, Generali D. Is the fatigue an adverse event of the second generation of hormonal therapy? Data from a literature-based meta-analysis. Med Oncol. 2018;35(3):29. Published 2018 Jan 31. doi:10.1007/s12032-018-1081-z</w:t>
      </w:r>
    </w:p>
    <w:p w14:paraId="5B0946B9"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Boleto G, Kanagaratnam L, Dramé M, Salmon JH. Safety of combination therapy with two bDMARDs in patients with rheumatoid arthritis: A systematic review and meta-analysis. Semin Arthritis Rheum. 2019;49(1):35-42. doi:10.1016/j.semarthrit.2018.12.003</w:t>
      </w:r>
    </w:p>
    <w:p w14:paraId="0DEB1D4C"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Duarte GS, Rodrigues FB, Ferreira JJ, Costa J. Adverse events with botulinum toxin treatment in cervical dystonia: How much should we blame placebo?. Parkinsonism Relat Disord. 2018;56:16-19. doi:10.1016/j.parkreldis.2018.06.017</w:t>
      </w:r>
    </w:p>
    <w:p w14:paraId="0FCFAA47"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Duarte GS, Nunes-Ferreira A, Rodrigues FB, et al. Morphine in acute coronary syndrome: systematic review and meta-analysis. BMJ Open. 2019;9(3):e025232. Published 2019 Mar 15. </w:t>
      </w:r>
      <w:r w:rsidRPr="000A44A4">
        <w:rPr>
          <w:rFonts w:ascii="Times New Roman" w:eastAsia="宋体" w:hAnsi="Times New Roman" w:cs="Times New Roman"/>
          <w:szCs w:val="21"/>
        </w:rPr>
        <w:lastRenderedPageBreak/>
        <w:t>doi:10.1136/bmjopen-2018-025232</w:t>
      </w:r>
    </w:p>
    <w:p w14:paraId="2CC42C14"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Beger HG, Siech M, Poch B, Mayer B, Schoenberg MH. Limited surgery for benign tumours of the pancreas: a systematic review. World J Surg. 2015;39(6):1557-1566. doi:10.1007/s00268-015-2976-x</w:t>
      </w:r>
    </w:p>
    <w:p w14:paraId="7CDBBD46"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Tang HL, Li DD, Zhang JJ, et al. Lack of evidence for a harmful effect of sodium-glucose co-transporter 2 (SGLT2) inhibitors on fracture risk among type 2 diabetes patients: a network and cumulative meta-analysis of randomized controlled trials. Diabetes Obes Metab. 2016;18(12):1199-1206. doi:10.1111/dom.12742</w:t>
      </w:r>
    </w:p>
    <w:p w14:paraId="14F9279C"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Boltman-Binkowski H. A systematic review: Are herbal and homeopathic remedies used during pregnancy safe?. Curationis. 2016;39(1):1514. Published 2016 Apr 13. doi:10.4102/curationis.v39i1.1514</w:t>
      </w:r>
    </w:p>
    <w:p w14:paraId="357144D8"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Li H, Wang C, Zhang S, et al. Safety Profile of Atorvastatin 80 mg: A Meta-Analysis of 17 Randomized Controlled Trials in 21,910 Participants. Drug Saf. 2016;39(5):409-419. doi:10.1007/s40264-016-0394-0</w:t>
      </w:r>
    </w:p>
    <w:p w14:paraId="556ADCA6"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Xu H, Tan P, Zheng X, et al. Immune-related adverse events following administration of anti-cytotoxic T-lymphocyte-associated protein-4 drugs: a comprehensive systematic review and meta-analysis. Drug Des Devel Ther. 2019;13:2215-2234. Published 2019 Jul 4. doi:10.2147/DDDT.S196316</w:t>
      </w:r>
    </w:p>
    <w:p w14:paraId="7F9F9F66"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Dinges HC, Otto S, Stay DK, et al. Side Effect Rates of Opioids in Equianalgesic Doses via Intravenous Patient-Controlled Analgesia: A Systematic Review and Network Meta-analysis. Anesth Analg. 2019;129(4):1153-1162. doi:10.1213/ANE.0000000000003887</w:t>
      </w:r>
    </w:p>
    <w:p w14:paraId="29B2F6C1"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Winberg H, Arnbjörnsson E, Anderberg M, Stenström P. Postoperative outcomes in distal hypospadias: a meta-analysis of the Mathieu and tubularized incised plate repair methods for development of urethrocutaneous fistula and urethral stricture. Pediatr Surg Int. 2019;35(11):1301-1308. doi:10.1007/s00383-019-04523-z</w:t>
      </w:r>
    </w:p>
    <w:p w14:paraId="51B116C4"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Hansen MP, Scott AM, McCullough A, et al. Adverse events in people taking macrolide antibiotics versus placebo for any indication. Cochrane Database Syst Rev. 2019;1(1):CD011825. Published 2019 Jan 18. doi:10.1002/14651858.CD011825.pub2</w:t>
      </w:r>
    </w:p>
    <w:p w14:paraId="11C33014"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Storgaard H, Cold F, Gluud LL, Vilsbøll T, Knop FK. Glucagon-like peptide-1 receptor agonists and risk of acute pancreatitis in patients with type 2 diabetes. Diabetes Obes Metab. </w:t>
      </w:r>
      <w:r w:rsidRPr="000A44A4">
        <w:rPr>
          <w:rFonts w:ascii="Times New Roman" w:eastAsia="宋体" w:hAnsi="Times New Roman" w:cs="Times New Roman"/>
          <w:szCs w:val="21"/>
        </w:rPr>
        <w:lastRenderedPageBreak/>
        <w:t>2017;19(6):906-908. doi:10.1111/dom.12885</w:t>
      </w:r>
    </w:p>
    <w:p w14:paraId="08181EB3"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Shang H, Zhang Z, Feng A, et al. The overall safety evaluation of programmed cell death/programmed cell death ligand 1 (PD-1/PD-L1) treatment for lung cancer patients: An updated systematic review and meta-analysis. Medicine (Baltimore). 2019;98(30):e16439. doi:10.1097/MD.0000000000016439</w:t>
      </w:r>
    </w:p>
    <w:p w14:paraId="205E6BAE"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Fan H, Li L, Wijlaars L, Gilbert RE. Associations between use of macrolide antibiotics during pregnancy and adverse child outcomes: A systematic review and meta-analysis. PLoS One. 2019;14(2):e0212212. Published 2019 Feb 19. doi:10.1371/journal.pone.0212212</w:t>
      </w:r>
    </w:p>
    <w:p w14:paraId="6155C3F5"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Leung HW, Chan AL. Trastuzumab-induced cardiotoxicity in elderly women with HER-2-positive breast cancer: a meta-analysis of real-world data. Expert Opin Drug Saf. 2015;14(11):1661-1671. doi:10.1517/14740338.2015.1089231</w:t>
      </w:r>
    </w:p>
    <w:p w14:paraId="324B6E5D"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Cramer H, Ward L, Saper R, Fishbein D, Dobos G, Lauche R. The Safety of Yoga: A Systematic Review and Meta-Analysis of Randomized Controlled Trials. Am J Epidemiol. 2015;182(4):281-293. doi:10.1093/aje/kwv071</w:t>
      </w:r>
    </w:p>
    <w:p w14:paraId="12D5AFE4"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Geng HZ, Nasier D, Liu B, Gao H, Xu YK. Meta-analysis of elective surgical complications related to defunctioning loop ileostomy compared with loop colostomy after low anterior resection for rectal carcinoma. Ann R Coll Surg Engl. 2015;97(7):494-501. doi:10.1308/003588415X14181254789240</w:t>
      </w:r>
    </w:p>
    <w:p w14:paraId="2AC989F5"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Zhang H, Huang Z, Zou X, Liu T. Bevacizumab and wound-healing complications: a systematic review and meta-analysis of randomized controlled trials. Oncotarget. 2016;7(50):82473-82481. doi:10.18632/oncotarget.12666</w:t>
      </w:r>
    </w:p>
    <w:p w14:paraId="10BE4476"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Tong H, Zhu Y, Liu Y. Incidence and risk of fatigue in cancer patients treated with MET inhibitors: A systematic review and meta-analysis. Medicine (Baltimore). 2019;98(22):e15522. doi:10.1097/MD.0000000000015522</w:t>
      </w:r>
    </w:p>
    <w:p w14:paraId="6E552F24"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Ma H, Liu Y, Huang L, et al. The Adverse Events of Oxycodone in Cancer-Related Pain: A Systematic Review and Meta-Analysis of Randomized Controlled Trials. Medicine (Baltimore). 2016;95(15):e3341. doi:10.1097/MD.0000000000003341</w:t>
      </w:r>
    </w:p>
    <w:p w14:paraId="54FE74D5"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Tang H, Fang Z, Wang T, Cui W, Zhai S, Song Y. Meta-Analysis of Effects of Sodium-Glucose Cotransporter 2 Inhibitors on Cardiovascular Outcomes and All-Cause Mortality Among Patients With Type 2 Diabetes Mellitus. Am J Cardiol. 2016;118(11):1774-1780. </w:t>
      </w:r>
      <w:r w:rsidRPr="000A44A4">
        <w:rPr>
          <w:rFonts w:ascii="Times New Roman" w:eastAsia="宋体" w:hAnsi="Times New Roman" w:cs="Times New Roman"/>
          <w:szCs w:val="21"/>
        </w:rPr>
        <w:lastRenderedPageBreak/>
        <w:t>doi:10.1016/j.amjcard.2016.08.061</w:t>
      </w:r>
    </w:p>
    <w:p w14:paraId="40D4F9DA"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Tang H, Li D, Zhang J, et al. Sodium-glucose co-transporter-2 inhibitors and risk of adverse renal outcomes among patients with type 2 diabetes: A network and cumulative meta-analysis of randomized controlled trials. Diabetes Obes Metab. 2017;19(8):1106-1115. doi:10.1111/dom.12917</w:t>
      </w:r>
    </w:p>
    <w:p w14:paraId="4581FE4E"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Abdel-Qadir H, Ethier JL, Lee DS, Thavendiranathan P, Amir E. Cardiovascular toxicity of angiogenesis inhibitors in treatment of malignancy: A systematic review and meta-analysis. Cancer Treat Rev. 2017;53:120-127. doi:10.1016/j.ctrv.2016.12.002</w:t>
      </w:r>
    </w:p>
    <w:p w14:paraId="2705D592"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Tanboğa İH, Topçu S, Aksakal E, et al. The Risk of Atrial Fibrillation With Ivabradine Treatment: A Meta-analysis With Trial Sequential Analysis of More Than 40000 Patients. Clin Cardiol. 2016;39(10):615-620. doi:10.1002/clc.22578</w:t>
      </w:r>
    </w:p>
    <w:p w14:paraId="25DF16B6"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Carvalho ÍT, Baccaglini W, Claros OR, et al. Genitourinary and gastrointestinal toxicity among patients with localized prostate cancer treated with conventional versus moderately hypofractionated radiation therapy: systematic review and meta-analysis. Acta Oncol. 2018;57(8):1003-1010. doi:10.1080/0284186X.2018.1478126</w:t>
      </w:r>
    </w:p>
    <w:p w14:paraId="7A770155"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Dicembrini I, Tomberli B, Nreu B, et al. Peripheral artery disease and amputations with Sodium-Glucose co-Transporter-2 (SGLT-2) inhibitors: A meta-analysis of randomized controlled trials. Diabetes Res Clin Pract. 2019;153:138-144. doi:10.1016/j.diabres.2019.05.028</w:t>
      </w:r>
    </w:p>
    <w:p w14:paraId="427B0314"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Hougen I, Collister D, Bourrier M, et al. Safety of Intravenous Iron in Dialysis: A Systematic Review and Meta-Analysis. Clin J Am Soc Nephrol. 2018;13(3):457-467. doi:10.2215/CJN.05390517</w:t>
      </w:r>
    </w:p>
    <w:p w14:paraId="0431F102"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Andreou I, Briasoulis A, Pappas C, Ikonomidis I, Alexopoulos D. Ticagrelor Versus Clopidogrel as Part of Dual or Triple Antithrombotic Therapy: a Systematic Review and Meta-Analysis. Cardiovasc Drugs Ther. 2018;32(3):287-294. doi:10.1007/s10557-018-6795-9</w:t>
      </w:r>
    </w:p>
    <w:p w14:paraId="0AF78BEF"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Balasubramanian I, Fleming C, Mohan HM, Schmidt K, Haglind E, Winter DC. Out-Patient Management of Mild or Uncomplicated Diverticulitis: A Systematic Review. Dig Surg. 2017;34(2):151-160. doi:10.1159/000450865</w:t>
      </w:r>
    </w:p>
    <w:p w14:paraId="55BFF7C3"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Elgendy IY, Mahmoud AN, Barakat AF, et al. Cardiovascular Safety of Dipeptidyl-Peptidase IV Inhibitors: A Meta-Analysis of Placebo-Controlled Randomized Trials. Am J Cardiovasc </w:t>
      </w:r>
      <w:r w:rsidRPr="000A44A4">
        <w:rPr>
          <w:rFonts w:ascii="Times New Roman" w:eastAsia="宋体" w:hAnsi="Times New Roman" w:cs="Times New Roman"/>
          <w:szCs w:val="21"/>
        </w:rPr>
        <w:lastRenderedPageBreak/>
        <w:t>Drugs. 2017;17(2):143-155. doi:10.1007/s40256-016-0208-x</w:t>
      </w:r>
    </w:p>
    <w:p w14:paraId="4090C690"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Cavero-Redondo I, Álvarez-Bueno C, Pozuelo-Carrascosa DP, Díez-Fernández A, Notario-Pacheco B. Risk of extrapyramidal side effects comparing continuous vs. bolus intravenous metoclopramide administration: a systematic review and meta-analysis of randomised controlled trials. J Clin Nurs. 2015;24(23-24):3638-3646. doi:10.1111/jocn.12984</w:t>
      </w:r>
    </w:p>
    <w:p w14:paraId="0D1E4A2C"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Mikačić I, Bosnar D. Intravitreal Bevacizumab and Cardiovascular Risk in Patients with Age-Related Macular Degeneration: Systematic Review and Meta-Analysis of Randomized Controlled Trials and Observational Studies. Drug Saf. 2016;39(6):517-541. doi:10.1007/s40264-016-0408-y</w:t>
      </w:r>
    </w:p>
    <w:p w14:paraId="5E1034E0"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Li-Kim-Moy J, Yin JK, Rashid H, et al. Systematic review of fever, febrile convulsions and serious adverse events following administration of inactivated trivalent influenza vaccines in children [published correction appears in Euro Surveill. 2015;20(25). pii: 21164]. Euro Surveill. 2015;20(24):21159. Published 2015 Jun 18. doi:10.2807/1560-7917.es2015.20.24.21159</w:t>
      </w:r>
    </w:p>
    <w:p w14:paraId="2EC96CBD"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Menne J, Dumann E, Haller H, Schmidt BMW. Acute kidney injury and adverse renal events in patients receiving SGLT2-inhibitors: A systematic review and meta-analysis. PLoS Med. 2019;16(12):e1002983. Published 2019 Dec 9. doi:10.1371/journal.pmed.1002983</w:t>
      </w:r>
    </w:p>
    <w:p w14:paraId="005D4FB4"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Janjua S, Schmidt S, Ferrer M, Cates CJ. Inhaled steroids with and without regular formoterol for asthma: serious adverse events. Cochrane Database Syst Rev. 2019;9(9):CD006924. Published 2019 Sep 25. doi:10.1002/14651858.CD006924.pub4</w:t>
      </w:r>
    </w:p>
    <w:p w14:paraId="16C752FB"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Singh JA, Cameron C, Noorbaloochi S, et al. Risk of serious infection in biological treatment of patients with rheumatoid arthritis: a systematic review and meta-analysis. Lancet. 2015;386(9990):258-265. doi:10.1016/S0140-6736(14)61704-9</w:t>
      </w:r>
    </w:p>
    <w:p w14:paraId="77C72F90"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Singh JA, Hossain A, Kotb A, Wells G. Risk of serious infections with immunosuppressive drugs and glucocorticoids for lupus nephritis: a systematic review and network meta-analysis. BMC Med. 2016;14(1):137. Published 2016 Sep 13. doi:10.1186/s12916-016-0673-8</w:t>
      </w:r>
    </w:p>
    <w:p w14:paraId="2F78A15A"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Bilal J, Berlinberg A, Riaz IB, et al. Risk of Infections and Cancer in Patients With Rheumatologic Diseases Receiving Interleukin Inhibitors: A Systematic Review and Meta-analysis. JAMA Netw Open. 2019;2(10):e1913102. Published 2019 Oct 2. doi:10.1001/jamanetworkopen.2019.13102</w:t>
      </w:r>
    </w:p>
    <w:p w14:paraId="41D2D748"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Wessler JD, Giugliano RP. Risk of thrombocytopenia with glycoprotein IIb/IIIa inhibitors </w:t>
      </w:r>
      <w:r w:rsidRPr="000A44A4">
        <w:rPr>
          <w:rFonts w:ascii="Times New Roman" w:eastAsia="宋体" w:hAnsi="Times New Roman" w:cs="Times New Roman"/>
          <w:szCs w:val="21"/>
        </w:rPr>
        <w:lastRenderedPageBreak/>
        <w:t>across drugs and patient populations: a meta-analysis of 29 large placebo-controlled randomized trials [published correction appears in Eur Heart J Cardiovasc Pharmacother. 2016 Oct;2(4):217]. Eur Heart J Cardiovasc Pharmacother. 2015;1(2):97-106. doi:10.1093/ehjcvp/pvu008</w:t>
      </w:r>
    </w:p>
    <w:p w14:paraId="5099B9F9"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Donnan JR, Grandy CA, Chibrikov E, et al. Comparative safety of the sodium glucose co-transporter 2 (SGLT2) inhibitors: a systematic review and meta-analysis. BMJ Open. 2019;9(1):e022577. Published 2019 Feb 1. doi:10.1136/bmjopen-2018-022577</w:t>
      </w:r>
    </w:p>
    <w:p w14:paraId="348076F9"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de Filette J, Andreescu CE, Cools F, Bravenboer B, Velkeniers B. A Systematic Review and Meta-Analysis of Endocrine-Related Adverse Events Associated with Immune Checkpoint Inhibitors. Horm Metab Res. 2019;51(3):145-156. doi:10.1055/a-0843-3366</w:t>
      </w:r>
    </w:p>
    <w:p w14:paraId="3F610F6A"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Chen J, Lu Y, Zheng Y. Incidence and risk of hypertension with bevacizumab in non-small-cell lung cancer patients: a meta-analysis of randomized controlled trials. Drug Des Devel Ther. 2015;9:4751-4760. Published 2015 Aug 18. doi:10.2147/DDDT.S87258</w:t>
      </w:r>
    </w:p>
    <w:p w14:paraId="09993100"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Zhou JX, Feng LJ, Zhang X. Risk of severe hematologic toxicities in cancer patients treated with PARP inhibitors: a meta-analysis of randomized controlled trials. Drug Des Devel Ther. 2017;11:3009-3017. Published 2017 Oct 13. doi:10.2147/DDDT.S147726</w:t>
      </w:r>
    </w:p>
    <w:p w14:paraId="54F97828"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Sui JD, Wang Y, Wan Y, Wu YZ. Risk of hematologic toxicities with programmed cell death-1 inhibitors in cancer patients: a meta-analysis of current studies. Drug Des Devel Ther. 2018;12:1645-1657. Published 2018 Jun 8. doi:10.2147/DDDT.S167077</w:t>
      </w:r>
    </w:p>
    <w:p w14:paraId="0183885A"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Zhu J, Wu J, Li G, et al. Meta-analysis of randomized controlled trials for the incidence and risk of fatal adverse events in cancer patients treated with ipilimumab. Expert Opin Drug Saf. 2017;16(4):423-428. doi:10.1080/14740338.2017.1297420</w:t>
      </w:r>
    </w:p>
    <w:p w14:paraId="2E1294CD"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Zhu J, Liao R, Su C, et al. Toxicity profile characteristics of novel androgen-deprivation therapy agents in patients with prostate cancer: a meta-analysis. Expert Rev Anticancer Ther. 2018;18(2):193-198. doi:10.1080/14737140.2018.1419871</w:t>
      </w:r>
    </w:p>
    <w:p w14:paraId="19E3477B"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Zhu J, Zhao W, Liang D, et al. Risk of fatigue in cancer patients receiving anti-EGFR monoclonal antibodies: results from a systematic review and meta-analysis of randomized controlled trial. Int J Clin Oncol. 2018;23(2):389-399. doi:10.1007/s10147-017-1218-7</w:t>
      </w:r>
    </w:p>
    <w:p w14:paraId="3F39F1D8"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Wang J, Wang Z, Zhao Y. Incidence and risk of hypertension with ramucirumab in cancer patients: a meta-analysis of published studies. Clin Drug Investig. 2015;35(4):221-228. </w:t>
      </w:r>
      <w:r w:rsidRPr="000A44A4">
        <w:rPr>
          <w:rFonts w:ascii="Times New Roman" w:eastAsia="宋体" w:hAnsi="Times New Roman" w:cs="Times New Roman"/>
          <w:szCs w:val="21"/>
        </w:rPr>
        <w:lastRenderedPageBreak/>
        <w:t>doi:10.1007/s40261-015-0272-z</w:t>
      </w:r>
    </w:p>
    <w:p w14:paraId="2CFFB77C"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Dong J, Meng X, Li S, et al. Risk of Adverse Vascular Events in Patients with Malignant Glioma Treated with Bevacizumab Plus Irinotecan: A Systematic Review and Meta-Analysis. World Neurosurg. 2019;130:e236-e243. doi:10.1016/j.wneu.2019.06.043</w:t>
      </w:r>
    </w:p>
    <w:p w14:paraId="692EE144"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Ding J, Han J, Jing Z, Jiang Y. Is it dangerous to treat acute ischemic stroke by thrombolytic therapy in patients with comorbid intracranial aneurysms?. Am J Emerg Med. 2016;34(3):636-642. doi:10.1016/j.ajem.2015.12.025</w:t>
      </w:r>
    </w:p>
    <w:p w14:paraId="4684EA02"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Hua J, He Z, Qian D, Meng H, Zhou B, Song Z. Duct-to-Mucosa Versus Invagination Pancreaticojejunostomy Following Pancreaticoduodenectomy: a Systematic Review and Meta-Analysis. J Gastrointest Surg. 2015;19(10):1900-1909. doi:10.1007/s11605-015-2913-1</w:t>
      </w:r>
    </w:p>
    <w:p w14:paraId="741235AD"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Li J, Gu J. Cardiovascular Toxicities with Vascular Endothelial Growth Factor Receptor Tyrosine Kinase Inhibitors in Cancer Patients: A Meta-Analysis of 77 Randomized Controlled Trials. Clin Drug Investig. 2018;38(12):1109-1123. doi:10.1007/s40261-018-0709-2</w:t>
      </w:r>
    </w:p>
    <w:p w14:paraId="79A21DB6"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Li J, Yan H. Skin toxicity with anti-EGFR monoclonal antibody in cancer patients: a meta-analysis of 65 randomized controlled trials. Cancer Chemother Pharmacol. 2018;82(4):571-583. doi:10.1007/s00280-018-3644-2</w:t>
      </w:r>
    </w:p>
    <w:p w14:paraId="5B5AD6A9"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Li J, Gu J. Rash and Pruritus With PD-1 Inhibitors in Cancer Patients: A Meta-Analysis of Randomized Controlled Trials. J Clin Pharmacol. 2019;59(1):45-54. doi:10.1002/jcph.1291</w:t>
      </w:r>
    </w:p>
    <w:p w14:paraId="46EA01DD"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Zhao J, Xia Y, Kaminski J, et al. Treatment-Related Death during Concurrent Chemoradiotherapy for Locally Advanced Non-Small Cell Lung Cancer: A Meta-Analysis of Randomized Studies. PLoS One. 2016;11(6):e0157455. Published 2016 Jun 14. doi:10.1371/journal.pone.0157455</w:t>
      </w:r>
    </w:p>
    <w:p w14:paraId="1A56476A"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Schneider-Thoma J, Efthimiou O, Huhn M, et al. Second-generation antipsychotic drugs and short-term mortality: a systematic review and meta-analysis of placebo-controlled randomised controlled trials. Lancet Psychiatry. 2018;5(8):653-663. doi:10.1016/S2215-0366(18)30177-9</w:t>
      </w:r>
    </w:p>
    <w:p w14:paraId="7AFE75F6"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Schneider-Thoma J, Efthimiou O, Bighelli I, et al. Second-generation antipsychotic drugs and short-term somatic serious adverse events: a systematic review and meta-analysis. Lancet Psychiatry. 2019;6(9):753-765. doi:10.1016/S2215-0366(19)30223-8</w:t>
      </w:r>
    </w:p>
    <w:p w14:paraId="0F005103"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Man J, Ritchie G, Links M, Lord S, Lee CK. Treatment-related toxicities of immune checkpoint inhibitors in advanced cancers: A meta-analysis. Asia Pac J Clin Oncol. 2018;14(3):141-152. </w:t>
      </w:r>
      <w:r w:rsidRPr="000A44A4">
        <w:rPr>
          <w:rFonts w:ascii="Times New Roman" w:eastAsia="宋体" w:hAnsi="Times New Roman" w:cs="Times New Roman"/>
          <w:szCs w:val="21"/>
        </w:rPr>
        <w:lastRenderedPageBreak/>
        <w:t>doi:10.1111/ajco.12838</w:t>
      </w:r>
    </w:p>
    <w:p w14:paraId="1A309045"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Stassijns J, Bollaerts K, Baay M, Verstraeten T. A systematic review and meta-analysis on the safety of newly adjuvanted vaccines among children. Vaccine. 2016;34(6):714-722. doi:10.1016/j.vaccine.2015.12.024</w:t>
      </w:r>
    </w:p>
    <w:p w14:paraId="541B7909"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de Resende JA Júnior, Cavalini LT, Crispi CP, de Freitas Fonseca M. Risk of urinary retention after nerve-sparing surgery for deep infiltrating endometriosis: A systematic review and meta-analysis. Neurourol Urodyn. 2017;36(1):57-61. doi:10.1002/nau.22915</w:t>
      </w:r>
    </w:p>
    <w:p w14:paraId="3CFF4388"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Berstock JR, Blom AW, Beswick AD. A systematic review and meta-analysis of complications following the posterior and lateral surgical approaches to total hip arthroplasty. Ann R Coll Surg Engl. 2015;97(1):11-16. doi:10.1308/003588414X13946184904008</w:t>
      </w:r>
    </w:p>
    <w:p w14:paraId="27CE9C83"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Dai J, Belum VR, Wu S, Sibaud V, Lacouture ME. Pigmentary changes in patients treated with targeted anticancer agents: A systematic review and meta-analysis. J Am Acad Dermatol. 2017;77(5):902-910.e2. doi:10.1016/j.jaad.2017.06.044</w:t>
      </w:r>
    </w:p>
    <w:p w14:paraId="3C571AD7"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Vavken J, Mameghani A, Vavken P, Schaeren S. Complications and cancer rates in spine fusion with recombinant human bone morphogenetic protein-2 (rhBMP-2). Eur Spine J. 2016;25(12):3979-3989. doi:10.1007/s00586-015-3870-9</w:t>
      </w:r>
    </w:p>
    <w:p w14:paraId="74AD8E5B"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Jesson J, Dahourou DL, Renaud F, Penazzato M, Leroy V. Adverse events associated with abacavir use in HIV-infected children and adolescents: a systematic review and meta-analysis. Lancet HIV. 2016;3(2):e64-e75. doi:10.1016/S2352-3018(15)00225-8</w:t>
      </w:r>
    </w:p>
    <w:p w14:paraId="413B3A9C"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Jiang J, Zou J, Ma H, et al. Network Meta-analysis of Randomized Trials on the Safety of Vascular Closure Devices for Femoral Arterial Puncture Site Haemostasis. Sci Rep. 2015;5:13761. Published 2015 Sep 8. doi:10.1038/srep13761</w:t>
      </w:r>
    </w:p>
    <w:p w14:paraId="18444EC3"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Johansen KGV, Tarp S, Astrup A, Lund H, Pagsberg AK, Christensen R. Harms associated with taking nalmefene for substance use and impulse control disorders: A systematic review and meta-analysis of randomised controlled trials. PLoS One. 2017;12(8):e0183821. Published 2017 Aug 29. doi:10.1371/journal.pone.0183821</w:t>
      </w:r>
    </w:p>
    <w:p w14:paraId="0F8E4B63"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Mattishent K, Thavarajah M, Sinha A, et al. Safety of 80% vs 30-35% fraction of inspired oxygen in patients undergoing surgery: a systematic review and meta-analysis. Br J Anaesth. 2019;122(3):311-324. doi:10.1016/j.bja.2018.11.026</w:t>
      </w:r>
    </w:p>
    <w:p w14:paraId="60EEBF73"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Zarrabi K, Wu S. Risk of Liver Toxicity with Nivolumab Immunotherapy in Cancer Patients. </w:t>
      </w:r>
      <w:r w:rsidRPr="000A44A4">
        <w:rPr>
          <w:rFonts w:ascii="Times New Roman" w:eastAsia="宋体" w:hAnsi="Times New Roman" w:cs="Times New Roman"/>
          <w:szCs w:val="21"/>
        </w:rPr>
        <w:lastRenderedPageBreak/>
        <w:t>Oncology. 2018;94(5):259-273. doi:10.1159/000486679</w:t>
      </w:r>
    </w:p>
    <w:p w14:paraId="4233783E"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Dahal K, Sharma S, Yousuf A, et al. A comparison of standard versus low dose heparin on access-related complications after coronary angiography through radial access: A meta-analysis of randomized controlled trials. Cardiovasc Revasc Med. 2018;19(5 Pt B):575-579. doi:10.1016/j.carrev.2017.10.018</w:t>
      </w:r>
    </w:p>
    <w:p w14:paraId="4B98B7B7"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Lao KS, He Y, Wong IC, Besag FM, Chan EW. Tolerability and Safety Profile of Cariprazine in Treating Psychotic Disorders, Bipolar Disorder and Major Depressive Disorder: A Systematic Review with Meta-Analysis of Randomized Controlled Trials. CNS Drugs. 2016;30(11):1043-1054. doi:10.1007/s40263-016-0382-z</w:t>
      </w:r>
    </w:p>
    <w:p w14:paraId="3CCCD57A"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Thong KM, Chan TM. Infectious complications in lupus nephritis treatment: a systematic review and meta-analysis. Lupus. 2019;28(3):334-346. doi:10.1177/0961203319829817</w:t>
      </w:r>
    </w:p>
    <w:p w14:paraId="192675AD"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Almpani K, Papageorgiou SN, Papadopoulos MA. Autotransplantation of teeth in humans: a systematic review and meta-analysis. Clin Oral Investig. 2015;19(6):1157-1179. doi:10.1007/s00784-015-1473-9</w:t>
      </w:r>
    </w:p>
    <w:p w14:paraId="737D24D8"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Katsanos K, Spiliopoulos S, Kitrou P, Krokidis M, Karnabatidis D. Risk of Death Following Application of Paclitaxel-Coated Balloons and Stents in the Femoropopliteal Artery of the Leg: A Systematic Review and Meta-Analysis of Randomized Controlled Trials. J Am Heart Assoc. 2018;7(24):e011245. doi:10.1161/JAHA.118.011245</w:t>
      </w:r>
    </w:p>
    <w:p w14:paraId="22FB58BF"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Dinh K, Limmer AM, Paravastu SCV, et al. Mortality After Paclitaxel-Coated Device Use in Dialysis Access: A Systematic Review and Meta-Analysis. J Endovasc Ther. 2019;26(5):600-612. doi:10.1177/1526602819872154</w:t>
      </w:r>
    </w:p>
    <w:p w14:paraId="1F886EFB"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Abdelaziz HK, Megaly M, Debski M, et al. Meta-Analysis Comparing Percutaneous to Surgical Access in Trans-Femoral Transcatheter Aortic Valve Implantation. Am J Cardiol. 2020;125(8):1239-1248. doi:10.1016/j.amjcard.2020.01.021</w:t>
      </w:r>
    </w:p>
    <w:p w14:paraId="5016539F"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Shah K, Chaker Z, Busu T, et al. Meta-Analysis Comparing Renal Outcomes after Transcatheter versus Surgical Aortic Valve Replacement. J Interv Cardiol. 2019;2019:3537256. Published 2019 Apr 24. doi:10.1155/2019/3537256</w:t>
      </w:r>
    </w:p>
    <w:p w14:paraId="0392DCB2"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Thomas KH, Martin RM, Knipe DW, Higgins JP, Gunnell D. Risk of neuropsychiatric adverse events associated with varenicline: systematic review and meta-analysis. BMJ. 2015;350:h1109. Published 2015 Mar 12. doi:10.1136/bmj.h1109</w:t>
      </w:r>
    </w:p>
    <w:p w14:paraId="34295BA7"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lastRenderedPageBreak/>
        <w:t>Khoja L, Day D, Wei-Wu Chen T, Siu LL, Hansen AR. Tumour- and class-specific patterns of immune-related adverse events of immune checkpoint inhibitors: a systematic review. Ann Oncol. 2017;28(10):2377-2385. doi:10.1093/annonc/mdx286</w:t>
      </w:r>
    </w:p>
    <w:p w14:paraId="31ADD7FB"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Luo L, Yuan X, Huang W, et al. Safety of coadministration of ezetimibe and statins in patients with hypercholesterolaemia: a meta-analysis. Intern Med J. 2015;45(5):546-557. doi:10.1111/imj.12706</w:t>
      </w:r>
    </w:p>
    <w:p w14:paraId="75438881"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la Chapelle CF, Swank HA, Wessels ME, Mol BW, Rubinstein SM, Jansen FW. Trocar types in laparoscopy. Cochrane Database Syst Rev. 2015;(12):CD009814. Published 2015 Dec 16. doi:10.1002/14651858.CD009814.pub2</w:t>
      </w:r>
    </w:p>
    <w:p w14:paraId="3AD8B247"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Touma L, Filion KB, Atallah R, Eberg M, Eisenberg MJ. A meta-analysis of randomized controlled trials of the risk of bleeding with apixaban versus vitamin K antagonists. Am J Cardiol. 2015;115(4):533-541. doi:10.1016/j.amjcard.2014.11.039</w:t>
      </w:r>
    </w:p>
    <w:p w14:paraId="263C198C"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Quagliato LA, Cosci F, Shader RI, et al. Selective serotonin reuptake inhibitors and benzodiazepines in panic disorder: A meta-analysis of common side effects in acute treatment. J Psychopharmacol. 2019;33(11):1340-1351. doi:10.1177/0269881119859372</w:t>
      </w:r>
    </w:p>
    <w:p w14:paraId="6AACDBD6"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Azoulay L, Suissa S. Sulfonylureas and the Risks of Cardiovascular Events and Death: A Methodological Meta-Regression Analysis of the Observational Studies. Diabetes Care. 2017;40(5):706-714. doi:10.2337/dc16-1943</w:t>
      </w:r>
    </w:p>
    <w:p w14:paraId="047A81A1"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Sterling LH, Windle SB, Filion KB, Touma L, Eisenberg MJ. Varenicline and Adverse Cardiovascular Events: A Systematic Review and Meta-Analysis of Randomized Controlled Trials. J Am Heart Assoc. 2016;5(2):e002849. Published 2016 Feb 22. doi:10.1161/JAHA.115.002849</w:t>
      </w:r>
    </w:p>
    <w:p w14:paraId="6ACBABA4"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李志霞</w:t>
      </w:r>
      <w:r w:rsidRPr="000A44A4">
        <w:rPr>
          <w:rFonts w:ascii="Times New Roman" w:eastAsia="宋体" w:hAnsi="Times New Roman" w:cs="Times New Roman"/>
          <w:szCs w:val="21"/>
        </w:rPr>
        <w:t>,</w:t>
      </w:r>
      <w:r w:rsidRPr="000A44A4">
        <w:rPr>
          <w:rFonts w:ascii="Times New Roman" w:eastAsia="宋体" w:hAnsi="Times New Roman" w:cs="Times New Roman"/>
          <w:szCs w:val="21"/>
        </w:rPr>
        <w:t>武珊珊</w:t>
      </w:r>
      <w:r w:rsidRPr="000A44A4">
        <w:rPr>
          <w:rFonts w:ascii="Times New Roman" w:eastAsia="宋体" w:hAnsi="Times New Roman" w:cs="Times New Roman"/>
          <w:szCs w:val="21"/>
        </w:rPr>
        <w:t>,</w:t>
      </w:r>
      <w:r w:rsidRPr="000A44A4">
        <w:rPr>
          <w:rFonts w:ascii="Times New Roman" w:eastAsia="宋体" w:hAnsi="Times New Roman" w:cs="Times New Roman"/>
          <w:szCs w:val="21"/>
        </w:rPr>
        <w:t>杨智荣</w:t>
      </w:r>
      <w:r w:rsidRPr="000A44A4">
        <w:rPr>
          <w:rFonts w:ascii="Times New Roman" w:eastAsia="宋体" w:hAnsi="Times New Roman" w:cs="Times New Roman"/>
          <w:szCs w:val="21"/>
        </w:rPr>
        <w:t>,</w:t>
      </w:r>
      <w:r w:rsidRPr="000A44A4">
        <w:rPr>
          <w:rFonts w:ascii="Times New Roman" w:eastAsia="宋体" w:hAnsi="Times New Roman" w:cs="Times New Roman"/>
          <w:szCs w:val="21"/>
        </w:rPr>
        <w:t>詹思延</w:t>
      </w:r>
      <w:r w:rsidRPr="000A44A4">
        <w:rPr>
          <w:rFonts w:ascii="Times New Roman" w:eastAsia="宋体" w:hAnsi="Times New Roman" w:cs="Times New Roman"/>
          <w:szCs w:val="21"/>
        </w:rPr>
        <w:t>,</w:t>
      </w:r>
      <w:r w:rsidRPr="000A44A4">
        <w:rPr>
          <w:rFonts w:ascii="Times New Roman" w:eastAsia="宋体" w:hAnsi="Times New Roman" w:cs="Times New Roman"/>
          <w:szCs w:val="21"/>
        </w:rPr>
        <w:t>孙凤</w:t>
      </w:r>
      <w:r w:rsidRPr="000A44A4">
        <w:rPr>
          <w:rFonts w:ascii="Times New Roman" w:eastAsia="宋体" w:hAnsi="Times New Roman" w:cs="Times New Roman"/>
          <w:szCs w:val="21"/>
        </w:rPr>
        <w:t>.</w:t>
      </w:r>
      <w:r w:rsidRPr="000A44A4">
        <w:rPr>
          <w:rFonts w:ascii="Times New Roman" w:eastAsia="宋体" w:hAnsi="Times New Roman" w:cs="Times New Roman"/>
          <w:szCs w:val="21"/>
        </w:rPr>
        <w:t>胰高血糖素样肽</w:t>
      </w:r>
      <w:r w:rsidRPr="000A44A4">
        <w:rPr>
          <w:rFonts w:ascii="Times New Roman" w:eastAsia="宋体" w:hAnsi="Times New Roman" w:cs="Times New Roman"/>
          <w:szCs w:val="21"/>
        </w:rPr>
        <w:t>1</w:t>
      </w:r>
      <w:r w:rsidRPr="000A44A4">
        <w:rPr>
          <w:rFonts w:ascii="Times New Roman" w:eastAsia="宋体" w:hAnsi="Times New Roman" w:cs="Times New Roman"/>
          <w:szCs w:val="21"/>
        </w:rPr>
        <w:t>受体激动剂类降糖药致</w:t>
      </w:r>
      <w:r w:rsidRPr="000A44A4">
        <w:rPr>
          <w:rFonts w:ascii="Times New Roman" w:eastAsia="宋体" w:hAnsi="Times New Roman" w:cs="Times New Roman"/>
          <w:szCs w:val="21"/>
        </w:rPr>
        <w:t>2</w:t>
      </w:r>
      <w:r w:rsidRPr="000A44A4">
        <w:rPr>
          <w:rFonts w:ascii="Times New Roman" w:eastAsia="宋体" w:hAnsi="Times New Roman" w:cs="Times New Roman"/>
          <w:szCs w:val="21"/>
        </w:rPr>
        <w:t>型糖尿病患者鼻咽炎和上呼吸道感染的网状</w:t>
      </w:r>
      <w:r w:rsidRPr="000A44A4">
        <w:rPr>
          <w:rFonts w:ascii="Times New Roman" w:eastAsia="宋体" w:hAnsi="Times New Roman" w:cs="Times New Roman"/>
          <w:szCs w:val="21"/>
        </w:rPr>
        <w:t>meta</w:t>
      </w:r>
      <w:r w:rsidRPr="000A44A4">
        <w:rPr>
          <w:rFonts w:ascii="Times New Roman" w:eastAsia="宋体" w:hAnsi="Times New Roman" w:cs="Times New Roman"/>
          <w:szCs w:val="21"/>
        </w:rPr>
        <w:t>分析</w:t>
      </w:r>
      <w:r w:rsidRPr="000A44A4">
        <w:rPr>
          <w:rFonts w:ascii="Times New Roman" w:eastAsia="宋体" w:hAnsi="Times New Roman" w:cs="Times New Roman"/>
          <w:szCs w:val="21"/>
        </w:rPr>
        <w:t>[J].</w:t>
      </w:r>
      <w:r w:rsidRPr="000A44A4">
        <w:rPr>
          <w:rFonts w:ascii="Times New Roman" w:eastAsia="宋体" w:hAnsi="Times New Roman" w:cs="Times New Roman"/>
          <w:szCs w:val="21"/>
        </w:rPr>
        <w:t>北京大学学报</w:t>
      </w:r>
      <w:r w:rsidRPr="000A44A4">
        <w:rPr>
          <w:rFonts w:ascii="Times New Roman" w:eastAsia="宋体" w:hAnsi="Times New Roman" w:cs="Times New Roman"/>
          <w:szCs w:val="21"/>
        </w:rPr>
        <w:t>(</w:t>
      </w:r>
      <w:r w:rsidRPr="000A44A4">
        <w:rPr>
          <w:rFonts w:ascii="Times New Roman" w:eastAsia="宋体" w:hAnsi="Times New Roman" w:cs="Times New Roman"/>
          <w:szCs w:val="21"/>
        </w:rPr>
        <w:t>医学版</w:t>
      </w:r>
      <w:r w:rsidRPr="000A44A4">
        <w:rPr>
          <w:rFonts w:ascii="Times New Roman" w:eastAsia="宋体" w:hAnsi="Times New Roman" w:cs="Times New Roman"/>
          <w:szCs w:val="21"/>
        </w:rPr>
        <w:t>),2016,48(03):454-459.</w:t>
      </w:r>
    </w:p>
    <w:p w14:paraId="2284AE96"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Peng L, Ye X, Zhou Y, Zhang J, Zhao Q. Meta-analysis of incidence and risk of peripheral neuropathy associated with intravenous bortezomib. Support Care Cancer. 2015;23(9):2813-2824. doi:10.1007/s00520-015-2648-2</w:t>
      </w:r>
    </w:p>
    <w:p w14:paraId="572A7BA5"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Peng L, Zhou Y, Ye X, Zhao Q. Treatment-related fatigue with everolimus and temsirolimus in patients with cancer-a meta-analysis of clinical trials. Tumour Biol. 2015;36(2):643-654. </w:t>
      </w:r>
      <w:r w:rsidRPr="000A44A4">
        <w:rPr>
          <w:rFonts w:ascii="Times New Roman" w:eastAsia="宋体" w:hAnsi="Times New Roman" w:cs="Times New Roman"/>
          <w:szCs w:val="21"/>
        </w:rPr>
        <w:lastRenderedPageBreak/>
        <w:t>doi:10.1007/s13277-014-2669-3</w:t>
      </w:r>
    </w:p>
    <w:p w14:paraId="13D649E7"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Peng L, Bu Z, Ye X, Zhou Y, Zhao Q. Incidence and risk of peripheral neuropathy with nab-paclitaxel in patients with cancer: a meta-analysis. Eur J Cancer Care (Engl). 2017;26(5):10.1111/ecc.12407. doi:10.1111/ecc.12407</w:t>
      </w:r>
    </w:p>
    <w:p w14:paraId="1EDDD80B"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Li L, Zhang Z, Yao Z, et al. The impact of laryngeal mask versus other airways on perioperative respiratory adverse events in children: A systematic review and meta-analysis of randomized controlled trials. Int J Surg. 2019;64:40-48. doi:10.1016/j.ijsu.2019.02.020</w:t>
      </w:r>
    </w:p>
    <w:p w14:paraId="3FB5EF85"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Hou LQ, Jiang GX, Chen YF, et al. The Comparative Safety of TNF Inhibitors in Ankylosing Spondylitis-a Meta-Analysis Update of 14 Randomized Controlled Trials. Clin Rev Allergy Immunol. 2018;54(2):234-243. doi:10.1007/s12016-017-8623-6</w:t>
      </w:r>
    </w:p>
    <w:p w14:paraId="41B28CC5"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Li L, Li Y, Xu X, et al. Safety evaluation on low-molecular-weight hydroxyethyl starch for volume expansion therapy in pediatric patients: a meta-analysis of randomized controlled trials. Crit Care. 2015;19(1):79. Published 2015 Mar 10. doi:10.1186/s13054-015-0815-y</w:t>
      </w:r>
    </w:p>
    <w:p w14:paraId="79CF3808"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Kassem L, Shohdy KS, Lasheen S, Abdel-Rahman O, Bachelot T. Hematological adverse effects in breast cancer patients treated with cyclin-dependent kinase 4 and 6 inhibitors: a systematic review and meta-analysis. Breast Cancer. 2018;25(1):17-27. doi:10.1007/s12282-017-0818-4</w:t>
      </w:r>
    </w:p>
    <w:p w14:paraId="1DA57C46"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Furuya-Kanamori L, Doi SA, Onitilo A, Akhtar S. Is there truly an increase in risk of cardiovascular and hematological adverse events with vascular endothelial growth factor receptor tyrosine kinase inhibitors?. Expert Opin Drug Saf. 2020;19(2):223-228. doi:10.1080/14740338.2020.1691167</w:t>
      </w:r>
    </w:p>
    <w:p w14:paraId="709D5C86"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Tandan M, Cormican M, Vellinga A. Adverse events of fluoroquinolones vs. other antimicrobials prescribed in primary care: A systematic review and meta-analysis of randomized controlled trials. Int J Antimicrob Agents. 2018;52(5):529-540. doi:10.1016/j.ijantimicag.2018.04.014</w:t>
      </w:r>
    </w:p>
    <w:p w14:paraId="5FF36B60"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de La Forest Divonne M, Gottenberg JE, Salliot C. Safety of biologic DMARDs in RA patients in real life: A systematic literature review and meta-analyses of biologic registers. Joint Bone Spine. 2017;84(2):133-140. doi:10.1016/j.jbspin.2016.02.028</w:t>
      </w:r>
    </w:p>
    <w:p w14:paraId="186B34E5"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Bakheet MF, Pearce LA, Hart RG. Effect of addition of clopidogrel to aspirin on subdural hematoma: meta-analysis of randomized clinical trials. Int J Stroke. 2015;10(4):501-505. </w:t>
      </w:r>
      <w:r w:rsidRPr="000A44A4">
        <w:rPr>
          <w:rFonts w:ascii="Times New Roman" w:eastAsia="宋体" w:hAnsi="Times New Roman" w:cs="Times New Roman"/>
          <w:szCs w:val="21"/>
        </w:rPr>
        <w:lastRenderedPageBreak/>
        <w:t>doi:10.1111/ijs.12419</w:t>
      </w:r>
    </w:p>
    <w:p w14:paraId="63D8E1B2"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Gillies M, Ranakusuma A, Hoffmann T, et al. Common harms from amoxicillin: a systematic review and meta-analysis of randomized placebo-controlled trials for any indication. CMAJ. 2015;187(1):E21-E31. doi:10.1503/cmaj.140848</w:t>
      </w:r>
    </w:p>
    <w:p w14:paraId="125765D3"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Lalu MM, Fayad A, Ahmed O, et al. Ultrasound-Guided Subclavian Vein Catheterization: A Systematic Review and Meta-Analysis. Crit Care Med. 2015;43(7):1498-1507. doi:10.1097/CCM.0000000000000973</w:t>
      </w:r>
    </w:p>
    <w:p w14:paraId="3DEA024E"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Baay M, Bollaerts K, Verstraeten T. A systematic review and meta-analysis on the safety of newly adjuvanted vaccines among older adults. Vaccine. 2018;36(29):4207-4214. doi:10.1016/j.vaccine.2018.06.004</w:t>
      </w:r>
    </w:p>
    <w:p w14:paraId="55673C15"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Ceresoli M, Tamini N, Gianotti L, Braga M, Nespoli L. Are endoscopic loop ties safe even in complicated acute appendicitis? A systematic review and meta-analysis. Int J Surg. 2019;68:40-47. doi:10.1016/j.ijsu.2019.06.011</w:t>
      </w:r>
    </w:p>
    <w:p w14:paraId="7478D1FC"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Miroddi M, Sterrantino C, Simonelli I, Ciminata G, Phillips RS, Calapai G. Risk of grade 3-4 diarrhea and mucositis in colorectal cancer patients receiving anti-EGFR monoclonal antibodies regimens: A meta-analysis of 18 randomized controlled clinical trials. Crit Rev Oncol Hematol. 2015;96(2):355-371. doi:10.1016/j.critrevonc.2015.06.004</w:t>
      </w:r>
    </w:p>
    <w:p w14:paraId="5A1CA103"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Miroddi M, Sterrantino C, Simmonds M, et al. Systematic review and meta-analysis of the risk of severe and life-threatening thromboembolism in cancer patients receiving anti-EGFR monoclonal antibodies (cetuximab or panitumumab). Int J Cancer. 2016;139(10):2370-2380. doi:10.1002/ijc.30280</w:t>
      </w:r>
    </w:p>
    <w:p w14:paraId="1759E2A8"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Pozzi M, Carnovale C, Peeters GGAM, et al. Adverse drug events related to mood and emotion in paediatric patients treated for ADHD: A meta-analysis. J Affect Disord. 2018;238:161-178. doi:10.1016/j.jad.2018.05.021</w:t>
      </w:r>
    </w:p>
    <w:p w14:paraId="6E591674"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Dore MP, Bibbò S, Fresi G, Bassotti G, Pes GM. Side Effects Associated with Probiotic Use in Adult Patients with Inflammatory Bowel Disease: A Systematic Review and Meta-Analysis of Randomized Controlled Trials. Nutrients. 2019;11(12):2913. Published 2019 Dec 2. doi:10.3390/nu11122913</w:t>
      </w:r>
    </w:p>
    <w:p w14:paraId="6ABF4EA8"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Johnstone MS. Vertical Rectus Abdominis Myocutaneous Versus Alternative Flaps for Perineal Repair After Abdominoperineal Excision of the Rectum in the Era of Laparoscopic Surgery. </w:t>
      </w:r>
      <w:r w:rsidRPr="000A44A4">
        <w:rPr>
          <w:rFonts w:ascii="Times New Roman" w:eastAsia="宋体" w:hAnsi="Times New Roman" w:cs="Times New Roman"/>
          <w:szCs w:val="21"/>
        </w:rPr>
        <w:lastRenderedPageBreak/>
        <w:t>Ann Plast Surg. 2017;79(1):101-106. doi:10.1097/SAP.0000000000001137</w:t>
      </w:r>
    </w:p>
    <w:p w14:paraId="4839803C"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Parker M, Raval P, Gjertsen JE. Nail or plate fixation for A3 trochanteric hip fractures: A systematic review of randomised controlled trials. Injury. 2018;49(7):1319-1323. doi:10.1016/j.injury.2018.05.017</w:t>
      </w:r>
    </w:p>
    <w:p w14:paraId="60F96BA4"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Franchini M, Mengoli C, Marietta M, et al. Safety of intravenous tranexamic acid in patients undergoing majororthopaedic surgery: a meta-analysis of randomised controlled trials. Blood Transfus. 2018;16(1):36-43. doi:10.2450//2017.0219-17</w:t>
      </w:r>
    </w:p>
    <w:p w14:paraId="5BA3575B"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Mathew PJ, Mathew JL. Early versus late removal of the laryngeal mask airway (LMA) for general anaesthesia. Cochrane Database Syst Rev. 2015;(8):CD007082. Published 2015 Aug 10. doi:10.1002/14651858.CD007082.pub2</w:t>
      </w:r>
    </w:p>
    <w:p w14:paraId="245B23AA"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Holmskov M, Storebø OJ, Moreira-Maia CR, et al. Gastrointestinal adverse events during methylphenidate treatment of children and adolescents with attention deficit hyperactivity disorder: A systematic review with meta-analysis and Trial Sequential Analysis of randomised clinical trials. PLoS One. 2017;12(6):e0178187. Published 2017 Jun 15. doi:10.1371/journal.pone.0178187</w:t>
      </w:r>
    </w:p>
    <w:p w14:paraId="5773EFEC"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Monami M, Nreu B, Zannoni S, Lualdi C, Mannucci E. Effects of SGLT-2 inhibitors on diabetic ketoacidosis: A meta-analysis of randomised controlled trials. Diabetes Res Clin Pract. 2017;130:53-60. doi:10.1016/j.diabres.2017.04.017</w:t>
      </w:r>
    </w:p>
    <w:p w14:paraId="15C80F4C"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Monami M, Nreu B, Scatena A, et al. Safety issues with glucagon-like peptide-1 receptor agonists (pancreatitis, pancreatic cancer and cholelithiasis): Data from randomized controlled trials. Diabetes Obes Metab. 2017;19(9):1233-1241. doi:10.1111/dom.12926</w:t>
      </w:r>
    </w:p>
    <w:p w14:paraId="36FF92ED"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Santoni M, Guerra F, Conti A, et al. Incidence and risk of cardiotoxicity in cancer patients treated with targeted therapies. Cancer Treat Rev. 2017;59:123-131. doi:10.1016/j.ctrv.2017.07.006</w:t>
      </w:r>
    </w:p>
    <w:p w14:paraId="05B47068"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Totzeck M, Mincu RI, Rassaf T. Cardiovascular Adverse Events in Patients With Cancer Treated With Bevacizumab: A Meta-Analysis of More Than 20 000 Patients. J Am Heart Assoc. 2017;6(8):e006278. Published 2017 Aug 10. doi:10.1161/JAHA.117.006278</w:t>
      </w:r>
    </w:p>
    <w:p w14:paraId="7649053E"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Mazaud C, Fardet L. Relative risk of and determinants for adverse events of methotrexate prescribed at a low dose: a systematic review and meta-analysis of randomized placebo-controlled trials. Br J Dermatol. 2017;177(4):978-986. doi:10.1111/bjd.15377</w:t>
      </w:r>
    </w:p>
    <w:p w14:paraId="6A5B15F4"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lastRenderedPageBreak/>
        <w:t>Cao M, Li F, Wang Y, Zhang J. Treatment-related serious adverse events and fatal adverse events with regorafenib in cancer patients: a meta-analysis of phase 3 randomized controlled trials. Invest New Drugs. 2017;35(6):834-838. doi:10.1007/s10637-017-0512-6</w:t>
      </w:r>
    </w:p>
    <w:p w14:paraId="43662A5A"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Brener MI, Bush A, Miller JM, Hasan RK. Influence of radial versus femoral access site on coronary angiography and intervention outcomes: A systematic review and meta-analysis. Catheter Cardiovasc Interv. 2017;90(7):1093-1104. doi:10.1002/ccd.27043</w:t>
      </w:r>
    </w:p>
    <w:p w14:paraId="41738A13"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Inokuchi M, Otsuki S, Fujimori Y, Sato Y, Nakagawa M, Kojima K. Systematic review of anastomotic complications of esophagojejunostomy after laparoscopic total gastrectomy. World J Gastroenterol. 2015;21(32):9656-9665. doi:10.3748/wjg.v21.i32.9656</w:t>
      </w:r>
    </w:p>
    <w:p w14:paraId="0884CA68"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Inokuchi M, Sugita H, Otsuki S, Sato Y, Nakagawa M, Kojima K. Laparoscopic distal gastrectomy reduced surgical site infection as compared with open distal gastrectomy for gastric cancer in a meta-analysis of both randomized controlled and case-controlled studies. Int J Surg. 2015;15:61-67. doi:10.1016/j.ijsu.2015.01.030</w:t>
      </w:r>
    </w:p>
    <w:p w14:paraId="6955A08A"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Xu M, Nie Y, Yang Y, Lu YT, Su Q. Risk of Neurological Toxicities Following the Use of Different Immune Checkpoint Inhibitor Regimens in Solid Tumors: A Systematic Review and Meta-analysis. Neurologist. 2019;24(3):75-83. doi:10.1097/NRL.0000000000000230</w:t>
      </w:r>
    </w:p>
    <w:p w14:paraId="14FCC725"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Yang M, Zhang Y, Chen H, Lin J, Zeng J, Xu Z. Inhaled corticosteroids and risk of upper respiratory tract infection in patients with asthma: a meta-analysis. Infection. 2019;47(3):377-385. doi:10.1007/s15010-018-1229-y</w:t>
      </w:r>
    </w:p>
    <w:p w14:paraId="40709754"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Buller M, Schulz S, Kasdan M, Wilhelmi BJ. The Incidence of Complex Regional Pain Syndrome in Simultaneous Surgical Treatment of Carpal Tunnel Syndrome and Dupuytren Contracture. Hand (N Y). 2018;13(4):391-394. doi:10.1177/1558944717718345</w:t>
      </w:r>
    </w:p>
    <w:p w14:paraId="3A6A56E5"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Rahouma M, Karim NA, Baudo M, et al. Cardiotoxicity with immune system targeting drugs: a meta-analysis of anti-PD/PD-L1 immunotherapy randomized clinical trials. Immunotherapy. 2019;11(8):725-735. doi:10.2217/imt-2018-0118</w:t>
      </w:r>
    </w:p>
    <w:p w14:paraId="1C945FD1"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Jalili M, Bahreini M, Doosti-Irani A, Masoomi R, Arbab M, Mirfazaelian H. Ketamine-propofol combination (ketofol) vs propofol for procedural sedation and analgesia: systematic review and meta-analysis. Am J Emerg Med. 2016;34(3):558-569. doi:10.1016/j.ajem.2015.12.074</w:t>
      </w:r>
    </w:p>
    <w:p w14:paraId="032C997D"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Ruzieh M, Moroi MK, Aboujamous NM, et al. Meta-Analysis Comparing the Relative Risk of </w:t>
      </w:r>
      <w:r w:rsidRPr="000A44A4">
        <w:rPr>
          <w:rFonts w:ascii="Times New Roman" w:eastAsia="宋体" w:hAnsi="Times New Roman" w:cs="Times New Roman"/>
          <w:szCs w:val="21"/>
        </w:rPr>
        <w:lastRenderedPageBreak/>
        <w:t>Adverse Events for Amiodarone Versus Placebo. Am J Cardiol. 2019;124(12):1889-1893. doi:10.1016/j.amjcard.2019.09.008</w:t>
      </w:r>
    </w:p>
    <w:p w14:paraId="61090B9A"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Bolton M, Hodkinson A, Boda S, et al. Serious adverse events reported in placebo randomised controlled trials of oral naltrexone: a systematic review and meta-analysis. BMC Med. 2019;17(1):10. Published 2019 Jan 15. doi:10.1186/s12916-018-1242-0</w:t>
      </w:r>
    </w:p>
    <w:p w14:paraId="330EFFD2"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Henriksen NA, Deerenberg EB, Venclauskas L, et al. Triclosan-coated sutures and surgical site infection in abdominal surgery: the TRISTAN review, meta-analysis and trial sequential analysis. Hernia. 2017;21(6):833-841. doi:10.1007/s10029-017-1681-0</w:t>
      </w:r>
    </w:p>
    <w:p w14:paraId="6178E2D8"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Ford N, Shubber Z, Pozniak A, et al. Comparative Safety and Neuropsychiatric Adverse Events Associated With Efavirenz Use in First-Line Antiretroviral Therapy: A Systematic Review and Meta-Analysis of Randomized Trials. J Acquir Immune Defic Syndr. 2015;69(4):422-429. doi:10.1097/QAI.0000000000000606</w:t>
      </w:r>
    </w:p>
    <w:p w14:paraId="75A36436"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Taglieri N, Bacchi Reggiani ML, Ghetti G, et al. Risk of Stroke in Patients with Stable Coronary Artery Disease Undergoing Percutaneous Coronary Intervention versus Optimal Medical Therapy: Systematic Review and Meta-Analysis of Randomized Controlled Trials. PLoS One. 2016;11(7):e0158769. Published 2016 Jul 8. doi:10.1371/journal.pone.0158769</w:t>
      </w:r>
    </w:p>
    <w:p w14:paraId="18487377"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Fuggle N, Curtis E, Shaw S, et al. Safety of Opioids in Osteoarthritis: Outcomes of a Systematic Review and Meta-Analysis. Drugs Aging. 2019;36(Suppl 1):129-143. doi:10.1007/s40266-019-00666-9</w:t>
      </w:r>
    </w:p>
    <w:p w14:paraId="2E825BD9"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Delanoy N, Pécuchet N, Fabre E, et al. Bleomycin-Induced Pneumonitis in the Treatment of Ovarian Sex Cord-Stromal Tumors: A Systematic Review and Meta-analysis. Int J Gynecol Cancer. 2015;25(9):1593-1598. doi:10.1097/IGC.0000000000000530</w:t>
      </w:r>
    </w:p>
    <w:p w14:paraId="5A0A4F79"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Riva N, Dentali F, Permunian ET, Ageno W. Major Bleeding and Case Fatality Rate with the Direct Oral Anticoagulants in Orthopedic Surgery: A Systematic Review and Meta-Analysis. Semin Thromb Hemost. 2016;42(1):42-54. doi:10.1055/s-0035-1568875</w:t>
      </w:r>
    </w:p>
    <w:p w14:paraId="5897C546"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Pecorelli N, Greco M, Amodeo S, Braga M. Small bowel obstruction and incisional hernia after laparoscopic and open colorectal surgery: a meta-analysis of comparative trials. Surg Endosc. 2017;31(1):85-99. doi:10.1007/s00464-016-4995-6</w:t>
      </w:r>
    </w:p>
    <w:p w14:paraId="5177F2FC"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Xia N, Wang H, Nie X. Inhaled Long-Acting β2-Agonists Do Not Increase Fatal Cardiovascular Adverse Events in COPD: A Meta-Analysis. PLoS One. 2015;10(9):e0137904. </w:t>
      </w:r>
      <w:r w:rsidRPr="000A44A4">
        <w:rPr>
          <w:rFonts w:ascii="Times New Roman" w:eastAsia="宋体" w:hAnsi="Times New Roman" w:cs="Times New Roman"/>
          <w:szCs w:val="21"/>
        </w:rPr>
        <w:lastRenderedPageBreak/>
        <w:t>Published 2015 Sep 17. doi:10.1371/journal.pone.0137904</w:t>
      </w:r>
    </w:p>
    <w:p w14:paraId="01B17E40"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Switzer NJ, Dykstra MA, Gill RS, et al. Endoscopic versus open component separation: systematic review and meta-analysis. Surg Endosc. 2015;29(4):787-795. doi:10.1007/s00464-014-3741-1</w:t>
      </w:r>
    </w:p>
    <w:p w14:paraId="1145026B"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Yamaguchi N, Fujii T, Aoi S, Kozuch PS, Hortobagyi GN, Blum RH. Comparison of cardiac events associated with liposomal doxorubicin, epirubicin and doxorubicin in breast cancer: a Bayesian network meta-analysis. Eur J Cancer. 2015;51(16):2314-2320. doi:10.1016/j.ejca.2015.07.031</w:t>
      </w:r>
    </w:p>
    <w:p w14:paraId="1F7A79F3"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Craveiro NS, Silva Lopes B, Tomás L, et al. L-TRUST: Long-term risk of cancer in patients under statins therapy. A systematic review and meta-analysis. Pharmacoepidemiol Drug Saf. 2019;28(11):1431-1439. doi:10.1002/pds.4895</w:t>
      </w:r>
    </w:p>
    <w:p w14:paraId="38A516CD"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Egunsola O, Choonara I, Sammons HM. Safety of lamotrigine in paediatrics: a systematic review. BMJ Open. 2015;5(6):e007711. Published 2015 Jun 12. doi:10.1136/bmjopen-2015-007711</w:t>
      </w:r>
    </w:p>
    <w:p w14:paraId="306880CE"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Abdel-Rahman O, Oweira H, Petrausch U, et al. Immune-related ocular toxicities in solid tumor patients treated with immune checkpoint inhibitors: a systematic review. Expert Rev Anticancer Ther. 2017;17(4):387-394. doi:10.1080/14737140.2017.1296765</w:t>
      </w:r>
    </w:p>
    <w:p w14:paraId="34221981"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Abdel-Rahman O, ElHalawani H. Risk of hematological toxicities in patients with solid tumors treated with ramucirumab: a meta-analysis. Future Oncol. 2015;11(21):2949-2961. doi:10.2217/fon.15.178</w:t>
      </w:r>
    </w:p>
    <w:p w14:paraId="1B394C52"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Abdel-Rahman O, ElHalawani H, Fouad M. Risk of gastrointestinal complications in cancer patients treated with immune checkpoint inhibitors: a meta-analysis. Immunotherapy. 2015;7(11):1213-1227. doi:10.2217/imt.15.87</w:t>
      </w:r>
    </w:p>
    <w:p w14:paraId="0031B332"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Abdel-Rahman O, Fouad M. Risk of oral and gastrointestinal mucosal injury in patients with solid tumors treated with everolimus, temsirolimus or ridaforolimus: a comparative systematic review and meta-analysis. Expert Rev Anticancer Ther. 2015;15(7):847-858. doi:10.1586/14737140.2015.1047350</w:t>
      </w:r>
    </w:p>
    <w:p w14:paraId="0DB42AA2"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Abdel-Rahman O, Fouad M. Risk of mucocutaneous toxicities in patients with solid tumors treated with lapatinib: a systematic review and meta-analysis. Curr Med Res Opin. 2015;31(5):975-986. doi:10.1185/03007995.2015.1020367</w:t>
      </w:r>
    </w:p>
    <w:p w14:paraId="53D4356F"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lastRenderedPageBreak/>
        <w:t>Abdel-Rahman O, ElHalawani H. Risk of cardiovascular adverse events in patients with solid tumors treated with ramucirumab: A meta analysis and summary of other VEGF targeted agents. Crit Rev Oncol Hematol. 2016;102:89-100. doi:10.1016/j.critrevonc.2016.04.003</w:t>
      </w:r>
    </w:p>
    <w:p w14:paraId="0F12CE75"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Abdel-Rahman O, ElHalawani H, Essam-Eldin S. S-1-based regimens and the risk of leucopenic complications; a Meta-analysis with comparison to other fluoropyrimidines and non fluoropyrimidines. Expert Opin Drug Saf. 2016;15(4):437-448. doi:10.1517/14740338.2016.1146674</w:t>
      </w:r>
    </w:p>
    <w:p w14:paraId="5F87101B"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Abdel-Rahman O, ElHalawani H, Fouad M. Risk of endocrine complications in cancer patients treated with immune check point inhibitors: a meta-analysis. Future Oncol. 2016;12(3):413-425. doi:10.2217/fon.15.222</w:t>
      </w:r>
    </w:p>
    <w:p w14:paraId="5B81BF16"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Abdel-Rahman O, Fouad M. A network meta-analysis of the risk of immune-related renal toxicity in cancer patients treated with immune checkpoint inhibitors. Immunotherapy. 2016;8(5):665-674. doi:10.2217/imt-2015-0020</w:t>
      </w:r>
    </w:p>
    <w:p w14:paraId="1B8CA2AF"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Abdel-Rahman O, Helbling D, Schmidt J, et al. Treatment-associated Fatigue in Cancer Patients Treated with Immune Checkpoint Inhibitors; a Systematic Review and Meta-analysis. Clin Oncol (R Coll Radiol). 2016;28(10):e127-e138. doi:10.1016/j.clon.2016.06.008</w:t>
      </w:r>
    </w:p>
    <w:p w14:paraId="7D49D86E"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Alfayez OM, Almutairi AR, Aldosari A, Al Yami MS. Update on Cardiovascular Safety of Incretin-Based Therapy in Adults With Type 2 Diabetes Mellitus: A Meta-Analysis of Cardiovascular Outcome Trials. Can J Diabetes. 2019;43(7):538-545.e2. doi:10.1016/j.jcjd.2019.04.003</w:t>
      </w:r>
    </w:p>
    <w:p w14:paraId="1500F165"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Alfayez OM, Al Yami MS, Alshibani M, et al. Network meta-analysis of nine large cardiovascular outcome trials of new antidiabetic drugs. Prim Care Diabetes. 2019;13(3):204-211. doi:10.1016/j.pcd.2019.01.003</w:t>
      </w:r>
    </w:p>
    <w:p w14:paraId="603965DD"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Liu P, Lin H, Chen Y, Wu YS, Tang M, Liu C. Comparison of Metal and Plastic Stents for Preoperative Biliary Drainage in Resectable and Borderline Resectable Periampullary Cancer: A Meta-Analysis and System Review. J Laparoendosc Adv Surg Tech A. 2018;28(9):1074-1082. doi:10.1089/lap.2018.0029</w:t>
      </w:r>
    </w:p>
    <w:p w14:paraId="1505B5A4"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Zis P, Hadjivassiliou M, Sarrigiannis PG, Jenkins TM, Mitsikostas DD. Nocebo in chronic inflammatory demyelinating polyneuropathy; a systematic review and meta-analysis of placebo-controlled clinical trials. J Neurol Sci. 2018;388:79-83. doi:10.1016/j.jns.2018.03.009</w:t>
      </w:r>
    </w:p>
    <w:p w14:paraId="17160CB4"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lastRenderedPageBreak/>
        <w:t>Salas PAO, Parra CO, Florez CEP, Goez LM, Velez-van-Meerbeke A, Rodriguez JH. Safety liver profile of teriflunomide versus interferon β in multiple sclerosis: Systematic review and indirect comparison meta-analysis. Mult Scler Relat Disord. 2018;26:192-200. doi:10.1016/j.msard.2018.09.014</w:t>
      </w:r>
    </w:p>
    <w:p w14:paraId="43F20ABD"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Rogliani P, Matera MG, Ora J, Cazzola M, Calzetta L. The impact of dual bronchodilation on cardiovascular serious adverse events and mortality in COPD: a quantitative synthesis [published correction appears in Int J Chron Obstruct Pulmon Dis. 2018 Oct 31;13:3597]. Int J Chron Obstruct Pulmon Dis. 2017;12:3469-3485. Published 2017 Dec 5. doi:10.2147/COPD.S146338</w:t>
      </w:r>
    </w:p>
    <w:p w14:paraId="3792DB17"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Sardar P, Udell JA, Chatterjee S, Bansilal S, Mukherjee D, Farkouh ME. Effect of Intensive Versus Standard Blood Glucose Control in Patients With Type 2 Diabetes Mellitus in Different Regions of the World: Systematic Review and Meta-analysis of Randomized Controlled Trials. J Am Heart Assoc. 2015;4(5):e001577. Published 2015 May 5. doi:10.1161/JAHA.114.001577</w:t>
      </w:r>
    </w:p>
    <w:p w14:paraId="17EBC073"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Wusiman P, Tayie A, Ling W, Moming A. Management of Mandibular Fractures Using Locking and Nonlocking Miniplates [published correction appears in J Craniofac Surg. 2019 Jul;30(5):1593]. J Craniofac Surg. 2019;30(2):448-452. doi:10.1097/SCS.0000000000005128</w:t>
      </w:r>
    </w:p>
    <w:p w14:paraId="4A42AD01"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Nicolas P, Maia MF, Bassat Q, et al. Safety of oral ivermectin during pregnancy: a systematic review and meta-analysis. Lancet Glob Health. 2020;8(1):e92-e100. doi:10.1016/S2214-109X(19)30453-X</w:t>
      </w:r>
    </w:p>
    <w:p w14:paraId="7AF3E629"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Scheiermann P, Herzog F, Siebenhofer A, Strametz R, Weberschock T. Intravenous versus inhalational anesthesia for pediatric inpatient surgery - A systematic review and meta-analysis. J Clin Anesth. 2018;49:19-25. doi:10.1016/j.jclinane.2018.05.014</w:t>
      </w:r>
    </w:p>
    <w:p w14:paraId="79D1BB30"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Massey PR, Okman JS, Wilkerson J, Cowen EW. Tyrosine kinase inhibitors directed against the vascular endothelial growth factor receptor (VEGFR) have distinct cutaneous toxicity profiles: a meta-analysis and review of the literature. Support Care Cancer. 2015;23(6):1827-1835. doi:10.1007/s00520-014-2520-9</w:t>
      </w:r>
    </w:p>
    <w:p w14:paraId="7E0709DC"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Moćko P, Kawalec P, Pilc A. Safety Profile of Biologic Drugs in the Therapy of Ulcerative Colitis: A Systematic Review and Network Meta-Analysis. Pharmacotherapy. 2016;36(8):870-879. doi:10.1002/phar.1785</w:t>
      </w:r>
    </w:p>
    <w:p w14:paraId="6F122CA3"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Moćko P, Kawalec P, Pilc A. Safety profile of biologic drugs in the therapy of Crohn disease: </w:t>
      </w:r>
      <w:r w:rsidRPr="000A44A4">
        <w:rPr>
          <w:rFonts w:ascii="Times New Roman" w:eastAsia="宋体" w:hAnsi="Times New Roman" w:cs="Times New Roman"/>
          <w:szCs w:val="21"/>
        </w:rPr>
        <w:lastRenderedPageBreak/>
        <w:t>A systematic review and network meta-analysis. Pharmacol Rep. 2016;68(6):1237-1243. doi:10.1016/j.pharep.2016.07.013</w:t>
      </w:r>
    </w:p>
    <w:p w14:paraId="274762D3"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Moćko P, Kawalec P, Pilc A. Safety Profile of Biologic Drugs in the Treatment of Inflammatory Bowel Diseases: A Systematic Review and Network Meta-analysis of Randomized Controlled Trials. Clin Drug Investig. 2017;37(1):25-37. doi:10.1007/s40261-016-0459-y</w:t>
      </w:r>
    </w:p>
    <w:p w14:paraId="78A70AFF"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Coelho PL, da Silva Calestini GL, Alvo FS, de Moura Freitas JM, Castro PM, Konstantyner T. Segurança da vacina papillomavirus humano 6, 11, 16 e 18 (recombinante): revisão sistemática e metanálise. Rev Paul Pediatr. 2015;33(4):474-482. doi:10.1016/j.rpped.2015.02.006</w:t>
      </w:r>
    </w:p>
    <w:p w14:paraId="3B5DCA61"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Ding PN, Lord SJ, Gebski V, et al. Risk of Treatment-Related Toxicities from EGFR Tyrosine Kinase Inhibitors: A Meta-analysis of Clinical Trials of Gefitinib, Erlotinib, and Afatinib in Advanced EGFR-Mutated Non-Small Cell Lung Cancer. J Thorac Oncol. 2017;12(4):633-643. doi:10.1016/j.jtho.2016.11.2236</w:t>
      </w:r>
    </w:p>
    <w:p w14:paraId="1829BAE4"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Dorjee P, Long ZW. A mixed treatment comparison of toxicity of gemcitabine combined with different targeted drugs in the treatment of advanced or metastatic pancreatic cancer. Cancer Biol Ther. 2018;19(6):497-506. doi:10.1080/15384047.2018.1433503</w:t>
      </w:r>
    </w:p>
    <w:p w14:paraId="13F37387"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Elwood PC, Morgan G, Galante J, et al. Systematic Review and Meta-Analysis of Randomised Trials to Ascertain Fatal Gastrointestinal Bleeding Events Attributable to Preventive Low-Dose Aspirin: No Evidence of Increased Risk. PLoS One. 2016;11(11):e0166166. Published 2016 Nov 15. doi:10.1371/journal.pone.0166166</w:t>
      </w:r>
    </w:p>
    <w:p w14:paraId="7DA3CC71"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Polderman JA, Farhang-Razi V, Van Dieren S, et al. Adverse side effects of dexamethasone in surgical patients. Cochrane Database Syst Rev. 2018;8(8):CD011940. Published 2018 Aug 28. doi:10.1002/14651858.CD011940.pub2</w:t>
      </w:r>
    </w:p>
    <w:p w14:paraId="0FE7196B"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Ghatalia P, Je Y, Nguyen PL, Trinh QD, Choueiri TK, Sonpavde G. Fatigue with vascular endothelial growth factor receptor tyrosine kinase inhibitors and mammalian target of rapamycin inhibitors in patients with renal cell carcinoma (RCC) and other malignancies: A meta-analysis of randomized clinical trials. Crit Rev Oncol Hematol. 2015;95(2):251-263. doi:10.1016/j.critrevonc.2015.03.006</w:t>
      </w:r>
    </w:p>
    <w:p w14:paraId="2FC6D5D8"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Ghayoumi P, Kandemir U, Morshed S. Evidence based update: open versus closed reduction. Injury. 2015;46(3):467-473. doi:10.1016/j.injury.2014.10.011</w:t>
      </w:r>
    </w:p>
    <w:p w14:paraId="7A068D3E"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Bundhun PK, Janoo G, Chen MH. Bleeding events associated with fibrinolytic therapy and </w:t>
      </w:r>
      <w:r w:rsidRPr="000A44A4">
        <w:rPr>
          <w:rFonts w:ascii="Times New Roman" w:eastAsia="宋体" w:hAnsi="Times New Roman" w:cs="Times New Roman"/>
          <w:szCs w:val="21"/>
        </w:rPr>
        <w:lastRenderedPageBreak/>
        <w:t>primary percutaneous coronary intervention in patients with STEMI: A systematic review and meta-analysis of randomized controlled trials [published correction appears in Medicine (Baltimore). 2016 Jul 18;95(28):e0916]. Medicine (Baltimore). 2016;95(23):e3877. doi:10.1097/MD.0000000000003877</w:t>
      </w:r>
    </w:p>
    <w:p w14:paraId="68657231"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Bundhun PK, Bhurtu A, Pursun M, Soogund MZS, Teeluck AR, Huang WQ. Long-term (2-5 years) adverse clinical outcomes associated with ZES versus SES, PES and EES: A Meta-Analysis. Sci Rep. 2017;7(1):6385. Published 2017 Jul 25. doi:10.1038/s41598-017-06705-y</w:t>
      </w:r>
    </w:p>
    <w:p w14:paraId="16DAA695"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Bundhun PK, Janoo G, Huang F. Adverse drug events observed in patients with type 2 diabetes mellitus treated with 100 mg versus 300 mg canagliflozin: a systematic review and meta-analysis of published randomized controlled trials. BMC Pharmacol Toxicol. 2017;18(1):19. Published 2017 Apr 16. doi:10.1186/s40360-017-0126-9</w:t>
      </w:r>
    </w:p>
    <w:p w14:paraId="5D35615E"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Zhu Q, Hu H, Weng DS, et al. Pooled safety analyses of ALK-TKI inhibitor in ALK-positive NSCLC. BMC Cancer. 2017;17(1):412. Published 2017 Jun 12. doi:10.1186/s12885-017-3405-3</w:t>
      </w:r>
    </w:p>
    <w:p w14:paraId="63E538AD"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Su Q, Zhang XC, Wang DY, et al. The risk of immune-related endocrine disorders associated with anti-PD-1 inhibitors therapy for solid tumors: A systematic review and meta-analysis. Int Immunopharmacol. 2018;59:328-338. doi:10.1016/j.intimp.2018.04.021</w:t>
      </w:r>
    </w:p>
    <w:p w14:paraId="6BBC2368"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Hua Q, Zhu Y, Liu H. Severe and fatal adverse events risk associated with rituximab addition to B-cell non-Hodgkin's lymphoma (B-NHL) chemotherapy: a meta-analysis. J Chemother. 2015;27(6):365-370. doi:10.1179/1973947815Y.0000000025</w:t>
      </w:r>
    </w:p>
    <w:p w14:paraId="2BA72F77"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Cai Q, Feng L, Yap KZ. Systematic review and meta-analysis of reported adverse events of long-term intranasal oxytocin treatment for autism spectrum disorder. Psychiatry Clin Neurosci. 2018;72(3):140-151. doi:10.1111/pcn.12627</w:t>
      </w:r>
    </w:p>
    <w:p w14:paraId="47D4A43F"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Di Franco R, Borzillo V, Ravo V, et al. Rectal/urinary toxicity after hypofractionated vs. conventional radiotherapy in high risk prostate cancer: systematic review and meta analysis. Eur Rev Med Pharmacol Sci. 2017;21(16):3563-3575.</w:t>
      </w:r>
    </w:p>
    <w:p w14:paraId="43ADF1AF"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Bannuru RR, Osani M, Vaysbrot EE, McAlindon TE. Comparative safety profile of hyaluronic acid products for knee osteoarthritis: a systematic review and network meta-analysis. Osteoarthritis Cartilage. 2016;24(12):2022-2041. doi:10.1016/j.joca.2016.07.010</w:t>
      </w:r>
    </w:p>
    <w:p w14:paraId="031D9687"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Mincu RI, Mahabadi AA, Michel L, et al. Cardiovascular Adverse Events Associated With </w:t>
      </w:r>
      <w:r w:rsidRPr="000A44A4">
        <w:rPr>
          <w:rFonts w:ascii="Times New Roman" w:eastAsia="宋体" w:hAnsi="Times New Roman" w:cs="Times New Roman"/>
          <w:szCs w:val="21"/>
        </w:rPr>
        <w:lastRenderedPageBreak/>
        <w:t>BRAF and MEK Inhibitors: A Systematic Review and Meta-analysis. JAMA Netw Open. 2019;2(8):e198890. Published 2019 Aug 2. doi:10.1001/jamanetworkopen.2019.8890</w:t>
      </w:r>
    </w:p>
    <w:p w14:paraId="21246541"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Meister R, von Wolff A, Mohr H, et al. Comparative Safety of Pharmacologic Treatments for Persistent Depressive Disorder: A Systematic Review and Network Meta-Analysis. PLoS One. 2016;11(5):e0153380. Published 2016 May 17. doi:10.1371/journal.pone.0153380</w:t>
      </w:r>
    </w:p>
    <w:p w14:paraId="0C4D288A"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Cui R, Chu L, Liu ZQ, et al. Hematologic toxicity assessment in solid tumor patients treated with cetuximab: a pooled analysis of 18 randomized controlled trials [published correction appears in Int J Cancer. 2016 Apr 15;138(8):E4]. Int J Cancer. 2015;136(4):936-944. doi:10.1002/ijc.29045</w:t>
      </w:r>
    </w:p>
    <w:p w14:paraId="0718E9E9"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Moreira R.B., de Biasi M., Francini E., Nuzzo P.V., de Velasco G., Maluf F.C., Fay A.P., Bellmunt J., Choueiri T.K., Schutz F.A. Differential side effects profile in patients with mCRPC treated with abiraterone or enzalutamide: A meta-analysis of randomized controlled trials. Oncotarget. 2017;8:84572–84578. doi: 10.18632/oncotarget.20028.</w:t>
      </w:r>
    </w:p>
    <w:p w14:paraId="61D256D3"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Pillai RN, Behera M, Owonikoko TK, et al. Comparison of the toxicity profile of PD-1 versus PD-L1 inhibitors in non-small cell lung cancer: A systematic analysis of the literature. Cancer. 2018;124(2):271-277. doi:10.1002/cncr.31043</w:t>
      </w:r>
    </w:p>
    <w:p w14:paraId="5D59CBEB"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Siemieniuk RA, Foroutan F, Mirza R, et al. Antiretroviral therapy for pregnant women living with HIV or hepatitis B: a systematic review and meta-analysis. BMJ Open. 2017;7(9):e019022. Published 2017 Sep 11. doi:10.1136/bmjopen-2017-019022</w:t>
      </w:r>
    </w:p>
    <w:p w14:paraId="58F0EC75"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Costa R, Carneiro BA, Agulnik M, et al. Toxicity profile of approved anti-PD-1 monoclonal antibodies in solid tumors: a systematic review and meta-analysis of randomized clinical trials. Oncotarget. 2017;8(5):8910-8920. doi:10.18632/oncotarget.13315</w:t>
      </w:r>
    </w:p>
    <w:p w14:paraId="2DAC2889"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Conway R, Low C, Coughlan RJ, O'Donnell MJ, Carey JJ. Risk of liver injury among methotrexate users: A meta-analysis of randomised controlled trials. Semin Arthritis Rheum. 2015;45(2):156-162. doi:10.1016/j.semarthrit.2015.05.003</w:t>
      </w:r>
    </w:p>
    <w:p w14:paraId="409BD60D"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Conway R, Low C, Coughlan RJ, O'Donnell MJ, Carey JJ. Methotrexate use and risk of lung disease in psoriasis, psoriatic arthritis, and inflammatory bowel disease: systematic literature review and meta-analysis of randomised controlled trials. BMJ. 2015;350:h1269. Published 2015 Mar 13. doi:10.1136/bmj.h1269</w:t>
      </w:r>
    </w:p>
    <w:p w14:paraId="356F9919"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Conway R, Low C, Coughlan RJ, O'Donnell MJ, Carey JJ. Leflunomide Use and Risk of Lung </w:t>
      </w:r>
      <w:r w:rsidRPr="000A44A4">
        <w:rPr>
          <w:rFonts w:ascii="Times New Roman" w:eastAsia="宋体" w:hAnsi="Times New Roman" w:cs="Times New Roman"/>
          <w:szCs w:val="21"/>
        </w:rPr>
        <w:lastRenderedPageBreak/>
        <w:t>Disease in Rheumatoid Arthritis: A Systematic Literature Review and Metaanalysis of Randomized Controlled Trials. J Rheumatol. 2016;43(5):855-860. doi:10.3899/jrheum.150674</w:t>
      </w:r>
    </w:p>
    <w:p w14:paraId="15512EE6"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Desai RJ, Thaler KJ, Mahlknecht P, et al. Comparative Risk of Harm Associated With the Use of Targeted Immunomodulators: A Systematic Review. Arthritis Care Res (Hoboken). 2016;68(8):1078-1088. doi:10.1002/acr.22815</w:t>
      </w:r>
    </w:p>
    <w:p w14:paraId="6680E6B9"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Avery RL, Gordon GM. Systemic Safety of Prolonged Monthly Anti-Vascular Endothelial Growth Factor Therapy for Diabetic Macular Edema: A Systematic Review and Meta-analysis. JAMA Ophthalmol. 2016;134(1):21-29. doi:10.1001/jamaophthalmol.2015.4070</w:t>
      </w:r>
    </w:p>
    <w:p w14:paraId="7A2037BF"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Puckrin R, Saltiel MP, Reynier P, Azoulay L, Yu OHY, Filion KB. SGLT-2 inhibitors and the risk of infections: a systematic review and meta-analysis of randomized controlled trials. Acta Diabetol. 2018;55(5):503-514. doi:10.1007/s00592-018-1116-0</w:t>
      </w:r>
    </w:p>
    <w:p w14:paraId="410793D9"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Chow R, Bruera E, Arends J, et al. Enteral and parenteral nutrition in cancer patients, a comparison of complication rates: an updated systematic review and (cumulative) meta-analysis [published correction appears in Support Care Cancer. 2019 Dec 31;:]. Support Care Cancer. 2020;28(3):979-1010. doi:10.1007/s00520-019-05145-w</w:t>
      </w:r>
    </w:p>
    <w:p w14:paraId="5ABFB03E"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Lucchetta RC, Leonart LP, Becker J, Pontarolo R, Fernandez-Llimós F, Wiens A. Safety outcomes of disease-modifying therapies for relapsing-remitting multiple sclerosis: A network meta-analysis. Mult Scler Relat Disord. 2019;35:7-15. doi:10.1016/j.msard.2019.06.036</w:t>
      </w:r>
    </w:p>
    <w:p w14:paraId="06D90E26"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Klotz R, Probst P, Deininger M, et al. Percutaneous versus surgical strategy for tracheostomy: a systematic review and meta-analysis of perioperative and postoperative complications. Langenbecks Arch Surg. 2018;403(2):137-149. doi:10.1007/s00423-017-1648-8</w:t>
      </w:r>
    </w:p>
    <w:p w14:paraId="50007031"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Di Franco R, Borzillo V, Ravo V, et al. Rectal/urinary toxicity after hypofractionated vs conventional radiotherapy in low/intermediate risk localized prostate cancer: systematic review and meta analysis. Oncotarget. 2017;8(10):17383-17395. doi:10.18632/oncotarget.14798</w:t>
      </w:r>
    </w:p>
    <w:p w14:paraId="3BDCDDF8"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Gaffar R, Habib B, Filion KB, Reynier P, Eisenberg MJ. Optimal Timing of Complete Revascularization in Acute Coronary Syndrome: A Systematic Review and Meta-Analysis. J Am Heart Assoc. 2017;6(4):e005381. Published 2017 Apr 10. doi:10.1161/JAHA.116.005381</w:t>
      </w:r>
    </w:p>
    <w:p w14:paraId="233C4897"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Tian R, Yan H, Zhang F, et al. Incidence and relative risk of hemorrhagic events associated with ramucirumab in cancer patients: a systematic review and meta-analysis. Oncotarget. </w:t>
      </w:r>
      <w:r w:rsidRPr="000A44A4">
        <w:rPr>
          <w:rFonts w:ascii="Times New Roman" w:eastAsia="宋体" w:hAnsi="Times New Roman" w:cs="Times New Roman"/>
          <w:szCs w:val="21"/>
        </w:rPr>
        <w:lastRenderedPageBreak/>
        <w:t>2016;7(40):66182-66191. doi:10.18632/oncotarget.11097</w:t>
      </w:r>
    </w:p>
    <w:p w14:paraId="5AB985FF"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Xu R, Lian Y, Li WX. Airway Complications during and after General Anesthesia: A Comparison, Systematic Review and Meta-Analysis of Using Flexible Laryngeal Mask Airways and Endotracheal Tubes. PLoS One. 2016;11(7):e0158137. Published 2016 Jul 14. doi:10.1371/journal.pone.0158137</w:t>
      </w:r>
    </w:p>
    <w:p w14:paraId="1A5669DF"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Mozaffari S, Abdolghaffari AH, Nikfar S, Abdollahi M. Pregnancy outcomes in women with inflammatory bowel disease following exposure to thiopurines and antitumor necrosis factor drugs: a systematic review with meta-analysis. Hum Exp Toxicol. 2015;34(5):445-459. doi:10.1177/0960327114550882</w:t>
      </w:r>
    </w:p>
    <w:p w14:paraId="00284883"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Lewis SR, Butler AR, Parker J, Cook TM, Schofield-Robinson OJ, Smith AF. Videolaryngoscopy versus direct laryngoscopy for adult patients requiring tracheal intubation: a Cochrane Systematic Review. Br J Anaesth. 2017;119(3):369-383. doi:10.1093/bja/aex228</w:t>
      </w:r>
    </w:p>
    <w:p w14:paraId="24727B6B"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Sun S, Cui Z, Zhou M, et al. Proton pump inhibitor monotherapy and the risk of cardiovascular events in patients with gastro-esophageal reflux disease: a meta-analysis. Neurogastroenterol Motil. 2017;29(2):10.1111/nmo.12926. doi:10.1111/nmo.12926</w:t>
      </w:r>
    </w:p>
    <w:p w14:paraId="56F589B1"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Ghumman SS, Weinerman J, Khan A, et al. Contrast induced-acute kidney injury following peripheral angiography with carbon dioxide versus iodinated contrast media: A meta-analysis and systematic review of current literature. Catheter Cardiovasc Interv. 2017;90(3):437-448. doi:10.1002/ccd.27051</w:t>
      </w:r>
    </w:p>
    <w:p w14:paraId="24B04104"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Martel S, Bruzzone M, Ceppi M, et al. Risk of adverse events with the addition of targeted agents to endocrine therapy in patients with hormone receptor-positive metastatic breast cancer: A systematic review and meta-analysis. Cancer Treat Rev. 2018;62:123-132. doi:10.1016/j.ctrv.2017.09.009</w:t>
      </w:r>
    </w:p>
    <w:p w14:paraId="18BAF7A5"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Manohar S, Kompotiatis P, Thongprayoon C, Cheungpasitporn W, Herrmann J, Herrmann SM. Programmed cell death protein 1 inhibitor treatment is associated with acute kidney injury and hypocalcemia: meta-analysis. Nephrol Dial Transplant. 2019;34(1):108-117. doi:10.1093/ndt/gfy105</w:t>
      </w:r>
    </w:p>
    <w:p w14:paraId="57BB2977"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Donegan S, Dixon P, Hemming K, Tudur-Smith C, Marson A. A systematic review of placebo-controlled trials of topiramate: How useful is a multiple-indications review for evaluating the adverse events of an antiepileptic drug?. Epilepsia. 2015;56(12):1910-1920. </w:t>
      </w:r>
      <w:r w:rsidRPr="000A44A4">
        <w:rPr>
          <w:rFonts w:ascii="Times New Roman" w:eastAsia="宋体" w:hAnsi="Times New Roman" w:cs="Times New Roman"/>
          <w:szCs w:val="21"/>
        </w:rPr>
        <w:lastRenderedPageBreak/>
        <w:t>doi:10.1111/epi.13209</w:t>
      </w:r>
    </w:p>
    <w:p w14:paraId="4232A0BC"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Vouri SM, Kebodeaux CD, Stranges PM, Teshome BF. Adverse events and treatment discontinuations of antimuscarinics for the treatment of overactive bladder in older adults: A systematic review and meta-analysis. Arch Gerontol Geriatr. 2017;69:77-96. doi:10.1016/j.archger.2016.11.006</w:t>
      </w:r>
    </w:p>
    <w:p w14:paraId="2B4D125B"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Wang S, He Q, Shuai Z. Risk of serious infections in biological treatment of patients with ankylosing spondylitis and non-radiographic axial spondyloarthritis: a meta-analysis. Clin Rheumatol. 2018;37(2):439-450. doi:10.1007/s10067-017-3966-1</w:t>
      </w:r>
    </w:p>
    <w:p w14:paraId="46C60087"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Yun S, Vincelette ND, Acharya U, Abraham I. Risk of Atrial Fibrillation and Bleeding Diathesis Associated With Ibrutinib Treatment: A Systematic Review and Pooled Analysis of Four Randomized Controlled Trials. Clin Lymphoma Myeloma Leuk. 2017;17(1):31-37.e13. doi:10.1016/j.clml.2016.09.010</w:t>
      </w:r>
    </w:p>
    <w:p w14:paraId="350F2238"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Lasheen S, Shohdy KS, Kassem L, Abdel-Rahman O. Fatigue, alopecia and stomatitis among patients with breast cancer receiving cyclin-dependent kinase 4 and 6 inhibitors: a systematic review and meta-analysis. Expert Rev Anticancer Ther. 2017;17(9):851-856. doi:10.1080/14737140.2017.1355242</w:t>
      </w:r>
    </w:p>
    <w:p w14:paraId="20A09CC1"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Wu S, Chai S, Yang J, et al. Gastrointestinal Adverse Events of Dipeptidyl Peptidase 4 Inhibitors in Type 2 Diabetes: A Systematic Review and Network Meta-analysis. Clin Ther. 2017;39(9):1780-1789.e33. doi:10.1016/j.clinthera.2017.07.036</w:t>
      </w:r>
    </w:p>
    <w:p w14:paraId="4CAA6CDB"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Wu S, Cipriani A, Yang Z, et al. The cardiovascular effect of incretin-based therapies among type 2 diabetes: a systematic review and network meta-analysis. Expert Opin Drug Saf. 2018;17(3):243-249. doi:10.1080/14740338.2018.1424826</w:t>
      </w:r>
    </w:p>
    <w:p w14:paraId="411EF81B"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Ding SX, Chen T, Wang T, Liu CY, Lu WL, Fu R. The Risk of Clonal Evolution of Granulocyte Colony-Stimulating Factor for Acquired Aplastic Anemia: A Systematic Review and Meta-Analysis. Acta Haematol. 2018;140(3):141-145. doi:10.1159/000491816</w:t>
      </w:r>
    </w:p>
    <w:p w14:paraId="5C2108E3"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Zhang S, Liang F, Zhu J, Chen Q. Risk of Pneumonitis Associated with Programmed Cell Death 1 Inhibitors in Cancer Patients: A Meta-analysis. Mol Cancer Ther. 2017;16(8):1588-1595. doi:10.1158/1535-7163.MCT-17-0155</w:t>
      </w:r>
    </w:p>
    <w:p w14:paraId="7A5EC793"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Zhang S, Liang F, Li W, Wang Q. Risk of treatment-related mortality in cancer patients treated with ipilimumab: A systematic review and meta-analysis. Eur J Cancer. 2017;83:71-79. </w:t>
      </w:r>
      <w:r w:rsidRPr="000A44A4">
        <w:rPr>
          <w:rFonts w:ascii="Times New Roman" w:eastAsia="宋体" w:hAnsi="Times New Roman" w:cs="Times New Roman"/>
          <w:szCs w:val="21"/>
        </w:rPr>
        <w:lastRenderedPageBreak/>
        <w:t>doi:10.1016/j.ejca.2017.06.021</w:t>
      </w:r>
    </w:p>
    <w:p w14:paraId="211B4DD0"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Guo S, Chen L, Cheng S, Xu H. Comparative cardiovascular safety of selective serotonin reuptake inhibitors (SSRIs) among Chinese senile depression patients: A network meta-analysis of randomized controlled trials. Medicine (Baltimore). 2019;98(22):e15786. doi:10.1097/MD.0000000000015786</w:t>
      </w:r>
    </w:p>
    <w:p w14:paraId="2F84DE55"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Ruan SY, Huang TM, Wu HY, Wu HD, Yu CJ, Lai MS. Inhaled nitric oxide therapy and risk of renal dysfunction: a systematic review and meta-analysis of randomized trials. Crit Care. 2015;19(1):137. Published 2015 Apr 3. doi:10.1186/s13054-015-0880-2</w:t>
      </w:r>
    </w:p>
    <w:p w14:paraId="17523E72"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Rogers SC, Garcia CA, Wu S. Discontinuation of Everolimus Due to Related and Unrelated Adverse Events in Cancer Patients: A Meta-Analysis. Cancer Invest. 2017;35(8):552-561. doi:10.1080/07357907.2017.1344697</w:t>
      </w:r>
    </w:p>
    <w:p w14:paraId="49324D8A"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Lv S, Wang J, Xu Y. Safety of insulin analogs during pregnancy: a meta-analysis. Arch Gynecol Obstet. 2015;292(4):749-756. doi:10.1007/s00404-015-3692-3</w:t>
      </w:r>
    </w:p>
    <w:p w14:paraId="29D594D4"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Huang ST, Tian BS, Xiao O, Yang YJ, Zhou SY. Safety of antivascular endothelial growth factor administration in the ocular anterior segment in pterygium and neovascular glaucoma treatment: Systematic review and meta-analysis. Medicine (Baltimore). 2018;97(34):e11960. doi:10.1097/MD.0000000000011960</w:t>
      </w:r>
    </w:p>
    <w:p w14:paraId="01BB5FDD"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Baxi S, Yang A, Gennarelli RL, et al. Immune-related adverse events for anti-PD-1 and anti-PD-L1 drugs: systematic review and meta-analysis. BMJ. 2018;360:k793. Published 2018 Mar 14. doi:10.1136/bmj.k793</w:t>
      </w:r>
    </w:p>
    <w:p w14:paraId="0C594268"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Hao S, Tian W, Gao B, et al. Does dual HER-2 blockade treatment increase the risk of severe toxicities of special interests in breast cancer patients: A meta-analysis of randomized controlled trials. Oncotarget. 2017;8(12):19923-19933. doi:10.18632/oncotarget.15252</w:t>
      </w:r>
    </w:p>
    <w:p w14:paraId="57554E33"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Jin S, Zhou X. Influence of dexmedetomidine on cardiac complications in non-cardiac surgery: a meta-analysis of randomized trials. Int J Clin Pharm. 2017;39(4):629-640. doi:10.1007/s11096-017-0493-8</w:t>
      </w:r>
    </w:p>
    <w:p w14:paraId="7EA5D0C2"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Minozzi S, Bonovas S, Lytras T, et al. Risk of infections using anti-TNF agents in rheumatoid arthritis, psoriatic arthritis, and ankylosing spondylitis: a systematic review and meta-analysis. Expert Opin Drug Saf. 2016;15(sup1):11-34. doi:10.1080/14740338.2016.1240783</w:t>
      </w:r>
    </w:p>
    <w:p w14:paraId="3A469604"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Tarp S, Eric Furst D, Boers M, et al. Risk of serious adverse effects of biological and targeted </w:t>
      </w:r>
      <w:r w:rsidRPr="000A44A4">
        <w:rPr>
          <w:rFonts w:ascii="Times New Roman" w:eastAsia="宋体" w:hAnsi="Times New Roman" w:cs="Times New Roman"/>
          <w:szCs w:val="21"/>
        </w:rPr>
        <w:lastRenderedPageBreak/>
        <w:t>drugs in patients with rheumatoid arthritis: a systematic review meta-analysis. Rheumatology (Oxford). 2017;56(3):417-425. doi:10.1093/rheumatology/kew442</w:t>
      </w:r>
    </w:p>
    <w:p w14:paraId="40F5F4E4"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Salim SA, Cheungpasitporn W, Elmaraezy A, et al. Infectious complications and mortality associated with the use of IV iron therapy: a systematic review and meta-analysis. Int Urol Nephrol. 2019;51(10):1855-1865. doi:10.1007/s11255-019-02273-4</w:t>
      </w:r>
    </w:p>
    <w:p w14:paraId="36C095B6"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Sonalkar S, Kapp N. Intrauterine device insertion in the postpartum period: a systematic review. Eur J Contracept Reprod Health Care. 2015;20(1):4-18. doi:10.3109/13625187.2014.971454</w:t>
      </w:r>
    </w:p>
    <w:p w14:paraId="153C3A84"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Tong S, Fan K, Jiang K, et al. Increased risk of severe infections in non-small-cell lung cancer patients treated with pemetrexed: a meta-analysis of randomized controlled trials. Curr Med Res Opin. 2017;33(1):31-37. doi:10.1080/03007995.2016.1232705</w:t>
      </w:r>
    </w:p>
    <w:p w14:paraId="429D93CC"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Grajek S, Michalak M, Gwizdała A, et al. Patients treated with bivalirudin are still at higher risk of stent thrombosis: a comprehensive meta-analysis of randomised clinical trials of bivalirudin and heparin for percutaneous coronary interventions. Kardiol Pol. 2018;76(4):740-749. doi:10.5603/KP.a2018.0024</w:t>
      </w:r>
    </w:p>
    <w:p w14:paraId="323BDBA4"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Bonovas S, Fiorino G, Allocca M, et al. Biologic Therapies and Risk of Infection and Malignancy in Patients With Inflammatory Bowel Disease: A Systematic Review and Network Meta-analysis. Clin Gastroenterol Hepatol. 2016;14(10):1385-1397.e10. doi:10.1016/j.cgh.2016.04.039</w:t>
      </w:r>
    </w:p>
    <w:p w14:paraId="3D65F6F3"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Bonovas S, Minozzi S, Lytras T, et al. Risk of malignancies using anti-TNF agents in rheumatoid arthritis, psoriatic arthritis, and ankylosing spondylitis: a systematic review and meta-analysis. Expert Opin Drug Saf. 2016;15(sup1):35-54. doi:10.1080/14740338.2016.1238458</w:t>
      </w:r>
    </w:p>
    <w:p w14:paraId="0BBF8FFD"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Bonovas S, Nikolopoulos GK, Lytras T, Fiorino G, Peyrin-Biroulet L, Danese S. Comparative safety of systemic and low-bioavailability steroids in inflammatory bowel disease: Systematic review and network meta-analysis. Br J Clin Pharmacol. 2018;84(2):239-251. doi:10.1111/bcp.13456</w:t>
      </w:r>
    </w:p>
    <w:p w14:paraId="4F0389DE"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Kovacs SD, van Eijk AM, Sevene E, et al. The Safety of Artemisinin Derivatives for the Treatment of Malaria in the 2nd or 3rd Trimester of Pregnancy: A Systematic Review and Meta-Analysis. PLoS One. 2016;11(11):e0164963. Published 2016 Nov 8. doi:10.1371/journal.pone.0164963</w:t>
      </w:r>
    </w:p>
    <w:p w14:paraId="55CCE2E3"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lastRenderedPageBreak/>
        <w:t>Andersen SE, Christensen M. Hypoglycaemia when adding sulphonylurea to metformin: a systematic review and network meta-analysis. Br J Clin Pharmacol. 2016;82(5):1291-1302. doi:10.1111/bcp.13059</w:t>
      </w:r>
    </w:p>
    <w:p w14:paraId="3029051E"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Lew S, Chamberlain RS. Risk of Metabolic Complications in Patients with Solid Tumors Treated with mTOR inhibitors: Meta-analysis. Anticancer Res. 2016;36(4):1711-1718.</w:t>
      </w:r>
    </w:p>
    <w:p w14:paraId="30B623E5"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Isomura T, Suzuki S, Origasa H, et al. Liver-related safety assessment of green tea extracts in humans: a systematic review of randomized controlled trials [published correction appears in Eur J Clin Nutr. 2016 Nov;70(11):1340]. Eur J Clin Nutr. 2016;70(11):1221-1229. doi:10.1038/ejcn.2016.78</w:t>
      </w:r>
    </w:p>
    <w:p w14:paraId="568BD36B"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Thakker D, Nair S, Pagada A, Jamdade V, Malik A. Statin use and the risk of developing diabetes: a network meta-analysis. Pharmacoepidemiol Drug Saf. 2016;25(10):1131-1149. doi:10.1002/pds.4020</w:t>
      </w:r>
    </w:p>
    <w:p w14:paraId="4D3A97CC"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Kötter T, da Costa BR, Fässler M, et al. Metamizole-associated adverse events: a systematic review and meta-analysis. PLoS One. 2015;10(4):e0122918. Published 2015 Apr 13. doi:10.1371/journal.pone.0122918</w:t>
      </w:r>
    </w:p>
    <w:p w14:paraId="5BDE4479"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Wang T, Wang F, Zhou J, Tang H, Giovenale S. Adverse effects of incretin-based therapies on major cardiovascular and arrhythmia events: meta-analysis of randomized trials. Diabetes Metab Res Rev. 2016;32(8):843-857. doi:10.1002/dmrr.2804</w:t>
      </w:r>
    </w:p>
    <w:p w14:paraId="78F5CE37"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Avni T, Bieber A, Grossman A, Green H, Leibovici L, Gafter-Gvili A. The safety of intravenous iron preparations: systematic review and meta-analysis. Mayo Clin Proc. 2015;90(1):12-23. doi:10.1016/j.mayocp.2014.10.007</w:t>
      </w:r>
    </w:p>
    <w:p w14:paraId="08F50247"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Ando T, Briasoulis A, Holmes AA, Takagi H, Slovut DP. Percutaneous versus surgical cut-down access in transfemoral transcatheter aortic valve replacement: A meta-analysis. J Card Surg. 2016;31(12):710-717. doi:10.1111/jocs.12842</w:t>
      </w:r>
    </w:p>
    <w:p w14:paraId="3A651FA8"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Ando T, Ashraf S, Villablanca PA, et al. Meta-Analysis Comparing the Incidence of Infective Endocarditis Following Transcatheter Aortic Valve Implantation Versus Surgical Aortic Valve Replacement. Am J Cardiol. 2019;123(5):827-832. doi:10.1016/j.amjcard.2018.11.031</w:t>
      </w:r>
    </w:p>
    <w:p w14:paraId="547C3CE8"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Nishijima TF, Shachar SS, Nyrop KA, Muss HB. Safety and Tolerability of PD-1/PD-L1 Inhibitors Compared with Chemotherapy in Patients with Advanced Cancer: A Meta-Analysis. Oncologist. 2017;22(4):470-479. doi:10.1634/theoncologist.2016-0419</w:t>
      </w:r>
    </w:p>
    <w:p w14:paraId="3D39780F"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lastRenderedPageBreak/>
        <w:t>Funakoshi T, Suzuki M, Muss HB. Infection risk in breast cancer patients treated with trastuzumab: a systematic review and meta-analysis. Breast Cancer Res Treat. 2015;149(2):321-330. doi:10.1007/s10549-014-3184-3</w:t>
      </w:r>
    </w:p>
    <w:p w14:paraId="60BFA0E1"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Zhang T, Pope JE. Cardiovascular effects of urate-lowering therapies in patients with chronic gout: a systematic review and meta-analysis. Rheumatology (Oxford). 2017;56(7):1144-1153. doi:10.1093/rheumatology/kex065</w:t>
      </w:r>
    </w:p>
    <w:p w14:paraId="328BB1E1"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Stub T, Musial F, Kristoffersen AA, Alræk T, Liu J. Adverse effects of homeopathy, what do we know? A systematic review and meta-analysis of randomized controlled trials. Complement Ther Med. 2016;26:146-163. doi:10.1016/j.ctim.2016.03.013</w:t>
      </w:r>
    </w:p>
    <w:p w14:paraId="3433CBEC"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Ferreira VL, Assis Jarek NA, Tonin FS, Borba HH, Wiens A, Pontarolo R. Safety of interferon-free therapies for chronic hepatitis C: a network meta-analysis. J Clin Pharm Ther. 2016;41(5):478-485. doi:10.1111/jcpt.12426</w:t>
      </w:r>
    </w:p>
    <w:p w14:paraId="4222E5A4"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Belum VR, Serna-Tamayo C, Wu S, Lacouture ME. Incidence and risk of hand-foot skin reaction with cabozantinib, a novel multikinase inhibitor: a meta-analysis. Clin Exp Dermatol. 2016;41(1):8-15. doi:10.1111/ced.12694</w:t>
      </w:r>
    </w:p>
    <w:p w14:paraId="4FD0944D"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Belum VR, Benhuri B, Postow MA, et al. Characterisation and management of dermatologic adverse events to agents targeting the PD-1 receptor. Eur J Cancer. 2016;60:12-25. doi:10.1016/j.ejca.2016.02.010</w:t>
      </w:r>
    </w:p>
    <w:p w14:paraId="0FD63201"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Wadhwa V, Issa D, Garg S, Lopez R, Sanaka MR, Vargo JJ. Similar Risk of Cardiopulmonary Adverse Events Between Propofol and Traditional Anesthesia for Gastrointestinal Endoscopy: A Systematic Review and Meta-analysis. Clin Gastroenterol Hepatol. 2017;15(2):194-206. doi:10.1016/j.cgh.2016.07.013</w:t>
      </w:r>
    </w:p>
    <w:p w14:paraId="274916A6"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Shahi V, Brinjikji W, Murad MH, Asirvatham SJ, Kallmes DF. Safety of Uninterrupted Warfarin Therapy in Patients Undergoing Cardiovascular Endovascular Procedures: A Systematic Review and Meta-Analysis. Radiology. 2016;278(2):383-394. doi:10.1148/radiol.2015142531</w:t>
      </w:r>
    </w:p>
    <w:p w14:paraId="39F6A051"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Pavlova V, Filipova E, Uzunova K, Kalinov K, Vekov T. Pioglitazone Therapy and Fractures: Systematic Review and Meta- Analysis. Endocr Metab Immune Disord Drug Targets. 2018;18(5):502-507. doi:10.2174/1871530318666180423121833</w:t>
      </w:r>
    </w:p>
    <w:p w14:paraId="45711E3D"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Favilla V, Russo GI, Privitera S, et al. Impact of combination therapy 5-alpha reductase </w:t>
      </w:r>
      <w:r w:rsidRPr="000A44A4">
        <w:rPr>
          <w:rFonts w:ascii="Times New Roman" w:eastAsia="宋体" w:hAnsi="Times New Roman" w:cs="Times New Roman"/>
          <w:szCs w:val="21"/>
        </w:rPr>
        <w:lastRenderedPageBreak/>
        <w:t>inhibitors (5-ARI) plus alpha-blockers (AB) on erectile dysfunction and decrease of libido in patients with LUTS/BPH: a systematic review with meta-analysis. Aging Male. 2016;19(3):175-181. doi:10.1080/13685538.2016.1195361</w:t>
      </w:r>
    </w:p>
    <w:p w14:paraId="1FA1E9B2"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Vinnakota DN, Kamatham R. Safety profile of phentolamine mesylate as reversal agent of pulpal and soft tissue dental anesthesia: a systematic review and meta-analysis. Quintessence Int. 2019;50(7):568-575. doi:10.3290/j.qi.a42574</w:t>
      </w:r>
    </w:p>
    <w:p w14:paraId="218F1BD8"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Rungapiromnan W, Yiu ZZN, Warren RB, Griffiths CEM, Ashcroft DM. Impact of biologic therapies on risk of major adverse cardiovascular events in patients with psoriasis: systematic review and meta-analysis of randomized controlled trials. Br J Dermatol. 2017;176(4):890-901. doi:10.1111/bjd.14964</w:t>
      </w:r>
    </w:p>
    <w:p w14:paraId="0A2C0091"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Ma W, Xu M, Liu Y, et al. Safety profile of combined therapy inhibiting EFGR and VEGF pathways in patients with advanced non-small-cell lung cancer: A meta-analysis of 15 phase II/III randomized trials. Int J Cancer. 2015;137(2):409-419. doi:10.1002/ijc.29377</w:t>
      </w:r>
    </w:p>
    <w:p w14:paraId="551E7F02"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Liu W, Ma X, Zhou W. Adverse events of benralizumab in moderate to severe eosinophilic asthma: A meta-analysis. Medicine (Baltimore). 2019;98(22):e15868. doi:10.1097/MD.0000000000015868</w:t>
      </w:r>
    </w:p>
    <w:p w14:paraId="0DFB62BF"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Gong W, Li A, Ai H, Shi H, Wang X, Nie S. Safety of early discharge after primary angioplasty in low-risk patients with ST-segment elevation myocardial infarction: A meta-analysis of randomised controlled trials. Eur J Prev Cardiol. 2018;25(8):807-815. doi:10.1177/2047487318763823</w:t>
      </w:r>
    </w:p>
    <w:p w14:paraId="0007E5E6"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Wei W, Luo Z. Risk of gastrointestinal toxicities with PD-1 inhibitors in cancer patients: A meta-analysis of randomized clinical trials. Medicine (Baltimore). 2017;96(48):e8931. doi:10.1097/MD.0000000000008931</w:t>
      </w:r>
    </w:p>
    <w:p w14:paraId="4A0B57FC"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Zhang W, Lu M, Zhang C, et al. Therapeutic hypothermia increases the risk of cardiac arrhythmia for perinatal hypoxic ischaemic encephalopathy: A meta-analysis. PLoS One. 2017;12(3):e0173006. Published 2017 Mar 8. doi:10.1371/journal.pone.0173006</w:t>
      </w:r>
    </w:p>
    <w:p w14:paraId="303B3790"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Qi WX, Fu S, Zhang Q, Guo XM. Bevacizumab increases the risk of infections in cancer patients: A systematic review and pooled analysis of 41 randomized controlled trials. Crit Rev Oncol Hematol. 2015;94(3):323-336. doi:10.1016/j.critrevonc.2015.02.007</w:t>
      </w:r>
    </w:p>
    <w:p w14:paraId="6ACF6EB2"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Qi WX, Fu S, Zhang Q, Guo XM. Incidence and risk of hypertension associated with </w:t>
      </w:r>
      <w:r w:rsidRPr="000A44A4">
        <w:rPr>
          <w:rFonts w:ascii="Times New Roman" w:eastAsia="宋体" w:hAnsi="Times New Roman" w:cs="Times New Roman"/>
          <w:szCs w:val="21"/>
        </w:rPr>
        <w:lastRenderedPageBreak/>
        <w:t>ramucirumab in cancer patients: A systematic review and meta-analysis. J Cancer Res Ther. 2016;12(2):775-781. doi:10.4103/0973-1482.148700</w:t>
      </w:r>
    </w:p>
    <w:p w14:paraId="32D68545"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Xie W, Huang Y, Xiao S, Sun X, Fan Y, Zhang Z. Impact of Janus kinase inhibitors on risk of cardiovascular events in patients with rheumatoid arthritis: systematic review and meta-analysis of randomised controlled trials. Ann Rheum Dis. 2019;78(8):1048-1054. doi:10.1136/annrheumdis-2018-214846</w:t>
      </w:r>
    </w:p>
    <w:p w14:paraId="6AC38367"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Wang W, Lie P, Guo M, He J. Risk of hepatotoxicity in cancer patients treated with immune checkpoint inhibitors: A systematic review and meta-analysis of published data. Int J Cancer. 2017;141(5):1018-1028. doi:10.1002/ijc.30678</w:t>
      </w:r>
    </w:p>
    <w:p w14:paraId="6994F05D"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Yang W, Li S, Yang Q. Risk of dermatologic and mucosal adverse events associated with PD-1/PD-L1 inhibitors in cancer patients: A meta-analysis of randomized controlled trials. Medicine (Baltimore). 2019;98(20):e15731. doi:10.1097/MD.0000000000015731</w:t>
      </w:r>
    </w:p>
    <w:p w14:paraId="11D619D9"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Lv WW, Zhang JJ, Zhou XL, Song Z, Wei CM. Safety of combining vascular endothelial growth factor receptor tyrosine-kinase inhibitors with chemotherapy in patients with advanced non-small-cell lung cancer: A PRISMA-compliant meta-analysis. Medicine (Baltimore). 2019;98(23):e15806. doi:10.1097/MD.0000000000015806</w:t>
      </w:r>
    </w:p>
    <w:p w14:paraId="5DAA492F"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Sun W, Li J. Skin Toxicities with Epidermal Growth Factor Receptor Tyrosine Kinase Inhibitors in Cancer Patients: A Meta-Analysis of Randomized Controlled Trials. Cancer Invest. 2019;37(6):253-264. doi:10.1080/07357907.2019.1634089</w:t>
      </w:r>
    </w:p>
    <w:p w14:paraId="68C6887B"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Luo W, Wang Z, Tian P, Li W. Safety and tolerability of PD-1/PD-L1 inhibitors in the treatment of non-small cell lung cancer: a meta-analysis of randomized controlled trials. J Cancer Res Clin Oncol. 2018;144(10):1851-1859. doi:10.1007/s00432-018-2707-4</w:t>
      </w:r>
    </w:p>
    <w:p w14:paraId="236ED2EB"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Liang XJ, Shen J. Adverse events risk associated with angiogenesis inhibitors addition to therapy in ovarian cancer: a meta-analysis of randomized controlled trials. Eur Rev Med Pharmacol Sci. 2016;20(12):2701-2709.</w:t>
      </w:r>
    </w:p>
    <w:p w14:paraId="6D9E3AFD"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Zhang X, Ran Y, Shao Y, Wang K, Zhu Y. Incidence and risk of severe infections associated with aflibercept in cancer patients: a systematic review and meta-analysis. Br J Clin Pharmacol. 2016;81(1):33-40. doi:10.1111/bcp.12758</w:t>
      </w:r>
    </w:p>
    <w:p w14:paraId="6A49EFE6"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Zhang X, Ran Y, Wang K, Zhu Y, Li J. Incidence and risk of hepatic toxicities with PD-1 inhibitors in cancer patients: a meta-analysis. Drug Des Devel Ther. 2016;10:3153-3161. </w:t>
      </w:r>
      <w:r w:rsidRPr="000A44A4">
        <w:rPr>
          <w:rFonts w:ascii="Times New Roman" w:eastAsia="宋体" w:hAnsi="Times New Roman" w:cs="Times New Roman"/>
          <w:szCs w:val="21"/>
        </w:rPr>
        <w:lastRenderedPageBreak/>
        <w:t>Published 2016 Sep 28. doi:10.2147/DDDT.S115493</w:t>
      </w:r>
    </w:p>
    <w:p w14:paraId="31852B4A"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Zhang X, Shao Y, Wang K. Incidence and risk of hypertension associated with cabozantinib in cancer patients: a systematic review and meta-analysis. Expert Rev Clin Pharmacol. 2016;9(8):1109-1115. doi:10.1080/17512433.2016.1190269</w:t>
      </w:r>
    </w:p>
    <w:p w14:paraId="5CDA7C77"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Guo X, Yang Q, Dong J, Liao L, Zhang W, Liu F. Tumour Risk with Once-Weekly Glucagon-Like Peptide-1 Receptor Agonists in Type 2 Diabetes Mellitus Patients: A Systematic Review. Clin Drug Investig. 2016;36(6):433-441. doi:10.1007/s40261-016-0389-8</w:t>
      </w:r>
    </w:p>
    <w:p w14:paraId="44E5BF1E"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Jing X, Li Y, Xu J. Risk of Cardiovascular Events Associated with Inhaled Corticosteroid Treatment in Patients with Chronic Obstructive Pulmonary Disease: A Meta-Analysis. Can Respir J. 2018;2018:7097540. Published 2018 Jul 15. doi:10.1155/2018/7097540</w:t>
      </w:r>
    </w:p>
    <w:p w14:paraId="3CE1AC3A"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Zhao X, Wu X, Dong J, Liu Y, Zheng L, Zhang L. A Meta-analysis of Postoperative Complications of Tissue Expander/Implant Breast Reconstruction Using Acellular Dermal Matrix. Aesthetic Plast Surg. 2015;39(6):892-901. doi:10.1007/s00266-015-0555-z</w:t>
      </w:r>
    </w:p>
    <w:p w14:paraId="38990E1A"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Zhuang XD, He X, Yang DY, et al. Comparative cardiovascular outcomes in the era of novel anti-diabetic agents: a comprehensive network meta-analysis of 166,371 participants from 170 randomized controlled trials. Cardiovasc Diabetol. 2018;17(1):79. Published 2018 Jun 5. doi:10.1186/s12933-018-0722-z</w:t>
      </w:r>
    </w:p>
    <w:p w14:paraId="62BEDDE6"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Wang XF, Huang WF, Nie J, Zhou Y, Tan DW, Jiang JH. Toxicity of chemotherapy regimens in advanced and metastatic pancreatic cancer therapy: A network meta-analysis. J Cell Biochem. 2018;119(7):5082-5103. doi:10.1002/jcb.26266</w:t>
      </w:r>
    </w:p>
    <w:p w14:paraId="4F53B451"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Li X, Wan J, Wu Z, et al. Fatal adverse events with molecular targeted agents in the treatment of advanced hepatocellular carcinoma: a meta-analysis of randomized controlled trials. Drug Des Devel Ther. 2018;12:3043-3049. Published 2018 Sep 18. doi:10.2147/DDDT.S151241</w:t>
      </w:r>
    </w:p>
    <w:p w14:paraId="5939799E"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Shi XH, Zhou X, Zhang YM, Lei ZY, Liu T, Fan DL. Complications from Nasolabial Fold Injection of Calcium Hydroxylapatite for Facial Soft-Tissue Augmentation: A Systematic Review and Meta-Analysis. Aesthet Surg J. 2016;36(6):712-717. doi:10.1093/asj/sjv206</w:t>
      </w:r>
    </w:p>
    <w:p w14:paraId="0CFB7559"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Zhang XH, Hao S, Gao B, et al. A network meta-analysis for toxicity of eight chemotherapy regimens in the treatment of metastatic/advanced breast cancer. Oncotarget. 2016;7(51):84533-84543. doi:10.18632/oncotarget.13023</w:t>
      </w:r>
    </w:p>
    <w:p w14:paraId="25D18DBB"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Zhu X, Wu S. Increased Risk of Hypertension with Enzalutamide in Prostate Cancer: A Meta-</w:t>
      </w:r>
      <w:r w:rsidRPr="000A44A4">
        <w:rPr>
          <w:rFonts w:ascii="Times New Roman" w:eastAsia="宋体" w:hAnsi="Times New Roman" w:cs="Times New Roman"/>
          <w:szCs w:val="21"/>
        </w:rPr>
        <w:lastRenderedPageBreak/>
        <w:t>Analysis. Cancer Invest. 2019;37(9):478-488. doi:10.1080/07357907.2019.1670203</w:t>
      </w:r>
    </w:p>
    <w:p w14:paraId="733713D3"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Zhu X, Tian X, Yu C, Hong J, Fang J, Chen H. Increased risk of hemorrhage in metastatic colorectal cancer patients treated with bevacizumab: An updated meta-analysis of 12 randomized controlled trials. Medicine (Baltimore). 2016;95(34):e4232. doi:10.1097/MD.0000000000004232</w:t>
      </w:r>
    </w:p>
    <w:p w14:paraId="23007E24"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Li X, Huang R, Xu Z. Risk of Adverse Vascular Events in Newly Diagnosed Glioblastoma Multiforme Patients Treated with Bevacizumab: a Systematic Review and Meta-Analysis. Sci Rep. 2015;5:14698. Published 2015 Oct 1. doi:10.1038/srep14698</w:t>
      </w:r>
    </w:p>
    <w:p w14:paraId="64F3E18D"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Xu X, Zhu H, Lv H. Safety of Staphylococcus aureus four-antigen and three-antigen vaccines in healthy adults: A meta-analysis of randomized controlled trials. Hum Vaccin Immunother. 2018;14(2):314-321. doi:10.1080/21645515.2017.1395540</w:t>
      </w:r>
    </w:p>
    <w:p w14:paraId="7B20BA15"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Feng X, Tian M, Zhang W, Mei H. Gastrointestinal safety of etoricoxib in osteoarthritis and rheumatoid arthritis: A meta-analysis. PLoS One. 2018;13(1):e0190798. Published 2018 Jan 10. doi:10.1371/journal.pone.0190798</w:t>
      </w:r>
    </w:p>
    <w:p w14:paraId="318FABFE"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Pan XB, Huang ST, Jiang YM, Ma JL, Zhu XD. Secondary malignancies after partial versus whole breast irradiation: a systematic review and meta-analysis. Oncotarget. 2016;7(44):71951-71959. doi:10.18632/oncotarget.12442</w:t>
      </w:r>
    </w:p>
    <w:p w14:paraId="6FC60C8E"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Yang X, Pan X, Cheng X, Cheng Y, Kuang Y. Risk of treatment-related mortality with sorafenib in cancer patients: a meta-analysis of 20 randomly controlled trials : Risk of sorafenib-associated death. Int J Clin Pharm. 2015;37(6):1047-1056. doi:10.1007/s11096-015-0151-y</w:t>
      </w:r>
    </w:p>
    <w:p w14:paraId="1BDCA943"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Yang X, Pan X, Cheng X, Kuang Y, Cheng Y. Risk of Gastrointestinal Events During Vandetanib Therapy in Patients With Cancer: A Systematic Review and Meta-analysis of Clinical Trials. Am J Ther. 2017;24(3):e351-e360. doi:10.1097/MJT.0000000000000306</w:t>
      </w:r>
    </w:p>
    <w:p w14:paraId="7B56249C"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Yang X, Pan X, Cheng X, Kuang Y, Cheng Y. Risk of Gastrointestinal Events During Lapatinib Therapy: A Meta-Analysis From 12,402 Patients With Cancer. Am J Ther. 2018;25(4):e412-e422. doi:10.1097/MJT.0000000000000368</w:t>
      </w:r>
    </w:p>
    <w:p w14:paraId="32C77A7F"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Xu N, Yu M, Liu X, Sun C, Chen Z, Liu Z. A systematic review of complications in thoracic spine surgery for ossification of the posterior longitudinal ligament. Eur Spine J. 2017;26(7):1803-1809. doi:10.1007/s00586-015-4097-5</w:t>
      </w:r>
    </w:p>
    <w:p w14:paraId="29B31D80"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薛晓静</w:t>
      </w:r>
      <w:r w:rsidRPr="000A44A4">
        <w:rPr>
          <w:rFonts w:ascii="Times New Roman" w:eastAsia="宋体" w:hAnsi="Times New Roman" w:cs="Times New Roman"/>
          <w:szCs w:val="21"/>
        </w:rPr>
        <w:t>,</w:t>
      </w:r>
      <w:r w:rsidRPr="000A44A4">
        <w:rPr>
          <w:rFonts w:ascii="Times New Roman" w:eastAsia="宋体" w:hAnsi="Times New Roman" w:cs="Times New Roman"/>
          <w:szCs w:val="21"/>
        </w:rPr>
        <w:t>何饶丽</w:t>
      </w:r>
      <w:r w:rsidRPr="000A44A4">
        <w:rPr>
          <w:rFonts w:ascii="Times New Roman" w:eastAsia="宋体" w:hAnsi="Times New Roman" w:cs="Times New Roman"/>
          <w:szCs w:val="21"/>
        </w:rPr>
        <w:t>,</w:t>
      </w:r>
      <w:r w:rsidRPr="000A44A4">
        <w:rPr>
          <w:rFonts w:ascii="Times New Roman" w:eastAsia="宋体" w:hAnsi="Times New Roman" w:cs="Times New Roman"/>
          <w:szCs w:val="21"/>
        </w:rPr>
        <w:t>李伟兴</w:t>
      </w:r>
      <w:r w:rsidRPr="000A44A4">
        <w:rPr>
          <w:rFonts w:ascii="Times New Roman" w:eastAsia="宋体" w:hAnsi="Times New Roman" w:cs="Times New Roman"/>
          <w:szCs w:val="21"/>
        </w:rPr>
        <w:t>,</w:t>
      </w:r>
      <w:r w:rsidRPr="000A44A4">
        <w:rPr>
          <w:rFonts w:ascii="Times New Roman" w:eastAsia="宋体" w:hAnsi="Times New Roman" w:cs="Times New Roman"/>
          <w:szCs w:val="21"/>
        </w:rPr>
        <w:t>辛佳蔚</w:t>
      </w:r>
      <w:r w:rsidRPr="000A44A4">
        <w:rPr>
          <w:rFonts w:ascii="Times New Roman" w:eastAsia="宋体" w:hAnsi="Times New Roman" w:cs="Times New Roman"/>
          <w:szCs w:val="21"/>
        </w:rPr>
        <w:t>,</w:t>
      </w:r>
      <w:r w:rsidRPr="000A44A4">
        <w:rPr>
          <w:rFonts w:ascii="Times New Roman" w:eastAsia="宋体" w:hAnsi="Times New Roman" w:cs="Times New Roman"/>
          <w:szCs w:val="21"/>
        </w:rPr>
        <w:t>叶钦勇</w:t>
      </w:r>
      <w:r w:rsidRPr="000A44A4">
        <w:rPr>
          <w:rFonts w:ascii="Times New Roman" w:eastAsia="宋体" w:hAnsi="Times New Roman" w:cs="Times New Roman"/>
          <w:szCs w:val="21"/>
        </w:rPr>
        <w:t>,</w:t>
      </w:r>
      <w:r w:rsidRPr="000A44A4">
        <w:rPr>
          <w:rFonts w:ascii="Times New Roman" w:eastAsia="宋体" w:hAnsi="Times New Roman" w:cs="Times New Roman"/>
          <w:szCs w:val="21"/>
        </w:rPr>
        <w:t>陈晓春</w:t>
      </w:r>
      <w:r w:rsidRPr="000A44A4">
        <w:rPr>
          <w:rFonts w:ascii="Times New Roman" w:eastAsia="宋体" w:hAnsi="Times New Roman" w:cs="Times New Roman"/>
          <w:szCs w:val="21"/>
        </w:rPr>
        <w:t>,</w:t>
      </w:r>
      <w:r w:rsidRPr="000A44A4">
        <w:rPr>
          <w:rFonts w:ascii="Times New Roman" w:eastAsia="宋体" w:hAnsi="Times New Roman" w:cs="Times New Roman"/>
          <w:szCs w:val="21"/>
        </w:rPr>
        <w:t>潘晓东</w:t>
      </w:r>
      <w:r w:rsidRPr="000A44A4">
        <w:rPr>
          <w:rFonts w:ascii="Times New Roman" w:eastAsia="宋体" w:hAnsi="Times New Roman" w:cs="Times New Roman"/>
          <w:szCs w:val="21"/>
        </w:rPr>
        <w:t>.</w:t>
      </w:r>
      <w:r w:rsidRPr="000A44A4">
        <w:rPr>
          <w:rFonts w:ascii="Times New Roman" w:eastAsia="宋体" w:hAnsi="Times New Roman" w:cs="Times New Roman"/>
          <w:szCs w:val="21"/>
        </w:rPr>
        <w:t>非典型抗精神病药治疗痴呆精神</w:t>
      </w:r>
      <w:r w:rsidRPr="000A44A4">
        <w:rPr>
          <w:rFonts w:ascii="Times New Roman" w:eastAsia="宋体" w:hAnsi="Times New Roman" w:cs="Times New Roman"/>
          <w:szCs w:val="21"/>
        </w:rPr>
        <w:lastRenderedPageBreak/>
        <w:t>行为症状安全性的系统评价</w:t>
      </w:r>
      <w:r w:rsidRPr="000A44A4">
        <w:rPr>
          <w:rFonts w:ascii="Times New Roman" w:eastAsia="宋体" w:hAnsi="Times New Roman" w:cs="Times New Roman"/>
          <w:szCs w:val="21"/>
        </w:rPr>
        <w:t>[J].</w:t>
      </w:r>
      <w:r w:rsidRPr="000A44A4">
        <w:rPr>
          <w:rFonts w:ascii="Times New Roman" w:eastAsia="宋体" w:hAnsi="Times New Roman" w:cs="Times New Roman"/>
          <w:szCs w:val="21"/>
        </w:rPr>
        <w:t>中华医学杂志</w:t>
      </w:r>
      <w:r w:rsidRPr="000A44A4">
        <w:rPr>
          <w:rFonts w:ascii="Times New Roman" w:eastAsia="宋体" w:hAnsi="Times New Roman" w:cs="Times New Roman"/>
          <w:szCs w:val="21"/>
        </w:rPr>
        <w:t>,2018,98(25):2030-2036.</w:t>
      </w:r>
    </w:p>
    <w:p w14:paraId="577F764A"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Huang Y, Fan H, Li N, Du J. Risk of immune-related pneumonitis for PD1/PD-L1 inhibitors: Systematic review and network meta-analysis. Cancer Med. 2019;8(5):2664-2674. doi:10.1002/cam4.2104</w:t>
      </w:r>
    </w:p>
    <w:p w14:paraId="4FE9D6F7"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Wu Y, Mu Y, Yin L, Wang Z, Liu W, Wan H. Complications in the Management of Acute Achilles Tendon Rupture: A Systematic Review and Network Meta-analysis of 2060 Patients. Am J Sports Med. 2019;47(9):2251-2260. doi:10.1177/0363546518824601</w:t>
      </w:r>
    </w:p>
    <w:p w14:paraId="58E892A7"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Lin YS, Cheng SW, Wang YH, Chen KH, Fang CJ, Chen C. Systematic review with meta-analysis: risk of post-operative complications associated with pre-operative exposure to anti-tumour necrosis factor agents for Crohn's disease. Aliment Pharmacol Ther. 2019;49(8):966-977. doi:10.1111/apt.15184</w:t>
      </w:r>
    </w:p>
    <w:p w14:paraId="6D4EF119"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Zhou Y, Lu H, Yang M, Xu C. Adverse drug events associated with ibrutinib for the treatment of elderly patients with chronic lymphocytic leukemia: A systematic review and meta-analysis of randomized trials. Medicine (Baltimore). 2019;98(33):e16915. doi:10.1097/MD.0000000000016915</w:t>
      </w:r>
    </w:p>
    <w:p w14:paraId="08844385"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Hu Y, Xu W, Cao F. A meta-analysis of randomized controlled trials: combination of ketamine and propofol versus ketamine alone for procedural sedation and analgesia in children. Intern Emerg Med. 2019;14(7):1159-1165. doi:10.1007/s11739-019-02173-6</w:t>
      </w:r>
    </w:p>
    <w:p w14:paraId="551F0D79"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Zhao Y, Peng H, Li X, et al. Dual antiplatelet therapy after coronary artery bypass surgery: is there an increase in bleeding risk? A meta-analysis. Interact Cardiovasc Thorac Surg. 2018;26(4):573-582. doi:10.1093/icvts/ivx374</w:t>
      </w:r>
    </w:p>
    <w:p w14:paraId="2354B1BA"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Shen Y, Jia Y, Zhou J, Ji J, Xun P. Bayesian Network Meta-Analysis for Assessing Adverse Effects of Anti-hepatitis B Drugs. Clin Drug Investig. 2019;39(9):835-846. doi:10.1007/s40261-019-00802-8</w:t>
      </w:r>
    </w:p>
    <w:p w14:paraId="0332ED16"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Xia Y, Zhao J, Cao DS. Safety of Lipoabdominoplasty Versus Abdominoplasty: A Systematic Review and Meta-analysis. Aesthetic Plast Surg. 2019;43(1):167-174. doi:10.1007/s00266-018-1270-3</w:t>
      </w:r>
    </w:p>
    <w:p w14:paraId="53BE2787"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Bai Y, Chen H, Yang Y, et al. Safety of antithrombotic drugs in patients with atrial fibrillation and non-end-stage chronic kidney disease: Meta-analysis and systematic review. Thromb Res. 2016;137:46-52. doi:10.1016/j.thromres.2015.11.020</w:t>
      </w:r>
    </w:p>
    <w:p w14:paraId="40FF4B46"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lastRenderedPageBreak/>
        <w:t>Zhang Y, Ma L. Effect of preoperative angiotensin-converting enzyme inhibitor on the outcome of coronary artery bypass graft surgery. Eur J Cardiothorac Surg. 2015;47(5):788-795. doi:10.1093/ejcts/ezu298</w:t>
      </w:r>
    </w:p>
    <w:p w14:paraId="1CF7961F"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Liu YX, Zhang Y, Huang JF, Wang L. Meta-analysis comparing the safety of laparoscopic and open surgical approaches for suspected adnexal mass during the second trimester. Int J Gynaecol Obstet. 2017;136(3):272-279. doi:10.1002/ijgo.12069</w:t>
      </w:r>
    </w:p>
    <w:p w14:paraId="6146E6FF"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Yang Y, Liu YH, Sun X, et al. Risk of peripheral edema in cancer patients treated with MEK inhibitors: a systematic review and meta-analysis of clinical trials. Curr Med Res Opin. 2017;33(9):1663-1675. doi:10.1080/03007995.2017.1349657</w:t>
      </w:r>
    </w:p>
    <w:p w14:paraId="7818A644"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Pan Y, Hu C, Chen PH, et al. Association of oral endothelin receptor antagonists with risks of cardiovascular events and mortality: meta-analysis of randomized controlled trials. Eur J Clin Pharmacol. 2017;73(3):267-278. doi:10.1007/s00228-016-2171-5</w:t>
      </w:r>
    </w:p>
    <w:p w14:paraId="64AF728A"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Liu Y, Qi M, Hou S, et al. Risk of rash associated with vandetanib treatment in non-small-cell lung cancer patients: A meta-analysis of 9 randomized controlled trials. Medicine (Baltimore). 2017;96(43):e8345. doi:10.1097/MD.0000000000008345</w:t>
      </w:r>
    </w:p>
    <w:p w14:paraId="39CA1171"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Xing Y, Chen L, Feng Y, Zhou Y, Zhai Y, Lu J. Meta-analysis of the safety of voriconazole in definitive, empirical, and prophylactic therapies for invasive fungal infections. BMC Infect Dis. 2017;17(1):798. Published 2017 Dec 28. doi:10.1186/s12879-017-2913-8</w:t>
      </w:r>
    </w:p>
    <w:p w14:paraId="180BF8D1"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Wang Y, Zhou S, Yang F, et al. Treatment-Related Adverse Events of PD-1 and PD-L1 Inhibitors in Clinical Trials: A Systematic Review and Meta-analysis. JAMA Oncol. 2019;5(7):1008-1019. doi:10.1001/jamaoncol.2019.0393</w:t>
      </w:r>
    </w:p>
    <w:p w14:paraId="1E551875"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Liu Y, Zhang X, Chai S, Zhao X, Ji L. Risk of Malignant Neoplasia with Glucagon-Like Peptide-1 Receptor Agonist Treatment in Patients with Type 2 Diabetes: A Meta-Analysis. J Diabetes Res. 2019;2019:1534365. Published 2019 Jul 16. doi:10.1155/2019/1534365</w:t>
      </w:r>
    </w:p>
    <w:p w14:paraId="419812A0"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Zhao YT, Li PY, Zhang JQ, Wang L, Yi Z. Angiotensin II Receptor Blockers and Cancer Risk: A Meta-Analysis of Randomized Controlled Trials. Medicine (Baltimore). 2016;95(18):e3600. doi:10.1097/MD.0000000000003600</w:t>
      </w:r>
    </w:p>
    <w:p w14:paraId="020F60F7"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Geng Z, Yu Y, Hu S, Dong L, Ye C. Tocilizumab and the risk of respiratory adverse events in patients with rheumatoid arthritis: a systematic review and meta-analysis of randomised controlled trials. Clin Exp Rheumatol. 2019;37(2):318-323.</w:t>
      </w:r>
    </w:p>
    <w:p w14:paraId="2307993B"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lastRenderedPageBreak/>
        <w:t>Yuan ZZ, Yang Z, Liu Q, Liu YM. Complications following open reduction and internal fixation versus external fixation in treating unstable distal radius fractures: Grading the evidence through a meta-analysis. Orthop Traumatol Surg Res. 2018;104(1):95-103. doi:10.1016/j.otsr.2017.08.020</w:t>
      </w:r>
    </w:p>
    <w:p w14:paraId="758E3A6F"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Malihi Z, Wu Z, Stewart AW, Lawes CM, Scragg R. Hypercalcemia, hypercalciuria, and kidney stones in long-term studies of vitamin D supplementation: a systematic review and meta-analysis. Am J Clin Nutr. 2016;104(4):1039-1051. doi:10.3945/ajcn.116.134981</w:t>
      </w:r>
    </w:p>
    <w:p w14:paraId="6C64A889"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Malihi Z, Wu Z, Mm Lawes C, Scragg R. Noncalcemic adverse effects and withdrawals in randomized controlled trials of long-term vitamin D2 or D3 supplementation: a systematic review and meta-analysis. Nutr Rev. 2017;75(12):1007-1034. doi:10.1093/nutrit/nux059</w:t>
      </w:r>
    </w:p>
    <w:p w14:paraId="6CA2857B"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Malihi Z, Wu Z, Lawes CMM, Scragg R. Adverse events from large dose vitamin D supplementation taken for one year or longer. J Steroid Biochem Mol Biol. 2019;188:29-37. doi:10.1016/j.jsbmb.2018.12.002</w:t>
      </w:r>
    </w:p>
    <w:p w14:paraId="31E7A750"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Tang Z, Yang Y, Yang Z, Meng W, Li X. Early precut sphincterotomy does not increase the risk of adverse events for patients with difficult biliary access: A systematic review of randomized clinical trials with meta-analysis and trial sequential analysis. Medicine (Baltimore). 2018;97(36):e12213. doi:10.1097/MD.0000000000012213</w:t>
      </w:r>
    </w:p>
    <w:p w14:paraId="1F0A63A2"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Shen Z, Kong D. Meta-analysis of the adverse events associated with extended-release versus standard immediate-release pramipexole in Parkinson disease. Medicine (Baltimore). 2018;97(34):e11316. doi:10.1097/MD.0000000000011316</w:t>
      </w:r>
    </w:p>
    <w:p w14:paraId="6C9D00D6"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Jia Z, Lu H, Yang X, et al. Adverse Events of Botulinum Toxin Type A in Facial Rejuvenation: A Systematic Review and Meta-Analysis. Aesthetic Plast Surg. 2016;40(5):769-777. doi:10.1007/s00266-016-0682-1</w:t>
      </w:r>
    </w:p>
    <w:p w14:paraId="5E35FA6A"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Wu Z, Zhang H, Jin W, et al. The Effect of Renin-Angiotensin-Aldosterone System Blockade Medications on Contrast-Induced Nephropathy in Patients Undergoing Coronary Angiography: A Meta-Analysis. PLoS One. 2015;10(6):e0129747. Published 2015 Jun 17. doi:10.1371/journal.pone.0129747</w:t>
      </w:r>
    </w:p>
    <w:p w14:paraId="57D4AB45"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Lv Z, Li Y, Wu Y, Qu Y. Surgical complications of primary rhegmatogenous retinal detachment: a meta-analysis. PLoS One. 2015;10(3):e0116493. Published 2015 Mar 3. doi:10.1371/journal.pone.0116493</w:t>
      </w:r>
    </w:p>
    <w:p w14:paraId="14BB4C16"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lastRenderedPageBreak/>
        <w:t>Wang Z, Yang X, Wang J, et al. Risk of serious adverse event and fatal adverse event with molecular target anticancer drugs in cancer patients: A meta-analysis. J Cancer Res Ther. 2019;15(7):1435-1449. doi:10.4103/jcrt.JCRT_577_18</w:t>
      </w:r>
    </w:p>
    <w:p w14:paraId="7062AF8C"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Zhu LN, Chen D, Chen T, Xu D, Chen SH, Liu L. The adverse event profile of brivaracetam: A meta-analysis of randomized controlled trials. Seizure. 2017;45:7-16. doi:10.1016/j.seizure.2016.11.008</w:t>
      </w:r>
    </w:p>
    <w:p w14:paraId="14F5799C"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Jiang Z, Xiao H, Zhang H, Liu S, Meng J. Comparison of adverse events between cluster and conventional immunotherapy for allergic rhinitis patients with or without asthma: A systematic review and meta-analysis. Am J Otolaryngol. 2019;40(6):102269. doi:10.1016/j.amjoto.2019.07.013</w:t>
      </w:r>
    </w:p>
    <w:p w14:paraId="284710F1" w14:textId="77777777" w:rsidR="00760445" w:rsidRPr="000A44A4" w:rsidRDefault="00760445" w:rsidP="00507062">
      <w:pPr>
        <w:pStyle w:val="a4"/>
        <w:numPr>
          <w:ilvl w:val="0"/>
          <w:numId w:val="8"/>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Tolkien Z, Stecher L, Mander AP, Pereira DI, Powell JJ. Ferrous sulfate supplementation causes significant gastrointestinal side-effects in adults: a systematic review and meta-analysis. PLoS One. 2015;10(2):e0117383. Published 2015 Feb 20. doi:10.1371/journal.pone.0117383</w:t>
      </w:r>
    </w:p>
    <w:p w14:paraId="4961BB07" w14:textId="77777777" w:rsidR="00760445" w:rsidRPr="000A44A4" w:rsidRDefault="00760445" w:rsidP="00507062">
      <w:pPr>
        <w:widowControl/>
        <w:spacing w:line="360" w:lineRule="auto"/>
        <w:jc w:val="left"/>
        <w:rPr>
          <w:rFonts w:ascii="Times New Roman" w:eastAsia="宋体" w:hAnsi="Times New Roman" w:cs="Times New Roman"/>
          <w:szCs w:val="21"/>
        </w:rPr>
      </w:pPr>
      <w:r w:rsidRPr="000A44A4">
        <w:rPr>
          <w:rFonts w:ascii="Times New Roman" w:eastAsia="宋体" w:hAnsi="Times New Roman" w:cs="Times New Roman"/>
          <w:szCs w:val="21"/>
        </w:rPr>
        <w:br w:type="page"/>
      </w:r>
    </w:p>
    <w:p w14:paraId="4550CE57" w14:textId="7206266D" w:rsidR="00760445" w:rsidRPr="000A44A4" w:rsidRDefault="00760445" w:rsidP="00507062">
      <w:pPr>
        <w:spacing w:line="360" w:lineRule="auto"/>
        <w:rPr>
          <w:rFonts w:ascii="Times New Roman" w:eastAsia="宋体" w:hAnsi="Times New Roman" w:cs="Times New Roman"/>
          <w:b/>
          <w:bCs/>
          <w:szCs w:val="21"/>
        </w:rPr>
      </w:pPr>
      <w:r>
        <w:rPr>
          <w:rFonts w:ascii="Times New Roman" w:hAnsi="Times New Roman" w:cs="Times New Roman" w:hint="eastAsia"/>
          <w:b/>
          <w:bCs/>
          <w:sz w:val="24"/>
          <w:szCs w:val="24"/>
        </w:rPr>
        <w:lastRenderedPageBreak/>
        <w:t>L</w:t>
      </w:r>
      <w:r>
        <w:rPr>
          <w:rFonts w:ascii="Times New Roman" w:hAnsi="Times New Roman" w:cs="Times New Roman"/>
          <w:b/>
          <w:bCs/>
          <w:sz w:val="24"/>
          <w:szCs w:val="24"/>
        </w:rPr>
        <w:t>i</w:t>
      </w:r>
      <w:r>
        <w:rPr>
          <w:rFonts w:ascii="Times New Roman" w:hAnsi="Times New Roman" w:cs="Times New Roman" w:hint="eastAsia"/>
          <w:b/>
          <w:bCs/>
          <w:sz w:val="24"/>
          <w:szCs w:val="24"/>
        </w:rPr>
        <w:t>st</w:t>
      </w:r>
      <w:r>
        <w:rPr>
          <w:rFonts w:ascii="Times New Roman" w:hAnsi="Times New Roman" w:cs="Times New Roman"/>
          <w:b/>
          <w:bCs/>
          <w:sz w:val="24"/>
          <w:szCs w:val="24"/>
        </w:rPr>
        <w:t xml:space="preserve"> of included studies</w:t>
      </w:r>
      <w:r w:rsidRPr="000A44A4">
        <w:rPr>
          <w:rFonts w:ascii="Times New Roman" w:eastAsia="宋体" w:hAnsi="Times New Roman" w:cs="Times New Roman"/>
          <w:b/>
          <w:bCs/>
          <w:szCs w:val="21"/>
        </w:rPr>
        <w:t xml:space="preserve"> </w:t>
      </w:r>
      <w:r>
        <w:rPr>
          <w:rFonts w:ascii="Times New Roman" w:eastAsia="宋体" w:hAnsi="Times New Roman" w:cs="Times New Roman"/>
          <w:b/>
          <w:bCs/>
          <w:szCs w:val="21"/>
        </w:rPr>
        <w:t>(</w:t>
      </w:r>
      <w:r w:rsidRPr="000A44A4">
        <w:rPr>
          <w:rFonts w:ascii="Times New Roman" w:eastAsia="宋体" w:hAnsi="Times New Roman" w:cs="Times New Roman"/>
          <w:b/>
          <w:bCs/>
          <w:szCs w:val="21"/>
        </w:rPr>
        <w:t>2008-2011</w:t>
      </w:r>
      <w:r>
        <w:rPr>
          <w:rFonts w:ascii="Times New Roman" w:eastAsia="宋体" w:hAnsi="Times New Roman" w:cs="Times New Roman"/>
          <w:b/>
          <w:bCs/>
          <w:szCs w:val="21"/>
        </w:rPr>
        <w:t>)</w:t>
      </w:r>
    </w:p>
    <w:p w14:paraId="4808AE6E"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Aksoy S, Dizdar O, Hayran M, Harputluoğlu H. Infectious complications of rituximab in patients with lymphoma during maintenance therapy: a systematic review and meta-analysis. Leuk Lymphoma. 2009 Mar;50(3):357-65. doi: 10.1080/10428190902730219. PMID: 19263297.</w:t>
      </w:r>
    </w:p>
    <w:p w14:paraId="10188F1A"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Albavera-Hernández C, Rodríguez JM, Idrovo AJ. Safety of botulinum toxin type A among children with spasticity secondary to cerebral palsy: a systematic review of randomized clinical trials. Clin Rehabil. 2009;23(5):394-407. doi:10.1177/0269215508099860</w:t>
      </w:r>
    </w:p>
    <w:p w14:paraId="19368375"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An MM, Zou Z, Shen H, et al. Incidence and risk of significantly raised blood pressure in cancer patients treated with bevacizumab: an updated meta-analysis. Eur J Clin Pharmacol. 2010;66(8):813-821. doi:10.1007/s00228-010-0815-4</w:t>
      </w:r>
    </w:p>
    <w:p w14:paraId="5B5DDD05"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Arbyn M, Kyrgiou M, Simoens C, et al. Perinatal mortality and other severe adverse pregnancy outcomes associated with treatment of cervical intraepithelial neoplasia: meta-analysis. BMJ. 2008;337:a1284. Published 2008 Sep 18. doi:10.1136/bmj.a1284</w:t>
      </w:r>
    </w:p>
    <w:p w14:paraId="3AF4E787"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Bacha OM, Plante M, Kirschnick LS, Edelweiss MI. Evaluation of morbidity of suction drains after retroperitoneal lymphadenectomy in gynecological tumors: a systematic literature review. Int J Gynecol Cancer. 2009;19(2):202-207. doi:10.1111/IGC.0b013e31819a1fbe</w:t>
      </w:r>
    </w:p>
    <w:p w14:paraId="6062F04C"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Bager P, Wohlfahrt J, Westergaard T. Caesarean delivery and risk of atopy and allergic disease: meta-analyses. Clin Exp Allergy. 2008;38(4):634-642. doi:10.1111/j.1365-2222.2008.02939.x</w:t>
      </w:r>
    </w:p>
    <w:p w14:paraId="4EA96DAC"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Bangalore S, Kumar S, Kjeldsen SE, et al. Antihypertensive drugs and risk of cancer: network meta-analyses and trial sequential analyses of 324,168 participants from randomised trials. Lancet Oncol. 2011;12(1):65-82. doi:10.1016/S1470-2045(10)70260-6</w:t>
      </w:r>
    </w:p>
    <w:p w14:paraId="54E1460F"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Bangalore S, Kumar S, Wetterslev J, Messerli FH. Angiotensin receptor blockers and risk of myocardial infarction: meta-analyses and trial sequential analyses of 147 020 patients from randomised trials. BMJ. 2011;342:d2234. Published 2011 Apr 26. doi:10.1136/bmj.d2234</w:t>
      </w:r>
    </w:p>
    <w:p w14:paraId="6149A0D6"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Bar-Oz B, Moretti ME, Boskovic R, O'Brien L, Koren G. The safety of quinolones--a meta-analysis of pregnancy outcomes. Eur J Obstet Gynecol Reprod Biol. 2009;143(2):75-78. doi:10.1016/j.ejogrb.2008.12.007</w:t>
      </w:r>
    </w:p>
    <w:p w14:paraId="60AC2774"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Bennett CL, Silver SM, Djulbegovic B, et al. Venous thromboembolism and mortality associated with recombinant erythropoietin and darbepoetin administration for the treatment </w:t>
      </w:r>
      <w:r w:rsidRPr="000A44A4">
        <w:rPr>
          <w:rFonts w:ascii="Times New Roman" w:eastAsia="宋体" w:hAnsi="Times New Roman" w:cs="Times New Roman"/>
          <w:szCs w:val="21"/>
        </w:rPr>
        <w:lastRenderedPageBreak/>
        <w:t>of cancer-associated anemia. JAMA. 2008;299(8):914-924. doi:10.1001/jama.299.8.914</w:t>
      </w:r>
    </w:p>
    <w:p w14:paraId="477274B1"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Bergendal A, Odlind V, Persson I, Kieler H. Limited knowledge on progestogen-only contraception and risk of venous thromboembolism. Acta Obstet Gynecol Scand. 2009;88(3):261-266. doi:10.1080/00016340902730375</w:t>
      </w:r>
    </w:p>
    <w:p w14:paraId="0CF38531"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Bhuriya R, Singh M, Molnar J, Arora R, Khosla S. Bisphosphonate use in women and the risk of atrial fibrillation: a systematic review and meta-analysis. Int J Cardiol. 2010;142(3):213-217. doi:10.1016/j.ijcard.2009.11.041</w:t>
      </w:r>
    </w:p>
    <w:p w14:paraId="754968F0"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Bloch F, Thibaud M, Dugué B, Brèque C, Rigaud AS, Kemoun G. Laxatives as a risk factor for iatrogenic falls in elderly subjects: myth or reality?. Drugs Aging. 2010;27(11):895-901. doi:10.2165/11584280-000000000-00000</w:t>
      </w:r>
    </w:p>
    <w:p w14:paraId="1C4BAB9C"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Bolland MJ, Avenell A, Baron JA, et al. Effect of calcium supplements on risk of myocardial infarction and cardiovascular events: meta-analysis. BMJ. 2010;341:c3691. Published 2010 Jul 29. doi:10.1136/bmj.c3691</w:t>
      </w:r>
    </w:p>
    <w:p w14:paraId="1E035338"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Bongartz T, Warren FC, Mines D, Matteson EL, Abrams KR, Sutton AJ. Etanercept therapy in rheumatoid arthritis and the risk of malignancies: a systematic review and individual patient data meta-analysis of randomised controlled trials. Ann Rheum Dis. 2009;68(7):1177-1183. doi:10.1136/ard.2008.094904</w:t>
      </w:r>
    </w:p>
    <w:p w14:paraId="009C5321"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Brunelli SM. Association between oral sodium phosphate bowel preparations and kidney injury: a systematic review and meta-analysis. Am J Kidney Dis. 2009;53(3):448-456. doi:10.1053/j.ajkd.2008.09.022</w:t>
      </w:r>
    </w:p>
    <w:p w14:paraId="082DCCEB"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Canonico M, Plu-Bureau G, Lowe GD, Scarabin PY. Hormone replacement therapy and risk of venous thromboembolism in postmenopausal women: systematic review and meta-analysis. BMJ. 2008;336(7655):1227-1231. doi:10.1136/bmj.39555.441944.BE</w:t>
      </w:r>
    </w:p>
    <w:p w14:paraId="601B0220"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Cao Y, Liao C, Tan A, Liu L, Gao F. Meta-analysis of incidence and risk of hypomagnesemia with cetuximab for advanced cancer. Chemotherapy. 2010;56(6):459-465. doi:10.1159/000321011</w:t>
      </w:r>
    </w:p>
    <w:p w14:paraId="072D7828"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Cao Y, Liu L, Liao C, Tan A, Gao F. Meta-analysis of incidence and risk of hypokalemia with cetuximab-based therapy for advanced cancer. Cancer Chemother Pharmacol. 2010;66(1):37-42. doi:10.1007/s00280-009-1131-5</w:t>
      </w:r>
    </w:p>
    <w:p w14:paraId="76674F53"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Carnes D, Mars TS, Mullinger B, Froud R, Underwood M. Adverse events and manual therapy: </w:t>
      </w:r>
      <w:r w:rsidRPr="000A44A4">
        <w:rPr>
          <w:rFonts w:ascii="Times New Roman" w:eastAsia="宋体" w:hAnsi="Times New Roman" w:cs="Times New Roman"/>
          <w:szCs w:val="21"/>
        </w:rPr>
        <w:lastRenderedPageBreak/>
        <w:t>a systematic review. Man Ther. 2010;15(4):355-363. doi:10.1016/j.math.2009.12.006</w:t>
      </w:r>
    </w:p>
    <w:p w14:paraId="745B1737"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Cardwell CR, Stene LC, Joner G, et al. Caesarean section is associated with an increased risk of childhood-onset type 1 diabetes mellitus: a meta-analysis of observational studies. Diabetologia. 2008;51(5):726-735. doi:10.1007/s00125-008-0941-z</w:t>
      </w:r>
    </w:p>
    <w:p w14:paraId="659680C1"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Castillo JJ, Dalia S, Pascual SK. Association between red blood cell transfusions and development of non-Hodgkin lymphoma: a meta-analysis of observational studies. Blood. 2010;116(16):2897-2907. doi:10.1182/blood-2010-03-276683</w:t>
      </w:r>
    </w:p>
    <w:p w14:paraId="59D65BFB"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Chakhtoura Z, Canonico M, Gompel A, Thalabard JC, Scarabin PY, Plu-Bureau G. Progestogen-only contraceptives and the risk of stroke: a meta-analysis. Stroke. 2009;40(4):1059-1062. doi:10.1161/STROKEAHA.108.538405</w:t>
      </w:r>
    </w:p>
    <w:p w14:paraId="0F938D4B"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Chan CC, Reid CM, Aw TJ, Liew D, Haas SJ, Krum H. Do COX-2 inhibitors raise blood pressure more than nonselective NSAIDs and placebo? An updated meta-analysis. J Hypertens. 2009;27(12):2332-2341. doi:10.1097/HJH.0b013e3283310dc9</w:t>
      </w:r>
    </w:p>
    <w:p w14:paraId="2AA0394F"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Chavez-Tapia NC, Tellez-Avila FI, Bedogni G, Crocè LS, Masutti F, Tiribelli C. Systematic review and meta-analysis on the adverse events of rimonabant treatment: considerations for its potential use in hepatology. BMC Gastroenterol. 2009;9:75. Published 2009 Oct 9. doi:10.1186/1471-230X-9-75</w:t>
      </w:r>
    </w:p>
    <w:p w14:paraId="5FC354FA"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Chisholm EJ, Kulinskaya E, Tolley NS. Systematic review and meta-analysis of the adverse effects of thyroidectomy combined with central neck dissection as compared with thyroidectomy alone. Laryngoscope. 2009;119(6):1135-1139. doi:10.1002/lary.20236</w:t>
      </w:r>
    </w:p>
    <w:p w14:paraId="639FED62"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Choueiri TK, Schutz FA, Je Y, Rosenberg JE, Bellmunt J. Risk of arterial thromboembolic events with sunitinib and sorafenib: a systematic review and meta-analysis of clinical trials. J Clin Oncol. 2010;28(13):2280-2285. doi:10.1200/JCO.2009.27.2757</w:t>
      </w:r>
    </w:p>
    <w:p w14:paraId="0962BE64"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Chu D, Lacouture ME, Fillos T, Wu S. Risk of hand-foot skin reaction with sorafenib: a systematic review and meta-analysis. Acta Oncol. 2008;47(2):176-186. doi:10.1080/02841860701765675</w:t>
      </w:r>
    </w:p>
    <w:p w14:paraId="2C2ECA7C"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Chu D, Lacouture ME, Weiner E, Wu S. Risk of hand-foot skin reaction with the multitargeted kinase inhibitor sunitinib in patients with renal cell and non-renal cell carcinoma: a meta-analysis. Clin Genitourin Cancer. 2009;7(1):11-19. doi:10.3816/CGC.2009.n.002</w:t>
      </w:r>
    </w:p>
    <w:p w14:paraId="1A1ACDD1"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Cleary BJ, Donnelly J, Strawbridge J, et al. Methadone dose and neonatal abstinence </w:t>
      </w:r>
      <w:r w:rsidRPr="000A44A4">
        <w:rPr>
          <w:rFonts w:ascii="Times New Roman" w:eastAsia="宋体" w:hAnsi="Times New Roman" w:cs="Times New Roman"/>
          <w:szCs w:val="21"/>
        </w:rPr>
        <w:lastRenderedPageBreak/>
        <w:t>syndrome-systematic review and meta-analysis. Addiction. 2010;105(12):2071-2084. doi:10.1111/j.1360-0443.2010.03120.x</w:t>
      </w:r>
    </w:p>
    <w:p w14:paraId="11568B71"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Cooper RD, Wiebe N, Smith N, Keiser P, Naicker S, Tonelli M. Systematic review and meta-analysis: renal safety of tenofovir disoproxil fumarate in HIV-infected patients. Clin Infect Dis. 2010;51(5):496-505. doi:10.1086/655681</w:t>
      </w:r>
    </w:p>
    <w:p w14:paraId="40303096"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Cornish JA, Tan E, Simillis C, Clark SK, Teare J, Tekkis PP. The risk of oral contraceptives in the etiology of inflammatory bowel disease: a meta-analysis. Am J Gastroenterol. 2008;103(9):2394-2400. doi:10.1111/j.1572-0241.2008.02064.x</w:t>
      </w:r>
    </w:p>
    <w:p w14:paraId="13C4CFB9"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Dhippayom T, Chaiyakunapruk N, Jongchansittho T. Safety of nortriptyline at equivalent therapeutic doses for smoking cessation: a systematic review and meta-analysis. Drug Saf. 2011;34(3):199-210. doi:10.2165/11585950-000000000-00000</w:t>
      </w:r>
    </w:p>
    <w:p w14:paraId="0061AEE6"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Dugoua JJ, Machado M, Zhu X, Chen X, Koren G, Einarson TR. Probiotic safety in pregnancy: a systematic review and meta-analysis of randomized controlled trials of Lactobacillus, Bifidobacterium, and Saccharomyces spp. J Obstet Gynaecol Can. 2009;31(6):542-552. doi:10.1016/S1701-2163(16)34218-9</w:t>
      </w:r>
    </w:p>
    <w:p w14:paraId="3E7F53FE"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Edwards SJ, Smith CJ. Tolerability of atypical antipsychotics in the treatment of adults with schizophrenia or bipolar disorder: a mixed treatment comparison of randomized controlled trials. Clin Ther. 2009;31 Pt 1:1345-1359. doi:10.1016/j.clinthera.2009.07.004</w:t>
      </w:r>
    </w:p>
    <w:p w14:paraId="35C61815"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Etminan M, Sadatsafavi M, Ganjizadeh Zavareh S, Takkouche B, FitzGerald JM. Inhaled corticosteroids and the risk of fractures in older adults: a systematic review and meta-analysis. Drug Saf. 2008;31(5):409-414. doi:10.2165/00002018-200831050-00005</w:t>
      </w:r>
    </w:p>
    <w:p w14:paraId="0B96B992"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Etminan M, Sadatsafavi M, Jafari S, Doyle-Waters M, Aminzadeh K, FitzGerald JM. Acetaminophen use and the risk of asthma in children and adults: a systematic review and metaanalysis. Chest. 2009;136(5):1316-1323. doi:10.1378/chest.09-0865</w:t>
      </w:r>
    </w:p>
    <w:p w14:paraId="3059C4A5"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Eyers S, Weatherall M, Jefferies S, Beasley R. Paracetamol in pregnancy and the risk of wheezing in offspring: a systematic review and meta-analysis. Clin Exp Allergy. 2011;41(4):482-489. doi:10.1111/j.1365-2222.2010.03691.x</w:t>
      </w:r>
    </w:p>
    <w:p w14:paraId="7ED9C707"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Fatourechi MM, Kudva YC, Murad MH, Elamin MB, Tabini CC, Montori VM. Clinical review: Hypoglycemia with intensive insulin therapy: a systematic review and meta-analyses of randomized trials of continuous subcutaneous insulin infusion versus multiple daily injections. </w:t>
      </w:r>
      <w:r w:rsidRPr="000A44A4">
        <w:rPr>
          <w:rFonts w:ascii="Times New Roman" w:eastAsia="宋体" w:hAnsi="Times New Roman" w:cs="Times New Roman"/>
          <w:szCs w:val="21"/>
        </w:rPr>
        <w:lastRenderedPageBreak/>
        <w:t>J Clin Endocrinol Metab. 2009;94(3):729-740. doi:10.1210/jc.2008-1415</w:t>
      </w:r>
    </w:p>
    <w:p w14:paraId="03B556A0"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Fernández-Balsells MM, Murad MH, Lane M, et al. Clinical review 1: Adverse effects of testosterone therapy in adult men: a systematic review and meta-analysis. J Clin Endocrinol Metab. 2010;95(6):2560-2575. doi:10.1210/jc.2009-2575</w:t>
      </w:r>
    </w:p>
    <w:p w14:paraId="5EC8EDFF"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Fernández-Guisasola J, Gómez-Arnau JI, Cabrera Y, del Valle SG. Association between nitrous oxide and the incidence of postoperative nausea and vomiting in adults: a systematic review and meta-analysis. Anaesthesia. 2010;65(4):379-387. doi:10.1111/j.1365-2044.2010.06249.x</w:t>
      </w:r>
    </w:p>
    <w:p w14:paraId="5D5F407A"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Ford AC, Malfertheiner P, Giguere M, Santana J, Khan M, Moayyedi P. Adverse events with bismuth salts for Helicobacter pylori eradication: systematic review and meta-analysis. World J Gastroenterol. 2008;14(48):7361-7370. doi:10.3748/wjg.14.7361</w:t>
      </w:r>
    </w:p>
    <w:p w14:paraId="2A39774A"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Gagne JJ, Griesdale DE, Schneeweiss S. Aprotinin and the risk of death and renal dysfunction in patients undergoing cardiac surgery: a meta-analysis of epidemiologic studies. Pharmacoepidemiol Drug Saf. 2009;18(4):259-268. doi:10.1002/pds.1714</w:t>
      </w:r>
    </w:p>
    <w:p w14:paraId="79A22C18"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Gandhi R, Smith H, Lefaivre KA, Davey JR, Mahomed NN. Complications after minimally invasive total knee arthroplasty as compared with traditional incision techniques: a meta-analysis. J Arthroplasty. 2011;26(1):29-35. doi:10.1016/j.arth.2009.11.022</w:t>
      </w:r>
    </w:p>
    <w:p w14:paraId="5D82893B"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García Rodríguez LA, González-Pérez A, Bueno H, Hwa J. NSAID use selectively increases the risk of non-fatal myocardial infarction: a systematic review of randomised trials and observational studies. PLoS One. 2011;6(2):e16780. Published 2011 Feb 8. doi:10.1371/journal.pone.0016780</w:t>
      </w:r>
    </w:p>
    <w:p w14:paraId="73D787A7"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Gartlehner G, Thieda P, Hansen RA, et al. Comparative risk for harms of second-generation antidepressants : a systematic review and meta-analysis. Drug Saf. 2008;31(10):851-865. doi:10.2165/00002018-200831100-00004</w:t>
      </w:r>
    </w:p>
    <w:p w14:paraId="2E7C0F19"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Gehling M, Tryba M. Risks and side-effects of intrathecal morphine combined with spinal anaesthesia: a meta-analysis. Anaesthesia. 2009;64(6):643-651. doi:10.1111/j.1365-2044.2008.05817.x</w:t>
      </w:r>
    </w:p>
    <w:p w14:paraId="685C0E9E"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Gill SK, O'Brien L, Koren G. The safety of histamine 2 (H2) blockers in pregnancy: a meta-analysis. Dig Dis Sci. 2009;54(9):1835-1838. doi:10.1007/s10620-008-0587-1</w:t>
      </w:r>
    </w:p>
    <w:p w14:paraId="2EA9A9C0"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Gill SK, O'Brien L, Einarson TR, Koren G. The safety of proton pump inhibitors (PPIs) in pregnancy: a meta-analysis. Am J Gastroenterol. 2009;104(6):1541-1546. </w:t>
      </w:r>
      <w:r w:rsidRPr="000A44A4">
        <w:rPr>
          <w:rFonts w:ascii="Times New Roman" w:eastAsia="宋体" w:hAnsi="Times New Roman" w:cs="Times New Roman"/>
          <w:szCs w:val="21"/>
        </w:rPr>
        <w:lastRenderedPageBreak/>
        <w:t>doi:10.1038/ajg.2009.122</w:t>
      </w:r>
    </w:p>
    <w:p w14:paraId="3DE2093C"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Glaspy J, Crawford J, Vansteenkiste J, et al. Erythropoiesis-stimulating agents in oncology: a study-level meta-analysis of survival and other safety outcomes. Br J Cancer. 2010;102(2):301-315. doi:10.1038/sj.bjc.6605498</w:t>
      </w:r>
    </w:p>
    <w:p w14:paraId="23891E83"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Greiser CM, Greiser EM, Dören M. Menopausal hormone therapy and risk of lung cancer-Systematic review and meta-analysis. Maturitas. 2010;65(3):198-204. doi:10.1016/j.maturitas.2009.11.027</w:t>
      </w:r>
    </w:p>
    <w:p w14:paraId="5E6447A7"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Grootscholten K, Kok M, Oei SG, Mol BW, van der Post JA. External cephalic version-related risks: a meta-analysis. Obstet Gynecol. 2008;112(5):1143-1151. doi:10.1097/AOG.0b013e31818b4ade</w:t>
      </w:r>
    </w:p>
    <w:p w14:paraId="481DB71F"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Han J, Liu Y. Effect of ventilator circuit changes on ventilator-associated pneumonia: a systematic review and meta-analysis. Respir Care. 2010;55(4):467-474.</w:t>
      </w:r>
    </w:p>
    <w:p w14:paraId="3706F7DB"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Hapani S, Chu D, Wu S. Risk of gastrointestinal perforation in patients with cancer treated with bevacizumab: a meta-analysis. Lancet Oncol. 2009;10(6):559-568. doi:10.1016/S1470-2045(09)70112-3</w:t>
      </w:r>
    </w:p>
    <w:p w14:paraId="215F4D00"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Hapani S, Sher A, Chu D, Wu S. Increased risk of serious hemorrhage with bevacizumab in cancer patients: a meta-analysis. Oncology. 2010;79(1-2):27-38. doi:10.1159/000314980</w:t>
      </w:r>
    </w:p>
    <w:p w14:paraId="6019B491"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Hassan AK, Bergheanu SC, Stijnen T, et al. Late stent malapposition risk is higher after drug-eluting stent compared with bare-metal stent implantation and associates with late stent thrombosis. Eur Heart J. 2010;31(10):1172-1180. doi:10.1093/eurheartj/ehn553</w:t>
      </w:r>
    </w:p>
    <w:p w14:paraId="55310806"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Hegeman J, van den Bemt BJ, Duysens J, van Limbeek J. NSAIDs and the risk of accidental falls in the elderly: a systematic review. Drug Saf. 2009;32(6):489-498. doi:10.2165/00002018-200932060-00005</w:t>
      </w:r>
    </w:p>
    <w:p w14:paraId="550DB6DB"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Heinemann J, Gillen G, Sanchez-Ramos L, Kaunitz AM. Do mechanical methods of cervical ripening increase infectious morbidity? A systematic review. Am J Obstet Gynecol. 2008;199(2):177-188. doi:10.1016/j.ajog.2008.05.005</w:t>
      </w:r>
    </w:p>
    <w:p w14:paraId="0A2CBFE3"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Heinrich MC, Häberle L, Müller V, Bautz W, Uder M. Nephrotoxicity of iso-osmolar iodixanol compared with nonionic low-osmolar contrast media: meta-analysis of randomized controlled trials. Radiology. 2009;250(1):68-86. doi:10.1148/radiol.2501080833</w:t>
      </w:r>
    </w:p>
    <w:p w14:paraId="71CA1026"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Hohl CM, Kelly-Smith CH, Yeung TC, Sweet DD, Doyle-Waters MM, Schulzer M. The effect </w:t>
      </w:r>
      <w:r w:rsidRPr="000A44A4">
        <w:rPr>
          <w:rFonts w:ascii="Times New Roman" w:eastAsia="宋体" w:hAnsi="Times New Roman" w:cs="Times New Roman"/>
          <w:szCs w:val="21"/>
        </w:rPr>
        <w:lastRenderedPageBreak/>
        <w:t>of a bolus dose of etomidate on cortisol levels, mortality, and health services utilization: a systematic review. Ann Emerg Med. 2010;56(2):105-13.e5. doi:10.1016/j.annemergmed.2010.01.030</w:t>
      </w:r>
    </w:p>
    <w:p w14:paraId="6FDA73D8"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Honrubia F, García-Sánchez J, Polo V, de la Casa JM, Soto J. Conjunctival hyperaemia with the use of latanoprost versus other prostaglandin analogues in patients with ocular hypertension or glaucoma: a meta-analysis of randomised clinical trials. Br J Ophthalmol. 2009;93(3):316-321. doi:10.1136/bjo.2007.135111</w:t>
      </w:r>
    </w:p>
    <w:p w14:paraId="2A9B10FE"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Hu ZY, Yu Q, Zhao YS. Dose-dependent association between UGT1A1*28 polymorphism and irinotecan-induced diarrhoea: a meta-analysis. Eur J Cancer. 2010;46(10):1856-1865. doi:10.1016/j.ejca.2010.02.049</w:t>
      </w:r>
    </w:p>
    <w:p w14:paraId="19E7ACED"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Hujoel PP, Zina LG, Moimaz SA, Cunha-Cruz J. Infant formula and enamel fluorosis: a systematic review. J Am Dent Assoc. 2009;140(7):841-854. doi:10.14219/jada.archive.2009.0278</w:t>
      </w:r>
    </w:p>
    <w:p w14:paraId="67E1D2F7"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Ince H, Valgimigli M, Petzsch M, et al. Cardiovascular events and re-stenosis following administration of G-CSF in acute myocardial infarction: systematic review and meta-analysis. Heart. 2008;94(5):610-616. doi:10.1136/hrt.2006.111385</w:t>
      </w:r>
    </w:p>
    <w:p w14:paraId="5D6749E3"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Iodice S, Barile M, Rotmensz N, et al. Oral contraceptive use and breast or ovarian cancer risk in BRCA1/2 carriers: a meta-analysis. Eur J Cancer. 2010;46(12):2275-2284. doi:10.1016/j.ejca.2010.04.018</w:t>
      </w:r>
    </w:p>
    <w:p w14:paraId="5E8A627A"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Grzelewski T, Stelmach I. Exercise-induced bronchoconstriction in asthmatic children: a comparative systematic review of the available treatment options. Drugs. 2009;69(12):1533-1553. doi:10.2165/11316720-000000000-00000</w:t>
      </w:r>
    </w:p>
    <w:p w14:paraId="7DF0DA6D"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Jamula E, Anderson J, Douketis JD. Safety of continuing warfarin therapy during cataract surgery: a systematic review and meta-analysis. Thromb Res. 2009;124(3):292-299. doi:10.1016/j.thromres.2009.01.007</w:t>
      </w:r>
    </w:p>
    <w:p w14:paraId="1BF88E52"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Je Y, Schutz FA, Choueiri TK. Risk of bleeding with vascular endothelial growth factor receptor tyrosine-kinase inhibitors sunitinib and sorafenib: a systematic review and meta-analysis of clinical trials. Lancet Oncol. 2009;10(10):967-974. doi:10.1016/S1470-2045(09)70222-0</w:t>
      </w:r>
    </w:p>
    <w:p w14:paraId="2978AA0B"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Jia Y, Lacouture ME, Su X, Wu S. Risk of skin rash associated with erlotinib in cancer patients: </w:t>
      </w:r>
      <w:r w:rsidRPr="000A44A4">
        <w:rPr>
          <w:rFonts w:ascii="Times New Roman" w:eastAsia="宋体" w:hAnsi="Times New Roman" w:cs="Times New Roman"/>
          <w:szCs w:val="21"/>
        </w:rPr>
        <w:lastRenderedPageBreak/>
        <w:t>a meta-analysis. J Support Oncol. 2009;7(6):211-217.</w:t>
      </w:r>
    </w:p>
    <w:p w14:paraId="15204210"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Johansson K, Neovius K, DeSantis SM, Rössner S, Neovius M. Discontinuation due to adverse events in randomized trials of orlistat, sibutramine and rimonabant: a meta-analysis [published correction appears in Obes Rev. 2009 Sep;10(5):586]. Obes Rev. 2009;10(5):564-575. doi:10.1111/j.1467-789X.2009.00581.x</w:t>
      </w:r>
    </w:p>
    <w:p w14:paraId="11932007"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Johnstone J, Nerenberg K, Loeb M. Meta-analysis: proton pump inhibitor use and the risk of community-acquired pneumonia. Aliment Pharmacol Ther. 2010;31(11):1165-1177. doi:10.1111/j.1365-2036.2010.04284.x</w:t>
      </w:r>
    </w:p>
    <w:p w14:paraId="54407991"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Jolly SS, Amlani S, Hamon M, Yusuf S, Mehta SR. Radial versus femoral access for coronary angiography or intervention and the impact on major bleeding and ischemic events: a systematic review and meta-analysis of randomized trials. Am Heart J. 2009;157(1):132-140. doi:10.1016/j.ahj.2008.08.023</w:t>
      </w:r>
    </w:p>
    <w:p w14:paraId="4884A563"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Karamchandani D, Arias-Amaya R, Donaldson N, Gilbert J, Schulte KM. Thyroid cancer and renal transplantation: a meta-analysis. Endocr Relat Cancer. 2010;17(1):159-167. Published 2010 Feb 18. doi:10.1677/ERC-09-0191</w:t>
      </w:r>
    </w:p>
    <w:p w14:paraId="23C9AE85"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Khan K, Zamora J, Lamont RF, et al. Safety concerns for the use of calcium channel blockers in pregnancy for the treatment of spontaneous preterm labour and hypertension: a systematic review and meta-regression analysis. J Matern Fetal Neonatal Med. 2010;23(9):1030-1038. doi:10.3109/14767050903572182</w:t>
      </w:r>
    </w:p>
    <w:p w14:paraId="0B38D8D8"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Khawaja OA, Shaikh KA, Al-Mallah MH. Meta-analysis of adverse cardiovascular events associated with echocardiographic contrast agents. Am J Cardiol. 2010;106(5):742-747. doi:10.1016/j.amjcard.2010.04.034</w:t>
      </w:r>
    </w:p>
    <w:p w14:paraId="1EE3969C"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Kim SY, Kim MJ, Cadarette SM, Solomon DH. Bisphosphonates and risk of atrial fibrillation: a meta-analysis. Arthritis Res Ther. 2010;12(1):R30. doi:10.1186/ar2938</w:t>
      </w:r>
    </w:p>
    <w:p w14:paraId="1C15A4BB"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Knight SR, Morris PJ. Steroid avoidance or withdrawal after renal transplantation increases the risk of acute rejection but decreases cardiovascular risk. A meta-analysis. Transplantation. 2010;89(1):1-14. doi:10.1097/TP.0b013e3181c518cc</w:t>
      </w:r>
    </w:p>
    <w:p w14:paraId="055D6D68"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Krasopoulos G, Brister SJ, Beattie WS, Buchanan MR. Aspirin "resistance" and risk of cardiovascular morbidity: systematic review and meta-analysis. BMJ. 2008;336(7637):195-198. doi:10.1136/bmj.39430.529549.BE</w:t>
      </w:r>
    </w:p>
    <w:p w14:paraId="6C3AEF98"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lastRenderedPageBreak/>
        <w:t>Kulisevsky J, Pagonabarraga J. Tolerability and safety of ropinirole versus other dopamine agonists and levodopa in the treatment of Parkinson's disease: meta-analysis of randomized controlled trials. Drug Saf. 2010;33(2):147-161. doi:10.2165/11319860-000000000-00000</w:t>
      </w:r>
    </w:p>
    <w:p w14:paraId="2C0678A1"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Kuratani N, Oi Y. Greater incidence of emergence agitation in children after sevoflurane anesthesia as compared with halothane: a meta-analysis of randomized controlled trials. Anesthesiology. 2008;109(2):225-232. doi:10.1097/ALN.0b013e31817f5c18</w:t>
      </w:r>
    </w:p>
    <w:p w14:paraId="0F4E8D3C"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Kwok CS, Loke YK. Meta-analysis: the effects of proton pump inhibitors on cardiovascular events and mortality in patients receiving clopidogrel [published correction appears in Aliment Pharmacol Ther. 2010 Sep;32(5):696]. Aliment Pharmacol Ther. 2010;31(8):810-823. doi:10.1111/j.1365-2036.2010.04247.x</w:t>
      </w:r>
    </w:p>
    <w:p w14:paraId="538CFAFB"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Lakhdar R, Al-Mallah MH, Lanfear DE. Safety and tolerability of angiotensin-converting enzyme inhibitor versus the combination of angiotensin-converting enzyme inhibitor and angiotensin receptor blocker in patients with left ventricular dysfunction: a systematic review and meta-analysis of randomized controlled trials. J Card Fail. 2008;14(3):181-188. doi:10.1016/j.cardfail.2007.11.008</w:t>
      </w:r>
    </w:p>
    <w:p w14:paraId="62855443"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Leombruno JP, Einarson TR, Keystone EC. The safety of anti-tumour necrosis factor treatments in rheumatoid arthritis: meta and exposure-adjusted pooled analyses of serious adverse events. Ann Rheum Dis. 2009;68(7):1136-1145. doi:10.1136/ard.2008.091025</w:t>
      </w:r>
    </w:p>
    <w:p w14:paraId="2FFE6974"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Loke YK, Jeevanantham V, Singh S. Bisphosphonates and atrial fibrillation: systematic review and meta-analysis. Drug Saf. 2009;32(3):219-228. doi:10.2165/00002018-200932030-00004</w:t>
      </w:r>
    </w:p>
    <w:p w14:paraId="4E205C2F"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Loke YK, Singh S, Furberg CD. Long-term use of thiazolidinediones and fractures in type 2 diabetes: a meta-analysis. CMAJ. 2009;180(1):32-39. doi:10.1503/cmaj.080486</w:t>
      </w:r>
    </w:p>
    <w:p w14:paraId="4A7D5722"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Loke YK, Kwok CS, Singh S. Risk of myocardial infarction and cardiovascular death associated with inhaled corticosteroids in COPD. Eur Respir J. 2010;35(5):1003-1021. doi:10.1183/09031936.00095909</w:t>
      </w:r>
    </w:p>
    <w:p w14:paraId="458487F2"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Loke YK, Kwok CS, Singh S. Comparative cardiovascular effects of thiazolidinediones: systematic review and meta-analysis of observational studies. BMJ. 2011;342:d1309. Published 2011 Mar 17. doi:10.1136/bmj.d1309</w:t>
      </w:r>
    </w:p>
    <w:p w14:paraId="08602B87"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Luykx J, Mason M, Ferrari MD, Carpay J. Are migraineurs at increased risk of adverse drug responses? A meta-analytic comparison of topiramate-related adverse drug reactions in </w:t>
      </w:r>
      <w:r w:rsidRPr="000A44A4">
        <w:rPr>
          <w:rFonts w:ascii="Times New Roman" w:eastAsia="宋体" w:hAnsi="Times New Roman" w:cs="Times New Roman"/>
          <w:szCs w:val="21"/>
        </w:rPr>
        <w:lastRenderedPageBreak/>
        <w:t>epilepsy and migraine. Clin Pharmacol Ther. 2009;85(3):283-288. doi:10.1038/clpt.2008.203</w:t>
      </w:r>
    </w:p>
    <w:p w14:paraId="6C72A0FF"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Ma MH, Cope AP, Scott DL. Safety of combination therapies in early rheumatoid arthritis: a systematic comparison between antirheumatic drugs and TNF inhibitors with methotrexate. International Journal of Clinical Rheumatology 2010; 5(5): 547-554.</w:t>
      </w:r>
    </w:p>
    <w:p w14:paraId="0497575E"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Mahmud SM, Franco EL, Aprikian AG. Use of nonsteroidal anti-inflammatory drugs and prostate cancer risk: a meta-analysis. Int J Cancer. 2010;127(7):1680-1691. doi:10.1002/ijc.25186</w:t>
      </w:r>
    </w:p>
    <w:p w14:paraId="3CFF6706"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Makarounas-Kirchmann K, Glover-Koudounas S, Ferrari P. Results of a meta-analysis comparing the tolerability of lercanidipine and other dihydropyridine calcium channel blockers [published correction appears in Clin Ther. 2010 Feb;32(2):401-2]. Clin Ther. 2009;31(8):1652-1663. doi:10.1016/j.clinthera.2009.08.010</w:t>
      </w:r>
    </w:p>
    <w:p w14:paraId="2D201BA9"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Mangiapane S, Blettner M, Schlattmann P. Aspirin use and breast cancer risk: a meta-analysis and meta-regression of observational studies from 2001 to 2005. Pharmacoepidemiol Drug Saf. 2008;17(2):115-124. doi:10.1002/pds.1503</w:t>
      </w:r>
    </w:p>
    <w:p w14:paraId="43D1EB00"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Mannucci E, Monami M, Lamanna C, Gensini GF, Marchionni N. Pioglitazone and cardiovascular risk. A comprehensive meta-analysis of randomized clinical trials. Diabetes Obes Metab. 2008;10(12):1221-1238. doi:10.1111/j.1463-1326.2008.00892.x</w:t>
      </w:r>
    </w:p>
    <w:p w14:paraId="67313936"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Mannucci E, Monami M, Di Bari M, et al. Cardiac safety profile of rosiglitazone: a comprehensive meta-analysis of randomized clinical trials. Int J Cardiol. 2010;143(2):135-140. doi:10.1016/j.ijcard.2009.01.064</w:t>
      </w:r>
    </w:p>
    <w:p w14:paraId="666CC121"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Massó González EL, Patrignani P, Tacconelli S, García Rodríguez LA. Variability among nonsteroidal antiinflammatory drugs in risk of upper gastrointestinal bleeding. Arthritis Rheum. 2010;62(6):1592-1601. doi:10.1002/art.27412</w:t>
      </w:r>
    </w:p>
    <w:p w14:paraId="7539FA22"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Mauri D, Valachis A, Polyzos IP, et al. Osteonecrosis of the jaw and use of bisphosphonates in adjuvant breast cancer treatment: a metanalysis. Breast Cancer Res Treat 116, 433–439 (2009). https://doi.org/10.1007/s10549-009-0432-z</w:t>
      </w:r>
    </w:p>
    <w:p w14:paraId="4C3DE0D0"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McDonald SD, Han Z, Mulla S, et al. Preterm birth and low birth weight among in vitro fertilization twins: a systematic review and meta-analyses. Eur J Obstet Gynecol Reprod Biol. 2010;148(2):105-113. doi:10.1016/j.ejogrb.2009.09.019</w:t>
      </w:r>
    </w:p>
    <w:p w14:paraId="7CE66C24"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McDonald SD, Han Z, Mulla S, et al. Preterm birth and low birth weight among in vitro </w:t>
      </w:r>
      <w:r w:rsidRPr="000A44A4">
        <w:rPr>
          <w:rFonts w:ascii="Times New Roman" w:eastAsia="宋体" w:hAnsi="Times New Roman" w:cs="Times New Roman"/>
          <w:szCs w:val="21"/>
        </w:rPr>
        <w:lastRenderedPageBreak/>
        <w:t>fertilization singletons: a systematic review and meta-analyses. Eur J Obstet Gynecol Reprod Biol. 2009;146(2):138-148. doi:10.1016/j.ejogrb.2009.05.035</w:t>
      </w:r>
    </w:p>
    <w:p w14:paraId="2ECFA674"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Miller ER 3rd, Juraschek S, Pastor-Barriuso R, Bazzano LA, Appel LJ, Guallar E. Meta-analysis of folic acid supplementation trials on risk of cardiovascular disease and risk interaction with baseline homocysteine levels. Am J Cardiol. 2010;106(4):517-527. doi:10.1016/j.amjcard.2010.03.064</w:t>
      </w:r>
    </w:p>
    <w:p w14:paraId="6F316FE7"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Mills EJ, Wu P, Lockhart I, Wilson K, Ebbert JO. Adverse events associated with nicotine replacement therapy (NRT) for smoking cessation. A systematic review and meta-analysis of one hundred and twenty studies involving 177,390 individuals. Tob Induc Dis. 2010;8(1):8. Published 2010 Jul 13. doi:10.1186/1617-9625-8-8</w:t>
      </w:r>
    </w:p>
    <w:p w14:paraId="569EE0DC"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Monami M, Lamanna C, Marchionni N, Mannucci E. Rosiglitazone and risk of cancer: a meta-analysis of randomized clinical trials. Diabetes Care. 2008;31(7):1455-1460. doi:10.2337/dc07-2308</w:t>
      </w:r>
    </w:p>
    <w:p w14:paraId="28254026"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Nagajothi N, Adigopula S, Balamuthusamy S, et al. Pioglitazone and the risk of myocardial infarction and other major adverse cardiac events: a meta-analysis of randomized, controlled trials. Am J Ther. 2008;15(6):506-511. doi:10.1097/MJT.0b013e318167180c</w:t>
      </w:r>
    </w:p>
    <w:p w14:paraId="381ABEAF"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Nalluri SR, Chu D, Keresztes R, Zhu X, Wu S. Risk of venous thromboembolism with the angiogenesis inhibitor bevacizumab in cancer patients: a meta-analysis. JAMA. 2008;300(19):2277-2285. doi:10.1001/jama.2008.656</w:t>
      </w:r>
    </w:p>
    <w:p w14:paraId="751200FC"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Natanson C, Kern SJ, Lurie P, Banks SM, Wolfe SM. Cell-free hemoglobin-based blood substitutes and risk of myocardial infarction and death: a meta-analysis [published correction appears in JAMA. 2008 Sep 17;300(11): 1300]. JAMA. 2008;299(19):2304-2312. doi:10.1001/jama.299.19.jrv80007</w:t>
      </w:r>
    </w:p>
    <w:p w14:paraId="4EBCB357"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Novara G, Galfano A, Boscolo-Berto R, et al. Complication rates of tension-free midurethral slings in the treatment of female stress urinary incontinence: a systematic review and meta-analysis of randomized controlled trials comparing tension-free midurethral tapes to other surgical procedures and different devices. Eur Urol. 2008;53(2):288-308. doi:10.1016/j.eururo.2007.10.073</w:t>
      </w:r>
    </w:p>
    <w:p w14:paraId="3838EABF"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O'Brien L, Einarson TR, Sarkar M, Einarson A, Koren G. Does paroxetine cause cardiac malformations?. J Obstet Gynaecol Can. 2008;30(8):696-701. doi:10.1016/S1701-</w:t>
      </w:r>
      <w:r w:rsidRPr="000A44A4">
        <w:rPr>
          <w:rFonts w:ascii="Times New Roman" w:eastAsia="宋体" w:hAnsi="Times New Roman" w:cs="Times New Roman"/>
          <w:szCs w:val="21"/>
        </w:rPr>
        <w:lastRenderedPageBreak/>
        <w:t>2163(16)32918-8</w:t>
      </w:r>
    </w:p>
    <w:p w14:paraId="7A926891"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Ormerod S, McDowell SE, Coleman JJ, Ferner RE. Ethnic differences in the risks of adverse reactions to drugs used in the treatment of psychoses and depression: a systematic review and meta-analysis. Drug Saf. 2008;31(7):597-607. doi:10.2165/00002018-200831070-00005</w:t>
      </w:r>
    </w:p>
    <w:p w14:paraId="5DC271F1"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Palmer SC, Navaneethan SD, Craig JC, et al. Meta-analysis: erythropoiesis-stimulating agents in patients with chronic kidney disease. Ann Intern Med. 2010;153(1):23-33. doi:10.7326/0003-4819-153-1-201007060-00252</w:t>
      </w:r>
    </w:p>
    <w:p w14:paraId="079A20B7"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Palomba S, Falbo A, Orio F Jr, Zullo F. Effect of preconceptional metformin on abortion risk in polycystic ovary syndrome: a systematic review and meta-analysis of randomized controlled trials. Fertil Steril. 2009;92(5):1646-1658. doi:10.1016/j.fertnstert.2008.08.087</w:t>
      </w:r>
    </w:p>
    <w:p w14:paraId="3EE5D11D"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Papatheodoridis GV, Lampertico P, Manolakopoulos S, Lok A. Incidence of hepatocellular carcinoma in chronic hepatitis B patients receiving nucleos(t)ide therapy: a systematic review. J Hepatol. 2010;53(2):348-356. doi:10.1016/j.jhep.2010.02.035</w:t>
      </w:r>
    </w:p>
    <w:p w14:paraId="11942E10"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Pascual J, Galeano C, Royuela A, Zamora J. A systematic review on steroid withdrawal between 3 and 6 months after kidney transplantation. Transplantation. 2010;90(4):343-349. doi:10.1097/TP.0b013e3181e58912</w:t>
      </w:r>
    </w:p>
    <w:p w14:paraId="7CB7DE32"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Petrov MS, van Santvoort HC, Besselink MG, van der Heijden GJ, Windsor JA, Gooszen HG. Enteral nutrition and the risk of mortality and infectious complications in patients with severe acute pancreatitis: a meta-analysis of randomized trials. Arch Surg. 2008;143(11):1111-1117. doi:10.1001/archsurg.143.11.1111</w:t>
      </w:r>
    </w:p>
    <w:p w14:paraId="34D421D2"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Petrov MS, Whelan K. Comparison of complications attributable to enteral and parenteral nutrition in predicted severe acute pancreatitis: a systematic review and meta-analysis. Br J Nutr. 2010;103(9):1287-1295. doi:10.1017/S0007114510000887</w:t>
      </w:r>
    </w:p>
    <w:p w14:paraId="4922404B"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Polyzos NP, Mauri D, Tsioras S, Messini CI, Valachis A, Messinis IE. Intraperitoneal dissemination of endometrial cancer cells after hysteroscopy: a systematic review and meta-analysis. Int J Gynecol Cancer. 2010;20(2):261-267. doi:10.1111/igc.0b013e3181ca2290</w:t>
      </w:r>
    </w:p>
    <w:p w14:paraId="42095044"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Poynten IM, Millwood IY, Falster MO, et al. The safety of candidate vaginal microbicides since nonoxynol-9: a systematic review of published studies. AIDS. 2009;23(10):1245-1254. doi:10.1097/QAD.0b013e32832b4271</w:t>
      </w:r>
    </w:p>
    <w:p w14:paraId="7A59246E"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Rahimi R, Nikfar S, Rezaie A, Abdollahi M. Pregnancy outcome in women with inflammatory </w:t>
      </w:r>
      <w:r w:rsidRPr="000A44A4">
        <w:rPr>
          <w:rFonts w:ascii="Times New Roman" w:eastAsia="宋体" w:hAnsi="Times New Roman" w:cs="Times New Roman"/>
          <w:szCs w:val="21"/>
        </w:rPr>
        <w:lastRenderedPageBreak/>
        <w:t>bowel disease following exposure to 5-aminosalicylic acid drugs: a meta-analysis. Reprod Toxicol. 2008;25(2):271-275. doi:10.1016/j.reprotox.2007.11.010</w:t>
      </w:r>
    </w:p>
    <w:p w14:paraId="48D78719"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Rajpathak SN, Kumbhani DJ, Crandall J, Barzilai N, Alderman M, Ridker PM. Statin therapy and risk of developing type 2 diabetes: a meta-analysis. Diabetes Care. 2009;32(10):1924-1929. doi:10.2337/dc09-0738</w:t>
      </w:r>
    </w:p>
    <w:p w14:paraId="0F669CBB"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Ramritu P, Halton K, Cook D, Whitby M, Graves N. Catheter-related bloodstream infections in intensive care units: a systematic review with meta-analysis. J Adv Nurs. 2008;62(1):3-21. doi:10.1111/j.1365-2648.2007.04564.x</w:t>
      </w:r>
    </w:p>
    <w:p w14:paraId="6E9772D2"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Ranpura V, Hapani S, Chuang J, Wu S. Risk of cardiac ischemia and arterial thromboembolic events with the angiogenesis inhibitor bevacizumab in cancer patients: a meta-analysis of randomized controlled trials. Acta Oncol. 2010;49(3):287-297. doi:10.3109/02841860903524396</w:t>
      </w:r>
    </w:p>
    <w:p w14:paraId="431CC7AB"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Ranpura V, Pulipati B, Chu D, Zhu X, Wu S. Increased risk of high-grade hypertension with bevacizumab in cancer patients: a meta-analysis. Am J Hypertens. 2010;23(5):460-468. doi:10.1038/ajh.2010.25</w:t>
      </w:r>
    </w:p>
    <w:p w14:paraId="4224BBD2"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Ranpura V, Hapani S, Wu S. Treatment-related mortality with bevacizumab in cancer patients: a meta-analysis [published correction appears in JAMA. 2011 Jun 8;305(22):2294]. JAMA. 2011;305(5):487-494. doi:10.1001/jama.2011.51</w:t>
      </w:r>
    </w:p>
    <w:p w14:paraId="164632D2"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Rao AD, Kuhadiya N, Reynolds K, Fonseca VA. Is the combination of sulfonylureas and metformin associated with an increased risk of cardiovascular disease or all-cause mortality?: a meta-analysis of observational studies. Diabetes Care. 2008;31(8):1672-1678. doi:10.2337/dc08-0167</w:t>
      </w:r>
    </w:p>
    <w:p w14:paraId="1E18595D"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Ravindran V, Rachapalli S, Choy EH. Safety of medium- to long-term glucocorticoid therapy in rheumatoid arthritis: a meta-analysis. Rheumatology (Oxford). 2009;48(7):807-811. doi:10.1093/rheumatology/kep096</w:t>
      </w:r>
    </w:p>
    <w:p w14:paraId="27290BAB"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Reed M, Meier P, Tamhane UU, Welch KB, Moscucci M, Gurm HS. The relative renal safety of iodixanol compared with low-osmolar contrast media: a meta-analysis of randomized controlled trials [published correction appears in JACC Cardiovasc Interv. 2009 Nov;2(11):1167]. JACC Cardiovasc Interv. 2009;2(7):645-654. doi:10.1016/j.jcin.2009.05.002</w:t>
      </w:r>
    </w:p>
    <w:p w14:paraId="6CB17284"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lastRenderedPageBreak/>
        <w:t>Rizvi AZ, Murad MH, Fairman RM, Erwin PJ, Montori VM. The effect of left subclavian artery coverage on morbidity and mortality in patients undergoing endovascular thoracic aortic interventions: a systematic review and meta-analysis. J Vasc Surg. 2009;50(5):1159-1169. doi:10.1016/j.jvs.2009.09.002</w:t>
      </w:r>
    </w:p>
    <w:p w14:paraId="6E831229"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Robert M, Soraisham A, Sauve R. Postoperative urinary incontinence after total abdominal hysterectomy or supracervical hysterectomy: a metaanalysis. Am J Obstet Gynecol. 2008;198(3):264.e1-264.e2645. doi:10.1016/j.ajog.2007.09.033</w:t>
      </w:r>
    </w:p>
    <w:p w14:paraId="355C916D"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Rodrigo GJ, Nannini LJ, Rodríguez-Roisin R. Safety of long-acting beta-agonists in stable COPD: a systematic review. Chest. 2008;133(5):1079-1087. doi:10.1378/chest.07-1167</w:t>
      </w:r>
    </w:p>
    <w:p w14:paraId="3B43D70B"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Rodrigo GJ, Moral VP, Marcos LG, Castro-Rodriguez JA. Safety of regular use of long-acting beta agonists as monotherapy or added to inhaled corticosteroids in asthma. A systematic review. Pulm Pharmacol Ther. 2009;22(1):9-19. doi:10.1016/j.pupt.2008.10.008</w:t>
      </w:r>
    </w:p>
    <w:p w14:paraId="349D8FAC"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Rodrigo GJ, Castro-Rodriguez JA, Nannini LJ, Plaza Moral V, Schiavi EA. Tiotropium and risk for fatal and nonfatal cardiovascular events in patients with chronic obstructive pulmonary disease: systematic review with meta-analysis. Respir Med. 2009;103(10):1421-1429. doi:10.1016/j.rmed.2009.05.020</w:t>
      </w:r>
    </w:p>
    <w:p w14:paraId="1B9D88B0"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Salliot C, Dougados M, Gossec L. Risk of serious infections during rituximab, abatacept and anakinra treatments for rheumatoid arthritis: meta-analyses of randomised placebo-controlled trials. Ann Rheum Dis. 2009;68(1):25-32. doi:10.1136/ard.2007.083188</w:t>
      </w:r>
    </w:p>
    <w:p w14:paraId="05917B31"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Samii A, Etminan M, Wiens MO, Jafari S. NSAID use and the risk of Parkinson's disease: systematic review and meta-analysis of observational studies. Drugs Aging. 2009;26(9):769-779. doi:10.2165/11316780-000000000-00000</w:t>
      </w:r>
    </w:p>
    <w:p w14:paraId="392FC392"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Dören M. Association between hormone replacement therapy and subsequent arterial and venous vascular events: a meta-analysis. Eur Heart J. 2009;30(7):866-867. doi:10.1093/eurheartj/ehn618</w:t>
      </w:r>
    </w:p>
    <w:p w14:paraId="786E776D"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Satterthwaite TD, Wolf DH, Rosenheck RA, Gur RE, Caroff SN. A meta-analysis of the risk of acute extrapyramidal symptoms with intramuscular antipsychotics for the treatment of agitation. J Clin Psychiatry. 2008;69(12):1869-1879. doi:10.4088/jcp.v69n1204</w:t>
      </w:r>
    </w:p>
    <w:p w14:paraId="40E88410"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Sattar N, Preiss D, Murray HM, et al. Statins and risk of incident diabetes: a collaborative meta-analysis of randomised statin trials. Lancet. 2010;375(9716):735-742. </w:t>
      </w:r>
      <w:r w:rsidRPr="000A44A4">
        <w:rPr>
          <w:rFonts w:ascii="Times New Roman" w:eastAsia="宋体" w:hAnsi="Times New Roman" w:cs="Times New Roman"/>
          <w:szCs w:val="21"/>
        </w:rPr>
        <w:lastRenderedPageBreak/>
        <w:t>doi:10.1016/S0140-6736(09)61965-6</w:t>
      </w:r>
    </w:p>
    <w:p w14:paraId="331F3035"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Sawka AM, Thabane L, Parlea L, et al. Second primary malignancy risk after radioactive iodine treatment for thyroid cancer: a systematic review and meta-analysis. Thyroid. 2009;19(5):451-457. doi:10.1089/thy.2008.0392</w:t>
      </w:r>
    </w:p>
    <w:p w14:paraId="4E89254A"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Schwarz EB, Moretti ME, Nayak S, Koren G. Risk of hypospadias in offspring of women using loratadine during pregnancy: a systematic review and meta-analysis. Drug Saf. 2008;31(9):775-788. doi:10.2165/00002018-200831090-00006</w:t>
      </w:r>
    </w:p>
    <w:p w14:paraId="7E685F05"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Schnaudigel S, Gröschel K, Pilgram SM, Kastrup A. New brain lesions after carotid stenting versus carotid endarterectomy: a systematic review of the literature. Stroke. 2008;39(6):1911-1919. doi:10.1161/STROKEAHA.107.500603</w:t>
      </w:r>
    </w:p>
    <w:p w14:paraId="05124C8A"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Schulze-Rath R, Hammer GP, Blettner M. Are pre- or postnatal diagnostic X-rays a risk factor for childhood cancer? A systematic review. Radiat Environ Biophys. 2008;47(3):301-312. doi:10.1007/s00411-008-0171-2</w:t>
      </w:r>
    </w:p>
    <w:p w14:paraId="2A0EF837"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Scott PA, Kingsley GH, Scott DL. Non-steroidal anti-inflammatory drugs and cardiac failure: meta-analyses of observational studies and randomised controlled trials. Eur J Heart Fail. 2008;10(11):1102-1107. doi:10.1016/j.ejheart.2008.07.013</w:t>
      </w:r>
    </w:p>
    <w:p w14:paraId="1B5524A8"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Scott AS, Parr LA, Johnstone PA. Risk of cerebrovascular events after neck and supraclavicular radiotherapy: a systematic review. Radiother Oncol. 2009;90(2):163-165. doi:10.1016/j.radonc.2008.12.019</w:t>
      </w:r>
    </w:p>
    <w:p w14:paraId="2C6C103B"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Selvin E, Bolen S, Yeh HC, et al. Cardiovascular outcomes in trials of oral diabetes medications: a systematic review. Arch Intern Med. 2008;168(19):2070-2080. doi:10.1001/archinte.168.19.2070</w:t>
      </w:r>
    </w:p>
    <w:p w14:paraId="48B7810C"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Shah PS, Zao J; Knowledge Synthesis Group of Determinants of preterm/LBW births. Induced termination of pregnancy and low birthweight and preterm birth: a systematic review and meta-analyses. BJOG. 2009;116(11):1425-1442. doi:10.1111/j.1471-0528.2009.02278.x</w:t>
      </w:r>
    </w:p>
    <w:p w14:paraId="42DE8C7D"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Shibata MC, León H, Chatterley T, Dorgan M, Vandermeer B. Do calcium channel blockers increase the diagnosis of heart failure in patients with hypertension?. Am J Cardiol. 2010;106(2):228-235. doi:10.1016/j.amjcard.2010.02.031</w:t>
      </w:r>
    </w:p>
    <w:p w14:paraId="6EC07D29"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Sin DD, Tashkin D, Zhang X, et al. Budesonide and the risk of pneumonia: a meta-analysis of individual patient data. Lancet. 2009;374(9691):712-719. doi:10.1016/S0140-6736(09)61250-</w:t>
      </w:r>
      <w:r w:rsidRPr="000A44A4">
        <w:rPr>
          <w:rFonts w:ascii="Times New Roman" w:eastAsia="宋体" w:hAnsi="Times New Roman" w:cs="Times New Roman"/>
          <w:szCs w:val="21"/>
        </w:rPr>
        <w:lastRenderedPageBreak/>
        <w:t>2</w:t>
      </w:r>
    </w:p>
    <w:p w14:paraId="698E815B"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Singh S, Loke YK, Furberg CD. Inhaled anticholinergics and risk of major adverse cardiovascular events in patients with chronic obstructive pulmonary disease: a systematic review and meta-analysis [published correction appears in JAMA. 2009 Mar 25;301(12):1227-30]. JAMA. 2008;300(12):1439-1450. doi:10.1001/jama.300.12.1439</w:t>
      </w:r>
    </w:p>
    <w:p w14:paraId="1B057CD1"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Singh S, Amin AV, Loke YK. Long-term use of inhaled corticosteroids and the risk of pneumonia in chronic obstructive pulmonary disease: a meta-analysis. Arch Intern Med. 2009;169(3):219-229. doi:10.1001/archinternmed.2008.550</w:t>
      </w:r>
    </w:p>
    <w:p w14:paraId="3C9221F6"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Sint Nicolaas J, de Jonge V, Steyerberg EW, Kuipers EJ, van Leerdam ME, Veldhuyzen-van Zanten SJ. Risk of colorectal carcinoma in post-liver transplant patients: a systematic review and meta-analysis. Am J Transplant. 2010;10(4):868-876. doi:10.1111/j.1600-6143.2010.03049.x</w:t>
      </w:r>
    </w:p>
    <w:p w14:paraId="4D2DB182"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Slobogean BL, Jackman H, Tennant S, Slobogean GP, Mulpuri K. Iatrogenic ulnar nerve injury after the surgical treatment of displaced supracondylar fractures of the humerus: number needed to harm, a systematic review. J Pediatr Orthop. 2010;30(5):430-436. doi:10.1097/BPO.0b013e3181e00c0d</w:t>
      </w:r>
    </w:p>
    <w:p w14:paraId="6CFFAB94"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Smith M, Hopkins D, Peveler RC, Holt RI, Woodward M, Ismail K. First- v. second-generation antipsychotics and risk for diabetes in schizophrenia: systematic review and meta-analysis. Br J Psychiatry. 2008;192(6):406-411. doi:10.1192/bjp.bp.107.037184</w:t>
      </w:r>
    </w:p>
    <w:p w14:paraId="2766476D"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Smith LA, Cornelius VR, Plummer CJ, et al. Cardiotoxicity of anthracycline agents for the treatment of cancer: systematic review and meta-analysis of randomised controlled trials. BMC Cancer. 2010;10:337. Published 2010 Jun 29. doi:10.1186/1471-2407-10-337</w:t>
      </w:r>
    </w:p>
    <w:p w14:paraId="19CEE16A"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Solomon SD, Wittes J, Finn PV, et al. Cardiovascular risk of celecoxib in 6 randomized placebo-controlled trials: the cross trial safety analysis. Circulation. 2008;117(16):2104-2113. doi:10.1161/CIRCULATIONAHA.108.764530</w:t>
      </w:r>
    </w:p>
    <w:p w14:paraId="30AA578E"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Southey ER, Soares-Weiser K, Kleijnen J. Systematic review and meta-analysis of the clinical safety and tolerability of ibuprofen compared with paracetamol in paediatric pain and fever. Curr Med Res Opin. 2009;25(9):2207-2222. doi:10.1185/03007990903116255</w:t>
      </w:r>
    </w:p>
    <w:p w14:paraId="11EDB755"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Sipahi I, Debanne SM, Rowland DY, Simon DI, Fang JC. Angiotensin-receptor blockade and risk of cancer: meta-analysis of randomised controlled trials. Lancet Oncol. 2010;11(7):627-</w:t>
      </w:r>
      <w:r w:rsidRPr="000A44A4">
        <w:rPr>
          <w:rFonts w:ascii="Times New Roman" w:eastAsia="宋体" w:hAnsi="Times New Roman" w:cs="Times New Roman"/>
          <w:szCs w:val="21"/>
        </w:rPr>
        <w:lastRenderedPageBreak/>
        <w:t>636. doi:10.1016/S1470-2045(10)70106-6</w:t>
      </w:r>
    </w:p>
    <w:p w14:paraId="679EFC10"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Sperber K, Hom C, Chao CP, Shapiro D, Ash J. Systematic review of hydroxychloroquine use in pregnant patients with autoimmune diseases. Pediatr Rheumatol Online J. 2009;7:9. Published 2009 May 13. doi:10.1186/1546-0096-7-9</w:t>
      </w:r>
    </w:p>
    <w:p w14:paraId="5938D6E4"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Subramanian V, Saxena S, Kang JY, Pollok RC. Preoperative steroid use and risk of postoperative complications in patients with inflammatory bowel disease undergoing abdominal surgery. Am J Gastroenterol. 2008;103(9):2373-2381. doi:10.1111/j.1572-0241.2008.01942.x</w:t>
      </w:r>
    </w:p>
    <w:p w14:paraId="7498C3F0"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Sun JC, Whitlock R, Cheng J, et al. The effect of pre-operative aspirin on bleeding, transfusion, myocardial infarction, and mortality in coronary artery bypass surgery: a systematic review of randomized and observational studies. Eur Heart J. 2008;29(8):1057-1071. doi:10.1093/eurheartj/ehn104</w:t>
      </w:r>
    </w:p>
    <w:p w14:paraId="23A1C999"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Tacconelli E, De Angelis G, Cataldo MA, Pozzi E, Cauda R. Does antibiotic exposure increase the risk of methicillin-resistant Staphylococcus aureus (MRSA) isolation? A systematic review and meta-analysis. J Antimicrob Chemother. 2008;61(1):26-38. doi:10.1093/jac/dkm416</w:t>
      </w:r>
    </w:p>
    <w:p w14:paraId="10BFAC5B"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Takagi H, Matsui M, Umemoto T. Increased late mortality with percutaneous stenting for unprotected left main coronary artery stenosis relative to coronary artery bypass grafting: a meta-analysis of observational studies. J Thorac Cardiovasc Surg. 2010;139(5):1351-1353. doi:10.1016/j.jtcvs.2010.01.024</w:t>
      </w:r>
    </w:p>
    <w:p w14:paraId="2443D442"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唐凌峰</w:t>
      </w:r>
      <w:r w:rsidRPr="000A44A4">
        <w:rPr>
          <w:rFonts w:ascii="Times New Roman" w:eastAsia="宋体" w:hAnsi="Times New Roman" w:cs="Times New Roman"/>
          <w:szCs w:val="21"/>
        </w:rPr>
        <w:t>,</w:t>
      </w:r>
      <w:r w:rsidRPr="000A44A4">
        <w:rPr>
          <w:rFonts w:ascii="Times New Roman" w:eastAsia="宋体" w:hAnsi="Times New Roman" w:cs="Times New Roman"/>
          <w:szCs w:val="21"/>
        </w:rPr>
        <w:t>姜辉</w:t>
      </w:r>
      <w:r w:rsidRPr="000A44A4">
        <w:rPr>
          <w:rFonts w:ascii="Times New Roman" w:eastAsia="宋体" w:hAnsi="Times New Roman" w:cs="Times New Roman"/>
          <w:szCs w:val="21"/>
        </w:rPr>
        <w:t>,</w:t>
      </w:r>
      <w:r w:rsidRPr="000A44A4">
        <w:rPr>
          <w:rFonts w:ascii="Times New Roman" w:eastAsia="宋体" w:hAnsi="Times New Roman" w:cs="Times New Roman"/>
          <w:szCs w:val="21"/>
        </w:rPr>
        <w:t>商学军</w:t>
      </w:r>
      <w:r w:rsidRPr="000A44A4">
        <w:rPr>
          <w:rFonts w:ascii="Times New Roman" w:eastAsia="宋体" w:hAnsi="Times New Roman" w:cs="Times New Roman"/>
          <w:szCs w:val="21"/>
        </w:rPr>
        <w:t>,</w:t>
      </w:r>
      <w:r w:rsidRPr="000A44A4">
        <w:rPr>
          <w:rFonts w:ascii="Times New Roman" w:eastAsia="宋体" w:hAnsi="Times New Roman" w:cs="Times New Roman"/>
          <w:szCs w:val="21"/>
        </w:rPr>
        <w:t>赵连明</w:t>
      </w:r>
      <w:r w:rsidRPr="000A44A4">
        <w:rPr>
          <w:rFonts w:ascii="Times New Roman" w:eastAsia="宋体" w:hAnsi="Times New Roman" w:cs="Times New Roman"/>
          <w:szCs w:val="21"/>
        </w:rPr>
        <w:t>,</w:t>
      </w:r>
      <w:r w:rsidRPr="000A44A4">
        <w:rPr>
          <w:rFonts w:ascii="Times New Roman" w:eastAsia="宋体" w:hAnsi="Times New Roman" w:cs="Times New Roman"/>
          <w:szCs w:val="21"/>
        </w:rPr>
        <w:t>白泉</w:t>
      </w:r>
      <w:r w:rsidRPr="000A44A4">
        <w:rPr>
          <w:rFonts w:ascii="Times New Roman" w:eastAsia="宋体" w:hAnsi="Times New Roman" w:cs="Times New Roman"/>
          <w:szCs w:val="21"/>
        </w:rPr>
        <w:t>,</w:t>
      </w:r>
      <w:r w:rsidRPr="000A44A4">
        <w:rPr>
          <w:rFonts w:ascii="Times New Roman" w:eastAsia="宋体" w:hAnsi="Times New Roman" w:cs="Times New Roman"/>
          <w:szCs w:val="21"/>
        </w:rPr>
        <w:t>洪锴</w:t>
      </w:r>
      <w:r w:rsidRPr="000A44A4">
        <w:rPr>
          <w:rFonts w:ascii="Times New Roman" w:eastAsia="宋体" w:hAnsi="Times New Roman" w:cs="Times New Roman"/>
          <w:szCs w:val="21"/>
        </w:rPr>
        <w:t>,</w:t>
      </w:r>
      <w:r w:rsidRPr="000A44A4">
        <w:rPr>
          <w:rFonts w:ascii="Times New Roman" w:eastAsia="宋体" w:hAnsi="Times New Roman" w:cs="Times New Roman"/>
          <w:szCs w:val="21"/>
        </w:rPr>
        <w:t>刘德风</w:t>
      </w:r>
      <w:r w:rsidRPr="000A44A4">
        <w:rPr>
          <w:rFonts w:ascii="Times New Roman" w:eastAsia="宋体" w:hAnsi="Times New Roman" w:cs="Times New Roman"/>
          <w:szCs w:val="21"/>
        </w:rPr>
        <w:t>,</w:t>
      </w:r>
      <w:r w:rsidRPr="000A44A4">
        <w:rPr>
          <w:rFonts w:ascii="Times New Roman" w:eastAsia="宋体" w:hAnsi="Times New Roman" w:cs="Times New Roman"/>
          <w:szCs w:val="21"/>
        </w:rPr>
        <w:t>柳建明</w:t>
      </w:r>
      <w:r w:rsidRPr="000A44A4">
        <w:rPr>
          <w:rFonts w:ascii="Times New Roman" w:eastAsia="宋体" w:hAnsi="Times New Roman" w:cs="Times New Roman"/>
          <w:szCs w:val="21"/>
        </w:rPr>
        <w:t>,</w:t>
      </w:r>
      <w:r w:rsidRPr="000A44A4">
        <w:rPr>
          <w:rFonts w:ascii="Times New Roman" w:eastAsia="宋体" w:hAnsi="Times New Roman" w:cs="Times New Roman"/>
          <w:szCs w:val="21"/>
        </w:rPr>
        <w:t>袁人培</w:t>
      </w:r>
      <w:r w:rsidRPr="000A44A4">
        <w:rPr>
          <w:rFonts w:ascii="Times New Roman" w:eastAsia="宋体" w:hAnsi="Times New Roman" w:cs="Times New Roman"/>
          <w:szCs w:val="21"/>
        </w:rPr>
        <w:t>,</w:t>
      </w:r>
      <w:r w:rsidRPr="000A44A4">
        <w:rPr>
          <w:rFonts w:ascii="Times New Roman" w:eastAsia="宋体" w:hAnsi="Times New Roman" w:cs="Times New Roman"/>
          <w:szCs w:val="21"/>
        </w:rPr>
        <w:t>陈茜</w:t>
      </w:r>
      <w:r w:rsidRPr="000A44A4">
        <w:rPr>
          <w:rFonts w:ascii="Times New Roman" w:eastAsia="宋体" w:hAnsi="Times New Roman" w:cs="Times New Roman"/>
          <w:szCs w:val="21"/>
        </w:rPr>
        <w:t>,</w:t>
      </w:r>
      <w:r w:rsidRPr="000A44A4">
        <w:rPr>
          <w:rFonts w:ascii="Times New Roman" w:eastAsia="宋体" w:hAnsi="Times New Roman" w:cs="Times New Roman"/>
          <w:szCs w:val="21"/>
        </w:rPr>
        <w:t>马潞林</w:t>
      </w:r>
      <w:r w:rsidRPr="000A44A4">
        <w:rPr>
          <w:rFonts w:ascii="Times New Roman" w:eastAsia="宋体" w:hAnsi="Times New Roman" w:cs="Times New Roman"/>
          <w:szCs w:val="21"/>
        </w:rPr>
        <w:t>.</w:t>
      </w:r>
      <w:r w:rsidRPr="000A44A4">
        <w:rPr>
          <w:rFonts w:ascii="Times New Roman" w:eastAsia="宋体" w:hAnsi="Times New Roman" w:cs="Times New Roman"/>
          <w:szCs w:val="21"/>
        </w:rPr>
        <w:t>输精管结扎术与前列腺癌发病风险关系的</w:t>
      </w:r>
      <w:r w:rsidRPr="000A44A4">
        <w:rPr>
          <w:rFonts w:ascii="Times New Roman" w:eastAsia="宋体" w:hAnsi="Times New Roman" w:cs="Times New Roman"/>
          <w:szCs w:val="21"/>
        </w:rPr>
        <w:t>Meta</w:t>
      </w:r>
      <w:r w:rsidRPr="000A44A4">
        <w:rPr>
          <w:rFonts w:ascii="Times New Roman" w:eastAsia="宋体" w:hAnsi="Times New Roman" w:cs="Times New Roman"/>
          <w:szCs w:val="21"/>
        </w:rPr>
        <w:t>分析</w:t>
      </w:r>
      <w:r w:rsidRPr="000A44A4">
        <w:rPr>
          <w:rFonts w:ascii="Times New Roman" w:eastAsia="宋体" w:hAnsi="Times New Roman" w:cs="Times New Roman"/>
          <w:szCs w:val="21"/>
        </w:rPr>
        <w:t>[J].</w:t>
      </w:r>
      <w:r w:rsidRPr="000A44A4">
        <w:rPr>
          <w:rFonts w:ascii="Times New Roman" w:eastAsia="宋体" w:hAnsi="Times New Roman" w:cs="Times New Roman"/>
          <w:szCs w:val="21"/>
        </w:rPr>
        <w:t>中华男科学杂志</w:t>
      </w:r>
      <w:r w:rsidRPr="000A44A4">
        <w:rPr>
          <w:rFonts w:ascii="Times New Roman" w:eastAsia="宋体" w:hAnsi="Times New Roman" w:cs="Times New Roman"/>
          <w:szCs w:val="21"/>
        </w:rPr>
        <w:t>,2009,15(06):545-550.</w:t>
      </w:r>
    </w:p>
    <w:p w14:paraId="5932C077"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Testa L, Van Gaal WJ, Biondi Zoccai GG, et al. Myocardial infarction after percutaneous coronary intervention: a meta-analysis of troponin elevation applying the new universal definition. QJM. 2009;102(6):369-378. doi:10.1093/qjmed/hcp005</w:t>
      </w:r>
    </w:p>
    <w:p w14:paraId="0B0E82EE"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Thavagnanam S, Fleming J, Bromley A, Shields MD, Cardwell CR. A meta-analysis of the association between Caesarean section and childhood asthma. Clin Exp Allergy. 2008;38(4):629-633. doi:10.1111/j.1365-2222.2007.02780.x</w:t>
      </w:r>
    </w:p>
    <w:p w14:paraId="46C194F1"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Tondo L, Vázquez G, Baldessarini RJ. Mania associated with antidepressant treatment: comprehensive meta-analytic review. Acta Psychiatr Scand. 2010;121(6):404-414. doi:10.1111/j.1600-0447.2009.01514.x</w:t>
      </w:r>
    </w:p>
    <w:p w14:paraId="0B7BA909"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lastRenderedPageBreak/>
        <w:t>Torloni MR, Vedmedovska N, Merialdi M, et al. Safety of ultrasonography in pregnancy: WHO systematic review of the literature and meta-analysis. Ultrasound Obstet Gynecol. 2009;33(5):599-608. doi:10.1002/uog.6328</w:t>
      </w:r>
    </w:p>
    <w:p w14:paraId="22107CB0"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Touzé E, Trinquart L, Chatellier G, Mas JL. Systematic review of the perioperative risks of stroke or death after carotid angioplasty and stenting [published correction appears in Stroke. 2010 Apr;41(4):e400] [published correction appears in Stroke. 2010 Nov;41(11):e601]. Stroke. 2009;40(12):e683-e693. doi:10.1161/STROKEAHA.109.562041</w:t>
      </w:r>
    </w:p>
    <w:p w14:paraId="6D8C2B2D"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Trelle S, Reichenbach S, Wandel S, et al. Cardiovascular safety of non-steroidal anti-inflammatory drugs: network meta-analysis. BMJ. 2011;342:c7086. Published 2011 Jan 11. doi:10.1136/bmj.c7086</w:t>
      </w:r>
    </w:p>
    <w:p w14:paraId="356142E0"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Vercellini P, Eskenazi B, Consonni D, et al. Oral contraceptives and risk of endometriosis: a systematic review and meta-analysis. Hum Reprod Update. 2011;17(2):159-170. doi:10.1093/humupd/dmq042</w:t>
      </w:r>
    </w:p>
    <w:p w14:paraId="6F4F6A02"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Wan Y, Heneghan C, Perera R, et al. Anticoagulation control and prediction of adverse events in patients with atrial fibrillation: a systematic review. Circ Cardiovasc Qual Outcomes. 2008;1(2):84-91. doi:10.1161/CIRCOUTCOMES.108.796185</w:t>
      </w:r>
    </w:p>
    <w:p w14:paraId="54A2B860"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Wang T, Collet JP, Shapiro S, Ware MA. Adverse effects of medical cannabinoids: a systematic review. CMAJ. 2008;178(13):1669-1678. doi:10.1503/cmaj.071178</w:t>
      </w:r>
    </w:p>
    <w:p w14:paraId="01881937"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Weatherall M, James K, Clay J, et al. Dose-response relationship for risk of non-vertebral fracture with inhaled corticosteroids. Clin Exp Allergy. 2008;38(9):1451-1458. doi:10.1111/j.1365-2222.2008.03029.x</w:t>
      </w:r>
    </w:p>
    <w:p w14:paraId="5D3BFA64"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Weatherall M, Clay J, James K, Perrin K, Shirtcliffe P, Beasley R. Dose-response relationship of inhaled corticosteroids and cataracts: a systematic review and meta-analysis. Respirology. 2009;14(7):983-990. doi:10.1111/j.1440-1843.2009.01589.x</w:t>
      </w:r>
    </w:p>
    <w:p w14:paraId="6101BCFF"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Woolcott JC, Richardson KJ, Wiens MO, et al. Meta-analysis of the impact of 9 medication classes on falls in elderly persons [published correction appears in Arch Intern Med. 2010 Mar 8;170(5):477]. Arch Intern Med. 2009;169(21):1952-1960. doi:10.1001/archinternmed.2009.357</w:t>
      </w:r>
    </w:p>
    <w:p w14:paraId="1ABC72CF"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 xml:space="preserve">Wu S, Chen JJ, Kudelka A, Lu J, Zhu X. Incidence and risk of hypertension with sorafenib in patients with cancer: a systematic review and meta-analysis. Lancet Oncol. 2008;9(2):117-123. </w:t>
      </w:r>
      <w:r w:rsidRPr="000A44A4">
        <w:rPr>
          <w:rFonts w:ascii="Times New Roman" w:eastAsia="宋体" w:hAnsi="Times New Roman" w:cs="Times New Roman"/>
          <w:szCs w:val="21"/>
        </w:rPr>
        <w:lastRenderedPageBreak/>
        <w:t>doi:10.1016/S1470-2045(08)70003-2</w:t>
      </w:r>
    </w:p>
    <w:p w14:paraId="4A8D1F74"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Wu S, Kim C, Baer L, Zhu X. Bevacizumab increases risk for severe proteinuria in cancer patients. J Am Soc Nephrol. 2010;21(8):1381-1389. doi:10.1681/ASN.2010020167</w:t>
      </w:r>
    </w:p>
    <w:p w14:paraId="22FC7E15"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Xing KH, Morrison G, Lim W, Douketis J, Odueyungbo A, Crowther M. Has the incidence of deep vein thrombosis in patients undergoing total hip/knee arthroplasty changed over time? A systematic review of randomized controlled trials. Thromb Res. 2008;123(1):24-34. doi:10.1016/j.thromres.2008.05.005</w:t>
      </w:r>
    </w:p>
    <w:p w14:paraId="4B7DB668"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Yaghoobi M, Farrokhyar F, Yuan Y, Hunt RH. Is there an increased risk of GERD after Helicobacter pylori eradication?: a meta-analysis. Am J Gastroenterol. 2010;105(5):1007-1014. doi:10.1038/ajg.2009.734</w:t>
      </w:r>
    </w:p>
    <w:p w14:paraId="30CB9843"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Yang P, Zhou Y, Chen B, et al. Aspirin use and the risk of gastric cancer: a meta-analysis. Dig Dis Sci. 2010;55(6):1533-1539. doi:10.1007/s10620-009-0915-0</w:t>
      </w:r>
    </w:p>
    <w:p w14:paraId="0D9D0C13"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Yu SH, Beirne OR. Laryngeal mask airways have a lower risk of airway complications compared with endotracheal intubation: a systematic review. J Oral Maxillofac Surg. 2010;68(10):2359-2376. doi:10.1016/j.joms.2010.04.017</w:t>
      </w:r>
    </w:p>
    <w:p w14:paraId="5CE4DE30"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Yu SK, Tait G, Karkouti K, Wijeysundera D, McCluskey S, Beattie WS. The safety of perioperative esmolol: a systematic review and meta-analysis of randomized controlled trials. Anesth Analg. 2011;112(2):267-281. doi:10.1213/ANE.0b013e3182025af7</w:t>
      </w:r>
    </w:p>
    <w:p w14:paraId="532CB47F"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Zagui RM, Matayoshi S, Moura FC. Efeitos adversos associados à aplicação de toxina botulínica na face: revisão sistemática com meta-análise [Adverse effects associated with facial application of botulinum toxin: a systematic review with meta-analysis]. Arq Bras Oftalmol. 2008;71(6):894-901. doi:10.1590/s0004-27492008000600027</w:t>
      </w:r>
    </w:p>
    <w:p w14:paraId="75155CE7"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张书宁</w:t>
      </w:r>
      <w:r w:rsidRPr="000A44A4">
        <w:rPr>
          <w:rFonts w:ascii="Times New Roman" w:eastAsia="宋体" w:hAnsi="Times New Roman" w:cs="Times New Roman"/>
          <w:szCs w:val="21"/>
        </w:rPr>
        <w:t>,</w:t>
      </w:r>
      <w:r w:rsidRPr="000A44A4">
        <w:rPr>
          <w:rFonts w:ascii="Times New Roman" w:eastAsia="宋体" w:hAnsi="Times New Roman" w:cs="Times New Roman"/>
          <w:szCs w:val="21"/>
        </w:rPr>
        <w:t>孙爱军</w:t>
      </w:r>
      <w:r w:rsidRPr="000A44A4">
        <w:rPr>
          <w:rFonts w:ascii="Times New Roman" w:eastAsia="宋体" w:hAnsi="Times New Roman" w:cs="Times New Roman"/>
          <w:szCs w:val="21"/>
        </w:rPr>
        <w:t>,</w:t>
      </w:r>
      <w:r w:rsidRPr="000A44A4">
        <w:rPr>
          <w:rFonts w:ascii="Times New Roman" w:eastAsia="宋体" w:hAnsi="Times New Roman" w:cs="Times New Roman"/>
          <w:szCs w:val="21"/>
        </w:rPr>
        <w:t>葛均波</w:t>
      </w:r>
      <w:r w:rsidRPr="000A44A4">
        <w:rPr>
          <w:rFonts w:ascii="Times New Roman" w:eastAsia="宋体" w:hAnsi="Times New Roman" w:cs="Times New Roman"/>
          <w:szCs w:val="21"/>
        </w:rPr>
        <w:t>,</w:t>
      </w:r>
      <w:r w:rsidRPr="000A44A4">
        <w:rPr>
          <w:rFonts w:ascii="Times New Roman" w:eastAsia="宋体" w:hAnsi="Times New Roman" w:cs="Times New Roman"/>
          <w:szCs w:val="21"/>
        </w:rPr>
        <w:t>姚康</w:t>
      </w:r>
      <w:r w:rsidRPr="000A44A4">
        <w:rPr>
          <w:rFonts w:ascii="Times New Roman" w:eastAsia="宋体" w:hAnsi="Times New Roman" w:cs="Times New Roman"/>
          <w:szCs w:val="21"/>
        </w:rPr>
        <w:t>,</w:t>
      </w:r>
      <w:r w:rsidRPr="000A44A4">
        <w:rPr>
          <w:rFonts w:ascii="Times New Roman" w:eastAsia="宋体" w:hAnsi="Times New Roman" w:cs="Times New Roman"/>
          <w:szCs w:val="21"/>
        </w:rPr>
        <w:t>黄浙勇</w:t>
      </w:r>
      <w:r w:rsidRPr="000A44A4">
        <w:rPr>
          <w:rFonts w:ascii="Times New Roman" w:eastAsia="宋体" w:hAnsi="Times New Roman" w:cs="Times New Roman"/>
          <w:szCs w:val="21"/>
        </w:rPr>
        <w:t>,</w:t>
      </w:r>
      <w:r w:rsidRPr="000A44A4">
        <w:rPr>
          <w:rFonts w:ascii="Times New Roman" w:eastAsia="宋体" w:hAnsi="Times New Roman" w:cs="Times New Roman"/>
          <w:szCs w:val="21"/>
        </w:rPr>
        <w:t>王克强</w:t>
      </w:r>
      <w:r w:rsidRPr="000A44A4">
        <w:rPr>
          <w:rFonts w:ascii="Times New Roman" w:eastAsia="宋体" w:hAnsi="Times New Roman" w:cs="Times New Roman"/>
          <w:szCs w:val="21"/>
        </w:rPr>
        <w:t>,</w:t>
      </w:r>
      <w:r w:rsidRPr="000A44A4">
        <w:rPr>
          <w:rFonts w:ascii="Times New Roman" w:eastAsia="宋体" w:hAnsi="Times New Roman" w:cs="Times New Roman"/>
          <w:szCs w:val="21"/>
        </w:rPr>
        <w:t>邹云增</w:t>
      </w:r>
      <w:r w:rsidRPr="000A44A4">
        <w:rPr>
          <w:rFonts w:ascii="Times New Roman" w:eastAsia="宋体" w:hAnsi="Times New Roman" w:cs="Times New Roman"/>
          <w:szCs w:val="21"/>
        </w:rPr>
        <w:t>.</w:t>
      </w:r>
      <w:r w:rsidRPr="000A44A4">
        <w:rPr>
          <w:rFonts w:ascii="Times New Roman" w:eastAsia="宋体" w:hAnsi="Times New Roman" w:cs="Times New Roman"/>
          <w:szCs w:val="21"/>
        </w:rPr>
        <w:t>经冠状动脉自体骨髓干细胞移植治疗急性心肌梗死安全性的系统评价</w:t>
      </w:r>
      <w:r w:rsidRPr="000A44A4">
        <w:rPr>
          <w:rFonts w:ascii="Times New Roman" w:eastAsia="宋体" w:hAnsi="Times New Roman" w:cs="Times New Roman"/>
          <w:szCs w:val="21"/>
        </w:rPr>
        <w:t>[J].</w:t>
      </w:r>
      <w:r w:rsidRPr="000A44A4">
        <w:rPr>
          <w:rFonts w:ascii="Times New Roman" w:eastAsia="宋体" w:hAnsi="Times New Roman" w:cs="Times New Roman"/>
          <w:szCs w:val="21"/>
        </w:rPr>
        <w:t>中华心血管病杂志</w:t>
      </w:r>
      <w:r w:rsidRPr="000A44A4">
        <w:rPr>
          <w:rFonts w:ascii="Times New Roman" w:eastAsia="宋体" w:hAnsi="Times New Roman" w:cs="Times New Roman"/>
          <w:szCs w:val="21"/>
        </w:rPr>
        <w:t>,2008(08):679-684.</w:t>
      </w:r>
    </w:p>
    <w:p w14:paraId="4F99F1EB"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张峰</w:t>
      </w:r>
      <w:r w:rsidRPr="000A44A4">
        <w:rPr>
          <w:rFonts w:ascii="Times New Roman" w:eastAsia="宋体" w:hAnsi="Times New Roman" w:cs="Times New Roman"/>
          <w:szCs w:val="21"/>
        </w:rPr>
        <w:t>,</w:t>
      </w:r>
      <w:r w:rsidRPr="000A44A4">
        <w:rPr>
          <w:rFonts w:ascii="Times New Roman" w:eastAsia="宋体" w:hAnsi="Times New Roman" w:cs="Times New Roman"/>
          <w:szCs w:val="21"/>
        </w:rPr>
        <w:t>吴斌</w:t>
      </w:r>
      <w:r w:rsidRPr="000A44A4">
        <w:rPr>
          <w:rFonts w:ascii="Times New Roman" w:eastAsia="宋体" w:hAnsi="Times New Roman" w:cs="Times New Roman"/>
          <w:szCs w:val="21"/>
        </w:rPr>
        <w:t>,</w:t>
      </w:r>
      <w:r w:rsidRPr="000A44A4">
        <w:rPr>
          <w:rFonts w:ascii="Times New Roman" w:eastAsia="宋体" w:hAnsi="Times New Roman" w:cs="Times New Roman"/>
          <w:szCs w:val="21"/>
        </w:rPr>
        <w:t>高爽</w:t>
      </w:r>
      <w:r w:rsidRPr="000A44A4">
        <w:rPr>
          <w:rFonts w:ascii="Times New Roman" w:eastAsia="宋体" w:hAnsi="Times New Roman" w:cs="Times New Roman"/>
          <w:szCs w:val="21"/>
        </w:rPr>
        <w:t>.</w:t>
      </w:r>
      <w:r w:rsidRPr="000A44A4">
        <w:rPr>
          <w:rFonts w:ascii="Times New Roman" w:eastAsia="宋体" w:hAnsi="Times New Roman" w:cs="Times New Roman"/>
          <w:szCs w:val="21"/>
        </w:rPr>
        <w:t>中国人耻骨上前列腺摘除术与经尿道前列腺电切术对勃起功能及逆行射精影响的</w:t>
      </w:r>
      <w:r w:rsidRPr="000A44A4">
        <w:rPr>
          <w:rFonts w:ascii="Times New Roman" w:eastAsia="宋体" w:hAnsi="Times New Roman" w:cs="Times New Roman"/>
          <w:szCs w:val="21"/>
        </w:rPr>
        <w:t>Meta</w:t>
      </w:r>
      <w:r w:rsidRPr="000A44A4">
        <w:rPr>
          <w:rFonts w:ascii="Times New Roman" w:eastAsia="宋体" w:hAnsi="Times New Roman" w:cs="Times New Roman"/>
          <w:szCs w:val="21"/>
        </w:rPr>
        <w:t>分析</w:t>
      </w:r>
      <w:r w:rsidRPr="000A44A4">
        <w:rPr>
          <w:rFonts w:ascii="Times New Roman" w:eastAsia="宋体" w:hAnsi="Times New Roman" w:cs="Times New Roman"/>
          <w:szCs w:val="21"/>
        </w:rPr>
        <w:t>[J].</w:t>
      </w:r>
      <w:r w:rsidRPr="000A44A4">
        <w:rPr>
          <w:rFonts w:ascii="Times New Roman" w:eastAsia="宋体" w:hAnsi="Times New Roman" w:cs="Times New Roman"/>
          <w:szCs w:val="21"/>
        </w:rPr>
        <w:t>中华男科学杂志</w:t>
      </w:r>
      <w:r w:rsidRPr="000A44A4">
        <w:rPr>
          <w:rFonts w:ascii="Times New Roman" w:eastAsia="宋体" w:hAnsi="Times New Roman" w:cs="Times New Roman"/>
          <w:szCs w:val="21"/>
        </w:rPr>
        <w:t>,2009,15(08):738-741.</w:t>
      </w:r>
    </w:p>
    <w:p w14:paraId="5FE2A2B4" w14:textId="77777777"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Zhao YS, Zhu S, Li XW, et al. Association between NSAIDs use and breast cancer risk: a systematic review and meta-analysis. Breast Cancer Res Treat. 2009;117(1):141-150. doi:10.1007/s10549-008-0228-6</w:t>
      </w:r>
    </w:p>
    <w:p w14:paraId="1488C788" w14:textId="7E75CA8D" w:rsidR="00760445" w:rsidRPr="000A44A4"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Zhou B, Sun Q, Cong R, et al. Hormone replacement therapy and ovarian cancer risk: a meta-</w:t>
      </w:r>
      <w:r w:rsidRPr="000A44A4">
        <w:rPr>
          <w:rFonts w:ascii="Times New Roman" w:eastAsia="宋体" w:hAnsi="Times New Roman" w:cs="Times New Roman"/>
          <w:szCs w:val="21"/>
        </w:rPr>
        <w:lastRenderedPageBreak/>
        <w:t xml:space="preserve">analysis [published correction appears in Gynecol Oncol. 2008 Sep;110(3):455]. Gynecol Oncol. 2008;108(3):641-651. </w:t>
      </w:r>
      <w:r w:rsidR="001613F2" w:rsidRPr="000A44A4">
        <w:rPr>
          <w:rFonts w:ascii="Times New Roman" w:eastAsia="宋体" w:hAnsi="Times New Roman" w:cs="Times New Roman"/>
          <w:szCs w:val="21"/>
        </w:rPr>
        <w:t>doi: 10.1016/j.ygyno</w:t>
      </w:r>
      <w:r w:rsidRPr="000A44A4">
        <w:rPr>
          <w:rFonts w:ascii="Times New Roman" w:eastAsia="宋体" w:hAnsi="Times New Roman" w:cs="Times New Roman"/>
          <w:szCs w:val="21"/>
        </w:rPr>
        <w:t>.2007.12.003</w:t>
      </w:r>
    </w:p>
    <w:p w14:paraId="1C467A8E" w14:textId="07493A22" w:rsidR="00760445" w:rsidRPr="00760445" w:rsidRDefault="00760445" w:rsidP="00507062">
      <w:pPr>
        <w:pStyle w:val="a4"/>
        <w:numPr>
          <w:ilvl w:val="0"/>
          <w:numId w:val="9"/>
        </w:numPr>
        <w:spacing w:line="360" w:lineRule="auto"/>
        <w:ind w:firstLineChars="0"/>
        <w:rPr>
          <w:rFonts w:ascii="Times New Roman" w:eastAsia="宋体" w:hAnsi="Times New Roman" w:cs="Times New Roman"/>
          <w:szCs w:val="21"/>
        </w:rPr>
      </w:pPr>
      <w:r w:rsidRPr="000A44A4">
        <w:rPr>
          <w:rFonts w:ascii="Times New Roman" w:eastAsia="宋体" w:hAnsi="Times New Roman" w:cs="Times New Roman"/>
          <w:szCs w:val="21"/>
        </w:rPr>
        <w:t>Zreik TG, Mazloom A, Chen Y, et al. Fertility drugs and the risk of breast cancer: a meta-analysis and review. Breast Cancer Res Treat. 2010;124(1):13-26. doi:10.1007/s10549-010-1140-4</w:t>
      </w:r>
    </w:p>
    <w:p w14:paraId="5C04E8EE" w14:textId="5FDC4E3E" w:rsidR="004100F6" w:rsidRDefault="004100F6">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31FF9687" w14:textId="77777777" w:rsidR="009C4FFE" w:rsidRDefault="009C4FFE" w:rsidP="00507062">
      <w:pPr>
        <w:spacing w:line="360" w:lineRule="auto"/>
        <w:rPr>
          <w:rFonts w:ascii="Times New Roman" w:hAnsi="Times New Roman" w:cs="Times New Roman"/>
          <w:b/>
          <w:bCs/>
          <w:sz w:val="24"/>
          <w:szCs w:val="24"/>
        </w:rPr>
        <w:sectPr w:rsidR="009C4FFE">
          <w:headerReference w:type="default" r:id="rId10"/>
          <w:pgSz w:w="11906" w:h="16838"/>
          <w:pgMar w:top="1440" w:right="1800" w:bottom="1440" w:left="1800" w:header="720" w:footer="720" w:gutter="0"/>
          <w:cols w:space="720"/>
          <w:docGrid w:type="lines" w:linePitch="312"/>
        </w:sectPr>
      </w:pPr>
    </w:p>
    <w:tbl>
      <w:tblPr>
        <w:tblStyle w:val="TableGrid1"/>
        <w:tblpPr w:leftFromText="180" w:rightFromText="180" w:vertAnchor="text" w:horzAnchor="margin" w:tblpXSpec="center" w:tblpY="-149"/>
        <w:tblOverlap w:val="never"/>
        <w:tblW w:w="14444" w:type="dxa"/>
        <w:tblBorders>
          <w:left w:val="none" w:sz="0" w:space="0" w:color="auto"/>
          <w:right w:val="none" w:sz="0" w:space="0" w:color="auto"/>
        </w:tblBorders>
        <w:tblLayout w:type="fixed"/>
        <w:tblLook w:val="04A0" w:firstRow="1" w:lastRow="0" w:firstColumn="1" w:lastColumn="0" w:noHBand="0" w:noVBand="1"/>
      </w:tblPr>
      <w:tblGrid>
        <w:gridCol w:w="1929"/>
        <w:gridCol w:w="870"/>
        <w:gridCol w:w="2086"/>
        <w:gridCol w:w="2086"/>
        <w:gridCol w:w="2086"/>
        <w:gridCol w:w="2086"/>
        <w:gridCol w:w="2145"/>
        <w:gridCol w:w="1156"/>
      </w:tblGrid>
      <w:tr w:rsidR="00BC3132" w:rsidRPr="00441762" w14:paraId="409F79FA" w14:textId="77777777" w:rsidTr="00BC3132">
        <w:trPr>
          <w:cantSplit/>
          <w:trHeight w:val="551"/>
          <w:tblHeader/>
        </w:trPr>
        <w:tc>
          <w:tcPr>
            <w:tcW w:w="1929" w:type="dxa"/>
            <w:tcBorders>
              <w:top w:val="double" w:sz="4" w:space="0" w:color="auto"/>
              <w:left w:val="single" w:sz="4" w:space="0" w:color="auto"/>
              <w:bottom w:val="double" w:sz="4" w:space="0" w:color="auto"/>
              <w:right w:val="nil"/>
            </w:tcBorders>
            <w:shd w:val="clear" w:color="auto" w:fill="63639A"/>
            <w:vAlign w:val="center"/>
          </w:tcPr>
          <w:p w14:paraId="05C24256" w14:textId="77777777" w:rsidR="00BC3132" w:rsidRPr="00E158FB" w:rsidRDefault="00BC3132" w:rsidP="00A626C3">
            <w:pPr>
              <w:pStyle w:val="Default"/>
              <w:rPr>
                <w:rFonts w:ascii="Arial" w:hAnsi="Arial" w:cs="Arial"/>
                <w:color w:val="FFFFFF" w:themeColor="background1"/>
                <w:sz w:val="20"/>
                <w:szCs w:val="20"/>
              </w:rPr>
            </w:pPr>
            <w:r>
              <w:rPr>
                <w:rFonts w:ascii="Arial" w:hAnsi="Arial" w:cs="Arial"/>
                <w:b/>
                <w:bCs/>
                <w:color w:val="FFFFFF" w:themeColor="background1"/>
                <w:sz w:val="20"/>
                <w:szCs w:val="20"/>
              </w:rPr>
              <w:lastRenderedPageBreak/>
              <w:t>1</w:t>
            </w:r>
          </w:p>
        </w:tc>
        <w:tc>
          <w:tcPr>
            <w:tcW w:w="870" w:type="dxa"/>
            <w:tcBorders>
              <w:top w:val="double" w:sz="4" w:space="0" w:color="auto"/>
              <w:left w:val="nil"/>
              <w:bottom w:val="double" w:sz="4" w:space="0" w:color="auto"/>
              <w:right w:val="nil"/>
            </w:tcBorders>
            <w:shd w:val="clear" w:color="auto" w:fill="63639A"/>
            <w:vAlign w:val="center"/>
          </w:tcPr>
          <w:p w14:paraId="087797B1" w14:textId="77777777" w:rsidR="00BC3132" w:rsidRPr="00E158FB" w:rsidRDefault="00BC3132" w:rsidP="00A626C3">
            <w:pPr>
              <w:pStyle w:val="Default"/>
              <w:rPr>
                <w:rFonts w:ascii="Arial" w:hAnsi="Arial" w:cs="Arial"/>
                <w:b/>
                <w:bCs/>
                <w:color w:val="FFFFFF" w:themeColor="background1"/>
                <w:sz w:val="20"/>
                <w:szCs w:val="20"/>
              </w:rPr>
            </w:pPr>
            <w:r>
              <w:rPr>
                <w:rFonts w:ascii="Arial" w:hAnsi="Arial" w:cs="Arial"/>
                <w:b/>
                <w:bCs/>
                <w:color w:val="FFFFFF" w:themeColor="background1"/>
                <w:sz w:val="20"/>
                <w:szCs w:val="20"/>
              </w:rPr>
              <w:t xml:space="preserve">(Sub-) item </w:t>
            </w:r>
            <w:r w:rsidRPr="00E158FB">
              <w:rPr>
                <w:rFonts w:ascii="Arial" w:hAnsi="Arial" w:cs="Arial"/>
                <w:b/>
                <w:bCs/>
                <w:color w:val="FFFFFF" w:themeColor="background1"/>
                <w:sz w:val="20"/>
                <w:szCs w:val="20"/>
              </w:rPr>
              <w:t>#</w:t>
            </w:r>
          </w:p>
        </w:tc>
        <w:tc>
          <w:tcPr>
            <w:tcW w:w="10489" w:type="dxa"/>
            <w:gridSpan w:val="5"/>
            <w:tcBorders>
              <w:top w:val="double" w:sz="4" w:space="0" w:color="auto"/>
              <w:left w:val="nil"/>
              <w:bottom w:val="double" w:sz="4" w:space="0" w:color="auto"/>
              <w:right w:val="nil"/>
            </w:tcBorders>
            <w:shd w:val="clear" w:color="auto" w:fill="63639A"/>
            <w:vAlign w:val="center"/>
          </w:tcPr>
          <w:p w14:paraId="6F03087C" w14:textId="77777777" w:rsidR="00BC3132" w:rsidRPr="00E158FB" w:rsidRDefault="00BC3132" w:rsidP="00A626C3">
            <w:pPr>
              <w:pStyle w:val="Default"/>
              <w:jc w:val="center"/>
              <w:rPr>
                <w:rFonts w:ascii="Arial" w:hAnsi="Arial" w:cs="Arial"/>
                <w:color w:val="FFFFFF" w:themeColor="background1"/>
                <w:sz w:val="20"/>
                <w:szCs w:val="20"/>
              </w:rPr>
            </w:pPr>
            <w:r w:rsidRPr="00E158FB">
              <w:rPr>
                <w:rFonts w:ascii="Arial" w:hAnsi="Arial" w:cs="Arial"/>
                <w:b/>
                <w:bCs/>
                <w:color w:val="FFFFFF" w:themeColor="background1"/>
                <w:sz w:val="20"/>
                <w:szCs w:val="20"/>
              </w:rPr>
              <w:t>Checklist item</w:t>
            </w:r>
          </w:p>
        </w:tc>
        <w:tc>
          <w:tcPr>
            <w:tcW w:w="1156" w:type="dxa"/>
            <w:tcBorders>
              <w:top w:val="double" w:sz="4" w:space="0" w:color="auto"/>
              <w:left w:val="nil"/>
              <w:bottom w:val="double" w:sz="4" w:space="0" w:color="auto"/>
              <w:right w:val="single" w:sz="4" w:space="0" w:color="auto"/>
            </w:tcBorders>
            <w:shd w:val="clear" w:color="auto" w:fill="63639A"/>
            <w:vAlign w:val="center"/>
          </w:tcPr>
          <w:p w14:paraId="62697D2C" w14:textId="77777777" w:rsidR="00BC3132" w:rsidRPr="006649E6" w:rsidRDefault="00BC3132" w:rsidP="00A626C3">
            <w:pPr>
              <w:pStyle w:val="Default"/>
              <w:rPr>
                <w:rFonts w:ascii="Arial" w:hAnsi="Arial" w:cs="Arial"/>
                <w:b/>
                <w:bCs/>
                <w:color w:val="FFFFFF" w:themeColor="background1"/>
                <w:sz w:val="20"/>
                <w:szCs w:val="20"/>
              </w:rPr>
            </w:pPr>
            <w:r w:rsidRPr="006649E6">
              <w:rPr>
                <w:rFonts w:ascii="Arial" w:hAnsi="Arial" w:cs="Arial"/>
                <w:b/>
                <w:bCs/>
                <w:color w:val="FFFFFF" w:themeColor="background1"/>
                <w:sz w:val="20"/>
                <w:szCs w:val="20"/>
              </w:rPr>
              <w:t>Reported</w:t>
            </w:r>
          </w:p>
          <w:p w14:paraId="03F3F234" w14:textId="77777777" w:rsidR="00BC3132" w:rsidRPr="006649E6" w:rsidRDefault="00BC3132" w:rsidP="00A626C3">
            <w:pPr>
              <w:pStyle w:val="Default"/>
              <w:rPr>
                <w:rFonts w:ascii="Arial" w:hAnsi="Arial" w:cs="Arial"/>
                <w:color w:val="FFFFFF" w:themeColor="background1"/>
                <w:sz w:val="20"/>
                <w:szCs w:val="20"/>
              </w:rPr>
            </w:pPr>
            <w:r>
              <w:rPr>
                <w:rFonts w:ascii="Arial" w:hAnsi="Arial" w:cs="Arial"/>
                <w:b/>
                <w:bCs/>
                <w:color w:val="FFFFFF" w:themeColor="background1"/>
                <w:sz w:val="20"/>
                <w:szCs w:val="20"/>
              </w:rPr>
              <w:t>on p</w:t>
            </w:r>
            <w:r>
              <w:rPr>
                <w:rFonts w:ascii="Arial" w:hAnsi="Arial" w:cs="Arial"/>
                <w:b/>
                <w:bCs/>
                <w:color w:val="FFFFFF" w:themeColor="background1"/>
                <w:sz w:val="20"/>
                <w:szCs w:val="20"/>
                <w:lang w:val="en-US"/>
              </w:rPr>
              <w:t>age</w:t>
            </w:r>
            <w:r w:rsidRPr="006649E6">
              <w:rPr>
                <w:rFonts w:ascii="Arial" w:hAnsi="Arial" w:cs="Arial"/>
                <w:b/>
                <w:bCs/>
                <w:color w:val="FFFFFF" w:themeColor="background1"/>
                <w:sz w:val="20"/>
                <w:szCs w:val="20"/>
              </w:rPr>
              <w:t xml:space="preserve"> #</w:t>
            </w:r>
          </w:p>
        </w:tc>
      </w:tr>
      <w:tr w:rsidR="00BC3132" w:rsidRPr="00441762" w14:paraId="175B5517" w14:textId="77777777" w:rsidTr="00BC3132">
        <w:trPr>
          <w:cantSplit/>
          <w:trHeight w:val="391"/>
        </w:trPr>
        <w:tc>
          <w:tcPr>
            <w:tcW w:w="13288" w:type="dxa"/>
            <w:gridSpan w:val="7"/>
            <w:tcBorders>
              <w:top w:val="double" w:sz="4" w:space="0" w:color="auto"/>
              <w:left w:val="single" w:sz="4" w:space="0" w:color="auto"/>
            </w:tcBorders>
            <w:shd w:val="clear" w:color="auto" w:fill="FFFFCC"/>
            <w:vAlign w:val="center"/>
            <w:hideMark/>
          </w:tcPr>
          <w:p w14:paraId="4117316E" w14:textId="77777777" w:rsidR="00BC3132" w:rsidRPr="00D762C8" w:rsidRDefault="00BC3132" w:rsidP="00A626C3">
            <w:pPr>
              <w:rPr>
                <w:rFonts w:ascii="Arial" w:hAnsi="Arial" w:cs="Arial"/>
                <w:iCs/>
                <w:szCs w:val="20"/>
                <w:lang w:val="el-GR"/>
              </w:rPr>
            </w:pPr>
            <w:r w:rsidRPr="00E158FB">
              <w:rPr>
                <w:rFonts w:ascii="Arial" w:hAnsi="Arial" w:cs="Arial"/>
                <w:b/>
                <w:bCs/>
                <w:szCs w:val="20"/>
              </w:rPr>
              <w:t>TITLE</w:t>
            </w:r>
          </w:p>
        </w:tc>
        <w:tc>
          <w:tcPr>
            <w:tcW w:w="1156" w:type="dxa"/>
            <w:tcBorders>
              <w:top w:val="double" w:sz="4" w:space="0" w:color="auto"/>
              <w:right w:val="single" w:sz="4" w:space="0" w:color="auto"/>
            </w:tcBorders>
            <w:shd w:val="clear" w:color="auto" w:fill="FFFFCC"/>
            <w:vAlign w:val="center"/>
          </w:tcPr>
          <w:p w14:paraId="31D018FC" w14:textId="77777777" w:rsidR="00BC3132" w:rsidRPr="006649E6" w:rsidRDefault="00BC3132" w:rsidP="00A626C3">
            <w:pPr>
              <w:rPr>
                <w:rFonts w:ascii="Arial" w:hAnsi="Arial" w:cs="Arial"/>
                <w:iCs/>
                <w:szCs w:val="20"/>
              </w:rPr>
            </w:pPr>
          </w:p>
        </w:tc>
      </w:tr>
      <w:tr w:rsidR="00BC3132" w:rsidRPr="00441762" w14:paraId="1A4FAA09" w14:textId="77777777" w:rsidTr="00BC3132">
        <w:trPr>
          <w:cantSplit/>
          <w:trHeight w:val="414"/>
        </w:trPr>
        <w:tc>
          <w:tcPr>
            <w:tcW w:w="1929" w:type="dxa"/>
            <w:vMerge w:val="restart"/>
            <w:tcBorders>
              <w:left w:val="single" w:sz="4" w:space="0" w:color="auto"/>
            </w:tcBorders>
            <w:vAlign w:val="center"/>
            <w:hideMark/>
          </w:tcPr>
          <w:p w14:paraId="25DC0928" w14:textId="77777777" w:rsidR="00BC3132" w:rsidRPr="00E50FA0" w:rsidRDefault="00BC3132" w:rsidP="00A626C3">
            <w:pPr>
              <w:rPr>
                <w:rFonts w:ascii="Arial" w:hAnsi="Arial" w:cs="Arial"/>
                <w:iCs/>
                <w:szCs w:val="20"/>
              </w:rPr>
            </w:pPr>
            <w:r w:rsidRPr="00E50FA0">
              <w:rPr>
                <w:rFonts w:ascii="Arial" w:hAnsi="Arial" w:cs="Arial"/>
                <w:szCs w:val="20"/>
              </w:rPr>
              <w:t>1.</w:t>
            </w:r>
            <w:r>
              <w:rPr>
                <w:rFonts w:ascii="Arial" w:hAnsi="Arial" w:cs="Arial"/>
                <w:szCs w:val="20"/>
              </w:rPr>
              <w:t xml:space="preserve"> </w:t>
            </w:r>
            <w:r w:rsidRPr="00E50FA0">
              <w:rPr>
                <w:rFonts w:ascii="Arial" w:hAnsi="Arial" w:cs="Arial"/>
                <w:szCs w:val="20"/>
              </w:rPr>
              <w:t>Title</w:t>
            </w:r>
          </w:p>
        </w:tc>
        <w:tc>
          <w:tcPr>
            <w:tcW w:w="870" w:type="dxa"/>
            <w:vAlign w:val="center"/>
            <w:hideMark/>
          </w:tcPr>
          <w:p w14:paraId="0558070C" w14:textId="77777777" w:rsidR="00BC3132" w:rsidRPr="00E158FB" w:rsidRDefault="00BC3132" w:rsidP="00A626C3">
            <w:pPr>
              <w:rPr>
                <w:rFonts w:ascii="Arial" w:hAnsi="Arial" w:cs="Arial"/>
                <w:iCs/>
                <w:szCs w:val="20"/>
              </w:rPr>
            </w:pPr>
            <w:r w:rsidRPr="00E158FB">
              <w:rPr>
                <w:rFonts w:ascii="Arial" w:hAnsi="Arial" w:cs="Arial"/>
                <w:iCs/>
                <w:szCs w:val="20"/>
              </w:rPr>
              <w:t>1a</w:t>
            </w:r>
          </w:p>
        </w:tc>
        <w:tc>
          <w:tcPr>
            <w:tcW w:w="10489" w:type="dxa"/>
            <w:gridSpan w:val="5"/>
            <w:vAlign w:val="center"/>
          </w:tcPr>
          <w:p w14:paraId="1D12FDBA" w14:textId="77777777" w:rsidR="00BC3132" w:rsidRPr="009E7B0F" w:rsidRDefault="00BC3132" w:rsidP="00A626C3">
            <w:pPr>
              <w:autoSpaceDE w:val="0"/>
              <w:autoSpaceDN w:val="0"/>
              <w:adjustRightInd w:val="0"/>
              <w:rPr>
                <w:rFonts w:ascii="Arial" w:hAnsi="Arial" w:cs="Arial"/>
                <w:szCs w:val="20"/>
                <w:lang w:eastAsia="el-GR"/>
              </w:rPr>
            </w:pPr>
            <w:r w:rsidRPr="009E7B0F">
              <w:rPr>
                <w:rFonts w:ascii="Arial" w:hAnsi="Arial" w:cs="Arial"/>
                <w:szCs w:val="20"/>
                <w:lang w:eastAsia="el-GR"/>
              </w:rPr>
              <w:t>Specify the study design with terms such as “overview of (systematic) reviews</w:t>
            </w:r>
            <w:r>
              <w:rPr>
                <w:rFonts w:ascii="Arial" w:hAnsi="Arial" w:cs="Arial"/>
                <w:szCs w:val="20"/>
                <w:lang w:eastAsia="el-GR"/>
              </w:rPr>
              <w:t>,”</w:t>
            </w:r>
            <w:r w:rsidRPr="009E7B0F">
              <w:rPr>
                <w:rFonts w:ascii="Arial" w:hAnsi="Arial" w:cs="Arial"/>
                <w:szCs w:val="20"/>
                <w:lang w:eastAsia="el-GR"/>
              </w:rPr>
              <w:t xml:space="preserve"> “umbrella review</w:t>
            </w:r>
            <w:r>
              <w:rPr>
                <w:rFonts w:ascii="Arial" w:hAnsi="Arial" w:cs="Arial"/>
                <w:szCs w:val="20"/>
                <w:lang w:eastAsia="el-GR"/>
              </w:rPr>
              <w:t>,”</w:t>
            </w:r>
            <w:r w:rsidRPr="009E7B0F">
              <w:rPr>
                <w:rFonts w:ascii="Arial" w:hAnsi="Arial" w:cs="Arial"/>
                <w:szCs w:val="20"/>
                <w:lang w:eastAsia="el-GR"/>
              </w:rPr>
              <w:t xml:space="preserve"> </w:t>
            </w:r>
            <w:r w:rsidRPr="009E7B0F">
              <w:rPr>
                <w:rFonts w:ascii="Arial" w:hAnsi="Arial" w:cs="Arial"/>
                <w:szCs w:val="20"/>
              </w:rPr>
              <w:t>“(systematic) review of systematic reviews</w:t>
            </w:r>
            <w:r>
              <w:rPr>
                <w:rFonts w:ascii="Arial" w:hAnsi="Arial" w:cs="Arial"/>
                <w:szCs w:val="20"/>
              </w:rPr>
              <w:t>,</w:t>
            </w:r>
            <w:r w:rsidRPr="009E7B0F">
              <w:rPr>
                <w:rFonts w:ascii="Arial" w:hAnsi="Arial" w:cs="Arial"/>
                <w:szCs w:val="20"/>
              </w:rPr>
              <w:t>” or “(systematic) meta-review”</w:t>
            </w:r>
            <w:r w:rsidRPr="009E7B0F">
              <w:rPr>
                <w:rFonts w:ascii="Arial" w:hAnsi="Arial" w:cs="Arial"/>
                <w:szCs w:val="20"/>
                <w:lang w:eastAsia="el-GR"/>
              </w:rPr>
              <w:t xml:space="preserve"> in the title</w:t>
            </w:r>
            <w:r>
              <w:rPr>
                <w:rFonts w:ascii="Arial" w:hAnsi="Arial" w:cs="Arial"/>
                <w:szCs w:val="20"/>
                <w:lang w:eastAsia="el-GR"/>
              </w:rPr>
              <w:t xml:space="preserve"> of the OoSRs</w:t>
            </w:r>
            <w:r w:rsidRPr="009E7B0F">
              <w:rPr>
                <w:rFonts w:ascii="Arial" w:hAnsi="Arial" w:cs="Arial"/>
                <w:szCs w:val="20"/>
                <w:lang w:eastAsia="el-GR"/>
              </w:rPr>
              <w:t>.</w:t>
            </w:r>
          </w:p>
        </w:tc>
        <w:tc>
          <w:tcPr>
            <w:tcW w:w="1156" w:type="dxa"/>
            <w:tcBorders>
              <w:right w:val="single" w:sz="4" w:space="0" w:color="auto"/>
            </w:tcBorders>
            <w:vAlign w:val="center"/>
          </w:tcPr>
          <w:p w14:paraId="7C9C7C0B" w14:textId="77777777" w:rsidR="00BC3132" w:rsidRPr="006649E6" w:rsidRDefault="00BC3132" w:rsidP="00A626C3">
            <w:pPr>
              <w:rPr>
                <w:rFonts w:ascii="Arial" w:hAnsi="Arial" w:cs="Arial"/>
                <w:iCs/>
                <w:szCs w:val="20"/>
                <w:lang w:eastAsia="zh-CN"/>
              </w:rPr>
            </w:pPr>
            <w:r>
              <w:rPr>
                <w:rFonts w:ascii="Arial" w:hAnsi="Arial" w:cs="Arial"/>
                <w:iCs/>
                <w:szCs w:val="20"/>
                <w:lang w:eastAsia="zh-CN"/>
              </w:rPr>
              <w:t>1</w:t>
            </w:r>
          </w:p>
        </w:tc>
      </w:tr>
      <w:tr w:rsidR="00BC3132" w:rsidRPr="00441762" w14:paraId="67EF67EF" w14:textId="77777777" w:rsidTr="00BC3132">
        <w:trPr>
          <w:cantSplit/>
          <w:trHeight w:val="349"/>
        </w:trPr>
        <w:tc>
          <w:tcPr>
            <w:tcW w:w="1929" w:type="dxa"/>
            <w:vMerge/>
            <w:tcBorders>
              <w:left w:val="single" w:sz="4" w:space="0" w:color="auto"/>
              <w:bottom w:val="double" w:sz="4" w:space="0" w:color="auto"/>
            </w:tcBorders>
            <w:vAlign w:val="center"/>
            <w:hideMark/>
          </w:tcPr>
          <w:p w14:paraId="7D3ACE71" w14:textId="77777777" w:rsidR="00BC3132" w:rsidRPr="00E158FB" w:rsidRDefault="00BC3132" w:rsidP="00A626C3">
            <w:pPr>
              <w:rPr>
                <w:rFonts w:ascii="Arial" w:hAnsi="Arial" w:cs="Arial"/>
                <w:iCs/>
                <w:szCs w:val="20"/>
              </w:rPr>
            </w:pPr>
          </w:p>
        </w:tc>
        <w:tc>
          <w:tcPr>
            <w:tcW w:w="870" w:type="dxa"/>
            <w:tcBorders>
              <w:bottom w:val="double" w:sz="4" w:space="0" w:color="auto"/>
            </w:tcBorders>
            <w:vAlign w:val="center"/>
            <w:hideMark/>
          </w:tcPr>
          <w:p w14:paraId="540EC793" w14:textId="77777777" w:rsidR="00BC3132" w:rsidRPr="00E158FB" w:rsidRDefault="00BC3132" w:rsidP="00A626C3">
            <w:pPr>
              <w:rPr>
                <w:rFonts w:ascii="Arial" w:hAnsi="Arial" w:cs="Arial"/>
                <w:iCs/>
                <w:szCs w:val="20"/>
              </w:rPr>
            </w:pPr>
            <w:r w:rsidRPr="00E158FB">
              <w:rPr>
                <w:rFonts w:ascii="Arial" w:hAnsi="Arial" w:cs="Arial"/>
                <w:iCs/>
                <w:szCs w:val="20"/>
              </w:rPr>
              <w:t>1b</w:t>
            </w:r>
          </w:p>
        </w:tc>
        <w:tc>
          <w:tcPr>
            <w:tcW w:w="10489" w:type="dxa"/>
            <w:gridSpan w:val="5"/>
            <w:tcBorders>
              <w:bottom w:val="double" w:sz="4" w:space="0" w:color="auto"/>
            </w:tcBorders>
            <w:vAlign w:val="center"/>
          </w:tcPr>
          <w:p w14:paraId="560B3C6D" w14:textId="77777777" w:rsidR="00BC3132" w:rsidRPr="009E7B0F" w:rsidRDefault="00BC3132" w:rsidP="00A626C3">
            <w:pPr>
              <w:autoSpaceDE w:val="0"/>
              <w:autoSpaceDN w:val="0"/>
              <w:adjustRightInd w:val="0"/>
              <w:rPr>
                <w:rFonts w:ascii="Arial" w:hAnsi="Arial" w:cs="Arial"/>
                <w:szCs w:val="20"/>
                <w:lang w:eastAsia="el-GR"/>
              </w:rPr>
            </w:pPr>
            <w:r w:rsidRPr="009E7B0F">
              <w:rPr>
                <w:rFonts w:ascii="Arial" w:hAnsi="Arial" w:cs="Arial"/>
                <w:szCs w:val="20"/>
                <w:lang w:eastAsia="el-GR"/>
              </w:rPr>
              <w:t xml:space="preserve">Mention </w:t>
            </w:r>
            <w:r>
              <w:rPr>
                <w:rFonts w:ascii="Arial" w:hAnsi="Arial" w:cs="Arial"/>
                <w:szCs w:val="20"/>
                <w:lang w:eastAsia="el-GR"/>
              </w:rPr>
              <w:t>“safety”</w:t>
            </w:r>
            <w:r w:rsidRPr="009E7B0F">
              <w:rPr>
                <w:rFonts w:ascii="Arial" w:hAnsi="Arial" w:cs="Arial"/>
                <w:szCs w:val="20"/>
                <w:lang w:eastAsia="el-GR"/>
              </w:rPr>
              <w:t xml:space="preserve"> or </w:t>
            </w:r>
            <w:r>
              <w:rPr>
                <w:rFonts w:ascii="Arial" w:hAnsi="Arial" w:cs="Arial"/>
                <w:szCs w:val="20"/>
                <w:lang w:eastAsia="el-GR"/>
              </w:rPr>
              <w:t xml:space="preserve">harms </w:t>
            </w:r>
            <w:r w:rsidRPr="009E7B0F">
              <w:rPr>
                <w:rFonts w:ascii="Arial" w:hAnsi="Arial" w:cs="Arial"/>
                <w:szCs w:val="20"/>
                <w:lang w:eastAsia="el-GR"/>
              </w:rPr>
              <w:t>related terms, or the adverse event(s) of interest in the title</w:t>
            </w:r>
            <w:r>
              <w:rPr>
                <w:rFonts w:ascii="Arial" w:hAnsi="Arial" w:cs="Arial"/>
                <w:szCs w:val="20"/>
                <w:lang w:eastAsia="el-GR"/>
              </w:rPr>
              <w:t xml:space="preserve"> of the OoSRs</w:t>
            </w:r>
            <w:r w:rsidRPr="009E7B0F">
              <w:rPr>
                <w:rFonts w:ascii="Arial" w:hAnsi="Arial" w:cs="Arial"/>
                <w:szCs w:val="20"/>
                <w:lang w:eastAsia="el-GR"/>
              </w:rPr>
              <w:t>.</w:t>
            </w:r>
          </w:p>
        </w:tc>
        <w:tc>
          <w:tcPr>
            <w:tcW w:w="1156" w:type="dxa"/>
            <w:tcBorders>
              <w:bottom w:val="double" w:sz="4" w:space="0" w:color="auto"/>
              <w:right w:val="single" w:sz="4" w:space="0" w:color="auto"/>
            </w:tcBorders>
            <w:vAlign w:val="center"/>
          </w:tcPr>
          <w:p w14:paraId="0819FC44" w14:textId="77777777" w:rsidR="00BC3132" w:rsidRPr="006649E6" w:rsidRDefault="00BC3132" w:rsidP="00A626C3">
            <w:pPr>
              <w:rPr>
                <w:rFonts w:ascii="Arial" w:hAnsi="Arial" w:cs="Arial"/>
                <w:iCs/>
                <w:szCs w:val="20"/>
                <w:lang w:eastAsia="zh-CN"/>
              </w:rPr>
            </w:pPr>
            <w:r>
              <w:rPr>
                <w:rFonts w:ascii="Arial" w:hAnsi="Arial" w:cs="Arial"/>
                <w:iCs/>
                <w:szCs w:val="20"/>
                <w:lang w:eastAsia="zh-CN"/>
              </w:rPr>
              <w:t>1</w:t>
            </w:r>
          </w:p>
        </w:tc>
      </w:tr>
      <w:tr w:rsidR="00BC3132" w:rsidRPr="00441762" w14:paraId="209DE632" w14:textId="77777777" w:rsidTr="00BC3132">
        <w:trPr>
          <w:cantSplit/>
          <w:trHeight w:val="449"/>
        </w:trPr>
        <w:tc>
          <w:tcPr>
            <w:tcW w:w="13288" w:type="dxa"/>
            <w:gridSpan w:val="7"/>
            <w:tcBorders>
              <w:top w:val="double" w:sz="4" w:space="0" w:color="auto"/>
              <w:left w:val="single" w:sz="4" w:space="0" w:color="auto"/>
              <w:bottom w:val="single" w:sz="4" w:space="0" w:color="auto"/>
            </w:tcBorders>
            <w:shd w:val="clear" w:color="auto" w:fill="FFFFCC"/>
            <w:vAlign w:val="center"/>
            <w:hideMark/>
          </w:tcPr>
          <w:p w14:paraId="6673349B" w14:textId="77777777" w:rsidR="00BC3132" w:rsidRPr="005A0C80" w:rsidRDefault="00BC3132" w:rsidP="00A626C3">
            <w:pPr>
              <w:rPr>
                <w:rFonts w:ascii="Calibri" w:eastAsia="Times New Roman" w:hAnsi="Calibri" w:cs="Calibri"/>
                <w:bCs/>
                <w:szCs w:val="20"/>
                <w:lang w:val="el-GR" w:eastAsia="en-GB"/>
              </w:rPr>
            </w:pPr>
            <w:r w:rsidRPr="004C1685">
              <w:rPr>
                <w:rFonts w:ascii="Arial" w:hAnsi="Arial" w:cs="Arial"/>
                <w:b/>
                <w:bCs/>
                <w:sz w:val="22"/>
                <w:szCs w:val="22"/>
              </w:rPr>
              <w:t>ABSTRACT</w:t>
            </w:r>
          </w:p>
        </w:tc>
        <w:tc>
          <w:tcPr>
            <w:tcW w:w="1156" w:type="dxa"/>
            <w:tcBorders>
              <w:top w:val="double" w:sz="4" w:space="0" w:color="auto"/>
              <w:right w:val="single" w:sz="4" w:space="0" w:color="auto"/>
            </w:tcBorders>
            <w:shd w:val="clear" w:color="auto" w:fill="FFFFCC"/>
            <w:vAlign w:val="center"/>
          </w:tcPr>
          <w:p w14:paraId="6CB61704" w14:textId="77777777" w:rsidR="00BC3132" w:rsidRPr="006649E6" w:rsidRDefault="00BC3132" w:rsidP="00A626C3">
            <w:pPr>
              <w:rPr>
                <w:rFonts w:ascii="Arial" w:hAnsi="Arial" w:cs="Arial"/>
                <w:iCs/>
                <w:szCs w:val="20"/>
              </w:rPr>
            </w:pPr>
          </w:p>
        </w:tc>
      </w:tr>
      <w:tr w:rsidR="00BC3132" w:rsidRPr="00441762" w14:paraId="799C1254" w14:textId="77777777" w:rsidTr="00BC3132">
        <w:trPr>
          <w:cantSplit/>
          <w:trHeight w:val="562"/>
        </w:trPr>
        <w:tc>
          <w:tcPr>
            <w:tcW w:w="1929" w:type="dxa"/>
            <w:vMerge w:val="restart"/>
            <w:tcBorders>
              <w:top w:val="single" w:sz="4" w:space="0" w:color="auto"/>
              <w:left w:val="single" w:sz="4" w:space="0" w:color="auto"/>
            </w:tcBorders>
            <w:vAlign w:val="center"/>
            <w:hideMark/>
          </w:tcPr>
          <w:p w14:paraId="6494DBD0" w14:textId="77777777" w:rsidR="00BC3132" w:rsidRPr="00E50FA0" w:rsidRDefault="00BC3132" w:rsidP="00A626C3">
            <w:pPr>
              <w:pStyle w:val="Default"/>
              <w:spacing w:before="40" w:after="40"/>
              <w:rPr>
                <w:rFonts w:ascii="Arial" w:hAnsi="Arial" w:cs="Arial"/>
                <w:sz w:val="20"/>
                <w:szCs w:val="20"/>
              </w:rPr>
            </w:pPr>
            <w:r>
              <w:rPr>
                <w:rFonts w:ascii="Arial" w:hAnsi="Arial" w:cs="Arial"/>
                <w:sz w:val="20"/>
                <w:szCs w:val="20"/>
              </w:rPr>
              <w:t xml:space="preserve">2. </w:t>
            </w:r>
            <w:r w:rsidRPr="009E7B0F">
              <w:rPr>
                <w:rFonts w:ascii="Arial" w:hAnsi="Arial" w:cs="Arial"/>
                <w:sz w:val="20"/>
                <w:szCs w:val="20"/>
              </w:rPr>
              <w:t>Structured-like summary</w:t>
            </w:r>
          </w:p>
        </w:tc>
        <w:tc>
          <w:tcPr>
            <w:tcW w:w="870" w:type="dxa"/>
            <w:tcBorders>
              <w:top w:val="single" w:sz="4" w:space="0" w:color="auto"/>
            </w:tcBorders>
            <w:vAlign w:val="center"/>
            <w:hideMark/>
          </w:tcPr>
          <w:p w14:paraId="3DC197A0" w14:textId="77777777" w:rsidR="00BC3132" w:rsidRPr="00363B8D" w:rsidRDefault="00BC3132" w:rsidP="00A626C3">
            <w:pPr>
              <w:pStyle w:val="Default"/>
              <w:spacing w:before="40" w:after="40"/>
              <w:rPr>
                <w:rFonts w:ascii="Arial" w:hAnsi="Arial" w:cs="Arial"/>
                <w:sz w:val="20"/>
                <w:szCs w:val="20"/>
              </w:rPr>
            </w:pPr>
            <w:r w:rsidRPr="00363B8D">
              <w:rPr>
                <w:rFonts w:ascii="Arial" w:hAnsi="Arial" w:cs="Arial"/>
                <w:sz w:val="20"/>
                <w:szCs w:val="20"/>
              </w:rPr>
              <w:t>2</w:t>
            </w:r>
            <w:r>
              <w:rPr>
                <w:rFonts w:ascii="Arial" w:hAnsi="Arial" w:cs="Arial"/>
                <w:sz w:val="20"/>
                <w:szCs w:val="20"/>
              </w:rPr>
              <w:t>a</w:t>
            </w:r>
          </w:p>
        </w:tc>
        <w:tc>
          <w:tcPr>
            <w:tcW w:w="10489" w:type="dxa"/>
            <w:gridSpan w:val="5"/>
            <w:tcBorders>
              <w:top w:val="single" w:sz="4" w:space="0" w:color="auto"/>
            </w:tcBorders>
            <w:vAlign w:val="center"/>
          </w:tcPr>
          <w:p w14:paraId="46E29F87" w14:textId="77777777" w:rsidR="00BC3132" w:rsidRPr="009E7B0F" w:rsidRDefault="00BC3132" w:rsidP="00A626C3">
            <w:pPr>
              <w:autoSpaceDE w:val="0"/>
              <w:autoSpaceDN w:val="0"/>
              <w:adjustRightInd w:val="0"/>
              <w:rPr>
                <w:rFonts w:ascii="Arial" w:hAnsi="Arial" w:cs="Arial"/>
                <w:szCs w:val="20"/>
                <w:lang w:eastAsia="el-GR"/>
              </w:rPr>
            </w:pPr>
            <w:r w:rsidRPr="009E7B0F">
              <w:rPr>
                <w:rFonts w:ascii="Arial" w:hAnsi="Arial" w:cs="Arial"/>
                <w:szCs w:val="20"/>
                <w:lang w:eastAsia="el-GR"/>
              </w:rPr>
              <w:t>Provide a structured-like abstract, as applicable: background, objective, data sources, selection criteria, data extraction, review appraisal, data synthesis methods, re</w:t>
            </w:r>
            <w:r>
              <w:rPr>
                <w:rFonts w:ascii="Arial" w:hAnsi="Arial" w:cs="Arial"/>
                <w:szCs w:val="20"/>
                <w:lang w:eastAsia="el-GR"/>
              </w:rPr>
              <w:t>sults, limitations, conclusions</w:t>
            </w:r>
            <w:r w:rsidRPr="009E7B0F">
              <w:rPr>
                <w:rFonts w:ascii="Arial" w:hAnsi="Arial" w:cs="Arial"/>
                <w:szCs w:val="20"/>
                <w:lang w:eastAsia="el-GR"/>
              </w:rPr>
              <w:t>.</w:t>
            </w:r>
          </w:p>
        </w:tc>
        <w:tc>
          <w:tcPr>
            <w:tcW w:w="1156" w:type="dxa"/>
            <w:tcBorders>
              <w:right w:val="single" w:sz="4" w:space="0" w:color="auto"/>
            </w:tcBorders>
            <w:vAlign w:val="center"/>
          </w:tcPr>
          <w:p w14:paraId="7F0EE60A"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2</w:t>
            </w:r>
          </w:p>
        </w:tc>
      </w:tr>
      <w:tr w:rsidR="00BC3132" w:rsidRPr="00441762" w14:paraId="3A9D2BF9" w14:textId="77777777" w:rsidTr="00BC3132">
        <w:trPr>
          <w:cantSplit/>
          <w:trHeight w:val="375"/>
        </w:trPr>
        <w:tc>
          <w:tcPr>
            <w:tcW w:w="1929" w:type="dxa"/>
            <w:vMerge/>
            <w:tcBorders>
              <w:left w:val="single" w:sz="4" w:space="0" w:color="auto"/>
              <w:bottom w:val="double" w:sz="6" w:space="0" w:color="auto"/>
            </w:tcBorders>
            <w:vAlign w:val="center"/>
            <w:hideMark/>
          </w:tcPr>
          <w:p w14:paraId="737814BA" w14:textId="77777777" w:rsidR="00BC3132" w:rsidRPr="00441762" w:rsidRDefault="00BC3132" w:rsidP="00A626C3">
            <w:pPr>
              <w:rPr>
                <w:rFonts w:ascii="Calibri" w:hAnsi="Calibri" w:cs="Calibri"/>
                <w:iCs/>
                <w:szCs w:val="20"/>
              </w:rPr>
            </w:pPr>
          </w:p>
        </w:tc>
        <w:tc>
          <w:tcPr>
            <w:tcW w:w="870" w:type="dxa"/>
            <w:tcBorders>
              <w:bottom w:val="double" w:sz="6" w:space="0" w:color="auto"/>
            </w:tcBorders>
            <w:vAlign w:val="center"/>
            <w:hideMark/>
          </w:tcPr>
          <w:p w14:paraId="60C01948" w14:textId="77777777" w:rsidR="00BC3132" w:rsidRPr="00363B8D" w:rsidRDefault="00BC3132" w:rsidP="00A626C3">
            <w:pPr>
              <w:pStyle w:val="Default"/>
              <w:spacing w:before="40" w:after="40"/>
              <w:rPr>
                <w:rFonts w:ascii="Arial" w:hAnsi="Arial" w:cs="Arial"/>
                <w:sz w:val="20"/>
                <w:szCs w:val="20"/>
              </w:rPr>
            </w:pPr>
            <w:r>
              <w:rPr>
                <w:rFonts w:ascii="Arial" w:hAnsi="Arial" w:cs="Arial"/>
                <w:sz w:val="20"/>
                <w:szCs w:val="20"/>
              </w:rPr>
              <w:t>2b</w:t>
            </w:r>
          </w:p>
        </w:tc>
        <w:tc>
          <w:tcPr>
            <w:tcW w:w="10489" w:type="dxa"/>
            <w:gridSpan w:val="5"/>
            <w:tcBorders>
              <w:bottom w:val="double" w:sz="6" w:space="0" w:color="auto"/>
            </w:tcBorders>
            <w:vAlign w:val="center"/>
          </w:tcPr>
          <w:p w14:paraId="4496C6C8" w14:textId="77777777" w:rsidR="00BC3132" w:rsidRPr="00880C49" w:rsidRDefault="00BC3132" w:rsidP="00A626C3">
            <w:pPr>
              <w:pStyle w:val="Default"/>
              <w:spacing w:before="40" w:after="40"/>
              <w:jc w:val="both"/>
              <w:rPr>
                <w:rFonts w:ascii="Arial" w:hAnsi="Arial" w:cs="Arial"/>
                <w:sz w:val="20"/>
                <w:szCs w:val="20"/>
              </w:rPr>
            </w:pPr>
            <w:r>
              <w:rPr>
                <w:rFonts w:ascii="Arial" w:hAnsi="Arial" w:cs="Arial"/>
                <w:sz w:val="20"/>
                <w:szCs w:val="20"/>
              </w:rPr>
              <w:t>Report</w:t>
            </w:r>
            <w:r>
              <w:rPr>
                <w:rFonts w:ascii="Arial" w:hAnsi="Arial" w:cs="Arial"/>
                <w:sz w:val="20"/>
                <w:szCs w:val="20"/>
                <w:lang w:eastAsia="el-GR"/>
              </w:rPr>
              <w:t xml:space="preserve"> </w:t>
            </w:r>
            <w:r w:rsidRPr="00880C49">
              <w:rPr>
                <w:rFonts w:ascii="Arial" w:hAnsi="Arial" w:cs="Arial"/>
                <w:sz w:val="20"/>
                <w:szCs w:val="20"/>
              </w:rPr>
              <w:t xml:space="preserve">the main findings of </w:t>
            </w:r>
            <w:r w:rsidRPr="00880C49">
              <w:rPr>
                <w:rFonts w:ascii="Arial" w:hAnsi="Arial" w:cs="Arial"/>
                <w:sz w:val="20"/>
                <w:szCs w:val="20"/>
                <w:lang w:eastAsia="el-GR"/>
              </w:rPr>
              <w:t xml:space="preserve">analysis </w:t>
            </w:r>
            <w:r>
              <w:rPr>
                <w:rFonts w:ascii="Arial" w:hAnsi="Arial" w:cs="Arial"/>
                <w:sz w:val="20"/>
                <w:szCs w:val="20"/>
                <w:lang w:eastAsia="el-GR"/>
              </w:rPr>
              <w:t xml:space="preserve">of </w:t>
            </w:r>
            <w:r w:rsidRPr="00880C49">
              <w:rPr>
                <w:rFonts w:ascii="Arial" w:hAnsi="Arial" w:cs="Arial"/>
                <w:sz w:val="20"/>
                <w:szCs w:val="20"/>
                <w:lang w:eastAsia="el-GR"/>
              </w:rPr>
              <w:t xml:space="preserve">harms undertaken in the </w:t>
            </w:r>
            <w:r w:rsidRPr="004E1434">
              <w:rPr>
                <w:rFonts w:ascii="Arial" w:hAnsi="Arial" w:cs="Arial"/>
                <w:sz w:val="20"/>
                <w:szCs w:val="20"/>
                <w:lang w:eastAsia="el-GR"/>
              </w:rPr>
              <w:t>OoSRs</w:t>
            </w:r>
            <w:r w:rsidRPr="00880C49">
              <w:rPr>
                <w:rFonts w:cs="Arial"/>
                <w:sz w:val="20"/>
                <w:szCs w:val="20"/>
                <w:lang w:eastAsia="el-GR"/>
              </w:rPr>
              <w:t xml:space="preserve"> </w:t>
            </w:r>
            <w:r w:rsidRPr="00880C49">
              <w:rPr>
                <w:rFonts w:ascii="Arial" w:hAnsi="Arial" w:cs="Arial"/>
                <w:sz w:val="20"/>
                <w:szCs w:val="20"/>
                <w:lang w:eastAsia="el-GR"/>
              </w:rPr>
              <w:t xml:space="preserve">or/and in the included </w:t>
            </w:r>
            <w:r>
              <w:rPr>
                <w:rFonts w:ascii="Arial" w:hAnsi="Arial" w:cs="Arial"/>
                <w:sz w:val="20"/>
                <w:szCs w:val="20"/>
                <w:lang w:eastAsia="el-GR"/>
              </w:rPr>
              <w:t>SRs</w:t>
            </w:r>
            <w:r w:rsidRPr="00880C49">
              <w:rPr>
                <w:rFonts w:ascii="Arial" w:hAnsi="Arial" w:cs="Arial"/>
                <w:sz w:val="20"/>
                <w:szCs w:val="20"/>
                <w:lang w:eastAsia="el-GR"/>
              </w:rPr>
              <w:t>.</w:t>
            </w:r>
          </w:p>
        </w:tc>
        <w:tc>
          <w:tcPr>
            <w:tcW w:w="1156" w:type="dxa"/>
            <w:tcBorders>
              <w:bottom w:val="double" w:sz="6" w:space="0" w:color="auto"/>
              <w:right w:val="single" w:sz="4" w:space="0" w:color="auto"/>
            </w:tcBorders>
            <w:vAlign w:val="center"/>
          </w:tcPr>
          <w:p w14:paraId="6754C883"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2</w:t>
            </w:r>
          </w:p>
        </w:tc>
      </w:tr>
      <w:tr w:rsidR="00BC3132" w:rsidRPr="00441762" w14:paraId="129293DE" w14:textId="77777777" w:rsidTr="00BC3132">
        <w:trPr>
          <w:cantSplit/>
          <w:trHeight w:val="410"/>
        </w:trPr>
        <w:tc>
          <w:tcPr>
            <w:tcW w:w="13288" w:type="dxa"/>
            <w:gridSpan w:val="7"/>
            <w:tcBorders>
              <w:top w:val="double" w:sz="6" w:space="0" w:color="auto"/>
              <w:left w:val="single" w:sz="4" w:space="0" w:color="auto"/>
            </w:tcBorders>
            <w:shd w:val="clear" w:color="auto" w:fill="FFFFCC"/>
            <w:vAlign w:val="center"/>
            <w:hideMark/>
          </w:tcPr>
          <w:p w14:paraId="3AACB5E4" w14:textId="77777777" w:rsidR="00BC3132" w:rsidRPr="00E158FB" w:rsidRDefault="00BC3132" w:rsidP="00A626C3">
            <w:pPr>
              <w:rPr>
                <w:rFonts w:ascii="Calibri" w:hAnsi="Calibri" w:cs="Calibri"/>
                <w:iCs/>
                <w:szCs w:val="20"/>
              </w:rPr>
            </w:pPr>
            <w:r w:rsidRPr="004C1685">
              <w:rPr>
                <w:rFonts w:ascii="Arial" w:hAnsi="Arial" w:cs="Arial"/>
                <w:b/>
                <w:bCs/>
                <w:sz w:val="22"/>
                <w:szCs w:val="22"/>
              </w:rPr>
              <w:t>INTRODUCTION</w:t>
            </w:r>
          </w:p>
        </w:tc>
        <w:tc>
          <w:tcPr>
            <w:tcW w:w="1156" w:type="dxa"/>
            <w:tcBorders>
              <w:top w:val="double" w:sz="6" w:space="0" w:color="auto"/>
              <w:right w:val="single" w:sz="4" w:space="0" w:color="auto"/>
            </w:tcBorders>
            <w:shd w:val="clear" w:color="auto" w:fill="FFFFCC"/>
          </w:tcPr>
          <w:p w14:paraId="0ECABBC8" w14:textId="77777777" w:rsidR="00BC3132" w:rsidRPr="006649E6" w:rsidRDefault="00BC3132" w:rsidP="00A626C3">
            <w:pPr>
              <w:rPr>
                <w:rFonts w:ascii="Arial" w:hAnsi="Arial" w:cs="Arial"/>
                <w:iCs/>
                <w:szCs w:val="20"/>
              </w:rPr>
            </w:pPr>
          </w:p>
        </w:tc>
      </w:tr>
      <w:tr w:rsidR="00BC3132" w:rsidRPr="00DA5631" w14:paraId="5D5F31B4" w14:textId="77777777" w:rsidTr="00BC3132">
        <w:trPr>
          <w:cantSplit/>
          <w:trHeight w:val="422"/>
        </w:trPr>
        <w:tc>
          <w:tcPr>
            <w:tcW w:w="1929" w:type="dxa"/>
            <w:vMerge w:val="restart"/>
            <w:tcBorders>
              <w:left w:val="single" w:sz="4" w:space="0" w:color="auto"/>
            </w:tcBorders>
            <w:vAlign w:val="center"/>
            <w:hideMark/>
          </w:tcPr>
          <w:p w14:paraId="1C3F6592" w14:textId="77777777" w:rsidR="00BC3132" w:rsidRPr="00F7174E" w:rsidRDefault="00BC3132" w:rsidP="00A626C3">
            <w:pPr>
              <w:rPr>
                <w:rFonts w:ascii="Calibri" w:hAnsi="Calibri" w:cs="Calibri"/>
                <w:iCs/>
                <w:szCs w:val="20"/>
              </w:rPr>
            </w:pPr>
            <w:r>
              <w:rPr>
                <w:rFonts w:ascii="Arial" w:hAnsi="Arial" w:cs="Arial"/>
                <w:szCs w:val="20"/>
              </w:rPr>
              <w:t xml:space="preserve">3. </w:t>
            </w:r>
            <w:r w:rsidRPr="004C1685">
              <w:rPr>
                <w:rFonts w:ascii="Arial" w:hAnsi="Arial" w:cs="Arial"/>
                <w:szCs w:val="20"/>
              </w:rPr>
              <w:t>Rationale</w:t>
            </w:r>
          </w:p>
        </w:tc>
        <w:tc>
          <w:tcPr>
            <w:tcW w:w="870" w:type="dxa"/>
            <w:vAlign w:val="center"/>
            <w:hideMark/>
          </w:tcPr>
          <w:p w14:paraId="4728552D" w14:textId="77777777" w:rsidR="00BC3132" w:rsidRPr="00363B8D" w:rsidRDefault="00BC3132" w:rsidP="00A626C3">
            <w:pPr>
              <w:pStyle w:val="Default"/>
              <w:spacing w:before="40" w:after="40"/>
              <w:rPr>
                <w:rFonts w:ascii="Arial" w:hAnsi="Arial" w:cs="Arial"/>
                <w:sz w:val="20"/>
                <w:szCs w:val="20"/>
              </w:rPr>
            </w:pPr>
            <w:r w:rsidRPr="00363B8D">
              <w:rPr>
                <w:rFonts w:ascii="Arial" w:hAnsi="Arial" w:cs="Arial"/>
                <w:sz w:val="20"/>
                <w:szCs w:val="20"/>
              </w:rPr>
              <w:t>3</w:t>
            </w:r>
            <w:r>
              <w:rPr>
                <w:rFonts w:ascii="Arial" w:hAnsi="Arial" w:cs="Arial"/>
                <w:sz w:val="20"/>
                <w:szCs w:val="20"/>
              </w:rPr>
              <w:t>a</w:t>
            </w:r>
          </w:p>
        </w:tc>
        <w:tc>
          <w:tcPr>
            <w:tcW w:w="10489" w:type="dxa"/>
            <w:gridSpan w:val="5"/>
            <w:vAlign w:val="center"/>
          </w:tcPr>
          <w:p w14:paraId="71586F98" w14:textId="77777777" w:rsidR="00BC3132" w:rsidRPr="00A4752D" w:rsidRDefault="00BC3132" w:rsidP="00A626C3">
            <w:pPr>
              <w:autoSpaceDE w:val="0"/>
              <w:autoSpaceDN w:val="0"/>
              <w:adjustRightInd w:val="0"/>
              <w:rPr>
                <w:rFonts w:ascii="Arial" w:hAnsi="Arial" w:cs="Arial"/>
                <w:szCs w:val="20"/>
                <w:lang w:eastAsia="el-GR"/>
              </w:rPr>
            </w:pPr>
            <w:r w:rsidRPr="00A4752D">
              <w:rPr>
                <w:rFonts w:ascii="Arial" w:hAnsi="Arial" w:cs="Arial"/>
                <w:szCs w:val="20"/>
                <w:lang w:eastAsia="el-GR"/>
              </w:rPr>
              <w:t xml:space="preserve">Specify the rationale </w:t>
            </w:r>
            <w:r>
              <w:rPr>
                <w:rFonts w:ascii="Arial" w:hAnsi="Arial" w:cs="Arial"/>
                <w:szCs w:val="20"/>
                <w:lang w:eastAsia="el-GR"/>
              </w:rPr>
              <w:t xml:space="preserve">and the scope (wide or narrow agendas) </w:t>
            </w:r>
            <w:r w:rsidRPr="00A4752D">
              <w:rPr>
                <w:rFonts w:ascii="Arial" w:hAnsi="Arial" w:cs="Arial"/>
                <w:szCs w:val="20"/>
                <w:lang w:eastAsia="el-GR"/>
              </w:rPr>
              <w:t xml:space="preserve">for the overview in the context of an existing body of knowledge on the topic. </w:t>
            </w:r>
          </w:p>
        </w:tc>
        <w:tc>
          <w:tcPr>
            <w:tcW w:w="1156" w:type="dxa"/>
            <w:tcBorders>
              <w:right w:val="single" w:sz="4" w:space="0" w:color="auto"/>
            </w:tcBorders>
            <w:vAlign w:val="center"/>
          </w:tcPr>
          <w:p w14:paraId="68BE08A9"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3</w:t>
            </w:r>
          </w:p>
        </w:tc>
      </w:tr>
      <w:tr w:rsidR="00BC3132" w:rsidRPr="00CD46C6" w14:paraId="448DFE00" w14:textId="77777777" w:rsidTr="00BC3132">
        <w:trPr>
          <w:cantSplit/>
          <w:trHeight w:val="337"/>
        </w:trPr>
        <w:tc>
          <w:tcPr>
            <w:tcW w:w="1929" w:type="dxa"/>
            <w:vMerge/>
            <w:tcBorders>
              <w:left w:val="single" w:sz="4" w:space="0" w:color="auto"/>
            </w:tcBorders>
            <w:vAlign w:val="center"/>
            <w:hideMark/>
          </w:tcPr>
          <w:p w14:paraId="2802BF54" w14:textId="77777777" w:rsidR="00BC3132" w:rsidRPr="001E4E00" w:rsidRDefault="00BC3132" w:rsidP="00A626C3">
            <w:pPr>
              <w:rPr>
                <w:rFonts w:ascii="Calibri" w:hAnsi="Calibri" w:cs="Calibri"/>
                <w:iCs/>
                <w:szCs w:val="20"/>
              </w:rPr>
            </w:pPr>
          </w:p>
        </w:tc>
        <w:tc>
          <w:tcPr>
            <w:tcW w:w="870" w:type="dxa"/>
            <w:vAlign w:val="center"/>
            <w:hideMark/>
          </w:tcPr>
          <w:p w14:paraId="0C72B370" w14:textId="77777777" w:rsidR="00BC3132" w:rsidRPr="00363B8D" w:rsidRDefault="00BC3132" w:rsidP="00A626C3">
            <w:pPr>
              <w:pStyle w:val="Default"/>
              <w:spacing w:before="40" w:after="40"/>
              <w:rPr>
                <w:rFonts w:ascii="Arial" w:hAnsi="Arial" w:cs="Arial"/>
                <w:sz w:val="20"/>
                <w:szCs w:val="20"/>
              </w:rPr>
            </w:pPr>
            <w:r>
              <w:rPr>
                <w:rFonts w:ascii="Arial" w:hAnsi="Arial" w:cs="Arial"/>
                <w:sz w:val="20"/>
                <w:szCs w:val="20"/>
              </w:rPr>
              <w:t>3b</w:t>
            </w:r>
          </w:p>
        </w:tc>
        <w:tc>
          <w:tcPr>
            <w:tcW w:w="10489" w:type="dxa"/>
            <w:gridSpan w:val="5"/>
            <w:vAlign w:val="center"/>
          </w:tcPr>
          <w:p w14:paraId="275A92D3" w14:textId="77777777" w:rsidR="00BC3132" w:rsidRPr="00653E7C" w:rsidRDefault="00BC3132" w:rsidP="00A626C3">
            <w:pPr>
              <w:autoSpaceDE w:val="0"/>
              <w:autoSpaceDN w:val="0"/>
              <w:adjustRightInd w:val="0"/>
              <w:rPr>
                <w:rFonts w:ascii="Arial" w:hAnsi="Arial" w:cs="Arial"/>
                <w:szCs w:val="20"/>
                <w:lang w:eastAsia="el-GR"/>
              </w:rPr>
            </w:pPr>
            <w:r w:rsidRPr="00A4752D">
              <w:rPr>
                <w:rFonts w:ascii="Arial" w:hAnsi="Arial" w:cs="Arial"/>
                <w:szCs w:val="20"/>
                <w:lang w:eastAsia="el-GR"/>
              </w:rPr>
              <w:t>Provide a balanced presentation of potential benefits and harms of the intervention(s).</w:t>
            </w:r>
          </w:p>
        </w:tc>
        <w:tc>
          <w:tcPr>
            <w:tcW w:w="1156" w:type="dxa"/>
            <w:tcBorders>
              <w:right w:val="single" w:sz="4" w:space="0" w:color="auto"/>
            </w:tcBorders>
            <w:vAlign w:val="center"/>
          </w:tcPr>
          <w:p w14:paraId="58BF78E6"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3</w:t>
            </w:r>
          </w:p>
        </w:tc>
      </w:tr>
      <w:tr w:rsidR="00BC3132" w:rsidRPr="00CD46C6" w14:paraId="19A5F2A7" w14:textId="77777777" w:rsidTr="00BC3132">
        <w:trPr>
          <w:cantSplit/>
          <w:trHeight w:val="521"/>
        </w:trPr>
        <w:tc>
          <w:tcPr>
            <w:tcW w:w="1929" w:type="dxa"/>
            <w:vMerge/>
            <w:tcBorders>
              <w:left w:val="single" w:sz="4" w:space="0" w:color="auto"/>
            </w:tcBorders>
            <w:vAlign w:val="center"/>
            <w:hideMark/>
          </w:tcPr>
          <w:p w14:paraId="165615CD" w14:textId="77777777" w:rsidR="00BC3132" w:rsidRPr="001E4E00" w:rsidRDefault="00BC3132" w:rsidP="00A626C3">
            <w:pPr>
              <w:rPr>
                <w:rFonts w:ascii="Calibri" w:hAnsi="Calibri" w:cs="Calibri"/>
                <w:iCs/>
                <w:szCs w:val="20"/>
              </w:rPr>
            </w:pPr>
          </w:p>
        </w:tc>
        <w:tc>
          <w:tcPr>
            <w:tcW w:w="870" w:type="dxa"/>
            <w:vAlign w:val="center"/>
            <w:hideMark/>
          </w:tcPr>
          <w:p w14:paraId="7F8F1E1A" w14:textId="77777777" w:rsidR="00BC3132" w:rsidRPr="00363B8D" w:rsidRDefault="00BC3132" w:rsidP="00A626C3">
            <w:pPr>
              <w:pStyle w:val="Default"/>
              <w:spacing w:before="40" w:after="40"/>
              <w:rPr>
                <w:rFonts w:ascii="Arial" w:hAnsi="Arial" w:cs="Arial"/>
                <w:sz w:val="20"/>
                <w:szCs w:val="20"/>
              </w:rPr>
            </w:pPr>
            <w:r>
              <w:rPr>
                <w:rFonts w:ascii="Arial" w:hAnsi="Arial" w:cs="Arial"/>
                <w:sz w:val="20"/>
                <w:szCs w:val="20"/>
              </w:rPr>
              <w:t>3c</w:t>
            </w:r>
            <w:r w:rsidRPr="00226DDB">
              <w:rPr>
                <w:b/>
                <w:color w:val="8496B0" w:themeColor="text2" w:themeTint="99"/>
                <w:vertAlign w:val="superscript"/>
              </w:rPr>
              <w:t>a</w:t>
            </w:r>
          </w:p>
        </w:tc>
        <w:tc>
          <w:tcPr>
            <w:tcW w:w="10489" w:type="dxa"/>
            <w:gridSpan w:val="5"/>
            <w:vAlign w:val="center"/>
          </w:tcPr>
          <w:p w14:paraId="3082DA56" w14:textId="77777777" w:rsidR="00BC3132" w:rsidRPr="0075779F" w:rsidRDefault="00BC3132" w:rsidP="00A626C3">
            <w:pPr>
              <w:rPr>
                <w:rFonts w:ascii="Arial" w:hAnsi="Arial" w:cs="Arial"/>
                <w:lang w:eastAsia="el-GR"/>
              </w:rPr>
            </w:pPr>
            <w:r w:rsidRPr="00256A7D">
              <w:rPr>
                <w:rFonts w:ascii="Arial" w:hAnsi="Arial" w:cs="Arial"/>
              </w:rPr>
              <w:t>D</w:t>
            </w:r>
            <w:r w:rsidRPr="00256A7D">
              <w:rPr>
                <w:rFonts w:ascii="Arial" w:hAnsi="Arial" w:cs="Arial"/>
                <w:lang w:eastAsia="el-GR"/>
              </w:rPr>
              <w:t xml:space="preserve">efine which </w:t>
            </w:r>
            <w:r>
              <w:rPr>
                <w:rFonts w:ascii="Arial" w:hAnsi="Arial" w:cs="Arial"/>
                <w:lang w:eastAsia="el-GR"/>
              </w:rPr>
              <w:t xml:space="preserve">events are considered </w:t>
            </w:r>
            <w:r w:rsidRPr="00256A7D">
              <w:rPr>
                <w:rFonts w:ascii="Arial" w:hAnsi="Arial" w:cs="Arial"/>
                <w:lang w:eastAsia="el-GR"/>
              </w:rPr>
              <w:t xml:space="preserve">harms </w:t>
            </w:r>
            <w:r w:rsidRPr="00256A7D">
              <w:rPr>
                <w:rFonts w:ascii="Arial" w:hAnsi="Arial" w:cs="Arial"/>
              </w:rPr>
              <w:t>a</w:t>
            </w:r>
            <w:r>
              <w:rPr>
                <w:rFonts w:ascii="Arial" w:hAnsi="Arial" w:cs="Arial"/>
              </w:rPr>
              <w:t>ccording to previous literature</w:t>
            </w:r>
            <w:r>
              <w:rPr>
                <w:rFonts w:ascii="Arial" w:hAnsi="Arial" w:cs="Arial"/>
                <w:lang w:eastAsia="el-GR"/>
              </w:rPr>
              <w:t xml:space="preserve"> and provide a clear rationale for the specific harms included in the OoSRs</w:t>
            </w:r>
            <w:r>
              <w:rPr>
                <w:rFonts w:ascii="Arial" w:hAnsi="Arial" w:cs="Arial"/>
              </w:rPr>
              <w:t>.</w:t>
            </w:r>
          </w:p>
        </w:tc>
        <w:tc>
          <w:tcPr>
            <w:tcW w:w="1156" w:type="dxa"/>
            <w:tcBorders>
              <w:right w:val="single" w:sz="4" w:space="0" w:color="auto"/>
            </w:tcBorders>
            <w:vAlign w:val="center"/>
          </w:tcPr>
          <w:p w14:paraId="26FED7B5"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5</w:t>
            </w:r>
          </w:p>
        </w:tc>
      </w:tr>
      <w:tr w:rsidR="00BC3132" w:rsidRPr="00DD6F59" w14:paraId="2506851F" w14:textId="77777777" w:rsidTr="00BC3132">
        <w:trPr>
          <w:cantSplit/>
          <w:trHeight w:val="343"/>
        </w:trPr>
        <w:tc>
          <w:tcPr>
            <w:tcW w:w="1929" w:type="dxa"/>
            <w:vMerge w:val="restart"/>
            <w:tcBorders>
              <w:left w:val="single" w:sz="4" w:space="0" w:color="auto"/>
            </w:tcBorders>
            <w:vAlign w:val="center"/>
            <w:hideMark/>
          </w:tcPr>
          <w:p w14:paraId="0E5AB77B" w14:textId="77777777" w:rsidR="00BC3132" w:rsidRDefault="00BC3132" w:rsidP="00A626C3">
            <w:pPr>
              <w:pStyle w:val="Default"/>
              <w:spacing w:before="40" w:after="40"/>
              <w:rPr>
                <w:rFonts w:ascii="Arial" w:hAnsi="Arial" w:cs="Arial"/>
                <w:sz w:val="20"/>
                <w:szCs w:val="20"/>
              </w:rPr>
            </w:pPr>
            <w:r>
              <w:rPr>
                <w:rFonts w:ascii="Arial" w:hAnsi="Arial" w:cs="Arial"/>
                <w:sz w:val="20"/>
                <w:szCs w:val="20"/>
              </w:rPr>
              <w:t xml:space="preserve">4. </w:t>
            </w:r>
            <w:r w:rsidRPr="004C1685">
              <w:rPr>
                <w:rFonts w:ascii="Arial" w:hAnsi="Arial" w:cs="Arial"/>
                <w:sz w:val="20"/>
                <w:szCs w:val="20"/>
              </w:rPr>
              <w:t xml:space="preserve">Objectives </w:t>
            </w:r>
          </w:p>
          <w:p w14:paraId="493D8FBF" w14:textId="77777777" w:rsidR="00BC3132" w:rsidRPr="004C1685" w:rsidRDefault="00BC3132" w:rsidP="00A626C3">
            <w:pPr>
              <w:pStyle w:val="Default"/>
              <w:spacing w:before="40" w:after="40"/>
              <w:rPr>
                <w:rFonts w:ascii="Arial" w:hAnsi="Arial" w:cs="Arial"/>
                <w:sz w:val="20"/>
                <w:szCs w:val="20"/>
              </w:rPr>
            </w:pPr>
            <w:r>
              <w:rPr>
                <w:rFonts w:ascii="Arial" w:hAnsi="Arial" w:cs="Arial"/>
                <w:sz w:val="20"/>
                <w:szCs w:val="20"/>
              </w:rPr>
              <w:t xml:space="preserve">   (PICOS)</w:t>
            </w:r>
          </w:p>
        </w:tc>
        <w:tc>
          <w:tcPr>
            <w:tcW w:w="870" w:type="dxa"/>
            <w:vMerge w:val="restart"/>
            <w:vAlign w:val="center"/>
            <w:hideMark/>
          </w:tcPr>
          <w:p w14:paraId="59C076B7" w14:textId="77777777" w:rsidR="00BC3132" w:rsidRPr="005D65A0" w:rsidRDefault="00BC3132" w:rsidP="00A626C3">
            <w:pPr>
              <w:pStyle w:val="Default"/>
              <w:spacing w:before="40" w:after="40"/>
              <w:rPr>
                <w:rFonts w:ascii="Arial" w:hAnsi="Arial" w:cs="Arial"/>
                <w:sz w:val="20"/>
                <w:szCs w:val="20"/>
              </w:rPr>
            </w:pPr>
            <w:r w:rsidRPr="005D65A0">
              <w:rPr>
                <w:rFonts w:ascii="Arial" w:hAnsi="Arial" w:cs="Arial"/>
                <w:sz w:val="20"/>
                <w:szCs w:val="20"/>
              </w:rPr>
              <w:t>4</w:t>
            </w:r>
          </w:p>
        </w:tc>
        <w:tc>
          <w:tcPr>
            <w:tcW w:w="10489" w:type="dxa"/>
            <w:gridSpan w:val="5"/>
            <w:vAlign w:val="center"/>
          </w:tcPr>
          <w:p w14:paraId="47972CA3" w14:textId="77777777" w:rsidR="00BC3132" w:rsidRPr="005D65A0" w:rsidRDefault="00BC3132" w:rsidP="00A626C3">
            <w:pPr>
              <w:autoSpaceDE w:val="0"/>
              <w:autoSpaceDN w:val="0"/>
              <w:adjustRightInd w:val="0"/>
              <w:rPr>
                <w:rFonts w:ascii="Arial" w:eastAsiaTheme="minorHAnsi" w:hAnsi="Arial" w:cs="Arial"/>
                <w:szCs w:val="20"/>
              </w:rPr>
            </w:pPr>
            <w:r w:rsidRPr="005D65A0">
              <w:rPr>
                <w:rFonts w:ascii="Arial" w:eastAsiaTheme="minorHAnsi" w:hAnsi="Arial" w:cs="Arial"/>
                <w:szCs w:val="20"/>
              </w:rPr>
              <w:t xml:space="preserve">Provide an explicit statement of </w:t>
            </w:r>
            <w:r>
              <w:rPr>
                <w:rFonts w:ascii="Arial" w:eastAsiaTheme="minorHAnsi" w:hAnsi="Arial" w:cs="Arial"/>
                <w:szCs w:val="20"/>
              </w:rPr>
              <w:t xml:space="preserve">research </w:t>
            </w:r>
            <w:r w:rsidRPr="005D65A0">
              <w:rPr>
                <w:rFonts w:ascii="Arial" w:eastAsiaTheme="minorHAnsi" w:hAnsi="Arial" w:cs="Arial"/>
                <w:szCs w:val="20"/>
              </w:rPr>
              <w:t>question</w:t>
            </w:r>
            <w:r>
              <w:rPr>
                <w:rFonts w:ascii="Arial" w:eastAsiaTheme="minorHAnsi" w:hAnsi="Arial" w:cs="Arial"/>
                <w:szCs w:val="20"/>
              </w:rPr>
              <w:t>(</w:t>
            </w:r>
            <w:r w:rsidRPr="005D65A0">
              <w:rPr>
                <w:rFonts w:ascii="Arial" w:eastAsiaTheme="minorHAnsi" w:hAnsi="Arial" w:cs="Arial"/>
                <w:szCs w:val="20"/>
              </w:rPr>
              <w:t>s</w:t>
            </w:r>
            <w:r>
              <w:rPr>
                <w:rFonts w:ascii="Arial" w:eastAsiaTheme="minorHAnsi" w:hAnsi="Arial" w:cs="Arial"/>
                <w:szCs w:val="20"/>
              </w:rPr>
              <w:t>)</w:t>
            </w:r>
            <w:r w:rsidRPr="005D65A0">
              <w:rPr>
                <w:rFonts w:ascii="Arial" w:eastAsiaTheme="minorHAnsi" w:hAnsi="Arial" w:cs="Arial"/>
                <w:szCs w:val="20"/>
              </w:rPr>
              <w:t xml:space="preserve"> </w:t>
            </w:r>
            <w:r>
              <w:rPr>
                <w:rFonts w:ascii="Arial" w:eastAsiaTheme="minorHAnsi" w:hAnsi="Arial" w:cs="Arial"/>
                <w:szCs w:val="20"/>
              </w:rPr>
              <w:t xml:space="preserve">that specifies PICOS: </w:t>
            </w:r>
          </w:p>
        </w:tc>
        <w:tc>
          <w:tcPr>
            <w:tcW w:w="1156" w:type="dxa"/>
            <w:vMerge w:val="restart"/>
            <w:tcBorders>
              <w:right w:val="single" w:sz="4" w:space="0" w:color="auto"/>
            </w:tcBorders>
            <w:vAlign w:val="center"/>
          </w:tcPr>
          <w:p w14:paraId="0D98411C"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4</w:t>
            </w:r>
          </w:p>
        </w:tc>
      </w:tr>
      <w:tr w:rsidR="00BC3132" w:rsidRPr="00B25AF5" w14:paraId="6DFF2F3B" w14:textId="77777777" w:rsidTr="00BC3132">
        <w:trPr>
          <w:cantSplit/>
          <w:trHeight w:val="376"/>
        </w:trPr>
        <w:tc>
          <w:tcPr>
            <w:tcW w:w="1929" w:type="dxa"/>
            <w:vMerge/>
            <w:tcBorders>
              <w:left w:val="single" w:sz="4" w:space="0" w:color="auto"/>
            </w:tcBorders>
            <w:vAlign w:val="center"/>
            <w:hideMark/>
          </w:tcPr>
          <w:p w14:paraId="062DC7B6" w14:textId="77777777" w:rsidR="00BC3132" w:rsidRPr="00E12CC9" w:rsidRDefault="00BC3132" w:rsidP="00A626C3">
            <w:pPr>
              <w:rPr>
                <w:rFonts w:ascii="Calibri" w:hAnsi="Calibri" w:cs="Calibri"/>
                <w:iCs/>
                <w:szCs w:val="20"/>
              </w:rPr>
            </w:pPr>
          </w:p>
        </w:tc>
        <w:tc>
          <w:tcPr>
            <w:tcW w:w="870" w:type="dxa"/>
            <w:vMerge/>
            <w:vAlign w:val="center"/>
            <w:hideMark/>
          </w:tcPr>
          <w:p w14:paraId="2553559B" w14:textId="77777777" w:rsidR="00BC3132" w:rsidRPr="005D65A0" w:rsidRDefault="00BC3132" w:rsidP="00A626C3">
            <w:pPr>
              <w:pStyle w:val="Default"/>
              <w:spacing w:before="40" w:after="40"/>
              <w:rPr>
                <w:rFonts w:ascii="Arial" w:hAnsi="Arial" w:cs="Arial"/>
                <w:sz w:val="20"/>
                <w:szCs w:val="20"/>
              </w:rPr>
            </w:pPr>
          </w:p>
        </w:tc>
        <w:tc>
          <w:tcPr>
            <w:tcW w:w="2086" w:type="dxa"/>
            <w:vAlign w:val="center"/>
          </w:tcPr>
          <w:tbl>
            <w:tblPr>
              <w:tblStyle w:val="ae"/>
              <w:tblpPr w:leftFromText="180" w:rightFromText="180" w:vertAnchor="text" w:tblpXSpec="right" w:tblpY="1"/>
              <w:tblOverlap w:val="never"/>
              <w:tblW w:w="0" w:type="auto"/>
              <w:tblLayout w:type="fixed"/>
              <w:tblLook w:val="04A0" w:firstRow="1" w:lastRow="0" w:firstColumn="1" w:lastColumn="0" w:noHBand="0" w:noVBand="1"/>
            </w:tblPr>
            <w:tblGrid>
              <w:gridCol w:w="318"/>
            </w:tblGrid>
            <w:tr w:rsidR="00BC3132" w14:paraId="0BB18567" w14:textId="77777777" w:rsidTr="00A626C3">
              <w:trPr>
                <w:trHeight w:val="269"/>
              </w:trPr>
              <w:tc>
                <w:tcPr>
                  <w:tcW w:w="318" w:type="dxa"/>
                  <w:vAlign w:val="center"/>
                </w:tcPr>
                <w:p w14:paraId="0907CF8A" w14:textId="77777777" w:rsidR="00BC3132" w:rsidRPr="0029703B" w:rsidRDefault="00BC3132" w:rsidP="00A626C3">
                  <w:pPr>
                    <w:pStyle w:val="a4"/>
                    <w:autoSpaceDE w:val="0"/>
                    <w:autoSpaceDN w:val="0"/>
                    <w:adjustRightInd w:val="0"/>
                    <w:ind w:firstLine="360"/>
                    <w:jc w:val="left"/>
                    <w:rPr>
                      <w:rFonts w:ascii="Arial" w:hAnsi="Arial" w:cs="Arial"/>
                      <w:sz w:val="18"/>
                      <w:szCs w:val="18"/>
                      <w:lang w:eastAsia="zh-CN"/>
                    </w:rPr>
                  </w:pPr>
                  <w:r>
                    <w:rPr>
                      <w:rFonts w:ascii="Arial" w:hAnsi="Arial" w:cs="Arial"/>
                      <w:sz w:val="18"/>
                      <w:szCs w:val="18"/>
                      <w:lang w:eastAsia="zh-CN"/>
                    </w:rPr>
                    <w:t>4</w:t>
                  </w:r>
                </w:p>
              </w:tc>
            </w:tr>
          </w:tbl>
          <w:p w14:paraId="34577099" w14:textId="77777777" w:rsidR="00BC3132" w:rsidRPr="00F23249" w:rsidRDefault="00BC3132" w:rsidP="00BC3132">
            <w:pPr>
              <w:pStyle w:val="a4"/>
              <w:widowControl/>
              <w:numPr>
                <w:ilvl w:val="0"/>
                <w:numId w:val="10"/>
              </w:numPr>
              <w:autoSpaceDE w:val="0"/>
              <w:autoSpaceDN w:val="0"/>
              <w:adjustRightInd w:val="0"/>
              <w:ind w:left="175" w:firstLineChars="0" w:hanging="141"/>
              <w:contextualSpacing/>
              <w:jc w:val="left"/>
              <w:rPr>
                <w:rFonts w:ascii="Arial" w:eastAsiaTheme="minorHAnsi" w:hAnsi="Arial" w:cs="Arial"/>
                <w:sz w:val="18"/>
                <w:szCs w:val="18"/>
              </w:rPr>
            </w:pPr>
            <w:r w:rsidRPr="00E80642">
              <w:rPr>
                <w:rFonts w:ascii="Arial" w:eastAsiaTheme="minorHAnsi" w:hAnsi="Arial" w:cs="Arial"/>
                <w:sz w:val="18"/>
                <w:szCs w:val="18"/>
              </w:rPr>
              <w:t xml:space="preserve"> Participants</w:t>
            </w:r>
          </w:p>
        </w:tc>
        <w:tc>
          <w:tcPr>
            <w:tcW w:w="2086" w:type="dxa"/>
            <w:vAlign w:val="center"/>
          </w:tcPr>
          <w:tbl>
            <w:tblPr>
              <w:tblStyle w:val="ae"/>
              <w:tblpPr w:leftFromText="180" w:rightFromText="180" w:vertAnchor="text" w:horzAnchor="margin" w:tblpXSpec="right" w:tblpY="-186"/>
              <w:tblOverlap w:val="never"/>
              <w:tblW w:w="0" w:type="auto"/>
              <w:tblLayout w:type="fixed"/>
              <w:tblLook w:val="04A0" w:firstRow="1" w:lastRow="0" w:firstColumn="1" w:lastColumn="0" w:noHBand="0" w:noVBand="1"/>
            </w:tblPr>
            <w:tblGrid>
              <w:gridCol w:w="318"/>
            </w:tblGrid>
            <w:tr w:rsidR="00BC3132" w14:paraId="7BCF697B" w14:textId="77777777" w:rsidTr="00A626C3">
              <w:trPr>
                <w:trHeight w:val="269"/>
              </w:trPr>
              <w:tc>
                <w:tcPr>
                  <w:tcW w:w="318" w:type="dxa"/>
                  <w:vAlign w:val="center"/>
                </w:tcPr>
                <w:p w14:paraId="19876F8E" w14:textId="77777777" w:rsidR="00BC3132" w:rsidRPr="0029703B" w:rsidRDefault="00BC3132" w:rsidP="00A626C3">
                  <w:pPr>
                    <w:pStyle w:val="a4"/>
                    <w:autoSpaceDE w:val="0"/>
                    <w:autoSpaceDN w:val="0"/>
                    <w:adjustRightInd w:val="0"/>
                    <w:ind w:firstLine="360"/>
                    <w:jc w:val="left"/>
                    <w:rPr>
                      <w:rFonts w:ascii="Arial" w:hAnsi="Arial" w:cs="Arial"/>
                      <w:sz w:val="18"/>
                      <w:szCs w:val="18"/>
                      <w:lang w:eastAsia="zh-CN"/>
                    </w:rPr>
                  </w:pPr>
                  <w:r>
                    <w:rPr>
                      <w:rFonts w:ascii="Arial" w:hAnsi="Arial" w:cs="Arial"/>
                      <w:sz w:val="18"/>
                      <w:szCs w:val="18"/>
                      <w:lang w:eastAsia="zh-CN"/>
                    </w:rPr>
                    <w:t>4</w:t>
                  </w:r>
                </w:p>
              </w:tc>
            </w:tr>
          </w:tbl>
          <w:p w14:paraId="5F0E9E26" w14:textId="77777777" w:rsidR="00BC3132" w:rsidRPr="00D71404" w:rsidRDefault="00BC3132" w:rsidP="00BC3132">
            <w:pPr>
              <w:pStyle w:val="a4"/>
              <w:widowControl/>
              <w:numPr>
                <w:ilvl w:val="0"/>
                <w:numId w:val="10"/>
              </w:numPr>
              <w:autoSpaceDE w:val="0"/>
              <w:autoSpaceDN w:val="0"/>
              <w:adjustRightInd w:val="0"/>
              <w:ind w:left="175" w:firstLineChars="0" w:hanging="141"/>
              <w:contextualSpacing/>
              <w:jc w:val="left"/>
              <w:rPr>
                <w:rFonts w:ascii="Arial" w:eastAsiaTheme="minorHAnsi" w:hAnsi="Arial" w:cs="Arial"/>
                <w:sz w:val="18"/>
                <w:szCs w:val="18"/>
              </w:rPr>
            </w:pPr>
            <w:r w:rsidRPr="00E80642">
              <w:rPr>
                <w:rFonts w:ascii="Arial" w:eastAsiaTheme="minorHAnsi" w:hAnsi="Arial" w:cs="Arial"/>
                <w:sz w:val="18"/>
                <w:szCs w:val="18"/>
              </w:rPr>
              <w:t>Interventions</w:t>
            </w:r>
          </w:p>
        </w:tc>
        <w:tc>
          <w:tcPr>
            <w:tcW w:w="2086" w:type="dxa"/>
            <w:vAlign w:val="center"/>
          </w:tcPr>
          <w:tbl>
            <w:tblPr>
              <w:tblStyle w:val="ae"/>
              <w:tblpPr w:leftFromText="180" w:rightFromText="180" w:vertAnchor="text" w:horzAnchor="margin" w:tblpXSpec="right" w:tblpY="-166"/>
              <w:tblOverlap w:val="never"/>
              <w:tblW w:w="0" w:type="auto"/>
              <w:tblLayout w:type="fixed"/>
              <w:tblLook w:val="04A0" w:firstRow="1" w:lastRow="0" w:firstColumn="1" w:lastColumn="0" w:noHBand="0" w:noVBand="1"/>
            </w:tblPr>
            <w:tblGrid>
              <w:gridCol w:w="318"/>
            </w:tblGrid>
            <w:tr w:rsidR="00BC3132" w14:paraId="0480EC21" w14:textId="77777777" w:rsidTr="00A626C3">
              <w:trPr>
                <w:trHeight w:val="269"/>
              </w:trPr>
              <w:tc>
                <w:tcPr>
                  <w:tcW w:w="318" w:type="dxa"/>
                  <w:vAlign w:val="center"/>
                </w:tcPr>
                <w:p w14:paraId="4ED60B6B" w14:textId="77777777" w:rsidR="00BC3132" w:rsidRPr="0029703B" w:rsidRDefault="00BC3132" w:rsidP="00A626C3">
                  <w:pPr>
                    <w:pStyle w:val="a4"/>
                    <w:autoSpaceDE w:val="0"/>
                    <w:autoSpaceDN w:val="0"/>
                    <w:adjustRightInd w:val="0"/>
                    <w:ind w:firstLine="360"/>
                    <w:jc w:val="left"/>
                    <w:rPr>
                      <w:rFonts w:ascii="Arial" w:hAnsi="Arial" w:cs="Arial"/>
                      <w:sz w:val="18"/>
                      <w:szCs w:val="18"/>
                      <w:lang w:eastAsia="zh-CN"/>
                    </w:rPr>
                  </w:pPr>
                  <w:r>
                    <w:rPr>
                      <w:rFonts w:ascii="Arial" w:hAnsi="Arial" w:cs="Arial"/>
                      <w:sz w:val="18"/>
                      <w:szCs w:val="18"/>
                      <w:lang w:eastAsia="zh-CN"/>
                    </w:rPr>
                    <w:t>4</w:t>
                  </w:r>
                </w:p>
              </w:tc>
            </w:tr>
          </w:tbl>
          <w:p w14:paraId="60EF62D0" w14:textId="77777777" w:rsidR="00BC3132" w:rsidRPr="00D71404" w:rsidRDefault="00BC3132" w:rsidP="00BC3132">
            <w:pPr>
              <w:pStyle w:val="a4"/>
              <w:widowControl/>
              <w:numPr>
                <w:ilvl w:val="0"/>
                <w:numId w:val="10"/>
              </w:numPr>
              <w:autoSpaceDE w:val="0"/>
              <w:autoSpaceDN w:val="0"/>
              <w:adjustRightInd w:val="0"/>
              <w:ind w:left="175" w:firstLineChars="0" w:hanging="141"/>
              <w:contextualSpacing/>
              <w:jc w:val="left"/>
              <w:rPr>
                <w:rFonts w:ascii="Arial" w:eastAsiaTheme="minorHAnsi" w:hAnsi="Arial" w:cs="Arial"/>
                <w:sz w:val="18"/>
                <w:szCs w:val="18"/>
              </w:rPr>
            </w:pPr>
            <w:r w:rsidRPr="00440412">
              <w:rPr>
                <w:rFonts w:ascii="Arial" w:eastAsiaTheme="minorHAnsi" w:hAnsi="Arial" w:cs="Arial"/>
                <w:sz w:val="18"/>
                <w:szCs w:val="18"/>
              </w:rPr>
              <w:t>Compar</w:t>
            </w:r>
            <w:r>
              <w:rPr>
                <w:rFonts w:ascii="Arial" w:eastAsiaTheme="minorHAnsi" w:hAnsi="Arial" w:cs="Arial"/>
                <w:sz w:val="18"/>
                <w:szCs w:val="18"/>
              </w:rPr>
              <w:t>ators</w:t>
            </w:r>
          </w:p>
        </w:tc>
        <w:tc>
          <w:tcPr>
            <w:tcW w:w="2086" w:type="dxa"/>
            <w:vAlign w:val="center"/>
          </w:tcPr>
          <w:tbl>
            <w:tblPr>
              <w:tblStyle w:val="ae"/>
              <w:tblpPr w:leftFromText="180" w:rightFromText="180" w:vertAnchor="text" w:horzAnchor="margin" w:tblpXSpec="right" w:tblpY="-156"/>
              <w:tblOverlap w:val="never"/>
              <w:tblW w:w="0" w:type="auto"/>
              <w:tblLayout w:type="fixed"/>
              <w:tblLook w:val="04A0" w:firstRow="1" w:lastRow="0" w:firstColumn="1" w:lastColumn="0" w:noHBand="0" w:noVBand="1"/>
            </w:tblPr>
            <w:tblGrid>
              <w:gridCol w:w="318"/>
            </w:tblGrid>
            <w:tr w:rsidR="00BC3132" w14:paraId="78796056" w14:textId="77777777" w:rsidTr="00A626C3">
              <w:trPr>
                <w:trHeight w:val="269"/>
              </w:trPr>
              <w:tc>
                <w:tcPr>
                  <w:tcW w:w="318" w:type="dxa"/>
                  <w:vAlign w:val="center"/>
                </w:tcPr>
                <w:p w14:paraId="5AAEA193" w14:textId="77777777" w:rsidR="00BC3132" w:rsidRPr="0029703B" w:rsidRDefault="00BC3132" w:rsidP="00A626C3">
                  <w:pPr>
                    <w:pStyle w:val="a4"/>
                    <w:autoSpaceDE w:val="0"/>
                    <w:autoSpaceDN w:val="0"/>
                    <w:adjustRightInd w:val="0"/>
                    <w:ind w:firstLine="360"/>
                    <w:jc w:val="left"/>
                    <w:rPr>
                      <w:rFonts w:ascii="Arial" w:hAnsi="Arial" w:cs="Arial"/>
                      <w:sz w:val="18"/>
                      <w:szCs w:val="18"/>
                      <w:lang w:eastAsia="zh-CN"/>
                    </w:rPr>
                  </w:pPr>
                  <w:r>
                    <w:rPr>
                      <w:rFonts w:ascii="Arial" w:hAnsi="Arial" w:cs="Arial"/>
                      <w:sz w:val="18"/>
                      <w:szCs w:val="18"/>
                      <w:lang w:eastAsia="zh-CN"/>
                    </w:rPr>
                    <w:t>4</w:t>
                  </w:r>
                </w:p>
              </w:tc>
            </w:tr>
          </w:tbl>
          <w:p w14:paraId="6371BE93" w14:textId="77777777" w:rsidR="00BC3132" w:rsidRPr="00D71404" w:rsidRDefault="00BC3132" w:rsidP="00BC3132">
            <w:pPr>
              <w:pStyle w:val="a4"/>
              <w:widowControl/>
              <w:numPr>
                <w:ilvl w:val="0"/>
                <w:numId w:val="10"/>
              </w:numPr>
              <w:autoSpaceDE w:val="0"/>
              <w:autoSpaceDN w:val="0"/>
              <w:adjustRightInd w:val="0"/>
              <w:ind w:left="175" w:firstLineChars="0" w:hanging="141"/>
              <w:contextualSpacing/>
              <w:jc w:val="left"/>
              <w:rPr>
                <w:rFonts w:ascii="Arial" w:eastAsiaTheme="minorHAnsi" w:hAnsi="Arial" w:cs="Arial"/>
                <w:sz w:val="18"/>
                <w:szCs w:val="18"/>
              </w:rPr>
            </w:pPr>
            <w:r w:rsidRPr="00E80642">
              <w:rPr>
                <w:rFonts w:ascii="Arial" w:eastAsiaTheme="minorHAnsi" w:hAnsi="Arial" w:cs="Arial"/>
                <w:sz w:val="18"/>
                <w:szCs w:val="18"/>
              </w:rPr>
              <w:t>Outcomes</w:t>
            </w:r>
          </w:p>
        </w:tc>
        <w:tc>
          <w:tcPr>
            <w:tcW w:w="2145" w:type="dxa"/>
            <w:vAlign w:val="center"/>
          </w:tcPr>
          <w:tbl>
            <w:tblPr>
              <w:tblStyle w:val="ae"/>
              <w:tblpPr w:leftFromText="180" w:rightFromText="180" w:vertAnchor="text" w:horzAnchor="margin" w:tblpXSpec="right" w:tblpY="-166"/>
              <w:tblOverlap w:val="never"/>
              <w:tblW w:w="0" w:type="auto"/>
              <w:tblLayout w:type="fixed"/>
              <w:tblLook w:val="04A0" w:firstRow="1" w:lastRow="0" w:firstColumn="1" w:lastColumn="0" w:noHBand="0" w:noVBand="1"/>
            </w:tblPr>
            <w:tblGrid>
              <w:gridCol w:w="318"/>
            </w:tblGrid>
            <w:tr w:rsidR="00BC3132" w14:paraId="73A5083A" w14:textId="77777777" w:rsidTr="00A626C3">
              <w:trPr>
                <w:trHeight w:val="269"/>
              </w:trPr>
              <w:tc>
                <w:tcPr>
                  <w:tcW w:w="318" w:type="dxa"/>
                  <w:vAlign w:val="center"/>
                </w:tcPr>
                <w:p w14:paraId="1DA8E6A5" w14:textId="77777777" w:rsidR="00BC3132" w:rsidRPr="0029703B" w:rsidRDefault="00BC3132" w:rsidP="00A626C3">
                  <w:pPr>
                    <w:pStyle w:val="a4"/>
                    <w:autoSpaceDE w:val="0"/>
                    <w:autoSpaceDN w:val="0"/>
                    <w:adjustRightInd w:val="0"/>
                    <w:ind w:firstLine="360"/>
                    <w:jc w:val="left"/>
                    <w:rPr>
                      <w:rFonts w:ascii="Arial" w:hAnsi="Arial" w:cs="Arial"/>
                      <w:sz w:val="18"/>
                      <w:szCs w:val="18"/>
                      <w:lang w:eastAsia="zh-CN"/>
                    </w:rPr>
                  </w:pPr>
                  <w:r>
                    <w:rPr>
                      <w:rFonts w:ascii="Arial" w:hAnsi="Arial" w:cs="Arial"/>
                      <w:sz w:val="18"/>
                      <w:szCs w:val="18"/>
                      <w:lang w:eastAsia="zh-CN"/>
                    </w:rPr>
                    <w:t>4</w:t>
                  </w:r>
                </w:p>
              </w:tc>
            </w:tr>
          </w:tbl>
          <w:p w14:paraId="1D39936E" w14:textId="77777777" w:rsidR="00BC3132" w:rsidRPr="00D71404" w:rsidRDefault="00BC3132" w:rsidP="00BC3132">
            <w:pPr>
              <w:pStyle w:val="a4"/>
              <w:widowControl/>
              <w:numPr>
                <w:ilvl w:val="0"/>
                <w:numId w:val="10"/>
              </w:numPr>
              <w:autoSpaceDE w:val="0"/>
              <w:autoSpaceDN w:val="0"/>
              <w:adjustRightInd w:val="0"/>
              <w:ind w:left="175" w:firstLineChars="0" w:hanging="141"/>
              <w:contextualSpacing/>
              <w:jc w:val="left"/>
              <w:rPr>
                <w:rFonts w:ascii="Arial" w:eastAsiaTheme="minorHAnsi" w:hAnsi="Arial" w:cs="Arial"/>
                <w:sz w:val="18"/>
                <w:szCs w:val="18"/>
              </w:rPr>
            </w:pPr>
            <w:r w:rsidRPr="00E80642">
              <w:rPr>
                <w:rFonts w:ascii="Arial" w:eastAsiaTheme="minorHAnsi" w:hAnsi="Arial" w:cs="Arial"/>
                <w:sz w:val="18"/>
                <w:szCs w:val="18"/>
              </w:rPr>
              <w:t>Study design</w:t>
            </w:r>
          </w:p>
        </w:tc>
        <w:tc>
          <w:tcPr>
            <w:tcW w:w="1156" w:type="dxa"/>
            <w:vMerge/>
            <w:tcBorders>
              <w:right w:val="single" w:sz="4" w:space="0" w:color="auto"/>
            </w:tcBorders>
            <w:vAlign w:val="center"/>
          </w:tcPr>
          <w:p w14:paraId="44D9AE44" w14:textId="77777777" w:rsidR="00BC3132" w:rsidRPr="006649E6" w:rsidRDefault="00BC3132" w:rsidP="00A626C3">
            <w:pPr>
              <w:pStyle w:val="a4"/>
              <w:ind w:firstLine="480"/>
              <w:rPr>
                <w:rFonts w:ascii="Arial" w:hAnsi="Arial" w:cs="Arial"/>
                <w:iCs/>
                <w:szCs w:val="20"/>
              </w:rPr>
            </w:pPr>
          </w:p>
        </w:tc>
      </w:tr>
      <w:tr w:rsidR="00BC3132" w:rsidRPr="00962B44" w14:paraId="234D976C" w14:textId="77777777" w:rsidTr="00BC3132">
        <w:trPr>
          <w:cantSplit/>
          <w:trHeight w:val="365"/>
        </w:trPr>
        <w:tc>
          <w:tcPr>
            <w:tcW w:w="13288" w:type="dxa"/>
            <w:gridSpan w:val="7"/>
            <w:tcBorders>
              <w:top w:val="double" w:sz="4" w:space="0" w:color="auto"/>
              <w:left w:val="single" w:sz="6" w:space="0" w:color="auto"/>
              <w:bottom w:val="single" w:sz="6" w:space="0" w:color="auto"/>
              <w:right w:val="single" w:sz="6" w:space="0" w:color="auto"/>
            </w:tcBorders>
            <w:shd w:val="clear" w:color="auto" w:fill="FFFFCC"/>
            <w:vAlign w:val="center"/>
            <w:hideMark/>
          </w:tcPr>
          <w:p w14:paraId="71C3E40A" w14:textId="77777777" w:rsidR="00BC3132" w:rsidRPr="00E158FB" w:rsidRDefault="00BC3132" w:rsidP="00A626C3">
            <w:pPr>
              <w:rPr>
                <w:rStyle w:val="st"/>
              </w:rPr>
            </w:pPr>
            <w:r w:rsidRPr="004C1685">
              <w:rPr>
                <w:rFonts w:ascii="Arial" w:hAnsi="Arial" w:cs="Arial"/>
                <w:b/>
                <w:bCs/>
                <w:sz w:val="22"/>
                <w:szCs w:val="22"/>
              </w:rPr>
              <w:t>METHODS</w:t>
            </w:r>
          </w:p>
        </w:tc>
        <w:tc>
          <w:tcPr>
            <w:tcW w:w="1156" w:type="dxa"/>
            <w:tcBorders>
              <w:top w:val="double" w:sz="4" w:space="0" w:color="auto"/>
              <w:left w:val="single" w:sz="6" w:space="0" w:color="auto"/>
              <w:bottom w:val="single" w:sz="6" w:space="0" w:color="auto"/>
              <w:right w:val="single" w:sz="6" w:space="0" w:color="auto"/>
            </w:tcBorders>
            <w:shd w:val="clear" w:color="auto" w:fill="FFFFCC"/>
            <w:vAlign w:val="center"/>
          </w:tcPr>
          <w:p w14:paraId="03104C59" w14:textId="77777777" w:rsidR="00BC3132" w:rsidRPr="006649E6" w:rsidRDefault="00BC3132" w:rsidP="00A626C3">
            <w:pPr>
              <w:rPr>
                <w:rFonts w:ascii="Arial" w:hAnsi="Arial" w:cs="Arial"/>
                <w:iCs/>
                <w:szCs w:val="20"/>
              </w:rPr>
            </w:pPr>
          </w:p>
        </w:tc>
      </w:tr>
      <w:tr w:rsidR="00BC3132" w:rsidRPr="00962B44" w14:paraId="7B8959B9" w14:textId="77777777" w:rsidTr="00BC3132">
        <w:trPr>
          <w:cantSplit/>
          <w:trHeight w:val="332"/>
        </w:trPr>
        <w:tc>
          <w:tcPr>
            <w:tcW w:w="1929" w:type="dxa"/>
            <w:vMerge w:val="restart"/>
            <w:tcBorders>
              <w:top w:val="single" w:sz="6" w:space="0" w:color="auto"/>
              <w:left w:val="single" w:sz="4" w:space="0" w:color="auto"/>
            </w:tcBorders>
            <w:vAlign w:val="center"/>
            <w:hideMark/>
          </w:tcPr>
          <w:p w14:paraId="72B6E0B4" w14:textId="77777777" w:rsidR="00BC3132" w:rsidRPr="004C1685" w:rsidRDefault="00BC3132" w:rsidP="00A626C3">
            <w:pPr>
              <w:pStyle w:val="Default"/>
              <w:spacing w:before="40" w:after="40"/>
              <w:rPr>
                <w:rFonts w:ascii="Arial" w:hAnsi="Arial" w:cs="Arial"/>
                <w:sz w:val="20"/>
                <w:szCs w:val="20"/>
              </w:rPr>
            </w:pPr>
            <w:r>
              <w:rPr>
                <w:rFonts w:ascii="Arial" w:hAnsi="Arial" w:cs="Arial"/>
                <w:sz w:val="20"/>
                <w:szCs w:val="20"/>
              </w:rPr>
              <w:t xml:space="preserve">5. </w:t>
            </w:r>
            <w:r w:rsidRPr="004C1685">
              <w:rPr>
                <w:rFonts w:ascii="Arial" w:hAnsi="Arial" w:cs="Arial"/>
                <w:sz w:val="20"/>
                <w:szCs w:val="20"/>
              </w:rPr>
              <w:t xml:space="preserve">Protocol and registration </w:t>
            </w:r>
          </w:p>
        </w:tc>
        <w:tc>
          <w:tcPr>
            <w:tcW w:w="870" w:type="dxa"/>
            <w:tcBorders>
              <w:top w:val="single" w:sz="6" w:space="0" w:color="auto"/>
            </w:tcBorders>
            <w:vAlign w:val="center"/>
            <w:hideMark/>
          </w:tcPr>
          <w:p w14:paraId="6CD73B65" w14:textId="77777777" w:rsidR="00BC3132" w:rsidRPr="00363B8D" w:rsidRDefault="00BC3132" w:rsidP="00A626C3">
            <w:pPr>
              <w:pStyle w:val="Default"/>
              <w:spacing w:before="40" w:after="40"/>
              <w:rPr>
                <w:rFonts w:ascii="Arial" w:hAnsi="Arial" w:cs="Arial"/>
                <w:sz w:val="20"/>
                <w:szCs w:val="20"/>
              </w:rPr>
            </w:pPr>
            <w:r w:rsidRPr="00363B8D">
              <w:rPr>
                <w:rFonts w:ascii="Arial" w:hAnsi="Arial" w:cs="Arial"/>
                <w:sz w:val="20"/>
                <w:szCs w:val="20"/>
              </w:rPr>
              <w:t>5</w:t>
            </w:r>
            <w:r>
              <w:rPr>
                <w:rFonts w:ascii="Arial" w:hAnsi="Arial" w:cs="Arial"/>
                <w:sz w:val="20"/>
                <w:szCs w:val="20"/>
              </w:rPr>
              <w:t>a</w:t>
            </w:r>
          </w:p>
        </w:tc>
        <w:tc>
          <w:tcPr>
            <w:tcW w:w="10489" w:type="dxa"/>
            <w:gridSpan w:val="5"/>
            <w:tcBorders>
              <w:top w:val="single" w:sz="6" w:space="0" w:color="auto"/>
            </w:tcBorders>
          </w:tcPr>
          <w:p w14:paraId="180E8203" w14:textId="77777777" w:rsidR="00BC3132" w:rsidRPr="00133673" w:rsidRDefault="00BC3132" w:rsidP="00A626C3">
            <w:pPr>
              <w:pStyle w:val="Default"/>
              <w:spacing w:before="40" w:after="40"/>
              <w:jc w:val="both"/>
              <w:rPr>
                <w:rFonts w:ascii="Arial" w:hAnsi="Arial" w:cs="Arial"/>
                <w:sz w:val="20"/>
                <w:szCs w:val="20"/>
              </w:rPr>
            </w:pPr>
            <w:r>
              <w:rPr>
                <w:rFonts w:ascii="Arial" w:hAnsi="Arial" w:cs="Arial"/>
                <w:sz w:val="20"/>
                <w:szCs w:val="20"/>
                <w:lang w:eastAsia="el-GR"/>
              </w:rPr>
              <w:t>Indicate clearly if a protocol exists or not.</w:t>
            </w:r>
          </w:p>
        </w:tc>
        <w:tc>
          <w:tcPr>
            <w:tcW w:w="1156" w:type="dxa"/>
            <w:tcBorders>
              <w:top w:val="single" w:sz="6" w:space="0" w:color="auto"/>
              <w:right w:val="single" w:sz="4" w:space="0" w:color="auto"/>
            </w:tcBorders>
            <w:vAlign w:val="center"/>
          </w:tcPr>
          <w:p w14:paraId="7F9E6B5A"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5</w:t>
            </w:r>
            <w:r>
              <w:rPr>
                <w:rFonts w:ascii="Arial" w:hAnsi="Arial" w:cs="Arial"/>
                <w:iCs/>
                <w:szCs w:val="20"/>
                <w:lang w:eastAsia="zh-CN"/>
              </w:rPr>
              <w:t xml:space="preserve">, and supplementary </w:t>
            </w:r>
            <w:r>
              <w:rPr>
                <w:rFonts w:ascii="Arial" w:hAnsi="Arial" w:cs="Arial"/>
                <w:iCs/>
                <w:szCs w:val="20"/>
                <w:lang w:eastAsia="zh-CN"/>
              </w:rPr>
              <w:lastRenderedPageBreak/>
              <w:t>file</w:t>
            </w:r>
          </w:p>
        </w:tc>
      </w:tr>
      <w:tr w:rsidR="00BC3132" w:rsidRPr="00962B44" w14:paraId="544F5B96" w14:textId="77777777" w:rsidTr="00BC3132">
        <w:trPr>
          <w:cantSplit/>
          <w:trHeight w:val="283"/>
        </w:trPr>
        <w:tc>
          <w:tcPr>
            <w:tcW w:w="1929" w:type="dxa"/>
            <w:vMerge/>
            <w:tcBorders>
              <w:left w:val="single" w:sz="4" w:space="0" w:color="auto"/>
            </w:tcBorders>
            <w:hideMark/>
          </w:tcPr>
          <w:p w14:paraId="5F43FC20" w14:textId="77777777" w:rsidR="00BC3132" w:rsidRPr="00E158FB" w:rsidRDefault="00BC3132" w:rsidP="00A626C3">
            <w:pPr>
              <w:rPr>
                <w:rFonts w:ascii="Calibri" w:hAnsi="Calibri" w:cs="Calibri"/>
                <w:b/>
                <w:iCs/>
                <w:szCs w:val="20"/>
              </w:rPr>
            </w:pPr>
          </w:p>
        </w:tc>
        <w:tc>
          <w:tcPr>
            <w:tcW w:w="870" w:type="dxa"/>
            <w:vAlign w:val="center"/>
            <w:hideMark/>
          </w:tcPr>
          <w:p w14:paraId="4E2C4372" w14:textId="77777777" w:rsidR="00BC3132" w:rsidRPr="00363B8D" w:rsidRDefault="00BC3132" w:rsidP="00A626C3">
            <w:pPr>
              <w:pStyle w:val="Default"/>
              <w:spacing w:before="40" w:after="40"/>
              <w:rPr>
                <w:rFonts w:ascii="Arial" w:hAnsi="Arial" w:cs="Arial"/>
                <w:sz w:val="20"/>
                <w:szCs w:val="20"/>
              </w:rPr>
            </w:pPr>
            <w:r>
              <w:rPr>
                <w:rFonts w:ascii="Arial" w:hAnsi="Arial" w:cs="Arial"/>
                <w:sz w:val="20"/>
                <w:szCs w:val="20"/>
              </w:rPr>
              <w:t>5b</w:t>
            </w:r>
          </w:p>
        </w:tc>
        <w:tc>
          <w:tcPr>
            <w:tcW w:w="10489" w:type="dxa"/>
            <w:gridSpan w:val="5"/>
          </w:tcPr>
          <w:p w14:paraId="132454DE" w14:textId="77777777" w:rsidR="00BC3132" w:rsidRPr="00133673" w:rsidRDefault="00BC3132" w:rsidP="00A626C3">
            <w:pPr>
              <w:pStyle w:val="Default"/>
              <w:spacing w:before="40" w:after="40"/>
              <w:jc w:val="both"/>
              <w:rPr>
                <w:rFonts w:ascii="Arial" w:hAnsi="Arial" w:cs="Arial"/>
                <w:sz w:val="20"/>
                <w:szCs w:val="20"/>
              </w:rPr>
            </w:pPr>
            <w:r w:rsidRPr="00133673">
              <w:rPr>
                <w:rFonts w:ascii="Arial" w:hAnsi="Arial" w:cs="Arial"/>
                <w:sz w:val="20"/>
                <w:szCs w:val="20"/>
              </w:rPr>
              <w:t xml:space="preserve">If registered, provide the name of the registry (such as </w:t>
            </w:r>
            <w:r>
              <w:rPr>
                <w:rFonts w:ascii="Arial" w:hAnsi="Arial" w:cs="Arial"/>
                <w:sz w:val="20"/>
                <w:szCs w:val="20"/>
                <w:lang w:val="en-US"/>
              </w:rPr>
              <w:t xml:space="preserve">a valid </w:t>
            </w:r>
            <w:r w:rsidRPr="00133673">
              <w:rPr>
                <w:rFonts w:ascii="Arial" w:hAnsi="Arial" w:cs="Arial"/>
                <w:sz w:val="20"/>
                <w:szCs w:val="20"/>
              </w:rPr>
              <w:t>Web address, PROSPERO)</w:t>
            </w:r>
            <w:r>
              <w:rPr>
                <w:rFonts w:ascii="Arial" w:hAnsi="Arial" w:cs="Arial"/>
                <w:sz w:val="20"/>
                <w:szCs w:val="20"/>
              </w:rPr>
              <w:t>.</w:t>
            </w:r>
          </w:p>
        </w:tc>
        <w:tc>
          <w:tcPr>
            <w:tcW w:w="1156" w:type="dxa"/>
            <w:tcBorders>
              <w:right w:val="single" w:sz="4" w:space="0" w:color="auto"/>
            </w:tcBorders>
            <w:vAlign w:val="center"/>
          </w:tcPr>
          <w:p w14:paraId="73D88410"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No</w:t>
            </w:r>
            <w:r>
              <w:rPr>
                <w:rFonts w:ascii="Arial" w:hAnsi="Arial" w:cs="Arial"/>
                <w:iCs/>
                <w:szCs w:val="20"/>
                <w:lang w:eastAsia="zh-CN"/>
              </w:rPr>
              <w:t>t registered</w:t>
            </w:r>
          </w:p>
        </w:tc>
      </w:tr>
      <w:tr w:rsidR="00BC3132" w:rsidRPr="00962B44" w14:paraId="6D7DD5E1" w14:textId="77777777" w:rsidTr="00BC3132">
        <w:trPr>
          <w:cantSplit/>
          <w:trHeight w:val="391"/>
        </w:trPr>
        <w:tc>
          <w:tcPr>
            <w:tcW w:w="1929" w:type="dxa"/>
            <w:vMerge w:val="restart"/>
            <w:tcBorders>
              <w:left w:val="single" w:sz="4" w:space="0" w:color="auto"/>
            </w:tcBorders>
            <w:vAlign w:val="center"/>
            <w:hideMark/>
          </w:tcPr>
          <w:p w14:paraId="03797A6A" w14:textId="77777777" w:rsidR="00BC3132" w:rsidRDefault="00BC3132" w:rsidP="00A626C3">
            <w:pPr>
              <w:pStyle w:val="Default"/>
              <w:spacing w:before="40" w:after="40"/>
              <w:rPr>
                <w:rFonts w:ascii="Arial" w:hAnsi="Arial" w:cs="Arial"/>
                <w:sz w:val="20"/>
                <w:szCs w:val="20"/>
              </w:rPr>
            </w:pPr>
            <w:r>
              <w:rPr>
                <w:rFonts w:ascii="Arial" w:hAnsi="Arial" w:cs="Arial"/>
                <w:sz w:val="20"/>
                <w:szCs w:val="20"/>
              </w:rPr>
              <w:t xml:space="preserve">6. </w:t>
            </w:r>
            <w:r w:rsidRPr="004C1685">
              <w:rPr>
                <w:rFonts w:ascii="Arial" w:hAnsi="Arial" w:cs="Arial"/>
                <w:sz w:val="20"/>
                <w:szCs w:val="20"/>
              </w:rPr>
              <w:t xml:space="preserve">Eligibility criteria </w:t>
            </w:r>
          </w:p>
          <w:p w14:paraId="6659DDB7" w14:textId="77777777" w:rsidR="00BC3132" w:rsidRPr="004C1685" w:rsidRDefault="00BC3132" w:rsidP="00A626C3">
            <w:pPr>
              <w:pStyle w:val="Default"/>
              <w:spacing w:before="40" w:after="40"/>
              <w:ind w:left="142"/>
              <w:rPr>
                <w:rFonts w:ascii="Arial" w:hAnsi="Arial" w:cs="Arial"/>
                <w:sz w:val="20"/>
                <w:szCs w:val="20"/>
              </w:rPr>
            </w:pPr>
            <w:r>
              <w:rPr>
                <w:rFonts w:ascii="Arial" w:hAnsi="Arial" w:cs="Arial"/>
                <w:sz w:val="20"/>
                <w:szCs w:val="20"/>
              </w:rPr>
              <w:t>&amp; outcomes of interest</w:t>
            </w:r>
          </w:p>
        </w:tc>
        <w:tc>
          <w:tcPr>
            <w:tcW w:w="870" w:type="dxa"/>
            <w:vAlign w:val="center"/>
            <w:hideMark/>
          </w:tcPr>
          <w:p w14:paraId="209BB1F0" w14:textId="77777777" w:rsidR="00BC3132" w:rsidRPr="00363B8D" w:rsidRDefault="00BC3132" w:rsidP="00A626C3">
            <w:pPr>
              <w:pStyle w:val="Default"/>
              <w:spacing w:before="40" w:after="40"/>
              <w:rPr>
                <w:rFonts w:ascii="Arial" w:hAnsi="Arial" w:cs="Arial"/>
                <w:sz w:val="20"/>
                <w:szCs w:val="20"/>
              </w:rPr>
            </w:pPr>
            <w:r w:rsidRPr="00363B8D">
              <w:rPr>
                <w:rFonts w:ascii="Arial" w:hAnsi="Arial" w:cs="Arial"/>
                <w:sz w:val="20"/>
                <w:szCs w:val="20"/>
              </w:rPr>
              <w:t>6</w:t>
            </w:r>
            <w:r>
              <w:rPr>
                <w:rFonts w:ascii="Arial" w:hAnsi="Arial" w:cs="Arial"/>
                <w:sz w:val="20"/>
                <w:szCs w:val="20"/>
              </w:rPr>
              <w:t>a</w:t>
            </w:r>
          </w:p>
        </w:tc>
        <w:tc>
          <w:tcPr>
            <w:tcW w:w="10489" w:type="dxa"/>
            <w:gridSpan w:val="5"/>
            <w:vAlign w:val="center"/>
          </w:tcPr>
          <w:p w14:paraId="100612B7" w14:textId="77777777" w:rsidR="00BC3132" w:rsidRPr="007C70BB" w:rsidRDefault="00BC3132" w:rsidP="00A626C3">
            <w:pPr>
              <w:pStyle w:val="Default"/>
              <w:spacing w:before="40" w:after="40"/>
              <w:jc w:val="both"/>
              <w:rPr>
                <w:rFonts w:ascii="Arial" w:hAnsi="Arial" w:cs="Arial"/>
                <w:sz w:val="20"/>
                <w:szCs w:val="20"/>
                <w:lang w:val="en-US"/>
              </w:rPr>
            </w:pPr>
            <w:r w:rsidRPr="00324C20">
              <w:rPr>
                <w:rFonts w:ascii="Arial" w:hAnsi="Arial" w:cs="Arial"/>
                <w:sz w:val="20"/>
                <w:szCs w:val="20"/>
              </w:rPr>
              <w:t>Specify</w:t>
            </w:r>
            <w:r>
              <w:rPr>
                <w:rFonts w:ascii="Arial" w:hAnsi="Arial" w:cs="Arial"/>
                <w:sz w:val="20"/>
                <w:szCs w:val="20"/>
              </w:rPr>
              <w:t xml:space="preserve"> inclusion and exclusion criteria for study design, participants, interventions and comparators in detail.</w:t>
            </w:r>
          </w:p>
        </w:tc>
        <w:tc>
          <w:tcPr>
            <w:tcW w:w="1156" w:type="dxa"/>
            <w:tcBorders>
              <w:right w:val="single" w:sz="4" w:space="0" w:color="auto"/>
            </w:tcBorders>
            <w:vAlign w:val="center"/>
          </w:tcPr>
          <w:p w14:paraId="5408B7BE"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5</w:t>
            </w:r>
          </w:p>
        </w:tc>
      </w:tr>
      <w:tr w:rsidR="00BC3132" w:rsidRPr="00962B44" w14:paraId="6D421DCB" w14:textId="77777777" w:rsidTr="00BC3132">
        <w:trPr>
          <w:cantSplit/>
          <w:trHeight w:val="418"/>
        </w:trPr>
        <w:tc>
          <w:tcPr>
            <w:tcW w:w="1929" w:type="dxa"/>
            <w:vMerge/>
            <w:tcBorders>
              <w:left w:val="single" w:sz="4" w:space="0" w:color="auto"/>
            </w:tcBorders>
            <w:hideMark/>
          </w:tcPr>
          <w:p w14:paraId="0F82FB1F" w14:textId="77777777" w:rsidR="00BC3132" w:rsidRPr="004C1685" w:rsidRDefault="00BC3132" w:rsidP="00A626C3">
            <w:pPr>
              <w:pStyle w:val="Default"/>
              <w:spacing w:before="40" w:after="40"/>
              <w:rPr>
                <w:rFonts w:ascii="Arial" w:hAnsi="Arial" w:cs="Arial"/>
                <w:sz w:val="20"/>
                <w:szCs w:val="20"/>
              </w:rPr>
            </w:pPr>
          </w:p>
        </w:tc>
        <w:tc>
          <w:tcPr>
            <w:tcW w:w="870" w:type="dxa"/>
            <w:vAlign w:val="center"/>
            <w:hideMark/>
          </w:tcPr>
          <w:p w14:paraId="2EE89AC5" w14:textId="77777777" w:rsidR="00BC3132" w:rsidRDefault="00BC3132" w:rsidP="00A626C3">
            <w:pPr>
              <w:pStyle w:val="Default"/>
              <w:spacing w:before="40" w:after="40"/>
              <w:rPr>
                <w:rFonts w:ascii="Arial" w:hAnsi="Arial" w:cs="Arial"/>
                <w:sz w:val="20"/>
                <w:szCs w:val="20"/>
              </w:rPr>
            </w:pPr>
            <w:r>
              <w:rPr>
                <w:rFonts w:ascii="Arial" w:hAnsi="Arial" w:cs="Arial"/>
                <w:sz w:val="20"/>
                <w:szCs w:val="20"/>
              </w:rPr>
              <w:t>6b</w:t>
            </w:r>
          </w:p>
        </w:tc>
        <w:tc>
          <w:tcPr>
            <w:tcW w:w="10489" w:type="dxa"/>
            <w:gridSpan w:val="5"/>
            <w:vAlign w:val="center"/>
          </w:tcPr>
          <w:p w14:paraId="2C864E7C" w14:textId="77777777" w:rsidR="00BC3132" w:rsidRPr="00617166" w:rsidRDefault="00BC3132" w:rsidP="00A626C3">
            <w:pPr>
              <w:pStyle w:val="Default"/>
              <w:spacing w:before="40" w:after="40"/>
              <w:jc w:val="both"/>
              <w:rPr>
                <w:rFonts w:ascii="Arial" w:hAnsi="Arial" w:cs="Arial"/>
                <w:sz w:val="20"/>
                <w:szCs w:val="20"/>
              </w:rPr>
            </w:pPr>
            <w:r w:rsidRPr="00617166">
              <w:rPr>
                <w:rFonts w:ascii="Arial" w:hAnsi="Arial" w:cs="Arial"/>
                <w:sz w:val="20"/>
                <w:szCs w:val="20"/>
              </w:rPr>
              <w:t xml:space="preserve">List </w:t>
            </w:r>
            <w:r w:rsidRPr="0055709F">
              <w:rPr>
                <w:rFonts w:ascii="Arial" w:hAnsi="Arial" w:cs="Arial"/>
                <w:sz w:val="20"/>
                <w:szCs w:val="20"/>
              </w:rPr>
              <w:t>(</w:t>
            </w:r>
            <w:r>
              <w:rPr>
                <w:rFonts w:ascii="Arial" w:hAnsi="Arial" w:cs="Arial"/>
                <w:sz w:val="20"/>
                <w:szCs w:val="20"/>
              </w:rPr>
              <w:t xml:space="preserve">and </w:t>
            </w:r>
            <w:r w:rsidRPr="0055709F">
              <w:rPr>
                <w:rFonts w:ascii="Arial" w:hAnsi="Arial" w:cs="Arial"/>
                <w:sz w:val="20"/>
                <w:szCs w:val="20"/>
              </w:rPr>
              <w:t>define</w:t>
            </w:r>
            <w:r>
              <w:rPr>
                <w:rFonts w:ascii="Arial" w:hAnsi="Arial" w:cs="Arial"/>
                <w:sz w:val="20"/>
                <w:szCs w:val="20"/>
              </w:rPr>
              <w:t xml:space="preserve"> </w:t>
            </w:r>
            <w:r w:rsidRPr="0055709F">
              <w:rPr>
                <w:rFonts w:ascii="Arial" w:hAnsi="Arial" w:cs="Arial"/>
                <w:sz w:val="20"/>
                <w:szCs w:val="20"/>
                <w:lang w:eastAsia="el-GR"/>
              </w:rPr>
              <w:t>whenever</w:t>
            </w:r>
            <w:r>
              <w:rPr>
                <w:rFonts w:ascii="Arial" w:hAnsi="Arial" w:cs="Arial"/>
                <w:sz w:val="20"/>
                <w:szCs w:val="20"/>
                <w:lang w:eastAsia="el-GR"/>
              </w:rPr>
              <w:t xml:space="preserve"> it</w:t>
            </w:r>
            <w:r w:rsidRPr="0055709F">
              <w:rPr>
                <w:rFonts w:ascii="Arial" w:hAnsi="Arial" w:cs="Arial"/>
                <w:sz w:val="20"/>
                <w:szCs w:val="20"/>
                <w:lang w:eastAsia="el-GR"/>
              </w:rPr>
              <w:t xml:space="preserve"> is necessary)</w:t>
            </w:r>
            <w:r w:rsidRPr="00617166">
              <w:rPr>
                <w:rFonts w:ascii="Arial" w:hAnsi="Arial" w:cs="Arial"/>
                <w:szCs w:val="20"/>
                <w:lang w:eastAsia="el-GR"/>
              </w:rPr>
              <w:t xml:space="preserve"> </w:t>
            </w:r>
            <w:r>
              <w:rPr>
                <w:rFonts w:ascii="Arial" w:hAnsi="Arial" w:cs="Arial"/>
                <w:sz w:val="20"/>
                <w:szCs w:val="20"/>
              </w:rPr>
              <w:t>the</w:t>
            </w:r>
            <w:r w:rsidRPr="00617166">
              <w:rPr>
                <w:rFonts w:ascii="Arial" w:hAnsi="Arial" w:cs="Arial"/>
                <w:sz w:val="20"/>
                <w:szCs w:val="20"/>
              </w:rPr>
              <w:t xml:space="preserve"> </w:t>
            </w:r>
            <w:r>
              <w:rPr>
                <w:rFonts w:ascii="Arial" w:hAnsi="Arial" w:cs="Arial"/>
                <w:sz w:val="20"/>
                <w:szCs w:val="20"/>
              </w:rPr>
              <w:t>outcomes</w:t>
            </w:r>
            <w:r>
              <w:rPr>
                <w:rFonts w:ascii="Arial" w:hAnsi="Arial" w:cs="Arial"/>
                <w:sz w:val="20"/>
                <w:szCs w:val="20"/>
                <w:lang w:val="en-US"/>
              </w:rPr>
              <w:t xml:space="preserve"> for which data were</w:t>
            </w:r>
            <w:r w:rsidRPr="005910FA">
              <w:rPr>
                <w:rFonts w:ascii="Arial" w:hAnsi="Arial" w:cs="Arial"/>
                <w:sz w:val="20"/>
                <w:szCs w:val="20"/>
                <w:lang w:val="en-US"/>
              </w:rPr>
              <w:t xml:space="preserve"> </w:t>
            </w:r>
            <w:r w:rsidRPr="005910FA">
              <w:rPr>
                <w:rFonts w:ascii="Arial" w:hAnsi="Arial" w:cs="Arial"/>
                <w:sz w:val="20"/>
                <w:szCs w:val="20"/>
              </w:rPr>
              <w:t>recorded</w:t>
            </w:r>
            <w:r w:rsidRPr="00617166">
              <w:rPr>
                <w:rFonts w:ascii="Arial" w:hAnsi="Arial" w:cs="Arial"/>
                <w:sz w:val="20"/>
                <w:szCs w:val="20"/>
              </w:rPr>
              <w:t xml:space="preserve">, </w:t>
            </w:r>
            <w:r>
              <w:rPr>
                <w:rFonts w:ascii="Arial" w:hAnsi="Arial" w:cs="Arial"/>
                <w:sz w:val="20"/>
                <w:szCs w:val="20"/>
              </w:rPr>
              <w:t>ideally include</w:t>
            </w:r>
            <w:r w:rsidRPr="00617166">
              <w:rPr>
                <w:rFonts w:ascii="Arial" w:hAnsi="Arial" w:cs="Arial"/>
                <w:sz w:val="20"/>
                <w:szCs w:val="20"/>
              </w:rPr>
              <w:t xml:space="preserve"> prioritization of main and additional outcomes.</w:t>
            </w:r>
          </w:p>
        </w:tc>
        <w:tc>
          <w:tcPr>
            <w:tcW w:w="1156" w:type="dxa"/>
            <w:tcBorders>
              <w:right w:val="single" w:sz="4" w:space="0" w:color="auto"/>
            </w:tcBorders>
            <w:vAlign w:val="center"/>
          </w:tcPr>
          <w:p w14:paraId="377DB97F"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5</w:t>
            </w:r>
            <w:r>
              <w:rPr>
                <w:rFonts w:ascii="Arial" w:hAnsi="Arial" w:cs="Arial"/>
                <w:iCs/>
                <w:szCs w:val="20"/>
                <w:lang w:eastAsia="zh-CN"/>
              </w:rPr>
              <w:t>-6</w:t>
            </w:r>
          </w:p>
        </w:tc>
      </w:tr>
      <w:tr w:rsidR="00BC3132" w:rsidRPr="00962B44" w14:paraId="63FCEB36" w14:textId="77777777" w:rsidTr="00BC3132">
        <w:trPr>
          <w:cantSplit/>
          <w:trHeight w:val="441"/>
        </w:trPr>
        <w:tc>
          <w:tcPr>
            <w:tcW w:w="1929" w:type="dxa"/>
            <w:vMerge/>
            <w:tcBorders>
              <w:left w:val="single" w:sz="4" w:space="0" w:color="auto"/>
            </w:tcBorders>
            <w:hideMark/>
          </w:tcPr>
          <w:p w14:paraId="1C7DDABA" w14:textId="77777777" w:rsidR="00BC3132" w:rsidRPr="004C1685" w:rsidRDefault="00BC3132" w:rsidP="00A626C3">
            <w:pPr>
              <w:pStyle w:val="Default"/>
              <w:spacing w:before="40" w:after="40"/>
              <w:rPr>
                <w:rFonts w:ascii="Arial" w:hAnsi="Arial" w:cs="Arial"/>
                <w:sz w:val="20"/>
                <w:szCs w:val="20"/>
              </w:rPr>
            </w:pPr>
          </w:p>
        </w:tc>
        <w:tc>
          <w:tcPr>
            <w:tcW w:w="870" w:type="dxa"/>
            <w:vAlign w:val="center"/>
            <w:hideMark/>
          </w:tcPr>
          <w:p w14:paraId="233CCD4A" w14:textId="77777777" w:rsidR="00BC3132" w:rsidRPr="00363B8D" w:rsidRDefault="00BC3132" w:rsidP="00A626C3">
            <w:pPr>
              <w:pStyle w:val="Default"/>
              <w:spacing w:before="40" w:after="40"/>
              <w:rPr>
                <w:rFonts w:ascii="Arial" w:hAnsi="Arial" w:cs="Arial"/>
                <w:sz w:val="20"/>
                <w:szCs w:val="20"/>
              </w:rPr>
            </w:pPr>
            <w:r>
              <w:rPr>
                <w:rFonts w:ascii="Arial" w:hAnsi="Arial" w:cs="Arial"/>
                <w:sz w:val="20"/>
                <w:szCs w:val="20"/>
              </w:rPr>
              <w:t>6c</w:t>
            </w:r>
          </w:p>
        </w:tc>
        <w:tc>
          <w:tcPr>
            <w:tcW w:w="10489" w:type="dxa"/>
            <w:gridSpan w:val="5"/>
            <w:vAlign w:val="center"/>
          </w:tcPr>
          <w:p w14:paraId="6E9C60CE" w14:textId="77777777" w:rsidR="00BC3132" w:rsidRPr="00324C20" w:rsidRDefault="00BC3132" w:rsidP="00A626C3">
            <w:pPr>
              <w:pStyle w:val="Default"/>
              <w:spacing w:before="40" w:after="40"/>
              <w:jc w:val="both"/>
              <w:rPr>
                <w:rFonts w:ascii="Arial" w:hAnsi="Arial" w:cs="Arial"/>
                <w:sz w:val="20"/>
                <w:szCs w:val="20"/>
              </w:rPr>
            </w:pPr>
            <w:r w:rsidRPr="00617166">
              <w:rPr>
                <w:rFonts w:ascii="Arial" w:hAnsi="Arial" w:cs="Arial"/>
                <w:sz w:val="20"/>
                <w:szCs w:val="20"/>
              </w:rPr>
              <w:t xml:space="preserve">Include adverse events as </w:t>
            </w:r>
            <w:r w:rsidRPr="00890145">
              <w:rPr>
                <w:rFonts w:ascii="Arial" w:hAnsi="Arial" w:cs="Arial"/>
                <w:sz w:val="20"/>
                <w:szCs w:val="20"/>
                <w:lang w:val="en-US"/>
              </w:rPr>
              <w:t>(primary or secondary)</w:t>
            </w:r>
            <w:r>
              <w:rPr>
                <w:rFonts w:ascii="Arial" w:hAnsi="Arial" w:cs="Arial"/>
                <w:sz w:val="18"/>
                <w:szCs w:val="18"/>
                <w:lang w:val="en-US"/>
              </w:rPr>
              <w:t xml:space="preserve"> </w:t>
            </w:r>
            <w:r w:rsidRPr="00617166">
              <w:rPr>
                <w:rFonts w:ascii="Arial" w:hAnsi="Arial" w:cs="Arial"/>
                <w:sz w:val="20"/>
                <w:szCs w:val="20"/>
              </w:rPr>
              <w:t>outcome</w:t>
            </w:r>
            <w:r>
              <w:rPr>
                <w:rFonts w:ascii="Arial" w:hAnsi="Arial" w:cs="Arial"/>
                <w:sz w:val="20"/>
                <w:szCs w:val="20"/>
              </w:rPr>
              <w:t xml:space="preserve"> of interest. </w:t>
            </w:r>
            <w:r>
              <w:rPr>
                <w:rFonts w:ascii="Arial" w:hAnsi="Arial" w:cs="Arial"/>
                <w:sz w:val="20"/>
                <w:szCs w:val="20"/>
                <w:lang w:val="en-US"/>
              </w:rPr>
              <w:t xml:space="preserve">Define them and </w:t>
            </w:r>
            <w:r>
              <w:rPr>
                <w:rFonts w:ascii="Arial" w:hAnsi="Arial" w:cs="Arial"/>
                <w:sz w:val="20"/>
                <w:szCs w:val="20"/>
              </w:rPr>
              <w:t xml:space="preserve">grade their severity </w:t>
            </w:r>
            <w:r w:rsidRPr="009E6D1D">
              <w:rPr>
                <w:rFonts w:ascii="Arial" w:hAnsi="Arial" w:cs="Arial"/>
                <w:sz w:val="20"/>
                <w:szCs w:val="20"/>
                <w:lang w:eastAsia="el-GR"/>
              </w:rPr>
              <w:t>(such as mild, moderate, severe, fatal</w:t>
            </w:r>
            <w:r>
              <w:rPr>
                <w:rFonts w:ascii="Arial" w:hAnsi="Arial" w:cs="Arial"/>
                <w:sz w:val="20"/>
                <w:szCs w:val="20"/>
                <w:lang w:eastAsia="el-GR"/>
              </w:rPr>
              <w:t>; severity could also be described in the appendix</w:t>
            </w:r>
            <w:r w:rsidRPr="009E6D1D">
              <w:rPr>
                <w:rFonts w:ascii="Arial" w:hAnsi="Arial" w:cs="Arial"/>
                <w:sz w:val="20"/>
                <w:szCs w:val="20"/>
                <w:lang w:eastAsia="el-GR"/>
              </w:rPr>
              <w:t>)</w:t>
            </w:r>
            <w:r w:rsidRPr="00752F24">
              <w:rPr>
                <w:rFonts w:ascii="Arial" w:hAnsi="Arial" w:cs="Arial"/>
                <w:sz w:val="20"/>
                <w:szCs w:val="20"/>
                <w:lang w:val="en-US"/>
              </w:rPr>
              <w:t>,</w:t>
            </w:r>
            <w:r>
              <w:rPr>
                <w:rFonts w:ascii="Arial" w:hAnsi="Arial" w:cs="Arial"/>
                <w:sz w:val="20"/>
                <w:szCs w:val="20"/>
              </w:rPr>
              <w:t xml:space="preserve"> if appropriate.</w:t>
            </w:r>
          </w:p>
        </w:tc>
        <w:tc>
          <w:tcPr>
            <w:tcW w:w="1156" w:type="dxa"/>
            <w:tcBorders>
              <w:right w:val="single" w:sz="4" w:space="0" w:color="auto"/>
            </w:tcBorders>
            <w:vAlign w:val="center"/>
          </w:tcPr>
          <w:p w14:paraId="003A9F46"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5</w:t>
            </w:r>
          </w:p>
        </w:tc>
      </w:tr>
      <w:tr w:rsidR="00BC3132" w:rsidRPr="00962B44" w14:paraId="7A846275" w14:textId="77777777" w:rsidTr="00BC3132">
        <w:trPr>
          <w:cantSplit/>
          <w:trHeight w:val="679"/>
        </w:trPr>
        <w:tc>
          <w:tcPr>
            <w:tcW w:w="1929" w:type="dxa"/>
            <w:vMerge/>
            <w:tcBorders>
              <w:left w:val="single" w:sz="4" w:space="0" w:color="auto"/>
            </w:tcBorders>
            <w:hideMark/>
          </w:tcPr>
          <w:p w14:paraId="78D86BF4" w14:textId="77777777" w:rsidR="00BC3132" w:rsidRPr="004C1685" w:rsidRDefault="00BC3132" w:rsidP="00A626C3">
            <w:pPr>
              <w:pStyle w:val="Default"/>
              <w:spacing w:before="40" w:after="40"/>
              <w:rPr>
                <w:rFonts w:ascii="Arial" w:hAnsi="Arial" w:cs="Arial"/>
                <w:sz w:val="20"/>
                <w:szCs w:val="20"/>
              </w:rPr>
            </w:pPr>
          </w:p>
        </w:tc>
        <w:tc>
          <w:tcPr>
            <w:tcW w:w="870" w:type="dxa"/>
            <w:vAlign w:val="center"/>
            <w:hideMark/>
          </w:tcPr>
          <w:p w14:paraId="21B2691A" w14:textId="77777777" w:rsidR="00BC3132" w:rsidRPr="00363B8D" w:rsidRDefault="00BC3132" w:rsidP="00A626C3">
            <w:pPr>
              <w:pStyle w:val="Default"/>
              <w:spacing w:before="40" w:after="40"/>
              <w:rPr>
                <w:rFonts w:ascii="Arial" w:hAnsi="Arial" w:cs="Arial"/>
                <w:sz w:val="20"/>
                <w:szCs w:val="20"/>
              </w:rPr>
            </w:pPr>
            <w:r w:rsidRPr="00363B8D">
              <w:rPr>
                <w:rFonts w:ascii="Arial" w:hAnsi="Arial" w:cs="Arial"/>
                <w:sz w:val="20"/>
                <w:szCs w:val="20"/>
              </w:rPr>
              <w:t>6</w:t>
            </w:r>
            <w:r>
              <w:rPr>
                <w:rFonts w:ascii="Arial" w:hAnsi="Arial" w:cs="Arial"/>
                <w:sz w:val="20"/>
                <w:szCs w:val="20"/>
              </w:rPr>
              <w:t>d</w:t>
            </w:r>
            <w:r w:rsidRPr="00226DDB">
              <w:rPr>
                <w:b/>
                <w:color w:val="8496B0" w:themeColor="text2" w:themeTint="99"/>
                <w:vertAlign w:val="superscript"/>
              </w:rPr>
              <w:t>b</w:t>
            </w:r>
          </w:p>
        </w:tc>
        <w:tc>
          <w:tcPr>
            <w:tcW w:w="10489" w:type="dxa"/>
            <w:gridSpan w:val="5"/>
            <w:vAlign w:val="center"/>
          </w:tcPr>
          <w:p w14:paraId="5476CEDB" w14:textId="77777777" w:rsidR="00BC3132" w:rsidRPr="00324C20" w:rsidRDefault="00BC3132" w:rsidP="00A626C3">
            <w:pPr>
              <w:pStyle w:val="Default"/>
              <w:spacing w:before="40" w:after="40"/>
              <w:jc w:val="both"/>
              <w:rPr>
                <w:rFonts w:ascii="Arial" w:hAnsi="Arial" w:cs="Arial"/>
                <w:sz w:val="20"/>
                <w:szCs w:val="20"/>
              </w:rPr>
            </w:pPr>
            <w:r w:rsidRPr="00324C20">
              <w:rPr>
                <w:rFonts w:ascii="Arial" w:hAnsi="Arial" w:cs="Arial"/>
                <w:sz w:val="20"/>
                <w:szCs w:val="20"/>
              </w:rPr>
              <w:t>Specify</w:t>
            </w:r>
            <w:r>
              <w:rPr>
                <w:rFonts w:ascii="Arial" w:hAnsi="Arial" w:cs="Arial"/>
                <w:sz w:val="20"/>
                <w:szCs w:val="20"/>
              </w:rPr>
              <w:t xml:space="preserve"> report characteristics (such as language restrictions,</w:t>
            </w:r>
            <w:r w:rsidRPr="00324C20">
              <w:rPr>
                <w:rFonts w:ascii="Arial" w:hAnsi="Arial" w:cs="Arial"/>
                <w:sz w:val="20"/>
                <w:szCs w:val="20"/>
              </w:rPr>
              <w:t xml:space="preserve"> publication status</w:t>
            </w:r>
            <w:r>
              <w:rPr>
                <w:rFonts w:ascii="Arial" w:hAnsi="Arial" w:cs="Arial"/>
                <w:sz w:val="20"/>
                <w:szCs w:val="20"/>
              </w:rPr>
              <w:t>,</w:t>
            </w:r>
            <w:r w:rsidRPr="00324C20">
              <w:rPr>
                <w:rFonts w:ascii="Arial" w:hAnsi="Arial" w:cs="Arial"/>
                <w:sz w:val="20"/>
                <w:szCs w:val="20"/>
              </w:rPr>
              <w:t xml:space="preserve"> and years co</w:t>
            </w:r>
            <w:r>
              <w:rPr>
                <w:rFonts w:ascii="Arial" w:hAnsi="Arial" w:cs="Arial"/>
                <w:sz w:val="20"/>
                <w:szCs w:val="20"/>
              </w:rPr>
              <w:t>nsidered</w:t>
            </w:r>
            <w:r w:rsidRPr="00324C20">
              <w:rPr>
                <w:rFonts w:ascii="Arial" w:hAnsi="Arial" w:cs="Arial"/>
                <w:sz w:val="20"/>
                <w:szCs w:val="20"/>
              </w:rPr>
              <w:t>) used as criteria for eligibility</w:t>
            </w:r>
            <w:r w:rsidRPr="00324C20">
              <w:rPr>
                <w:rFonts w:ascii="Arial" w:hAnsi="Arial" w:cs="Arial"/>
                <w:sz w:val="20"/>
              </w:rPr>
              <w:t xml:space="preserve"> for the </w:t>
            </w:r>
            <w:r>
              <w:rPr>
                <w:rFonts w:ascii="Arial" w:hAnsi="Arial" w:cs="Arial"/>
                <w:sz w:val="20"/>
                <w:lang w:val="en-US"/>
              </w:rPr>
              <w:t>OoSRs (see also item 7)</w:t>
            </w:r>
            <w:r w:rsidRPr="00324C20">
              <w:rPr>
                <w:rFonts w:ascii="Arial" w:hAnsi="Arial" w:cs="Arial"/>
                <w:sz w:val="20"/>
                <w:lang w:val="en-US"/>
              </w:rPr>
              <w:t>.</w:t>
            </w:r>
          </w:p>
        </w:tc>
        <w:tc>
          <w:tcPr>
            <w:tcW w:w="1156" w:type="dxa"/>
            <w:tcBorders>
              <w:right w:val="single" w:sz="4" w:space="0" w:color="auto"/>
            </w:tcBorders>
            <w:vAlign w:val="center"/>
          </w:tcPr>
          <w:p w14:paraId="6CEA7B2D"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5</w:t>
            </w:r>
          </w:p>
        </w:tc>
      </w:tr>
      <w:tr w:rsidR="00BC3132" w:rsidRPr="00962B44" w14:paraId="7C0D65F4" w14:textId="77777777" w:rsidTr="00BC3132">
        <w:trPr>
          <w:cantSplit/>
          <w:trHeight w:val="322"/>
        </w:trPr>
        <w:tc>
          <w:tcPr>
            <w:tcW w:w="1929" w:type="dxa"/>
            <w:vMerge w:val="restart"/>
            <w:tcBorders>
              <w:left w:val="single" w:sz="4" w:space="0" w:color="auto"/>
            </w:tcBorders>
            <w:vAlign w:val="center"/>
            <w:hideMark/>
          </w:tcPr>
          <w:p w14:paraId="43C21F1C" w14:textId="77777777" w:rsidR="00BC3132" w:rsidRPr="004C1685" w:rsidRDefault="00BC3132" w:rsidP="00A626C3">
            <w:pPr>
              <w:pStyle w:val="Default"/>
              <w:spacing w:before="40" w:after="40"/>
              <w:rPr>
                <w:rFonts w:ascii="Arial" w:hAnsi="Arial" w:cs="Arial"/>
                <w:sz w:val="20"/>
                <w:szCs w:val="20"/>
              </w:rPr>
            </w:pPr>
            <w:r w:rsidRPr="00AA6E91">
              <w:rPr>
                <w:rFonts w:ascii="Arial" w:hAnsi="Arial" w:cs="Arial"/>
                <w:sz w:val="20"/>
                <w:szCs w:val="20"/>
                <w:lang w:val="en-US"/>
              </w:rPr>
              <w:t xml:space="preserve">7. </w:t>
            </w:r>
            <w:r w:rsidRPr="004C1685">
              <w:rPr>
                <w:rFonts w:ascii="Arial" w:hAnsi="Arial" w:cs="Arial"/>
                <w:sz w:val="20"/>
                <w:szCs w:val="20"/>
              </w:rPr>
              <w:t>Information sources</w:t>
            </w:r>
            <w:r>
              <w:rPr>
                <w:rFonts w:ascii="Arial" w:hAnsi="Arial" w:cs="Arial"/>
                <w:sz w:val="20"/>
                <w:szCs w:val="20"/>
              </w:rPr>
              <w:t xml:space="preserve"> </w:t>
            </w:r>
          </w:p>
        </w:tc>
        <w:tc>
          <w:tcPr>
            <w:tcW w:w="870" w:type="dxa"/>
            <w:vAlign w:val="center"/>
            <w:hideMark/>
          </w:tcPr>
          <w:p w14:paraId="093051B6" w14:textId="77777777" w:rsidR="00BC3132" w:rsidRPr="00AA6E91" w:rsidRDefault="00BC3132" w:rsidP="00A626C3">
            <w:pPr>
              <w:pStyle w:val="Default"/>
              <w:spacing w:before="40" w:after="40"/>
              <w:rPr>
                <w:rFonts w:ascii="Arial" w:hAnsi="Arial" w:cs="Arial"/>
                <w:sz w:val="20"/>
                <w:szCs w:val="20"/>
                <w:lang w:val="en-US"/>
              </w:rPr>
            </w:pPr>
            <w:r>
              <w:rPr>
                <w:rFonts w:ascii="Arial" w:hAnsi="Arial" w:cs="Arial"/>
                <w:sz w:val="20"/>
                <w:szCs w:val="20"/>
                <w:lang w:val="el-GR"/>
              </w:rPr>
              <w:t>7</w:t>
            </w:r>
            <w:r>
              <w:rPr>
                <w:rFonts w:ascii="Arial" w:hAnsi="Arial" w:cs="Arial"/>
                <w:sz w:val="20"/>
                <w:szCs w:val="20"/>
                <w:lang w:val="en-US"/>
              </w:rPr>
              <w:t>a</w:t>
            </w:r>
          </w:p>
        </w:tc>
        <w:tc>
          <w:tcPr>
            <w:tcW w:w="10489" w:type="dxa"/>
            <w:gridSpan w:val="5"/>
            <w:vAlign w:val="center"/>
          </w:tcPr>
          <w:p w14:paraId="1DBB731C" w14:textId="77777777" w:rsidR="00BC3132" w:rsidRPr="00324C20" w:rsidRDefault="00BC3132" w:rsidP="00A626C3">
            <w:pPr>
              <w:pStyle w:val="Default"/>
              <w:spacing w:before="40" w:after="40"/>
              <w:jc w:val="both"/>
              <w:rPr>
                <w:rFonts w:ascii="Arial" w:hAnsi="Arial" w:cs="Arial"/>
                <w:sz w:val="20"/>
                <w:szCs w:val="20"/>
              </w:rPr>
            </w:pPr>
            <w:r>
              <w:rPr>
                <w:rFonts w:ascii="Arial" w:hAnsi="Arial" w:cs="Arial"/>
                <w:sz w:val="20"/>
                <w:szCs w:val="20"/>
              </w:rPr>
              <w:t>Search at least two electronic bases.</w:t>
            </w:r>
          </w:p>
        </w:tc>
        <w:tc>
          <w:tcPr>
            <w:tcW w:w="1156" w:type="dxa"/>
            <w:tcBorders>
              <w:right w:val="single" w:sz="4" w:space="0" w:color="auto"/>
            </w:tcBorders>
            <w:vAlign w:val="center"/>
          </w:tcPr>
          <w:p w14:paraId="3B3BB14B"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4</w:t>
            </w:r>
            <w:r>
              <w:rPr>
                <w:rFonts w:ascii="Arial" w:hAnsi="Arial" w:cs="Arial"/>
                <w:iCs/>
                <w:szCs w:val="20"/>
                <w:lang w:eastAsia="zh-CN"/>
              </w:rPr>
              <w:t>-5</w:t>
            </w:r>
          </w:p>
        </w:tc>
      </w:tr>
      <w:tr w:rsidR="00BC3132" w:rsidRPr="00962B44" w14:paraId="3D845DFA" w14:textId="77777777" w:rsidTr="00BC3132">
        <w:trPr>
          <w:cantSplit/>
          <w:trHeight w:val="430"/>
        </w:trPr>
        <w:tc>
          <w:tcPr>
            <w:tcW w:w="1929" w:type="dxa"/>
            <w:vMerge/>
            <w:tcBorders>
              <w:left w:val="single" w:sz="4" w:space="0" w:color="auto"/>
            </w:tcBorders>
            <w:hideMark/>
          </w:tcPr>
          <w:p w14:paraId="290D4E6F" w14:textId="77777777" w:rsidR="00BC3132" w:rsidRPr="004C1685" w:rsidRDefault="00BC3132" w:rsidP="00A626C3">
            <w:pPr>
              <w:pStyle w:val="Default"/>
              <w:spacing w:before="40" w:after="40"/>
              <w:rPr>
                <w:rFonts w:ascii="Arial" w:hAnsi="Arial" w:cs="Arial"/>
                <w:sz w:val="20"/>
                <w:szCs w:val="20"/>
              </w:rPr>
            </w:pPr>
          </w:p>
        </w:tc>
        <w:tc>
          <w:tcPr>
            <w:tcW w:w="870" w:type="dxa"/>
            <w:vAlign w:val="center"/>
            <w:hideMark/>
          </w:tcPr>
          <w:p w14:paraId="7E86B77C" w14:textId="77777777" w:rsidR="00BC3132" w:rsidRPr="00363B8D" w:rsidRDefault="00BC3132" w:rsidP="00A626C3">
            <w:pPr>
              <w:pStyle w:val="Default"/>
              <w:spacing w:before="40" w:after="40"/>
              <w:rPr>
                <w:rFonts w:ascii="Arial" w:hAnsi="Arial" w:cs="Arial"/>
                <w:sz w:val="20"/>
                <w:szCs w:val="20"/>
              </w:rPr>
            </w:pPr>
            <w:r>
              <w:rPr>
                <w:rFonts w:ascii="Arial" w:hAnsi="Arial" w:cs="Arial"/>
                <w:sz w:val="20"/>
                <w:szCs w:val="20"/>
              </w:rPr>
              <w:t>7b</w:t>
            </w:r>
          </w:p>
        </w:tc>
        <w:tc>
          <w:tcPr>
            <w:tcW w:w="10489" w:type="dxa"/>
            <w:gridSpan w:val="5"/>
          </w:tcPr>
          <w:p w14:paraId="113A14F9" w14:textId="77777777" w:rsidR="00BC3132" w:rsidRPr="00324C20" w:rsidRDefault="00BC3132" w:rsidP="00A626C3">
            <w:pPr>
              <w:pStyle w:val="Default"/>
              <w:spacing w:before="40" w:after="40"/>
              <w:jc w:val="both"/>
              <w:rPr>
                <w:rFonts w:ascii="Arial" w:hAnsi="Arial" w:cs="Arial"/>
                <w:sz w:val="20"/>
                <w:szCs w:val="20"/>
              </w:rPr>
            </w:pPr>
            <w:r>
              <w:rPr>
                <w:rFonts w:ascii="Arial" w:hAnsi="Arial" w:cs="Arial"/>
                <w:sz w:val="20"/>
                <w:szCs w:val="20"/>
              </w:rPr>
              <w:t xml:space="preserve">Search supplementary sources (e.g. </w:t>
            </w:r>
            <w:r w:rsidRPr="00B4214B">
              <w:rPr>
                <w:rFonts w:ascii="Arial" w:hAnsi="Arial" w:cs="Arial"/>
                <w:sz w:val="20"/>
                <w:szCs w:val="20"/>
                <w:lang w:eastAsia="el-GR"/>
              </w:rPr>
              <w:t>hand-searching, reference lists, related reviews and guidelines, protocol registries</w:t>
            </w:r>
            <w:r w:rsidRPr="00B4214B">
              <w:rPr>
                <w:rFonts w:ascii="Arial" w:hAnsi="Arial" w:cs="Arial"/>
                <w:sz w:val="20"/>
                <w:szCs w:val="20"/>
              </w:rPr>
              <w:t>,</w:t>
            </w:r>
            <w:r w:rsidRPr="00B4214B">
              <w:rPr>
                <w:rFonts w:ascii="Arial" w:hAnsi="Arial" w:cs="Arial"/>
                <w:sz w:val="20"/>
                <w:szCs w:val="20"/>
                <w:lang w:eastAsia="el-GR"/>
              </w:rPr>
              <w:t xml:space="preserve"> conference abstracts</w:t>
            </w:r>
            <w:r>
              <w:rPr>
                <w:rFonts w:ascii="Arial" w:hAnsi="Arial" w:cs="Arial"/>
                <w:sz w:val="20"/>
                <w:szCs w:val="20"/>
                <w:lang w:eastAsia="el-GR"/>
              </w:rPr>
              <w:t>,</w:t>
            </w:r>
            <w:r w:rsidRPr="00B4214B">
              <w:rPr>
                <w:rFonts w:ascii="Arial" w:hAnsi="Arial" w:cs="Arial"/>
                <w:sz w:val="20"/>
                <w:szCs w:val="20"/>
                <w:lang w:eastAsia="el-GR"/>
              </w:rPr>
              <w:t xml:space="preserve"> and other gray literature).</w:t>
            </w:r>
          </w:p>
        </w:tc>
        <w:tc>
          <w:tcPr>
            <w:tcW w:w="1156" w:type="dxa"/>
            <w:tcBorders>
              <w:right w:val="single" w:sz="4" w:space="0" w:color="auto"/>
            </w:tcBorders>
            <w:vAlign w:val="center"/>
          </w:tcPr>
          <w:p w14:paraId="7C4350EC"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4</w:t>
            </w:r>
            <w:r>
              <w:rPr>
                <w:rFonts w:ascii="Arial" w:hAnsi="Arial" w:cs="Arial"/>
                <w:iCs/>
                <w:szCs w:val="20"/>
                <w:lang w:eastAsia="zh-CN"/>
              </w:rPr>
              <w:t>-5</w:t>
            </w:r>
          </w:p>
        </w:tc>
      </w:tr>
      <w:tr w:rsidR="00BC3132" w:rsidRPr="00962B44" w14:paraId="0AFDFFDD" w14:textId="77777777" w:rsidTr="00BC3132">
        <w:trPr>
          <w:cantSplit/>
          <w:trHeight w:val="294"/>
        </w:trPr>
        <w:tc>
          <w:tcPr>
            <w:tcW w:w="1929" w:type="dxa"/>
            <w:vMerge/>
            <w:tcBorders>
              <w:left w:val="single" w:sz="4" w:space="0" w:color="auto"/>
            </w:tcBorders>
            <w:hideMark/>
          </w:tcPr>
          <w:p w14:paraId="1A161D8F" w14:textId="77777777" w:rsidR="00BC3132" w:rsidRPr="004C1685" w:rsidRDefault="00BC3132" w:rsidP="00A626C3">
            <w:pPr>
              <w:pStyle w:val="Default"/>
              <w:spacing w:before="40" w:after="40"/>
              <w:rPr>
                <w:rFonts w:ascii="Arial" w:hAnsi="Arial" w:cs="Arial"/>
                <w:sz w:val="20"/>
                <w:szCs w:val="20"/>
              </w:rPr>
            </w:pPr>
          </w:p>
        </w:tc>
        <w:tc>
          <w:tcPr>
            <w:tcW w:w="870" w:type="dxa"/>
            <w:vAlign w:val="center"/>
            <w:hideMark/>
          </w:tcPr>
          <w:p w14:paraId="5D78B357" w14:textId="77777777" w:rsidR="00BC3132" w:rsidRPr="00363B8D" w:rsidRDefault="00BC3132" w:rsidP="00A626C3">
            <w:pPr>
              <w:pStyle w:val="Default"/>
              <w:spacing w:before="40" w:after="40"/>
              <w:rPr>
                <w:rFonts w:ascii="Arial" w:hAnsi="Arial" w:cs="Arial"/>
                <w:sz w:val="20"/>
                <w:szCs w:val="20"/>
              </w:rPr>
            </w:pPr>
            <w:r>
              <w:rPr>
                <w:rFonts w:ascii="Arial" w:hAnsi="Arial" w:cs="Arial"/>
                <w:sz w:val="20"/>
                <w:szCs w:val="20"/>
              </w:rPr>
              <w:t>7c</w:t>
            </w:r>
          </w:p>
        </w:tc>
        <w:tc>
          <w:tcPr>
            <w:tcW w:w="10489" w:type="dxa"/>
            <w:gridSpan w:val="5"/>
            <w:vAlign w:val="center"/>
          </w:tcPr>
          <w:p w14:paraId="7A84F9E0" w14:textId="77777777" w:rsidR="00BC3132" w:rsidRPr="00324C20" w:rsidRDefault="00BC3132" w:rsidP="00A626C3">
            <w:pPr>
              <w:pStyle w:val="Default"/>
              <w:spacing w:before="40" w:after="40"/>
              <w:jc w:val="both"/>
              <w:rPr>
                <w:rFonts w:ascii="Arial" w:hAnsi="Arial" w:cs="Arial"/>
                <w:sz w:val="20"/>
                <w:szCs w:val="20"/>
              </w:rPr>
            </w:pPr>
            <w:r>
              <w:rPr>
                <w:rFonts w:ascii="Arial" w:hAnsi="Arial" w:cs="Arial"/>
                <w:sz w:val="20"/>
                <w:szCs w:val="20"/>
              </w:rPr>
              <w:t>Report the date last searched and/or</w:t>
            </w:r>
            <w:r w:rsidRPr="004C1685">
              <w:rPr>
                <w:rFonts w:ascii="Arial" w:hAnsi="Arial" w:cs="Arial"/>
                <w:sz w:val="20"/>
                <w:szCs w:val="20"/>
              </w:rPr>
              <w:t xml:space="preserve"> dates of coverage</w:t>
            </w:r>
            <w:r>
              <w:rPr>
                <w:rFonts w:ascii="Arial" w:hAnsi="Arial" w:cs="Arial"/>
                <w:sz w:val="20"/>
                <w:szCs w:val="20"/>
              </w:rPr>
              <w:t xml:space="preserve"> for each database.</w:t>
            </w:r>
          </w:p>
        </w:tc>
        <w:tc>
          <w:tcPr>
            <w:tcW w:w="1156" w:type="dxa"/>
            <w:tcBorders>
              <w:right w:val="single" w:sz="4" w:space="0" w:color="auto"/>
            </w:tcBorders>
            <w:vAlign w:val="center"/>
          </w:tcPr>
          <w:p w14:paraId="5A730E72"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4</w:t>
            </w:r>
          </w:p>
        </w:tc>
      </w:tr>
      <w:tr w:rsidR="00BC3132" w:rsidRPr="00962B44" w14:paraId="4CCDBCFE" w14:textId="77777777" w:rsidTr="00BC3132">
        <w:trPr>
          <w:cantSplit/>
          <w:trHeight w:val="709"/>
        </w:trPr>
        <w:tc>
          <w:tcPr>
            <w:tcW w:w="1929" w:type="dxa"/>
            <w:vMerge w:val="restart"/>
            <w:tcBorders>
              <w:left w:val="single" w:sz="4" w:space="0" w:color="auto"/>
            </w:tcBorders>
            <w:vAlign w:val="center"/>
            <w:hideMark/>
          </w:tcPr>
          <w:p w14:paraId="4D4D6999" w14:textId="77777777" w:rsidR="00BC3132" w:rsidRPr="008E20DB" w:rsidRDefault="00BC3132" w:rsidP="00A626C3">
            <w:pPr>
              <w:pStyle w:val="Default"/>
              <w:spacing w:before="40" w:after="40"/>
            </w:pPr>
            <w:r>
              <w:rPr>
                <w:rFonts w:ascii="Arial" w:hAnsi="Arial" w:cs="Arial"/>
                <w:sz w:val="20"/>
                <w:szCs w:val="20"/>
              </w:rPr>
              <w:t xml:space="preserve">8. </w:t>
            </w:r>
            <w:r w:rsidRPr="004C1685">
              <w:rPr>
                <w:rFonts w:ascii="Arial" w:hAnsi="Arial" w:cs="Arial"/>
                <w:sz w:val="20"/>
                <w:szCs w:val="20"/>
              </w:rPr>
              <w:t xml:space="preserve">Search </w:t>
            </w:r>
            <w:r>
              <w:rPr>
                <w:rFonts w:ascii="Arial" w:hAnsi="Arial" w:cs="Arial"/>
                <w:sz w:val="20"/>
                <w:szCs w:val="20"/>
              </w:rPr>
              <w:t>strategy</w:t>
            </w:r>
            <w:r w:rsidRPr="00226DDB">
              <w:rPr>
                <w:b/>
                <w:color w:val="8496B0" w:themeColor="text2" w:themeTint="99"/>
                <w:vertAlign w:val="superscript"/>
              </w:rPr>
              <w:t>c</w:t>
            </w:r>
          </w:p>
        </w:tc>
        <w:tc>
          <w:tcPr>
            <w:tcW w:w="870" w:type="dxa"/>
            <w:vAlign w:val="center"/>
            <w:hideMark/>
          </w:tcPr>
          <w:p w14:paraId="2DD8E1C8" w14:textId="77777777" w:rsidR="00BC3132" w:rsidRPr="00363B8D" w:rsidRDefault="00BC3132" w:rsidP="00A626C3">
            <w:pPr>
              <w:pStyle w:val="Default"/>
              <w:spacing w:before="40" w:after="40"/>
              <w:rPr>
                <w:rFonts w:ascii="Arial" w:hAnsi="Arial" w:cs="Arial"/>
                <w:sz w:val="20"/>
                <w:szCs w:val="20"/>
              </w:rPr>
            </w:pPr>
            <w:r w:rsidRPr="00363B8D">
              <w:rPr>
                <w:rFonts w:ascii="Arial" w:hAnsi="Arial" w:cs="Arial"/>
                <w:sz w:val="20"/>
                <w:szCs w:val="20"/>
              </w:rPr>
              <w:t>8</w:t>
            </w:r>
            <w:r>
              <w:rPr>
                <w:rFonts w:ascii="Arial" w:hAnsi="Arial" w:cs="Arial"/>
                <w:sz w:val="20"/>
                <w:szCs w:val="20"/>
              </w:rPr>
              <w:t>a</w:t>
            </w:r>
          </w:p>
        </w:tc>
        <w:tc>
          <w:tcPr>
            <w:tcW w:w="10489" w:type="dxa"/>
            <w:gridSpan w:val="5"/>
            <w:vAlign w:val="center"/>
          </w:tcPr>
          <w:p w14:paraId="745A8F45" w14:textId="77777777" w:rsidR="00BC3132" w:rsidRPr="009423B9" w:rsidRDefault="00BC3132" w:rsidP="00A626C3">
            <w:pPr>
              <w:autoSpaceDE w:val="0"/>
              <w:autoSpaceDN w:val="0"/>
              <w:adjustRightInd w:val="0"/>
              <w:rPr>
                <w:rFonts w:ascii="Arial" w:hAnsi="Arial" w:cs="Arial"/>
                <w:szCs w:val="20"/>
                <w:lang w:eastAsia="el-GR"/>
              </w:rPr>
            </w:pPr>
            <w:r w:rsidRPr="009423B9">
              <w:rPr>
                <w:rFonts w:ascii="Arial" w:hAnsi="Arial" w:cs="Arial"/>
                <w:szCs w:val="20"/>
                <w:lang w:eastAsia="el-GR"/>
              </w:rPr>
              <w:t>Specify full electronic search strategy</w:t>
            </w:r>
            <w:r>
              <w:rPr>
                <w:rFonts w:ascii="Arial" w:hAnsi="Arial" w:cs="Arial"/>
                <w:szCs w:val="20"/>
                <w:lang w:eastAsia="el-GR"/>
              </w:rPr>
              <w:t xml:space="preserve"> (algorithm)</w:t>
            </w:r>
            <w:r w:rsidRPr="009423B9">
              <w:rPr>
                <w:rFonts w:ascii="Arial" w:hAnsi="Arial" w:cs="Arial"/>
                <w:szCs w:val="20"/>
                <w:lang w:eastAsia="el-GR"/>
              </w:rPr>
              <w:t xml:space="preserve"> </w:t>
            </w:r>
            <w:r w:rsidRPr="009423B9">
              <w:rPr>
                <w:rFonts w:ascii="Arial" w:hAnsi="Arial" w:cs="Arial"/>
                <w:szCs w:val="20"/>
              </w:rPr>
              <w:t>for at least one database</w:t>
            </w:r>
            <w:r w:rsidRPr="009423B9">
              <w:rPr>
                <w:rFonts w:ascii="Arial" w:hAnsi="Arial" w:cs="Arial"/>
                <w:szCs w:val="20"/>
                <w:lang w:eastAsia="el-GR"/>
              </w:rPr>
              <w:t xml:space="preserve"> including any limits used (</w:t>
            </w:r>
            <w:r>
              <w:rPr>
                <w:rFonts w:ascii="Arial" w:hAnsi="Arial" w:cs="Arial"/>
                <w:szCs w:val="20"/>
                <w:lang w:eastAsia="el-GR"/>
              </w:rPr>
              <w:t>e.g.</w:t>
            </w:r>
            <w:r w:rsidRPr="009423B9">
              <w:rPr>
                <w:rFonts w:ascii="Arial" w:hAnsi="Arial" w:cs="Arial"/>
                <w:szCs w:val="20"/>
                <w:lang w:eastAsia="el-GR"/>
              </w:rPr>
              <w:t xml:space="preserve"> language and date restrictions</w:t>
            </w:r>
            <w:r w:rsidRPr="00284220">
              <w:rPr>
                <w:rFonts w:ascii="Arial" w:hAnsi="Arial" w:cs="Arial"/>
                <w:szCs w:val="20"/>
                <w:lang w:eastAsia="el-GR"/>
              </w:rPr>
              <w:t>-</w:t>
            </w:r>
            <w:r w:rsidRPr="00284220">
              <w:rPr>
                <w:rFonts w:ascii="Arial" w:hAnsi="Arial" w:cs="Arial"/>
                <w:color w:val="000000"/>
                <w:szCs w:val="20"/>
              </w:rPr>
              <w:t xml:space="preserve">see also </w:t>
            </w:r>
            <w:r>
              <w:rPr>
                <w:rFonts w:ascii="Arial" w:hAnsi="Arial" w:cs="Arial"/>
                <w:color w:val="000000"/>
                <w:szCs w:val="20"/>
              </w:rPr>
              <w:t>sub</w:t>
            </w:r>
            <w:r w:rsidRPr="00284220">
              <w:rPr>
                <w:rFonts w:ascii="Arial" w:hAnsi="Arial" w:cs="Arial"/>
                <w:color w:val="000000"/>
                <w:szCs w:val="20"/>
              </w:rPr>
              <w:t>item</w:t>
            </w:r>
            <w:r>
              <w:rPr>
                <w:rFonts w:ascii="Arial" w:hAnsi="Arial" w:cs="Arial"/>
                <w:color w:val="000000"/>
                <w:szCs w:val="20"/>
              </w:rPr>
              <w:t>s 6d and 7c</w:t>
            </w:r>
            <w:r w:rsidRPr="00284220">
              <w:rPr>
                <w:rFonts w:ascii="Arial" w:hAnsi="Arial" w:cs="Arial"/>
                <w:szCs w:val="20"/>
                <w:lang w:eastAsia="el-GR"/>
              </w:rPr>
              <w:t>)</w:t>
            </w:r>
            <w:r w:rsidRPr="009423B9">
              <w:rPr>
                <w:rFonts w:ascii="Arial" w:hAnsi="Arial" w:cs="Arial"/>
                <w:szCs w:val="20"/>
                <w:lang w:eastAsia="el-GR"/>
              </w:rPr>
              <w:t xml:space="preserve"> such that it could be repeated.</w:t>
            </w:r>
          </w:p>
        </w:tc>
        <w:tc>
          <w:tcPr>
            <w:tcW w:w="1156" w:type="dxa"/>
            <w:tcBorders>
              <w:right w:val="single" w:sz="4" w:space="0" w:color="auto"/>
            </w:tcBorders>
            <w:vAlign w:val="center"/>
          </w:tcPr>
          <w:p w14:paraId="51372D32" w14:textId="77777777" w:rsidR="00BC3132" w:rsidRPr="006649E6" w:rsidRDefault="00BC3132" w:rsidP="00A626C3">
            <w:pPr>
              <w:rPr>
                <w:rFonts w:ascii="Arial" w:hAnsi="Arial" w:cs="Arial"/>
                <w:iCs/>
                <w:szCs w:val="20"/>
                <w:lang w:eastAsia="zh-CN"/>
              </w:rPr>
            </w:pPr>
            <w:r>
              <w:rPr>
                <w:rFonts w:ascii="Arial" w:hAnsi="Arial" w:cs="Arial"/>
                <w:iCs/>
                <w:szCs w:val="20"/>
                <w:lang w:eastAsia="zh-CN"/>
              </w:rPr>
              <w:t>Supplementary</w:t>
            </w:r>
          </w:p>
        </w:tc>
      </w:tr>
      <w:tr w:rsidR="00BC3132" w:rsidRPr="00962B44" w14:paraId="555D5FF6" w14:textId="77777777" w:rsidTr="00BC3132">
        <w:trPr>
          <w:cantSplit/>
          <w:trHeight w:val="419"/>
        </w:trPr>
        <w:tc>
          <w:tcPr>
            <w:tcW w:w="1929" w:type="dxa"/>
            <w:vMerge/>
            <w:tcBorders>
              <w:left w:val="single" w:sz="4" w:space="0" w:color="auto"/>
            </w:tcBorders>
            <w:hideMark/>
          </w:tcPr>
          <w:p w14:paraId="0BD83059" w14:textId="77777777" w:rsidR="00BC3132" w:rsidRPr="004C1685" w:rsidRDefault="00BC3132" w:rsidP="00A626C3">
            <w:pPr>
              <w:pStyle w:val="Default"/>
              <w:spacing w:before="40" w:after="40"/>
              <w:rPr>
                <w:rFonts w:ascii="Arial" w:hAnsi="Arial" w:cs="Arial"/>
                <w:sz w:val="20"/>
                <w:szCs w:val="20"/>
              </w:rPr>
            </w:pPr>
          </w:p>
        </w:tc>
        <w:tc>
          <w:tcPr>
            <w:tcW w:w="870" w:type="dxa"/>
            <w:vAlign w:val="center"/>
            <w:hideMark/>
          </w:tcPr>
          <w:p w14:paraId="7FC37229" w14:textId="77777777" w:rsidR="00BC3132" w:rsidRPr="002D2780" w:rsidRDefault="00BC3132" w:rsidP="00A626C3">
            <w:pPr>
              <w:pStyle w:val="Default"/>
              <w:spacing w:before="40" w:after="40"/>
              <w:rPr>
                <w:rFonts w:ascii="Arial" w:hAnsi="Arial" w:cs="Arial"/>
                <w:sz w:val="20"/>
                <w:szCs w:val="20"/>
                <w:lang w:val="en-US"/>
              </w:rPr>
            </w:pPr>
            <w:r>
              <w:rPr>
                <w:rFonts w:ascii="Arial" w:hAnsi="Arial" w:cs="Arial"/>
                <w:sz w:val="20"/>
                <w:szCs w:val="20"/>
              </w:rPr>
              <w:t>8</w:t>
            </w:r>
            <w:r>
              <w:rPr>
                <w:rFonts w:ascii="Arial" w:hAnsi="Arial" w:cs="Arial"/>
                <w:sz w:val="20"/>
                <w:szCs w:val="20"/>
                <w:lang w:val="en-US"/>
              </w:rPr>
              <w:t>b</w:t>
            </w:r>
          </w:p>
        </w:tc>
        <w:tc>
          <w:tcPr>
            <w:tcW w:w="10489" w:type="dxa"/>
            <w:gridSpan w:val="5"/>
            <w:vAlign w:val="center"/>
          </w:tcPr>
          <w:p w14:paraId="07FF9911" w14:textId="77777777" w:rsidR="00BC3132" w:rsidRPr="007640C0" w:rsidRDefault="00BC3132" w:rsidP="00A626C3">
            <w:pPr>
              <w:autoSpaceDE w:val="0"/>
              <w:autoSpaceDN w:val="0"/>
              <w:adjustRightInd w:val="0"/>
              <w:rPr>
                <w:rFonts w:ascii="Arial" w:hAnsi="Arial" w:cs="Arial"/>
                <w:szCs w:val="20"/>
                <w:lang w:eastAsia="el-GR"/>
              </w:rPr>
            </w:pPr>
            <w:r w:rsidRPr="007640C0">
              <w:rPr>
                <w:rFonts w:ascii="Arial" w:hAnsi="Arial" w:cs="Arial"/>
                <w:color w:val="000000"/>
                <w:kern w:val="1"/>
                <w:szCs w:val="20"/>
              </w:rPr>
              <w:t>Present any additional search process (e.g. algorithm or filter for adverse events, searches in pertinent websites) specifically to identify adverse events that have been investigated.</w:t>
            </w:r>
          </w:p>
        </w:tc>
        <w:tc>
          <w:tcPr>
            <w:tcW w:w="1156" w:type="dxa"/>
            <w:tcBorders>
              <w:right w:val="single" w:sz="4" w:space="0" w:color="auto"/>
            </w:tcBorders>
            <w:vAlign w:val="center"/>
          </w:tcPr>
          <w:p w14:paraId="739FD28D" w14:textId="77777777" w:rsidR="00BC3132" w:rsidRPr="006649E6" w:rsidRDefault="00BC3132" w:rsidP="00A626C3">
            <w:pPr>
              <w:rPr>
                <w:rFonts w:ascii="Arial" w:hAnsi="Arial" w:cs="Arial"/>
                <w:iCs/>
                <w:szCs w:val="20"/>
                <w:lang w:eastAsia="zh-CN"/>
              </w:rPr>
            </w:pPr>
            <w:r>
              <w:rPr>
                <w:rFonts w:ascii="Arial" w:hAnsi="Arial" w:cs="Arial"/>
                <w:iCs/>
                <w:szCs w:val="20"/>
                <w:lang w:eastAsia="zh-CN"/>
              </w:rPr>
              <w:t>5</w:t>
            </w:r>
          </w:p>
        </w:tc>
      </w:tr>
      <w:tr w:rsidR="00BC3132" w:rsidRPr="00962B44" w14:paraId="1CDA647B" w14:textId="77777777" w:rsidTr="00BC3132">
        <w:trPr>
          <w:cantSplit/>
          <w:trHeight w:val="384"/>
        </w:trPr>
        <w:tc>
          <w:tcPr>
            <w:tcW w:w="1929" w:type="dxa"/>
            <w:vMerge w:val="restart"/>
            <w:tcBorders>
              <w:left w:val="single" w:sz="4" w:space="0" w:color="auto"/>
            </w:tcBorders>
            <w:vAlign w:val="center"/>
            <w:hideMark/>
          </w:tcPr>
          <w:p w14:paraId="7A373A34" w14:textId="77777777" w:rsidR="00BC3132" w:rsidRDefault="00BC3132" w:rsidP="00A626C3">
            <w:pPr>
              <w:pStyle w:val="Default"/>
              <w:spacing w:before="40" w:after="40"/>
              <w:rPr>
                <w:rFonts w:ascii="Arial" w:hAnsi="Arial" w:cs="Arial"/>
                <w:sz w:val="20"/>
                <w:szCs w:val="20"/>
              </w:rPr>
            </w:pPr>
            <w:r>
              <w:rPr>
                <w:rFonts w:ascii="Arial" w:hAnsi="Arial" w:cs="Arial"/>
                <w:sz w:val="20"/>
                <w:szCs w:val="20"/>
              </w:rPr>
              <w:t>9. Data management &amp;</w:t>
            </w:r>
          </w:p>
          <w:p w14:paraId="33C0D4ED" w14:textId="77777777" w:rsidR="00BC3132" w:rsidRPr="004C1685" w:rsidRDefault="00BC3132" w:rsidP="00A626C3">
            <w:pPr>
              <w:pStyle w:val="Default"/>
              <w:spacing w:before="40" w:after="40"/>
              <w:rPr>
                <w:rFonts w:ascii="Arial" w:hAnsi="Arial" w:cs="Arial"/>
                <w:sz w:val="20"/>
                <w:szCs w:val="20"/>
              </w:rPr>
            </w:pPr>
            <w:r>
              <w:rPr>
                <w:rFonts w:ascii="Arial" w:hAnsi="Arial" w:cs="Arial"/>
                <w:sz w:val="20"/>
                <w:szCs w:val="20"/>
              </w:rPr>
              <w:t xml:space="preserve">    </w:t>
            </w:r>
            <w:r w:rsidRPr="004C1685">
              <w:rPr>
                <w:rFonts w:ascii="Arial" w:hAnsi="Arial" w:cs="Arial"/>
                <w:sz w:val="20"/>
                <w:szCs w:val="20"/>
              </w:rPr>
              <w:t>selection</w:t>
            </w:r>
            <w:r>
              <w:rPr>
                <w:rFonts w:ascii="Arial" w:hAnsi="Arial" w:cs="Arial"/>
                <w:sz w:val="20"/>
                <w:szCs w:val="20"/>
              </w:rPr>
              <w:t xml:space="preserve"> </w:t>
            </w:r>
            <w:r>
              <w:rPr>
                <w:rFonts w:ascii="Arial" w:hAnsi="Arial" w:cs="Arial"/>
                <w:sz w:val="20"/>
                <w:szCs w:val="20"/>
              </w:rPr>
              <w:lastRenderedPageBreak/>
              <w:t>process</w:t>
            </w:r>
          </w:p>
        </w:tc>
        <w:tc>
          <w:tcPr>
            <w:tcW w:w="870" w:type="dxa"/>
            <w:vAlign w:val="center"/>
            <w:hideMark/>
          </w:tcPr>
          <w:p w14:paraId="07B561A4" w14:textId="77777777" w:rsidR="00BC3132" w:rsidRPr="00363B8D" w:rsidRDefault="00BC3132" w:rsidP="00A626C3">
            <w:pPr>
              <w:pStyle w:val="Default"/>
              <w:spacing w:before="40" w:after="40"/>
              <w:rPr>
                <w:rFonts w:ascii="Arial" w:hAnsi="Arial" w:cs="Arial"/>
                <w:sz w:val="20"/>
                <w:szCs w:val="20"/>
              </w:rPr>
            </w:pPr>
            <w:r w:rsidRPr="00363B8D">
              <w:rPr>
                <w:rFonts w:ascii="Arial" w:hAnsi="Arial" w:cs="Arial"/>
                <w:sz w:val="20"/>
                <w:szCs w:val="20"/>
              </w:rPr>
              <w:lastRenderedPageBreak/>
              <w:t>9</w:t>
            </w:r>
            <w:r>
              <w:rPr>
                <w:rFonts w:ascii="Arial" w:hAnsi="Arial" w:cs="Arial"/>
                <w:sz w:val="20"/>
                <w:szCs w:val="20"/>
              </w:rPr>
              <w:t>a</w:t>
            </w:r>
            <w:r w:rsidRPr="00226DDB">
              <w:rPr>
                <w:b/>
                <w:color w:val="8496B0" w:themeColor="text2" w:themeTint="99"/>
                <w:vertAlign w:val="superscript"/>
              </w:rPr>
              <w:t>d</w:t>
            </w:r>
          </w:p>
        </w:tc>
        <w:tc>
          <w:tcPr>
            <w:tcW w:w="10489" w:type="dxa"/>
            <w:gridSpan w:val="5"/>
            <w:vAlign w:val="center"/>
          </w:tcPr>
          <w:p w14:paraId="546F8660" w14:textId="77777777" w:rsidR="00BC3132" w:rsidRPr="00743865" w:rsidRDefault="00BC3132" w:rsidP="00A626C3">
            <w:pPr>
              <w:autoSpaceDE w:val="0"/>
              <w:autoSpaceDN w:val="0"/>
              <w:adjustRightInd w:val="0"/>
              <w:rPr>
                <w:rFonts w:ascii="Arial" w:hAnsi="Arial" w:cs="Arial"/>
                <w:szCs w:val="20"/>
                <w:lang w:eastAsia="el-GR"/>
              </w:rPr>
            </w:pPr>
            <w:r>
              <w:rPr>
                <w:rFonts w:ascii="Arial" w:hAnsi="Arial" w:cs="Arial"/>
                <w:szCs w:val="20"/>
              </w:rPr>
              <w:t>Describe the software that was</w:t>
            </w:r>
            <w:r w:rsidRPr="00AB0F1F">
              <w:rPr>
                <w:rFonts w:ascii="Arial" w:hAnsi="Arial" w:cs="Arial"/>
                <w:szCs w:val="20"/>
              </w:rPr>
              <w:t xml:space="preserve"> used to manage records and data throughout the </w:t>
            </w:r>
            <w:r>
              <w:rPr>
                <w:rFonts w:ascii="Arial" w:hAnsi="Arial" w:cs="Arial"/>
                <w:szCs w:val="20"/>
              </w:rPr>
              <w:t>OoSRs.</w:t>
            </w:r>
          </w:p>
        </w:tc>
        <w:tc>
          <w:tcPr>
            <w:tcW w:w="1156" w:type="dxa"/>
            <w:tcBorders>
              <w:right w:val="single" w:sz="4" w:space="0" w:color="auto"/>
            </w:tcBorders>
            <w:vAlign w:val="center"/>
          </w:tcPr>
          <w:p w14:paraId="5582FABF"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5</w:t>
            </w:r>
          </w:p>
        </w:tc>
      </w:tr>
      <w:tr w:rsidR="00BC3132" w:rsidRPr="00962B44" w14:paraId="0E758153" w14:textId="77777777" w:rsidTr="00BC3132">
        <w:trPr>
          <w:cantSplit/>
          <w:trHeight w:val="653"/>
        </w:trPr>
        <w:tc>
          <w:tcPr>
            <w:tcW w:w="1929" w:type="dxa"/>
            <w:vMerge/>
            <w:tcBorders>
              <w:left w:val="single" w:sz="4" w:space="0" w:color="auto"/>
            </w:tcBorders>
            <w:hideMark/>
          </w:tcPr>
          <w:p w14:paraId="014D762A" w14:textId="77777777" w:rsidR="00BC3132" w:rsidRPr="004C1685" w:rsidRDefault="00BC3132" w:rsidP="00A626C3">
            <w:pPr>
              <w:pStyle w:val="Default"/>
              <w:spacing w:before="40" w:after="40"/>
              <w:rPr>
                <w:rFonts w:ascii="Arial" w:hAnsi="Arial" w:cs="Arial"/>
                <w:sz w:val="20"/>
                <w:szCs w:val="20"/>
              </w:rPr>
            </w:pPr>
          </w:p>
        </w:tc>
        <w:tc>
          <w:tcPr>
            <w:tcW w:w="870" w:type="dxa"/>
            <w:vAlign w:val="center"/>
            <w:hideMark/>
          </w:tcPr>
          <w:p w14:paraId="13BAD492" w14:textId="77777777" w:rsidR="00BC3132" w:rsidRPr="00363B8D" w:rsidRDefault="00BC3132" w:rsidP="00A626C3">
            <w:pPr>
              <w:pStyle w:val="Default"/>
              <w:spacing w:before="40" w:after="40"/>
              <w:rPr>
                <w:rFonts w:ascii="Arial" w:hAnsi="Arial" w:cs="Arial"/>
                <w:sz w:val="20"/>
                <w:szCs w:val="20"/>
              </w:rPr>
            </w:pPr>
            <w:r>
              <w:rPr>
                <w:rFonts w:ascii="Arial" w:hAnsi="Arial" w:cs="Arial"/>
                <w:sz w:val="20"/>
                <w:szCs w:val="20"/>
              </w:rPr>
              <w:t>9b</w:t>
            </w:r>
          </w:p>
        </w:tc>
        <w:tc>
          <w:tcPr>
            <w:tcW w:w="10489" w:type="dxa"/>
            <w:gridSpan w:val="5"/>
            <w:vAlign w:val="center"/>
          </w:tcPr>
          <w:p w14:paraId="01799812" w14:textId="77777777" w:rsidR="00BC3132" w:rsidRPr="00AB0F1F" w:rsidRDefault="00BC3132" w:rsidP="00A626C3">
            <w:pPr>
              <w:autoSpaceDE w:val="0"/>
              <w:autoSpaceDN w:val="0"/>
              <w:adjustRightInd w:val="0"/>
              <w:rPr>
                <w:rFonts w:ascii="Arial" w:hAnsi="Arial" w:cs="Arial"/>
                <w:szCs w:val="20"/>
                <w:lang w:eastAsia="el-GR"/>
              </w:rPr>
            </w:pPr>
            <w:r w:rsidRPr="0040146C">
              <w:rPr>
                <w:rFonts w:ascii="Arial" w:hAnsi="Arial" w:cs="Arial"/>
                <w:szCs w:val="20"/>
              </w:rPr>
              <w:t>Define what is a SR and</w:t>
            </w:r>
            <w:r w:rsidRPr="00743865">
              <w:rPr>
                <w:rFonts w:ascii="Arial" w:hAnsi="Arial" w:cs="Arial"/>
                <w:szCs w:val="20"/>
                <w:lang w:eastAsia="el-GR"/>
              </w:rPr>
              <w:t xml:space="preserve"> </w:t>
            </w:r>
            <w:r>
              <w:rPr>
                <w:rFonts w:ascii="Arial" w:hAnsi="Arial" w:cs="Arial"/>
                <w:szCs w:val="20"/>
                <w:lang w:eastAsia="el-GR"/>
              </w:rPr>
              <w:t>p</w:t>
            </w:r>
            <w:r w:rsidRPr="00743865">
              <w:rPr>
                <w:rFonts w:ascii="Arial" w:hAnsi="Arial" w:cs="Arial"/>
                <w:szCs w:val="20"/>
                <w:lang w:eastAsia="el-GR"/>
              </w:rPr>
              <w:t xml:space="preserve">rovide the process for selecting </w:t>
            </w:r>
            <w:r>
              <w:rPr>
                <w:rFonts w:ascii="Arial" w:hAnsi="Arial" w:cs="Arial"/>
                <w:szCs w:val="20"/>
                <w:lang w:eastAsia="el-GR"/>
              </w:rPr>
              <w:t>SRs</w:t>
            </w:r>
            <w:r w:rsidRPr="00743865">
              <w:rPr>
                <w:rFonts w:ascii="Arial" w:hAnsi="Arial" w:cs="Arial"/>
                <w:szCs w:val="20"/>
                <w:lang w:eastAsia="el-GR"/>
              </w:rPr>
              <w:t xml:space="preserve"> and its relevant details</w:t>
            </w:r>
            <w:r w:rsidRPr="00743865">
              <w:rPr>
                <w:rFonts w:ascii="VndrypRgdxncFmjkqjTimes-Roman" w:hAnsi="VndrypRgdxncFmjkqjTimes-Roman" w:cs="VndrypRgdxncFmjkqjTimes-Roman"/>
                <w:szCs w:val="20"/>
                <w:lang w:eastAsia="el-GR"/>
              </w:rPr>
              <w:t xml:space="preserve"> </w:t>
            </w:r>
            <w:r w:rsidRPr="00743865">
              <w:rPr>
                <w:rFonts w:ascii="Arial" w:hAnsi="Arial" w:cs="Arial"/>
                <w:szCs w:val="20"/>
                <w:lang w:eastAsia="el-GR"/>
              </w:rPr>
              <w:t>(</w:t>
            </w:r>
            <w:r w:rsidRPr="00743865">
              <w:rPr>
                <w:rFonts w:ascii="Arial" w:hAnsi="Arial" w:cs="Arial"/>
                <w:szCs w:val="20"/>
              </w:rPr>
              <w:t xml:space="preserve">screening </w:t>
            </w:r>
            <w:r>
              <w:rPr>
                <w:rFonts w:ascii="Arial" w:hAnsi="Arial" w:cs="Arial"/>
                <w:szCs w:val="20"/>
              </w:rPr>
              <w:t xml:space="preserve">the </w:t>
            </w:r>
            <w:r w:rsidRPr="00743865">
              <w:rPr>
                <w:rFonts w:ascii="Arial" w:hAnsi="Arial" w:cs="Arial"/>
                <w:szCs w:val="20"/>
              </w:rPr>
              <w:t xml:space="preserve">title and abstract </w:t>
            </w:r>
            <w:r>
              <w:rPr>
                <w:rFonts w:ascii="Arial" w:hAnsi="Arial" w:cs="Arial"/>
                <w:szCs w:val="20"/>
              </w:rPr>
              <w:t xml:space="preserve">or full text </w:t>
            </w:r>
            <w:r w:rsidRPr="00743865">
              <w:rPr>
                <w:rFonts w:ascii="Arial" w:hAnsi="Arial" w:cs="Arial"/>
                <w:szCs w:val="20"/>
              </w:rPr>
              <w:t xml:space="preserve">by at least two </w:t>
            </w:r>
            <w:r>
              <w:rPr>
                <w:rFonts w:ascii="Arial" w:hAnsi="Arial" w:cs="Arial"/>
                <w:szCs w:val="20"/>
              </w:rPr>
              <w:t>reviewers</w:t>
            </w:r>
            <w:r w:rsidRPr="00743865">
              <w:rPr>
                <w:rFonts w:ascii="Arial" w:hAnsi="Arial" w:cs="Arial"/>
                <w:szCs w:val="20"/>
              </w:rPr>
              <w:t>, selection by multiple independent investigators and resolving disagreements by consensus).</w:t>
            </w:r>
          </w:p>
        </w:tc>
        <w:tc>
          <w:tcPr>
            <w:tcW w:w="1156" w:type="dxa"/>
            <w:tcBorders>
              <w:right w:val="single" w:sz="4" w:space="0" w:color="auto"/>
            </w:tcBorders>
            <w:vAlign w:val="center"/>
          </w:tcPr>
          <w:p w14:paraId="30CB9DE7"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5</w:t>
            </w:r>
          </w:p>
        </w:tc>
      </w:tr>
      <w:tr w:rsidR="00BC3132" w:rsidRPr="00962B44" w14:paraId="68FEB98B" w14:textId="77777777" w:rsidTr="00BC3132">
        <w:trPr>
          <w:cantSplit/>
          <w:trHeight w:val="564"/>
        </w:trPr>
        <w:tc>
          <w:tcPr>
            <w:tcW w:w="1929" w:type="dxa"/>
            <w:vMerge/>
            <w:tcBorders>
              <w:left w:val="single" w:sz="4" w:space="0" w:color="auto"/>
            </w:tcBorders>
            <w:hideMark/>
          </w:tcPr>
          <w:p w14:paraId="4CEEFEAE" w14:textId="77777777" w:rsidR="00BC3132" w:rsidRPr="004C1685" w:rsidRDefault="00BC3132" w:rsidP="00A626C3">
            <w:pPr>
              <w:pStyle w:val="Default"/>
              <w:spacing w:before="40" w:after="40"/>
              <w:rPr>
                <w:rFonts w:ascii="Arial" w:hAnsi="Arial" w:cs="Arial"/>
                <w:sz w:val="20"/>
                <w:szCs w:val="20"/>
              </w:rPr>
            </w:pPr>
          </w:p>
        </w:tc>
        <w:tc>
          <w:tcPr>
            <w:tcW w:w="870" w:type="dxa"/>
            <w:vAlign w:val="center"/>
            <w:hideMark/>
          </w:tcPr>
          <w:p w14:paraId="07AD3587" w14:textId="77777777" w:rsidR="00BC3132" w:rsidRPr="00363B8D" w:rsidRDefault="00BC3132" w:rsidP="00A626C3">
            <w:pPr>
              <w:pStyle w:val="Default"/>
              <w:spacing w:before="40" w:after="40"/>
              <w:rPr>
                <w:rFonts w:ascii="Arial" w:hAnsi="Arial" w:cs="Arial"/>
                <w:sz w:val="20"/>
                <w:szCs w:val="20"/>
              </w:rPr>
            </w:pPr>
            <w:r>
              <w:rPr>
                <w:rFonts w:ascii="Arial" w:hAnsi="Arial" w:cs="Arial"/>
                <w:sz w:val="20"/>
                <w:szCs w:val="20"/>
              </w:rPr>
              <w:t>9c</w:t>
            </w:r>
          </w:p>
        </w:tc>
        <w:tc>
          <w:tcPr>
            <w:tcW w:w="10489" w:type="dxa"/>
            <w:gridSpan w:val="5"/>
            <w:vAlign w:val="center"/>
          </w:tcPr>
          <w:p w14:paraId="1AEB2721" w14:textId="77777777" w:rsidR="00BC3132" w:rsidRPr="001C1502" w:rsidRDefault="00BC3132" w:rsidP="00A626C3">
            <w:pPr>
              <w:autoSpaceDE w:val="0"/>
              <w:autoSpaceDN w:val="0"/>
              <w:adjustRightInd w:val="0"/>
              <w:rPr>
                <w:rFonts w:ascii="Arial" w:hAnsi="Arial" w:cs="Arial"/>
                <w:szCs w:val="20"/>
                <w:lang w:eastAsia="el-GR"/>
              </w:rPr>
            </w:pPr>
            <w:r w:rsidRPr="001C1502">
              <w:rPr>
                <w:rFonts w:ascii="Arial" w:hAnsi="Arial" w:cs="Arial"/>
                <w:color w:val="000000"/>
                <w:kern w:val="1"/>
                <w:szCs w:val="20"/>
              </w:rPr>
              <w:t>Report any attempt to handle overlapping (include one review among multiple potential candidates by choosing for example the most updated SR, the most methodologically rigorous SR or the SR with larger number of primary studies)</w:t>
            </w:r>
            <w:r>
              <w:rPr>
                <w:rFonts w:ascii="Arial" w:hAnsi="Arial" w:cs="Arial"/>
                <w:color w:val="000000"/>
                <w:kern w:val="1"/>
                <w:szCs w:val="20"/>
              </w:rPr>
              <w:t>.</w:t>
            </w:r>
          </w:p>
        </w:tc>
        <w:tc>
          <w:tcPr>
            <w:tcW w:w="1156" w:type="dxa"/>
            <w:tcBorders>
              <w:right w:val="single" w:sz="4" w:space="0" w:color="auto"/>
            </w:tcBorders>
            <w:vAlign w:val="center"/>
          </w:tcPr>
          <w:p w14:paraId="4A48E179"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N</w:t>
            </w:r>
            <w:r>
              <w:rPr>
                <w:rFonts w:ascii="Arial" w:hAnsi="Arial" w:cs="Arial"/>
                <w:iCs/>
                <w:szCs w:val="20"/>
                <w:lang w:eastAsia="zh-CN"/>
              </w:rPr>
              <w:t>A</w:t>
            </w:r>
          </w:p>
        </w:tc>
      </w:tr>
      <w:tr w:rsidR="00BC3132" w:rsidRPr="00962B44" w14:paraId="2031297F" w14:textId="77777777" w:rsidTr="00BC3132">
        <w:trPr>
          <w:cantSplit/>
          <w:trHeight w:val="558"/>
        </w:trPr>
        <w:tc>
          <w:tcPr>
            <w:tcW w:w="1929" w:type="dxa"/>
            <w:tcBorders>
              <w:left w:val="single" w:sz="4" w:space="0" w:color="auto"/>
            </w:tcBorders>
            <w:vAlign w:val="center"/>
            <w:hideMark/>
          </w:tcPr>
          <w:p w14:paraId="0F20FA7E" w14:textId="77777777" w:rsidR="00BC3132" w:rsidRPr="00E46BC9" w:rsidRDefault="00BC3132" w:rsidP="00A626C3">
            <w:pPr>
              <w:autoSpaceDE w:val="0"/>
              <w:autoSpaceDN w:val="0"/>
              <w:adjustRightInd w:val="0"/>
              <w:rPr>
                <w:rFonts w:ascii="Arial" w:eastAsia="Times New Roman" w:hAnsi="Arial" w:cs="Arial"/>
                <w:szCs w:val="20"/>
                <w:lang w:eastAsia="el-GR"/>
              </w:rPr>
            </w:pPr>
            <w:r>
              <w:rPr>
                <w:rFonts w:ascii="Arial" w:hAnsi="Arial" w:cs="Arial"/>
                <w:szCs w:val="20"/>
                <w:lang w:eastAsia="el-GR"/>
              </w:rPr>
              <w:t xml:space="preserve">10. </w:t>
            </w:r>
            <w:r w:rsidRPr="00CB026A">
              <w:rPr>
                <w:rFonts w:ascii="Arial" w:eastAsia="Times New Roman" w:hAnsi="Arial" w:cs="Arial"/>
                <w:szCs w:val="20"/>
                <w:lang w:eastAsia="el-GR"/>
              </w:rPr>
              <w:t>Additional search</w:t>
            </w:r>
            <w:r>
              <w:rPr>
                <w:rFonts w:ascii="Arial" w:eastAsia="Times New Roman" w:hAnsi="Arial" w:cs="Arial"/>
                <w:szCs w:val="20"/>
                <w:lang w:eastAsia="el-GR"/>
              </w:rPr>
              <w:t xml:space="preserve"> for</w:t>
            </w:r>
            <w:r>
              <w:rPr>
                <w:rFonts w:ascii="Arial" w:hAnsi="Arial" w:cs="Arial"/>
                <w:szCs w:val="20"/>
                <w:lang w:eastAsia="el-GR"/>
              </w:rPr>
              <w:t xml:space="preserve"> </w:t>
            </w:r>
          </w:p>
          <w:p w14:paraId="7F3663F3" w14:textId="77777777" w:rsidR="00BC3132" w:rsidRPr="00E46BC9" w:rsidRDefault="00BC3132" w:rsidP="00A626C3">
            <w:pPr>
              <w:autoSpaceDE w:val="0"/>
              <w:autoSpaceDN w:val="0"/>
              <w:adjustRightInd w:val="0"/>
              <w:ind w:left="709" w:hanging="426"/>
              <w:rPr>
                <w:rFonts w:ascii="Arial" w:eastAsia="Times New Roman" w:hAnsi="Arial" w:cs="Arial"/>
                <w:szCs w:val="20"/>
                <w:lang w:eastAsia="el-GR"/>
              </w:rPr>
            </w:pPr>
            <w:r w:rsidRPr="00E46BC9">
              <w:rPr>
                <w:rFonts w:ascii="Arial" w:eastAsia="Times New Roman" w:hAnsi="Arial" w:cs="Arial"/>
                <w:szCs w:val="20"/>
                <w:lang w:eastAsia="el-GR"/>
              </w:rPr>
              <w:t>primary studies</w:t>
            </w:r>
          </w:p>
        </w:tc>
        <w:tc>
          <w:tcPr>
            <w:tcW w:w="870" w:type="dxa"/>
            <w:vAlign w:val="center"/>
            <w:hideMark/>
          </w:tcPr>
          <w:p w14:paraId="64A5599C" w14:textId="77777777" w:rsidR="00BC3132" w:rsidRPr="004C1685" w:rsidRDefault="00BC3132" w:rsidP="00A626C3">
            <w:pPr>
              <w:pStyle w:val="Default"/>
              <w:spacing w:before="40" w:after="40"/>
              <w:rPr>
                <w:rFonts w:ascii="Arial" w:hAnsi="Arial" w:cs="Arial"/>
                <w:sz w:val="20"/>
                <w:szCs w:val="20"/>
              </w:rPr>
            </w:pPr>
            <w:r>
              <w:rPr>
                <w:rFonts w:ascii="Arial" w:hAnsi="Arial" w:cs="Arial"/>
                <w:sz w:val="20"/>
                <w:szCs w:val="20"/>
              </w:rPr>
              <w:t>10</w:t>
            </w:r>
          </w:p>
        </w:tc>
        <w:tc>
          <w:tcPr>
            <w:tcW w:w="10489" w:type="dxa"/>
            <w:gridSpan w:val="5"/>
            <w:vAlign w:val="center"/>
          </w:tcPr>
          <w:p w14:paraId="366BAB16" w14:textId="77777777" w:rsidR="00BC3132" w:rsidRPr="004C1685" w:rsidRDefault="00BC3132" w:rsidP="00A626C3">
            <w:pPr>
              <w:pStyle w:val="Default"/>
              <w:spacing w:before="40" w:after="40"/>
              <w:jc w:val="both"/>
              <w:rPr>
                <w:rFonts w:ascii="Arial" w:hAnsi="Arial" w:cs="Arial"/>
                <w:sz w:val="20"/>
                <w:szCs w:val="20"/>
              </w:rPr>
            </w:pPr>
            <w:r w:rsidRPr="00DC0A25">
              <w:rPr>
                <w:rFonts w:ascii="Arial" w:hAnsi="Arial" w:cs="Arial"/>
                <w:sz w:val="20"/>
                <w:szCs w:val="20"/>
                <w:lang w:eastAsia="el-GR"/>
              </w:rPr>
              <w:t xml:space="preserve">Report </w:t>
            </w:r>
            <w:r>
              <w:rPr>
                <w:rFonts w:ascii="Arial" w:hAnsi="Arial" w:cs="Arial"/>
                <w:sz w:val="20"/>
                <w:szCs w:val="20"/>
                <w:lang w:eastAsia="el-GR"/>
              </w:rPr>
              <w:t>additional search</w:t>
            </w:r>
            <w:r w:rsidRPr="00DC0A25">
              <w:rPr>
                <w:rFonts w:ascii="Arial" w:hAnsi="Arial" w:cs="Arial"/>
                <w:sz w:val="20"/>
                <w:szCs w:val="20"/>
                <w:lang w:eastAsia="el-GR"/>
              </w:rPr>
              <w:t xml:space="preserve"> to identify eligible primary studies</w:t>
            </w:r>
            <w:r>
              <w:rPr>
                <w:rFonts w:ascii="Arial" w:hAnsi="Arial" w:cs="Arial"/>
                <w:sz w:val="20"/>
                <w:szCs w:val="20"/>
                <w:lang w:eastAsia="el-GR"/>
              </w:rPr>
              <w:t xml:space="preserve"> (e.g. searching in more databases or update the search</w:t>
            </w:r>
            <w:r w:rsidRPr="00DC0A25">
              <w:rPr>
                <w:rFonts w:ascii="Arial" w:hAnsi="Arial" w:cs="Arial"/>
                <w:sz w:val="20"/>
                <w:szCs w:val="20"/>
                <w:lang w:eastAsia="el-GR"/>
              </w:rPr>
              <w:t>)</w:t>
            </w:r>
            <w:r>
              <w:rPr>
                <w:rFonts w:ascii="Arial" w:hAnsi="Arial" w:cs="Arial"/>
                <w:sz w:val="20"/>
                <w:szCs w:val="20"/>
                <w:lang w:eastAsia="el-GR"/>
              </w:rPr>
              <w:t xml:space="preserve"> and its relevant details</w:t>
            </w:r>
            <w:r w:rsidRPr="00DC0A25">
              <w:rPr>
                <w:rFonts w:ascii="Arial" w:hAnsi="Arial" w:cs="Arial"/>
                <w:sz w:val="20"/>
                <w:szCs w:val="20"/>
                <w:lang w:eastAsia="el-GR"/>
              </w:rPr>
              <w:t>.</w:t>
            </w:r>
          </w:p>
        </w:tc>
        <w:tc>
          <w:tcPr>
            <w:tcW w:w="1156" w:type="dxa"/>
            <w:tcBorders>
              <w:right w:val="single" w:sz="4" w:space="0" w:color="auto"/>
            </w:tcBorders>
            <w:vAlign w:val="center"/>
          </w:tcPr>
          <w:p w14:paraId="5B8F36AB"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N</w:t>
            </w:r>
            <w:r>
              <w:rPr>
                <w:rFonts w:ascii="Arial" w:hAnsi="Arial" w:cs="Arial"/>
                <w:iCs/>
                <w:szCs w:val="20"/>
                <w:lang w:eastAsia="zh-CN"/>
              </w:rPr>
              <w:t>A</w:t>
            </w:r>
          </w:p>
        </w:tc>
      </w:tr>
      <w:tr w:rsidR="00BC3132" w:rsidRPr="00962B44" w14:paraId="2514F3DB" w14:textId="77777777" w:rsidTr="00BC3132">
        <w:trPr>
          <w:cantSplit/>
          <w:trHeight w:val="429"/>
        </w:trPr>
        <w:tc>
          <w:tcPr>
            <w:tcW w:w="1929" w:type="dxa"/>
            <w:vMerge w:val="restart"/>
            <w:tcBorders>
              <w:left w:val="single" w:sz="4" w:space="0" w:color="auto"/>
            </w:tcBorders>
            <w:vAlign w:val="center"/>
            <w:hideMark/>
          </w:tcPr>
          <w:p w14:paraId="1911ABC8" w14:textId="77777777" w:rsidR="00BC3132" w:rsidRPr="004C1685" w:rsidRDefault="00BC3132" w:rsidP="00A626C3">
            <w:pPr>
              <w:autoSpaceDE w:val="0"/>
              <w:autoSpaceDN w:val="0"/>
              <w:adjustRightInd w:val="0"/>
              <w:rPr>
                <w:rFonts w:ascii="Arial" w:hAnsi="Arial" w:cs="Arial"/>
                <w:szCs w:val="20"/>
              </w:rPr>
            </w:pPr>
            <w:r w:rsidRPr="00415C2C">
              <w:rPr>
                <w:rFonts w:ascii="Arial" w:hAnsi="Arial" w:cs="Arial"/>
                <w:szCs w:val="20"/>
                <w:lang w:eastAsia="el-GR"/>
              </w:rPr>
              <w:t xml:space="preserve">11. </w:t>
            </w:r>
            <w:r w:rsidRPr="00F81CE8">
              <w:rPr>
                <w:rFonts w:ascii="Arial" w:hAnsi="Arial" w:cs="Arial"/>
              </w:rPr>
              <w:t>Data collection process</w:t>
            </w:r>
          </w:p>
        </w:tc>
        <w:tc>
          <w:tcPr>
            <w:tcW w:w="870" w:type="dxa"/>
            <w:vAlign w:val="center"/>
            <w:hideMark/>
          </w:tcPr>
          <w:p w14:paraId="55F7C570" w14:textId="77777777" w:rsidR="00BC3132" w:rsidRPr="00363B8D" w:rsidRDefault="00BC3132" w:rsidP="00A626C3">
            <w:pPr>
              <w:pStyle w:val="Default"/>
              <w:spacing w:before="40" w:after="40"/>
              <w:rPr>
                <w:rFonts w:ascii="Arial" w:hAnsi="Arial" w:cs="Arial"/>
                <w:sz w:val="20"/>
                <w:szCs w:val="20"/>
              </w:rPr>
            </w:pPr>
            <w:r>
              <w:rPr>
                <w:rFonts w:ascii="Arial" w:hAnsi="Arial" w:cs="Arial"/>
                <w:sz w:val="20"/>
                <w:szCs w:val="20"/>
              </w:rPr>
              <w:t>11a</w:t>
            </w:r>
          </w:p>
        </w:tc>
        <w:tc>
          <w:tcPr>
            <w:tcW w:w="10489" w:type="dxa"/>
            <w:gridSpan w:val="5"/>
            <w:vAlign w:val="center"/>
          </w:tcPr>
          <w:p w14:paraId="1D5E32DB" w14:textId="77777777" w:rsidR="00BC3132" w:rsidRPr="00415C2C" w:rsidRDefault="00BC3132" w:rsidP="00A626C3">
            <w:pPr>
              <w:pStyle w:val="Default"/>
              <w:spacing w:before="40" w:after="40"/>
              <w:jc w:val="both"/>
              <w:rPr>
                <w:rFonts w:ascii="Arial" w:hAnsi="Arial" w:cs="Arial"/>
                <w:sz w:val="20"/>
                <w:szCs w:val="20"/>
              </w:rPr>
            </w:pPr>
            <w:r w:rsidRPr="00415C2C">
              <w:rPr>
                <w:rFonts w:ascii="Arial" w:hAnsi="Arial" w:cs="Arial"/>
                <w:sz w:val="20"/>
                <w:szCs w:val="20"/>
              </w:rPr>
              <w:t xml:space="preserve">Describe the method </w:t>
            </w:r>
            <w:r w:rsidRPr="00415C2C">
              <w:rPr>
                <w:rFonts w:ascii="Arial" w:hAnsi="Arial" w:cs="Arial"/>
                <w:sz w:val="20"/>
                <w:szCs w:val="20"/>
                <w:lang w:eastAsia="el-GR"/>
              </w:rPr>
              <w:t xml:space="preserve">of data extraction from included </w:t>
            </w:r>
            <w:r>
              <w:rPr>
                <w:rFonts w:ascii="Arial" w:hAnsi="Arial" w:cs="Arial"/>
                <w:sz w:val="20"/>
                <w:szCs w:val="20"/>
                <w:lang w:eastAsia="el-GR"/>
              </w:rPr>
              <w:t>SRs</w:t>
            </w:r>
            <w:r w:rsidRPr="00415C2C">
              <w:rPr>
                <w:rFonts w:ascii="Arial" w:hAnsi="Arial" w:cs="Arial"/>
                <w:sz w:val="20"/>
                <w:szCs w:val="20"/>
                <w:lang w:eastAsia="el-GR"/>
              </w:rPr>
              <w:t xml:space="preserve"> </w:t>
            </w:r>
            <w:r>
              <w:rPr>
                <w:rFonts w:ascii="Arial" w:hAnsi="Arial" w:cs="Arial"/>
                <w:sz w:val="20"/>
                <w:szCs w:val="20"/>
              </w:rPr>
              <w:t xml:space="preserve">(e.g. data collection form, extraction </w:t>
            </w:r>
            <w:r w:rsidRPr="00415C2C">
              <w:rPr>
                <w:rFonts w:ascii="Arial" w:hAnsi="Arial" w:cs="Arial"/>
                <w:sz w:val="20"/>
                <w:szCs w:val="20"/>
              </w:rPr>
              <w:t>in duplicate</w:t>
            </w:r>
            <w:r>
              <w:rPr>
                <w:rFonts w:ascii="Arial" w:hAnsi="Arial" w:cs="Arial"/>
                <w:sz w:val="20"/>
                <w:szCs w:val="20"/>
              </w:rPr>
              <w:t xml:space="preserve"> and independently</w:t>
            </w:r>
            <w:r w:rsidRPr="00D77F81">
              <w:rPr>
                <w:rFonts w:ascii="Arial" w:hAnsi="Arial" w:cs="Arial"/>
                <w:sz w:val="20"/>
                <w:szCs w:val="20"/>
              </w:rPr>
              <w:t>, resolving disagreements by consensus).</w:t>
            </w:r>
          </w:p>
        </w:tc>
        <w:tc>
          <w:tcPr>
            <w:tcW w:w="1156" w:type="dxa"/>
            <w:tcBorders>
              <w:right w:val="single" w:sz="4" w:space="0" w:color="auto"/>
            </w:tcBorders>
            <w:vAlign w:val="center"/>
          </w:tcPr>
          <w:p w14:paraId="41D1B4E1"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5</w:t>
            </w:r>
            <w:r>
              <w:rPr>
                <w:rFonts w:ascii="Arial" w:hAnsi="Arial" w:cs="Arial"/>
                <w:iCs/>
                <w:szCs w:val="20"/>
                <w:lang w:eastAsia="zh-CN"/>
              </w:rPr>
              <w:t>-6</w:t>
            </w:r>
          </w:p>
        </w:tc>
      </w:tr>
      <w:tr w:rsidR="00BC3132" w:rsidRPr="00962B44" w14:paraId="1383FC2D" w14:textId="77777777" w:rsidTr="00BC3132">
        <w:trPr>
          <w:cantSplit/>
          <w:trHeight w:val="572"/>
        </w:trPr>
        <w:tc>
          <w:tcPr>
            <w:tcW w:w="1929" w:type="dxa"/>
            <w:vMerge/>
            <w:tcBorders>
              <w:left w:val="single" w:sz="4" w:space="0" w:color="auto"/>
            </w:tcBorders>
            <w:hideMark/>
          </w:tcPr>
          <w:p w14:paraId="2FDBE36A" w14:textId="77777777" w:rsidR="00BC3132" w:rsidRPr="004C1685" w:rsidRDefault="00BC3132" w:rsidP="00A626C3">
            <w:pPr>
              <w:pStyle w:val="Default"/>
              <w:spacing w:before="40" w:after="40"/>
              <w:rPr>
                <w:rFonts w:ascii="Arial" w:hAnsi="Arial" w:cs="Arial"/>
                <w:sz w:val="20"/>
                <w:szCs w:val="20"/>
              </w:rPr>
            </w:pPr>
          </w:p>
        </w:tc>
        <w:tc>
          <w:tcPr>
            <w:tcW w:w="870" w:type="dxa"/>
            <w:vAlign w:val="center"/>
            <w:hideMark/>
          </w:tcPr>
          <w:p w14:paraId="21B01E98" w14:textId="77777777" w:rsidR="00BC3132" w:rsidRPr="00363B8D" w:rsidRDefault="00BC3132" w:rsidP="00A626C3">
            <w:pPr>
              <w:pStyle w:val="Default"/>
              <w:spacing w:before="40" w:after="40"/>
              <w:rPr>
                <w:rFonts w:ascii="Arial" w:hAnsi="Arial" w:cs="Arial"/>
                <w:sz w:val="20"/>
                <w:szCs w:val="20"/>
              </w:rPr>
            </w:pPr>
            <w:r>
              <w:rPr>
                <w:rFonts w:ascii="Arial" w:hAnsi="Arial" w:cs="Arial"/>
                <w:sz w:val="20"/>
                <w:szCs w:val="20"/>
              </w:rPr>
              <w:t>11b</w:t>
            </w:r>
          </w:p>
        </w:tc>
        <w:tc>
          <w:tcPr>
            <w:tcW w:w="10489" w:type="dxa"/>
            <w:gridSpan w:val="5"/>
            <w:vAlign w:val="center"/>
          </w:tcPr>
          <w:p w14:paraId="7C9272D3" w14:textId="77777777" w:rsidR="00BC3132" w:rsidRPr="00415C2C" w:rsidRDefault="00BC3132" w:rsidP="00A626C3">
            <w:pPr>
              <w:pStyle w:val="Default"/>
              <w:spacing w:before="40" w:after="40"/>
              <w:jc w:val="both"/>
              <w:rPr>
                <w:rFonts w:ascii="Arial" w:hAnsi="Arial" w:cs="Arial"/>
                <w:sz w:val="20"/>
                <w:szCs w:val="20"/>
              </w:rPr>
            </w:pPr>
            <w:r w:rsidRPr="00415C2C">
              <w:rPr>
                <w:rFonts w:ascii="Arial" w:hAnsi="Arial" w:cs="Arial"/>
                <w:sz w:val="20"/>
                <w:szCs w:val="20"/>
              </w:rPr>
              <w:t xml:space="preserve">Report </w:t>
            </w:r>
            <w:r>
              <w:rPr>
                <w:rFonts w:ascii="Arial" w:hAnsi="Arial" w:cs="Arial"/>
                <w:sz w:val="20"/>
                <w:szCs w:val="20"/>
              </w:rPr>
              <w:t xml:space="preserve">any processes for obtaining, </w:t>
            </w:r>
            <w:r w:rsidRPr="00415C2C">
              <w:rPr>
                <w:rFonts w:ascii="Arial" w:hAnsi="Arial" w:cs="Arial"/>
                <w:sz w:val="20"/>
                <w:szCs w:val="20"/>
              </w:rPr>
              <w:t xml:space="preserve">confirming </w:t>
            </w:r>
            <w:r>
              <w:rPr>
                <w:rFonts w:ascii="Arial" w:hAnsi="Arial" w:cs="Arial"/>
                <w:sz w:val="20"/>
                <w:szCs w:val="20"/>
              </w:rPr>
              <w:t xml:space="preserve">or updating </w:t>
            </w:r>
            <w:r w:rsidRPr="00415C2C">
              <w:rPr>
                <w:rFonts w:ascii="Arial" w:hAnsi="Arial" w:cs="Arial"/>
                <w:sz w:val="20"/>
                <w:szCs w:val="20"/>
              </w:rPr>
              <w:t>data from investigators (</w:t>
            </w:r>
            <w:r>
              <w:rPr>
                <w:rFonts w:ascii="Arial" w:hAnsi="Arial" w:cs="Arial"/>
                <w:sz w:val="20"/>
                <w:szCs w:val="20"/>
              </w:rPr>
              <w:t>e</w:t>
            </w:r>
            <w:r w:rsidRPr="00EF64EB">
              <w:rPr>
                <w:rFonts w:ascii="Arial" w:hAnsi="Arial" w:cs="Arial"/>
                <w:sz w:val="20"/>
                <w:szCs w:val="20"/>
                <w:lang w:val="en-US"/>
              </w:rPr>
              <w:t>.</w:t>
            </w:r>
            <w:r>
              <w:rPr>
                <w:rFonts w:ascii="Arial" w:hAnsi="Arial" w:cs="Arial"/>
                <w:sz w:val="20"/>
                <w:szCs w:val="20"/>
              </w:rPr>
              <w:t xml:space="preserve">g. </w:t>
            </w:r>
            <w:r w:rsidRPr="00415C2C">
              <w:rPr>
                <w:rFonts w:ascii="Arial" w:hAnsi="Arial" w:cs="Arial"/>
                <w:sz w:val="20"/>
                <w:szCs w:val="20"/>
              </w:rPr>
              <w:t xml:space="preserve">contact with authors </w:t>
            </w:r>
            <w:r>
              <w:rPr>
                <w:rFonts w:ascii="Arial" w:hAnsi="Arial" w:cs="Arial"/>
                <w:sz w:val="20"/>
                <w:szCs w:val="20"/>
                <w:lang w:eastAsia="el-GR"/>
              </w:rPr>
              <w:t>of included reviews, obtain</w:t>
            </w:r>
            <w:r w:rsidRPr="00415C2C">
              <w:rPr>
                <w:rFonts w:ascii="Arial" w:hAnsi="Arial" w:cs="Arial"/>
                <w:sz w:val="20"/>
                <w:szCs w:val="20"/>
                <w:lang w:eastAsia="el-GR"/>
              </w:rPr>
              <w:t xml:space="preserve"> data from primary studies of included reviews).</w:t>
            </w:r>
          </w:p>
        </w:tc>
        <w:tc>
          <w:tcPr>
            <w:tcW w:w="1156" w:type="dxa"/>
            <w:tcBorders>
              <w:right w:val="single" w:sz="4" w:space="0" w:color="auto"/>
            </w:tcBorders>
            <w:vAlign w:val="center"/>
          </w:tcPr>
          <w:p w14:paraId="194BFF0B"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N</w:t>
            </w:r>
            <w:r>
              <w:rPr>
                <w:rFonts w:ascii="Arial" w:hAnsi="Arial" w:cs="Arial"/>
                <w:iCs/>
                <w:szCs w:val="20"/>
                <w:lang w:eastAsia="zh-CN"/>
              </w:rPr>
              <w:t>A</w:t>
            </w:r>
          </w:p>
        </w:tc>
      </w:tr>
      <w:tr w:rsidR="00BC3132" w:rsidRPr="006127CE" w14:paraId="0D9A8167" w14:textId="77777777" w:rsidTr="00BC3132">
        <w:trPr>
          <w:cantSplit/>
          <w:trHeight w:val="662"/>
        </w:trPr>
        <w:tc>
          <w:tcPr>
            <w:tcW w:w="1929" w:type="dxa"/>
            <w:tcBorders>
              <w:left w:val="single" w:sz="4" w:space="0" w:color="auto"/>
            </w:tcBorders>
            <w:vAlign w:val="center"/>
            <w:hideMark/>
          </w:tcPr>
          <w:p w14:paraId="496E0025" w14:textId="77777777" w:rsidR="00BC3132" w:rsidRPr="006127CE" w:rsidRDefault="00BC3132" w:rsidP="00A626C3">
            <w:pPr>
              <w:pStyle w:val="Default"/>
              <w:rPr>
                <w:rFonts w:ascii="Arial" w:hAnsi="Arial" w:cs="Arial"/>
                <w:sz w:val="20"/>
                <w:szCs w:val="20"/>
              </w:rPr>
            </w:pPr>
            <w:r w:rsidRPr="006127CE">
              <w:rPr>
                <w:rFonts w:ascii="Arial" w:hAnsi="Arial" w:cs="Arial"/>
                <w:sz w:val="20"/>
                <w:szCs w:val="20"/>
              </w:rPr>
              <w:t>12. Data items</w:t>
            </w:r>
          </w:p>
        </w:tc>
        <w:tc>
          <w:tcPr>
            <w:tcW w:w="870" w:type="dxa"/>
            <w:vAlign w:val="center"/>
            <w:hideMark/>
          </w:tcPr>
          <w:p w14:paraId="1C087551" w14:textId="77777777" w:rsidR="00BC3132" w:rsidRPr="006127CE" w:rsidRDefault="00BC3132" w:rsidP="00A626C3">
            <w:pPr>
              <w:pStyle w:val="Default"/>
              <w:rPr>
                <w:rFonts w:ascii="Arial" w:hAnsi="Arial" w:cs="Arial"/>
                <w:sz w:val="20"/>
                <w:szCs w:val="20"/>
              </w:rPr>
            </w:pPr>
            <w:r w:rsidRPr="006127CE">
              <w:rPr>
                <w:rFonts w:ascii="Arial" w:hAnsi="Arial" w:cs="Arial"/>
                <w:sz w:val="20"/>
                <w:szCs w:val="20"/>
              </w:rPr>
              <w:t>12</w:t>
            </w:r>
          </w:p>
        </w:tc>
        <w:tc>
          <w:tcPr>
            <w:tcW w:w="10489" w:type="dxa"/>
            <w:gridSpan w:val="5"/>
            <w:vAlign w:val="center"/>
          </w:tcPr>
          <w:p w14:paraId="0B897128" w14:textId="77777777" w:rsidR="00BC3132" w:rsidRPr="00617166" w:rsidRDefault="00BC3132" w:rsidP="00A626C3">
            <w:pPr>
              <w:autoSpaceDE w:val="0"/>
              <w:autoSpaceDN w:val="0"/>
              <w:adjustRightInd w:val="0"/>
              <w:rPr>
                <w:rFonts w:ascii="Arial" w:hAnsi="Arial" w:cs="Arial"/>
                <w:szCs w:val="20"/>
              </w:rPr>
            </w:pPr>
            <w:r w:rsidRPr="00617166">
              <w:rPr>
                <w:rFonts w:ascii="Arial" w:eastAsia="Times New Roman" w:hAnsi="Arial" w:cs="Arial"/>
                <w:szCs w:val="20"/>
                <w:lang w:eastAsia="el-GR"/>
              </w:rPr>
              <w:t xml:space="preserve">List </w:t>
            </w:r>
            <w:r>
              <w:rPr>
                <w:rFonts w:ascii="Arial" w:eastAsia="Times New Roman" w:hAnsi="Arial" w:cs="Arial"/>
                <w:szCs w:val="20"/>
                <w:lang w:eastAsia="el-GR"/>
              </w:rPr>
              <w:t xml:space="preserve">(and </w:t>
            </w:r>
            <w:r w:rsidRPr="00617166">
              <w:rPr>
                <w:rFonts w:ascii="Arial" w:eastAsia="Times New Roman" w:hAnsi="Arial" w:cs="Arial"/>
                <w:szCs w:val="20"/>
                <w:lang w:eastAsia="el-GR"/>
              </w:rPr>
              <w:t>define</w:t>
            </w:r>
            <w:r>
              <w:rPr>
                <w:rFonts w:ascii="Arial" w:eastAsia="Times New Roman" w:hAnsi="Arial" w:cs="Arial"/>
                <w:szCs w:val="20"/>
                <w:lang w:eastAsia="el-GR"/>
              </w:rPr>
              <w:t xml:space="preserve"> whenever is necessary)</w:t>
            </w:r>
            <w:r w:rsidRPr="00617166">
              <w:rPr>
                <w:rFonts w:ascii="Arial" w:eastAsia="Times New Roman" w:hAnsi="Arial" w:cs="Arial"/>
                <w:szCs w:val="20"/>
                <w:lang w:eastAsia="el-GR"/>
              </w:rPr>
              <w:t xml:space="preserve"> </w:t>
            </w:r>
            <w:r>
              <w:rPr>
                <w:rFonts w:ascii="Arial" w:eastAsia="Times New Roman" w:hAnsi="Arial" w:cs="Arial"/>
                <w:szCs w:val="20"/>
                <w:lang w:eastAsia="el-GR"/>
              </w:rPr>
              <w:t>the</w:t>
            </w:r>
            <w:r w:rsidRPr="00617166">
              <w:rPr>
                <w:rFonts w:ascii="Arial" w:eastAsia="Times New Roman" w:hAnsi="Arial" w:cs="Arial"/>
                <w:szCs w:val="20"/>
                <w:lang w:eastAsia="el-GR"/>
              </w:rPr>
              <w:t xml:space="preserve"> </w:t>
            </w:r>
            <w:r>
              <w:rPr>
                <w:rFonts w:ascii="Arial" w:eastAsia="Times New Roman" w:hAnsi="Arial" w:cs="Arial"/>
                <w:szCs w:val="20"/>
                <w:lang w:eastAsia="el-GR"/>
              </w:rPr>
              <w:t xml:space="preserve">specific </w:t>
            </w:r>
            <w:r w:rsidRPr="005910FA">
              <w:rPr>
                <w:rFonts w:ascii="Arial" w:hAnsi="Arial" w:cs="Arial"/>
                <w:szCs w:val="20"/>
                <w:lang w:eastAsia="el-GR"/>
              </w:rPr>
              <w:t>variables</w:t>
            </w:r>
            <w:r w:rsidRPr="00617166">
              <w:rPr>
                <w:rFonts w:ascii="Arial" w:eastAsia="Times New Roman" w:hAnsi="Arial" w:cs="Arial"/>
                <w:szCs w:val="20"/>
                <w:lang w:eastAsia="el-GR"/>
              </w:rPr>
              <w:t xml:space="preserve"> </w:t>
            </w:r>
            <w:r>
              <w:rPr>
                <w:rFonts w:ascii="Arial" w:hAnsi="Arial" w:cs="Arial"/>
              </w:rPr>
              <w:t>for which data were</w:t>
            </w:r>
            <w:r w:rsidRPr="005910FA">
              <w:rPr>
                <w:rFonts w:ascii="Arial" w:hAnsi="Arial" w:cs="Arial"/>
              </w:rPr>
              <w:t xml:space="preserve"> recorded</w:t>
            </w:r>
            <w:r w:rsidRPr="007B7F74">
              <w:rPr>
                <w:i/>
              </w:rPr>
              <w:t xml:space="preserve"> </w:t>
            </w:r>
            <w:r>
              <w:rPr>
                <w:rFonts w:ascii="Arial" w:eastAsia="Times New Roman" w:hAnsi="Arial" w:cs="Arial"/>
                <w:szCs w:val="20"/>
                <w:lang w:eastAsia="el-GR"/>
              </w:rPr>
              <w:t>(e</w:t>
            </w:r>
            <w:r w:rsidRPr="00DF2461">
              <w:rPr>
                <w:rFonts w:ascii="Arial" w:eastAsia="Times New Roman" w:hAnsi="Arial" w:cs="Arial"/>
                <w:szCs w:val="20"/>
                <w:lang w:eastAsia="el-GR"/>
              </w:rPr>
              <w:t>.</w:t>
            </w:r>
            <w:r>
              <w:rPr>
                <w:rFonts w:ascii="Arial" w:eastAsia="Times New Roman" w:hAnsi="Arial" w:cs="Arial"/>
                <w:szCs w:val="20"/>
                <w:lang w:eastAsia="el-GR"/>
              </w:rPr>
              <w:t>g.</w:t>
            </w:r>
            <w:r w:rsidRPr="00617166">
              <w:rPr>
                <w:rFonts w:ascii="Arial" w:eastAsia="Times New Roman" w:hAnsi="Arial" w:cs="Arial"/>
                <w:szCs w:val="20"/>
                <w:lang w:eastAsia="el-GR"/>
              </w:rPr>
              <w:t xml:space="preserve"> </w:t>
            </w:r>
            <w:r>
              <w:rPr>
                <w:rFonts w:ascii="Arial" w:eastAsia="Times New Roman" w:hAnsi="Arial" w:cs="Arial"/>
                <w:szCs w:val="20"/>
                <w:lang w:eastAsia="el-GR"/>
              </w:rPr>
              <w:t>PICOS items,</w:t>
            </w:r>
            <w:r w:rsidRPr="00617166">
              <w:rPr>
                <w:rFonts w:ascii="Arial" w:eastAsia="Times New Roman" w:hAnsi="Arial" w:cs="Arial"/>
                <w:szCs w:val="20"/>
                <w:lang w:eastAsia="el-GR"/>
              </w:rPr>
              <w:t xml:space="preserve"> </w:t>
            </w:r>
            <w:r w:rsidRPr="00617166">
              <w:rPr>
                <w:rFonts w:ascii="Arial" w:eastAsia="Times New Roman" w:hAnsi="Arial" w:cs="Arial"/>
                <w:szCs w:val="20"/>
              </w:rPr>
              <w:t>number of included studies and participants, dose, length of follow up</w:t>
            </w:r>
            <w:r>
              <w:rPr>
                <w:rFonts w:ascii="Arial" w:eastAsia="Times New Roman" w:hAnsi="Arial" w:cs="Arial"/>
                <w:szCs w:val="20"/>
                <w:lang w:eastAsia="el-GR"/>
              </w:rPr>
              <w:t>, results</w:t>
            </w:r>
            <w:r w:rsidRPr="00617166">
              <w:rPr>
                <w:rFonts w:ascii="Arial" w:eastAsia="Times New Roman" w:hAnsi="Arial" w:cs="Arial"/>
                <w:szCs w:val="20"/>
                <w:lang w:eastAsia="el-GR"/>
              </w:rPr>
              <w:t>, funding sources)</w:t>
            </w:r>
            <w:r w:rsidRPr="00617166">
              <w:rPr>
                <w:rFonts w:ascii="Arial" w:eastAsia="Times New Roman" w:hAnsi="Arial" w:cs="Arial"/>
                <w:szCs w:val="20"/>
              </w:rPr>
              <w:t xml:space="preserve"> and any </w:t>
            </w:r>
            <w:r w:rsidRPr="00617166">
              <w:rPr>
                <w:rFonts w:ascii="Arial" w:hAnsi="Arial" w:cs="Arial"/>
                <w:szCs w:val="20"/>
              </w:rPr>
              <w:t xml:space="preserve">data </w:t>
            </w:r>
            <w:r w:rsidRPr="00617166">
              <w:rPr>
                <w:rFonts w:ascii="Arial" w:eastAsia="Times New Roman" w:hAnsi="Arial" w:cs="Arial"/>
                <w:szCs w:val="20"/>
              </w:rPr>
              <w:t>assumptions and simplifications made.</w:t>
            </w:r>
          </w:p>
        </w:tc>
        <w:tc>
          <w:tcPr>
            <w:tcW w:w="1156" w:type="dxa"/>
            <w:tcBorders>
              <w:right w:val="single" w:sz="4" w:space="0" w:color="auto"/>
            </w:tcBorders>
            <w:vAlign w:val="center"/>
          </w:tcPr>
          <w:p w14:paraId="32C6BF02"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5</w:t>
            </w:r>
            <w:r>
              <w:rPr>
                <w:rFonts w:ascii="Arial" w:hAnsi="Arial" w:cs="Arial"/>
                <w:iCs/>
                <w:szCs w:val="20"/>
                <w:lang w:eastAsia="zh-CN"/>
              </w:rPr>
              <w:t>-6</w:t>
            </w:r>
          </w:p>
        </w:tc>
      </w:tr>
      <w:tr w:rsidR="00BC3132" w:rsidRPr="00617166" w14:paraId="70774F70" w14:textId="77777777" w:rsidTr="00BC3132">
        <w:trPr>
          <w:cantSplit/>
          <w:trHeight w:val="562"/>
        </w:trPr>
        <w:tc>
          <w:tcPr>
            <w:tcW w:w="1929" w:type="dxa"/>
            <w:vMerge w:val="restart"/>
            <w:tcBorders>
              <w:left w:val="single" w:sz="4" w:space="0" w:color="auto"/>
            </w:tcBorders>
            <w:vAlign w:val="center"/>
            <w:hideMark/>
          </w:tcPr>
          <w:p w14:paraId="7B62FF71" w14:textId="77777777" w:rsidR="00BC3132" w:rsidRPr="00617166" w:rsidRDefault="00BC3132" w:rsidP="00A626C3">
            <w:pPr>
              <w:pStyle w:val="Default"/>
              <w:spacing w:before="40" w:after="40"/>
              <w:ind w:left="326" w:hanging="326"/>
              <w:rPr>
                <w:rFonts w:ascii="Arial" w:hAnsi="Arial" w:cs="Arial"/>
                <w:sz w:val="20"/>
                <w:szCs w:val="20"/>
                <w:lang w:val="en-US"/>
              </w:rPr>
            </w:pPr>
            <w:r>
              <w:rPr>
                <w:rFonts w:ascii="Arial" w:hAnsi="Arial" w:cs="Arial"/>
                <w:sz w:val="20"/>
                <w:szCs w:val="20"/>
                <w:lang w:eastAsia="el-GR"/>
              </w:rPr>
              <w:t xml:space="preserve">13. </w:t>
            </w:r>
            <w:r w:rsidRPr="00617166">
              <w:rPr>
                <w:rFonts w:ascii="Arial" w:hAnsi="Arial" w:cs="Arial"/>
                <w:sz w:val="20"/>
                <w:szCs w:val="20"/>
                <w:lang w:eastAsia="el-GR"/>
              </w:rPr>
              <w:t>Asses</w:t>
            </w:r>
            <w:r>
              <w:rPr>
                <w:rFonts w:ascii="Arial" w:hAnsi="Arial" w:cs="Arial"/>
                <w:sz w:val="20"/>
                <w:szCs w:val="20"/>
                <w:lang w:eastAsia="el-GR"/>
              </w:rPr>
              <w:t>sment of methodological quality &amp;</w:t>
            </w:r>
            <w:r w:rsidRPr="00617166">
              <w:rPr>
                <w:rFonts w:ascii="Arial" w:hAnsi="Arial" w:cs="Arial"/>
                <w:sz w:val="20"/>
                <w:szCs w:val="20"/>
                <w:lang w:eastAsia="el-GR"/>
              </w:rPr>
              <w:t xml:space="preserve"> quality of evidence</w:t>
            </w:r>
          </w:p>
        </w:tc>
        <w:tc>
          <w:tcPr>
            <w:tcW w:w="870" w:type="dxa"/>
            <w:vAlign w:val="center"/>
            <w:hideMark/>
          </w:tcPr>
          <w:p w14:paraId="1FEE86A4" w14:textId="77777777" w:rsidR="00BC3132" w:rsidRPr="00617166" w:rsidRDefault="00BC3132" w:rsidP="00A626C3">
            <w:pPr>
              <w:pStyle w:val="Default"/>
              <w:spacing w:before="40" w:after="40"/>
              <w:rPr>
                <w:rFonts w:ascii="Arial" w:hAnsi="Arial" w:cs="Arial"/>
                <w:sz w:val="20"/>
                <w:szCs w:val="20"/>
              </w:rPr>
            </w:pPr>
            <w:r>
              <w:rPr>
                <w:rFonts w:ascii="Arial" w:hAnsi="Arial" w:cs="Arial"/>
                <w:sz w:val="20"/>
                <w:szCs w:val="20"/>
              </w:rPr>
              <w:t>13a</w:t>
            </w:r>
          </w:p>
        </w:tc>
        <w:tc>
          <w:tcPr>
            <w:tcW w:w="10489" w:type="dxa"/>
            <w:gridSpan w:val="5"/>
            <w:vAlign w:val="center"/>
          </w:tcPr>
          <w:p w14:paraId="1CB00D55" w14:textId="77777777" w:rsidR="00BC3132" w:rsidRPr="003F4024" w:rsidRDefault="00BC3132" w:rsidP="00A626C3">
            <w:pPr>
              <w:pStyle w:val="Default"/>
              <w:spacing w:before="40" w:after="40"/>
              <w:jc w:val="both"/>
              <w:rPr>
                <w:rFonts w:ascii="Arial" w:hAnsi="Arial" w:cs="Arial"/>
                <w:sz w:val="20"/>
                <w:szCs w:val="20"/>
                <w:lang w:val="en-US"/>
              </w:rPr>
            </w:pPr>
            <w:r w:rsidRPr="004E049F">
              <w:rPr>
                <w:rFonts w:ascii="Arial" w:hAnsi="Arial" w:cs="Arial"/>
                <w:sz w:val="20"/>
                <w:szCs w:val="20"/>
                <w:lang w:eastAsia="el-GR"/>
              </w:rPr>
              <w:t xml:space="preserve">State the evaluation of reporting or/and methodological quality (eg. using PRISMA or PRISMA-harms, AMSTAR or </w:t>
            </w:r>
            <w:r>
              <w:rPr>
                <w:rFonts w:ascii="Arial" w:hAnsi="Arial" w:cs="Arial"/>
                <w:sz w:val="20"/>
                <w:szCs w:val="20"/>
                <w:lang w:eastAsia="el-GR"/>
              </w:rPr>
              <w:t>R-AMSTAR</w:t>
            </w:r>
            <w:r w:rsidRPr="004E049F">
              <w:rPr>
                <w:rFonts w:ascii="Arial" w:hAnsi="Arial" w:cs="Arial"/>
                <w:sz w:val="20"/>
                <w:szCs w:val="20"/>
                <w:lang w:eastAsia="el-GR"/>
              </w:rPr>
              <w:t>) of the included reviews</w:t>
            </w:r>
            <w:r>
              <w:rPr>
                <w:rFonts w:ascii="Arial" w:hAnsi="Arial" w:cs="Arial"/>
                <w:sz w:val="20"/>
                <w:szCs w:val="20"/>
                <w:lang w:eastAsia="el-GR"/>
              </w:rPr>
              <w:t>.</w:t>
            </w:r>
          </w:p>
        </w:tc>
        <w:tc>
          <w:tcPr>
            <w:tcW w:w="1156" w:type="dxa"/>
            <w:tcBorders>
              <w:right w:val="single" w:sz="4" w:space="0" w:color="auto"/>
            </w:tcBorders>
            <w:vAlign w:val="center"/>
          </w:tcPr>
          <w:p w14:paraId="28FC41DC"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N</w:t>
            </w:r>
            <w:r>
              <w:rPr>
                <w:rFonts w:ascii="Arial" w:hAnsi="Arial" w:cs="Arial"/>
                <w:iCs/>
                <w:szCs w:val="20"/>
                <w:lang w:eastAsia="zh-CN"/>
              </w:rPr>
              <w:t>A</w:t>
            </w:r>
          </w:p>
        </w:tc>
      </w:tr>
      <w:tr w:rsidR="00BC3132" w:rsidRPr="00962B44" w14:paraId="45D574A4" w14:textId="77777777" w:rsidTr="00BC3132">
        <w:trPr>
          <w:cantSplit/>
          <w:trHeight w:val="570"/>
        </w:trPr>
        <w:tc>
          <w:tcPr>
            <w:tcW w:w="1929" w:type="dxa"/>
            <w:vMerge/>
            <w:tcBorders>
              <w:left w:val="single" w:sz="4" w:space="0" w:color="auto"/>
            </w:tcBorders>
            <w:hideMark/>
          </w:tcPr>
          <w:p w14:paraId="2C2F7692" w14:textId="77777777" w:rsidR="00BC3132" w:rsidRPr="004C1685" w:rsidRDefault="00BC3132" w:rsidP="00A626C3">
            <w:pPr>
              <w:pStyle w:val="Default"/>
              <w:spacing w:before="40" w:after="40"/>
              <w:rPr>
                <w:rFonts w:ascii="Arial" w:hAnsi="Arial" w:cs="Arial"/>
                <w:sz w:val="20"/>
                <w:szCs w:val="20"/>
              </w:rPr>
            </w:pPr>
          </w:p>
        </w:tc>
        <w:tc>
          <w:tcPr>
            <w:tcW w:w="870" w:type="dxa"/>
            <w:vAlign w:val="center"/>
            <w:hideMark/>
          </w:tcPr>
          <w:p w14:paraId="33E494AF" w14:textId="77777777" w:rsidR="00BC3132" w:rsidRPr="00363B8D" w:rsidRDefault="00BC3132" w:rsidP="00A626C3">
            <w:pPr>
              <w:pStyle w:val="Default"/>
              <w:spacing w:before="40" w:after="40"/>
              <w:rPr>
                <w:rFonts w:ascii="Arial" w:hAnsi="Arial" w:cs="Arial"/>
                <w:sz w:val="20"/>
                <w:szCs w:val="20"/>
              </w:rPr>
            </w:pPr>
            <w:r>
              <w:rPr>
                <w:rFonts w:ascii="Arial" w:hAnsi="Arial" w:cs="Arial"/>
                <w:sz w:val="20"/>
                <w:szCs w:val="20"/>
              </w:rPr>
              <w:t>13b</w:t>
            </w:r>
            <w:r w:rsidRPr="00EC79DE">
              <w:rPr>
                <w:rFonts w:asciiTheme="minorHAnsi" w:hAnsiTheme="minorHAnsi" w:cstheme="minorHAnsi"/>
                <w:b/>
                <w:color w:val="8496B0" w:themeColor="text2" w:themeTint="99"/>
                <w:vertAlign w:val="superscript"/>
              </w:rPr>
              <w:t>e</w:t>
            </w:r>
          </w:p>
        </w:tc>
        <w:tc>
          <w:tcPr>
            <w:tcW w:w="10489" w:type="dxa"/>
            <w:gridSpan w:val="5"/>
            <w:vAlign w:val="center"/>
          </w:tcPr>
          <w:p w14:paraId="6328C8A7" w14:textId="77777777" w:rsidR="00BC3132" w:rsidRPr="00195FCB" w:rsidRDefault="00BC3132" w:rsidP="00A626C3">
            <w:pPr>
              <w:pStyle w:val="Default"/>
              <w:spacing w:before="40" w:after="40"/>
              <w:jc w:val="both"/>
              <w:rPr>
                <w:rFonts w:ascii="Arial" w:hAnsi="Arial" w:cs="Arial"/>
                <w:sz w:val="20"/>
                <w:szCs w:val="20"/>
              </w:rPr>
            </w:pPr>
            <w:r w:rsidRPr="004E049F">
              <w:rPr>
                <w:rFonts w:ascii="Arial" w:hAnsi="Arial" w:cs="Arial"/>
                <w:sz w:val="20"/>
                <w:szCs w:val="20"/>
                <w:lang w:eastAsia="el-GR"/>
              </w:rPr>
              <w:t>State the evaluation of</w:t>
            </w:r>
            <w:r>
              <w:rPr>
                <w:rFonts w:ascii="Arial" w:hAnsi="Arial" w:cs="Arial"/>
                <w:sz w:val="20"/>
                <w:szCs w:val="20"/>
                <w:lang w:eastAsia="el-GR"/>
              </w:rPr>
              <w:t xml:space="preserve"> q</w:t>
            </w:r>
            <w:r w:rsidRPr="00195FCB">
              <w:rPr>
                <w:rFonts w:ascii="Arial" w:hAnsi="Arial" w:cs="Arial"/>
                <w:sz w:val="20"/>
                <w:szCs w:val="20"/>
                <w:lang w:eastAsia="el-GR"/>
              </w:rPr>
              <w:t xml:space="preserve">uality </w:t>
            </w:r>
            <w:r>
              <w:rPr>
                <w:rFonts w:ascii="Arial" w:hAnsi="Arial" w:cs="Times New Roman"/>
                <w:sz w:val="20"/>
                <w:szCs w:val="20"/>
              </w:rPr>
              <w:t>for individual studies that were</w:t>
            </w:r>
            <w:r w:rsidRPr="00195FCB">
              <w:rPr>
                <w:rFonts w:ascii="Arial" w:hAnsi="Arial" w:cs="Times New Roman"/>
                <w:sz w:val="20"/>
                <w:szCs w:val="20"/>
              </w:rPr>
              <w:t xml:space="preserve"> included in the SRs</w:t>
            </w:r>
            <w:r>
              <w:rPr>
                <w:rFonts w:ascii="Arial" w:hAnsi="Arial" w:cs="Arial"/>
                <w:sz w:val="20"/>
                <w:szCs w:val="20"/>
                <w:lang w:eastAsia="el-GR"/>
              </w:rPr>
              <w:t xml:space="preserve"> (inform whether tools such as Jadad or</w:t>
            </w:r>
            <w:r w:rsidRPr="00195FCB">
              <w:rPr>
                <w:rFonts w:ascii="Arial" w:hAnsi="Arial" w:cs="Arial"/>
                <w:sz w:val="20"/>
                <w:szCs w:val="20"/>
                <w:lang w:eastAsia="el-GR"/>
              </w:rPr>
              <w:t xml:space="preserve"> RoB of Cochrane</w:t>
            </w:r>
            <w:r>
              <w:rPr>
                <w:rFonts w:ascii="Arial" w:hAnsi="Arial" w:cs="Arial"/>
                <w:sz w:val="20"/>
                <w:szCs w:val="20"/>
                <w:lang w:eastAsia="el-GR"/>
              </w:rPr>
              <w:t xml:space="preserve"> were used by the included reviews</w:t>
            </w:r>
            <w:r w:rsidRPr="00195FCB">
              <w:rPr>
                <w:rFonts w:ascii="Arial" w:hAnsi="Arial" w:cs="Arial"/>
                <w:sz w:val="20"/>
                <w:szCs w:val="20"/>
                <w:lang w:eastAsia="el-GR"/>
              </w:rPr>
              <w:t>)</w:t>
            </w:r>
            <w:r>
              <w:rPr>
                <w:rFonts w:ascii="Arial" w:hAnsi="Arial" w:cs="Arial"/>
                <w:sz w:val="20"/>
                <w:szCs w:val="20"/>
                <w:lang w:eastAsia="el-GR"/>
              </w:rPr>
              <w:t xml:space="preserve"> and for the additional primary studies.</w:t>
            </w:r>
          </w:p>
        </w:tc>
        <w:tc>
          <w:tcPr>
            <w:tcW w:w="1156" w:type="dxa"/>
            <w:tcBorders>
              <w:right w:val="single" w:sz="4" w:space="0" w:color="auto"/>
            </w:tcBorders>
            <w:vAlign w:val="center"/>
          </w:tcPr>
          <w:p w14:paraId="2EA688A9"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N</w:t>
            </w:r>
            <w:r>
              <w:rPr>
                <w:rFonts w:ascii="Arial" w:hAnsi="Arial" w:cs="Arial"/>
                <w:iCs/>
                <w:szCs w:val="20"/>
                <w:lang w:eastAsia="zh-CN"/>
              </w:rPr>
              <w:t>A</w:t>
            </w:r>
          </w:p>
        </w:tc>
      </w:tr>
      <w:tr w:rsidR="00BC3132" w:rsidRPr="00962B44" w14:paraId="02B65D20" w14:textId="77777777" w:rsidTr="00BC3132">
        <w:trPr>
          <w:cantSplit/>
          <w:trHeight w:val="394"/>
        </w:trPr>
        <w:tc>
          <w:tcPr>
            <w:tcW w:w="1929" w:type="dxa"/>
            <w:vMerge/>
            <w:tcBorders>
              <w:left w:val="single" w:sz="4" w:space="0" w:color="auto"/>
            </w:tcBorders>
            <w:hideMark/>
          </w:tcPr>
          <w:p w14:paraId="28E888BA" w14:textId="77777777" w:rsidR="00BC3132" w:rsidRPr="004C1685" w:rsidRDefault="00BC3132" w:rsidP="00A626C3">
            <w:pPr>
              <w:pStyle w:val="Default"/>
              <w:spacing w:before="40" w:after="40"/>
              <w:rPr>
                <w:rFonts w:ascii="Arial" w:hAnsi="Arial" w:cs="Arial"/>
                <w:sz w:val="20"/>
                <w:szCs w:val="20"/>
              </w:rPr>
            </w:pPr>
          </w:p>
        </w:tc>
        <w:tc>
          <w:tcPr>
            <w:tcW w:w="870" w:type="dxa"/>
            <w:vAlign w:val="center"/>
            <w:hideMark/>
          </w:tcPr>
          <w:p w14:paraId="7BD2168B" w14:textId="77777777" w:rsidR="00BC3132" w:rsidRPr="00363B8D" w:rsidRDefault="00BC3132" w:rsidP="00A626C3">
            <w:pPr>
              <w:pStyle w:val="Default"/>
              <w:spacing w:before="40" w:after="40"/>
              <w:rPr>
                <w:rFonts w:ascii="Arial" w:hAnsi="Arial" w:cs="Arial"/>
                <w:sz w:val="20"/>
                <w:szCs w:val="20"/>
              </w:rPr>
            </w:pPr>
            <w:r>
              <w:rPr>
                <w:rFonts w:ascii="Arial" w:hAnsi="Arial" w:cs="Arial"/>
                <w:sz w:val="20"/>
                <w:szCs w:val="20"/>
              </w:rPr>
              <w:t>13c</w:t>
            </w:r>
          </w:p>
        </w:tc>
        <w:tc>
          <w:tcPr>
            <w:tcW w:w="10489" w:type="dxa"/>
            <w:gridSpan w:val="5"/>
            <w:vAlign w:val="center"/>
          </w:tcPr>
          <w:p w14:paraId="45B7BD92" w14:textId="77777777" w:rsidR="00BC3132" w:rsidRPr="00195FCB" w:rsidRDefault="00BC3132" w:rsidP="00A626C3">
            <w:pPr>
              <w:pStyle w:val="Default"/>
              <w:spacing w:before="40" w:after="40"/>
              <w:jc w:val="both"/>
              <w:rPr>
                <w:rFonts w:ascii="Arial" w:hAnsi="Arial" w:cs="Arial"/>
                <w:sz w:val="20"/>
                <w:szCs w:val="20"/>
              </w:rPr>
            </w:pPr>
            <w:r w:rsidRPr="00195FCB">
              <w:rPr>
                <w:rFonts w:ascii="Arial" w:hAnsi="Arial" w:cs="Arial"/>
                <w:sz w:val="20"/>
                <w:szCs w:val="20"/>
                <w:lang w:eastAsia="el-GR"/>
              </w:rPr>
              <w:t>State the evaluation of quality of evidence (e</w:t>
            </w:r>
            <w:r>
              <w:rPr>
                <w:rFonts w:ascii="Arial" w:hAnsi="Arial" w:cs="Arial"/>
                <w:sz w:val="20"/>
                <w:szCs w:val="20"/>
                <w:lang w:eastAsia="el-GR"/>
              </w:rPr>
              <w:t>.</w:t>
            </w:r>
            <w:r w:rsidRPr="00195FCB">
              <w:rPr>
                <w:rFonts w:ascii="Arial" w:hAnsi="Arial" w:cs="Arial"/>
                <w:sz w:val="20"/>
                <w:szCs w:val="20"/>
                <w:lang w:eastAsia="el-GR"/>
              </w:rPr>
              <w:t>g. using GRADE approach).</w:t>
            </w:r>
          </w:p>
        </w:tc>
        <w:tc>
          <w:tcPr>
            <w:tcW w:w="1156" w:type="dxa"/>
            <w:tcBorders>
              <w:right w:val="single" w:sz="4" w:space="0" w:color="auto"/>
            </w:tcBorders>
            <w:vAlign w:val="center"/>
          </w:tcPr>
          <w:p w14:paraId="34F0533F"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N</w:t>
            </w:r>
            <w:r>
              <w:rPr>
                <w:rFonts w:ascii="Arial" w:hAnsi="Arial" w:cs="Arial"/>
                <w:iCs/>
                <w:szCs w:val="20"/>
                <w:lang w:eastAsia="zh-CN"/>
              </w:rPr>
              <w:t>A</w:t>
            </w:r>
          </w:p>
        </w:tc>
      </w:tr>
      <w:tr w:rsidR="00BC3132" w:rsidRPr="00962B44" w14:paraId="5ACAF35C" w14:textId="77777777" w:rsidTr="00BC3132">
        <w:trPr>
          <w:cantSplit/>
          <w:trHeight w:val="357"/>
        </w:trPr>
        <w:tc>
          <w:tcPr>
            <w:tcW w:w="1929" w:type="dxa"/>
            <w:vMerge/>
            <w:tcBorders>
              <w:left w:val="single" w:sz="4" w:space="0" w:color="auto"/>
            </w:tcBorders>
            <w:hideMark/>
          </w:tcPr>
          <w:p w14:paraId="291F41CF" w14:textId="77777777" w:rsidR="00BC3132" w:rsidRPr="004C1685" w:rsidRDefault="00BC3132" w:rsidP="00A626C3">
            <w:pPr>
              <w:pStyle w:val="Default"/>
              <w:spacing w:before="40" w:after="40"/>
              <w:rPr>
                <w:rFonts w:ascii="Arial" w:hAnsi="Arial" w:cs="Arial"/>
                <w:sz w:val="20"/>
                <w:szCs w:val="20"/>
              </w:rPr>
            </w:pPr>
          </w:p>
        </w:tc>
        <w:tc>
          <w:tcPr>
            <w:tcW w:w="870" w:type="dxa"/>
            <w:vAlign w:val="center"/>
            <w:hideMark/>
          </w:tcPr>
          <w:p w14:paraId="2F2C69FC" w14:textId="77777777" w:rsidR="00BC3132" w:rsidRPr="00363B8D" w:rsidRDefault="00BC3132" w:rsidP="00A626C3">
            <w:pPr>
              <w:pStyle w:val="Default"/>
              <w:spacing w:before="40" w:after="40"/>
              <w:rPr>
                <w:rFonts w:ascii="Arial" w:hAnsi="Arial" w:cs="Arial"/>
                <w:sz w:val="20"/>
                <w:szCs w:val="20"/>
              </w:rPr>
            </w:pPr>
            <w:r>
              <w:rPr>
                <w:rFonts w:ascii="Arial" w:hAnsi="Arial" w:cs="Arial"/>
                <w:sz w:val="20"/>
                <w:szCs w:val="20"/>
              </w:rPr>
              <w:t>13d</w:t>
            </w:r>
          </w:p>
        </w:tc>
        <w:tc>
          <w:tcPr>
            <w:tcW w:w="10489" w:type="dxa"/>
            <w:gridSpan w:val="5"/>
            <w:vAlign w:val="center"/>
          </w:tcPr>
          <w:p w14:paraId="55EAB379" w14:textId="77777777" w:rsidR="00BC3132" w:rsidRPr="009761B9" w:rsidRDefault="00BC3132" w:rsidP="00A626C3">
            <w:pPr>
              <w:pStyle w:val="Default"/>
              <w:spacing w:before="40" w:after="40"/>
              <w:jc w:val="both"/>
              <w:rPr>
                <w:rFonts w:ascii="Arial" w:hAnsi="Arial" w:cs="Arial"/>
                <w:sz w:val="20"/>
                <w:szCs w:val="20"/>
              </w:rPr>
            </w:pPr>
            <w:r w:rsidRPr="009761B9">
              <w:rPr>
                <w:rFonts w:ascii="Arial" w:hAnsi="Arial" w:cs="Arial"/>
                <w:sz w:val="20"/>
                <w:szCs w:val="20"/>
                <w:lang w:eastAsia="el-GR"/>
              </w:rPr>
              <w:t xml:space="preserve">Describe the methods </w:t>
            </w:r>
            <w:r>
              <w:rPr>
                <w:rFonts w:ascii="Arial" w:hAnsi="Arial" w:cs="Arial"/>
                <w:sz w:val="20"/>
                <w:szCs w:val="20"/>
              </w:rPr>
              <w:t>(e.g.</w:t>
            </w:r>
            <w:r w:rsidRPr="009761B9">
              <w:rPr>
                <w:rFonts w:ascii="Arial" w:hAnsi="Arial" w:cs="Arial"/>
                <w:sz w:val="20"/>
                <w:szCs w:val="20"/>
              </w:rPr>
              <w:t xml:space="preserve"> piloted forms, independently, in duplicate)</w:t>
            </w:r>
            <w:r>
              <w:rPr>
                <w:rFonts w:ascii="Arial" w:hAnsi="Arial" w:cs="Arial"/>
                <w:sz w:val="20"/>
                <w:szCs w:val="20"/>
                <w:lang w:eastAsia="el-GR"/>
              </w:rPr>
              <w:t xml:space="preserve"> used for the </w:t>
            </w:r>
            <w:r w:rsidRPr="009761B9">
              <w:rPr>
                <w:rFonts w:ascii="Arial" w:hAnsi="Arial" w:cs="Arial"/>
                <w:sz w:val="20"/>
                <w:szCs w:val="20"/>
                <w:lang w:eastAsia="el-GR"/>
              </w:rPr>
              <w:t>quality assessment</w:t>
            </w:r>
            <w:r>
              <w:rPr>
                <w:rFonts w:ascii="Arial" w:hAnsi="Arial" w:cs="Arial"/>
                <w:sz w:val="20"/>
                <w:szCs w:val="20"/>
                <w:lang w:eastAsia="el-GR"/>
              </w:rPr>
              <w:t>.</w:t>
            </w:r>
          </w:p>
        </w:tc>
        <w:tc>
          <w:tcPr>
            <w:tcW w:w="1156" w:type="dxa"/>
            <w:tcBorders>
              <w:right w:val="single" w:sz="4" w:space="0" w:color="auto"/>
            </w:tcBorders>
            <w:vAlign w:val="center"/>
          </w:tcPr>
          <w:p w14:paraId="27F41B60"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N</w:t>
            </w:r>
            <w:r>
              <w:rPr>
                <w:rFonts w:ascii="Arial" w:hAnsi="Arial" w:cs="Arial"/>
                <w:iCs/>
                <w:szCs w:val="20"/>
                <w:lang w:eastAsia="zh-CN"/>
              </w:rPr>
              <w:t>A</w:t>
            </w:r>
          </w:p>
        </w:tc>
      </w:tr>
      <w:tr w:rsidR="00BC3132" w:rsidRPr="00962B44" w14:paraId="0B7F40D5" w14:textId="77777777" w:rsidTr="00BC3132">
        <w:trPr>
          <w:cantSplit/>
          <w:trHeight w:val="416"/>
        </w:trPr>
        <w:tc>
          <w:tcPr>
            <w:tcW w:w="1929" w:type="dxa"/>
            <w:tcBorders>
              <w:left w:val="single" w:sz="4" w:space="0" w:color="auto"/>
            </w:tcBorders>
            <w:vAlign w:val="center"/>
            <w:hideMark/>
          </w:tcPr>
          <w:p w14:paraId="36E7072F" w14:textId="77777777" w:rsidR="00BC3132" w:rsidRPr="008533E6" w:rsidRDefault="00BC3132" w:rsidP="00A626C3">
            <w:pPr>
              <w:pStyle w:val="Default"/>
              <w:spacing w:before="40" w:after="40"/>
              <w:rPr>
                <w:rFonts w:ascii="Arial" w:hAnsi="Arial" w:cs="Arial"/>
                <w:sz w:val="20"/>
                <w:szCs w:val="20"/>
              </w:rPr>
            </w:pPr>
            <w:r w:rsidRPr="008533E6">
              <w:rPr>
                <w:rFonts w:ascii="Arial" w:hAnsi="Arial" w:cs="Arial"/>
                <w:sz w:val="20"/>
                <w:szCs w:val="20"/>
                <w:lang w:val="en-US"/>
              </w:rPr>
              <w:t xml:space="preserve">14. </w:t>
            </w:r>
            <w:r w:rsidRPr="008533E6">
              <w:rPr>
                <w:rFonts w:ascii="Arial" w:eastAsiaTheme="minorHAnsi" w:hAnsi="Arial" w:cs="Arial"/>
                <w:bCs/>
                <w:sz w:val="20"/>
                <w:szCs w:val="20"/>
                <w:lang w:val="el-GR"/>
              </w:rPr>
              <w:t>Meta-bias(es)</w:t>
            </w:r>
          </w:p>
        </w:tc>
        <w:tc>
          <w:tcPr>
            <w:tcW w:w="870" w:type="dxa"/>
            <w:vAlign w:val="center"/>
            <w:hideMark/>
          </w:tcPr>
          <w:p w14:paraId="580B6C17" w14:textId="77777777" w:rsidR="00BC3132" w:rsidRPr="008533E6" w:rsidRDefault="00BC3132" w:rsidP="00A626C3">
            <w:pPr>
              <w:pStyle w:val="Default"/>
              <w:spacing w:before="40" w:after="40"/>
              <w:rPr>
                <w:rFonts w:ascii="Arial" w:hAnsi="Arial" w:cs="Arial"/>
                <w:sz w:val="20"/>
                <w:szCs w:val="20"/>
              </w:rPr>
            </w:pPr>
            <w:r w:rsidRPr="008533E6">
              <w:rPr>
                <w:rFonts w:ascii="Arial" w:hAnsi="Arial" w:cs="Arial"/>
                <w:sz w:val="20"/>
                <w:szCs w:val="20"/>
              </w:rPr>
              <w:t>14</w:t>
            </w:r>
          </w:p>
        </w:tc>
        <w:tc>
          <w:tcPr>
            <w:tcW w:w="10489" w:type="dxa"/>
            <w:gridSpan w:val="5"/>
            <w:vAlign w:val="center"/>
          </w:tcPr>
          <w:p w14:paraId="493E9C46" w14:textId="77777777" w:rsidR="00BC3132" w:rsidRPr="008533E6" w:rsidRDefault="00BC3132" w:rsidP="00A626C3">
            <w:pPr>
              <w:pStyle w:val="Default"/>
              <w:spacing w:before="40" w:after="40"/>
              <w:jc w:val="both"/>
              <w:rPr>
                <w:rFonts w:ascii="Arial" w:hAnsi="Arial" w:cs="Arial"/>
                <w:sz w:val="20"/>
                <w:szCs w:val="20"/>
              </w:rPr>
            </w:pPr>
            <w:r w:rsidRPr="008533E6">
              <w:rPr>
                <w:rFonts w:ascii="Arial" w:hAnsi="Arial" w:cs="Arial"/>
                <w:sz w:val="20"/>
              </w:rPr>
              <w:t>Specify any planned assessment of meta-bia</w:t>
            </w:r>
            <w:r>
              <w:rPr>
                <w:rFonts w:ascii="Arial" w:hAnsi="Arial" w:cs="Arial"/>
                <w:sz w:val="20"/>
              </w:rPr>
              <w:t>s(es) (such as publication bias</w:t>
            </w:r>
            <w:r w:rsidRPr="008533E6">
              <w:rPr>
                <w:rFonts w:ascii="Arial" w:hAnsi="Arial" w:cs="Arial"/>
                <w:sz w:val="20"/>
              </w:rPr>
              <w:t xml:space="preserve"> </w:t>
            </w:r>
            <w:r>
              <w:rPr>
                <w:rFonts w:ascii="Arial" w:hAnsi="Arial" w:cs="Arial"/>
                <w:sz w:val="20"/>
              </w:rPr>
              <w:t xml:space="preserve">or </w:t>
            </w:r>
            <w:r w:rsidRPr="008533E6">
              <w:rPr>
                <w:rFonts w:ascii="Arial" w:hAnsi="Arial" w:cs="Arial"/>
                <w:sz w:val="20"/>
              </w:rPr>
              <w:t>selective reporting across studies</w:t>
            </w:r>
            <w:r>
              <w:rPr>
                <w:rFonts w:ascii="Arial" w:hAnsi="Arial" w:cs="Arial"/>
                <w:sz w:val="20"/>
              </w:rPr>
              <w:t>, ROBIS tool).</w:t>
            </w:r>
          </w:p>
        </w:tc>
        <w:tc>
          <w:tcPr>
            <w:tcW w:w="1156" w:type="dxa"/>
            <w:tcBorders>
              <w:right w:val="single" w:sz="4" w:space="0" w:color="auto"/>
            </w:tcBorders>
            <w:vAlign w:val="center"/>
          </w:tcPr>
          <w:p w14:paraId="01FE152E"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N</w:t>
            </w:r>
            <w:r>
              <w:rPr>
                <w:rFonts w:ascii="Arial" w:hAnsi="Arial" w:cs="Arial"/>
                <w:iCs/>
                <w:szCs w:val="20"/>
                <w:lang w:eastAsia="zh-CN"/>
              </w:rPr>
              <w:t>A</w:t>
            </w:r>
          </w:p>
        </w:tc>
      </w:tr>
      <w:tr w:rsidR="00BC3132" w:rsidRPr="00962B44" w14:paraId="0963D06D" w14:textId="77777777" w:rsidTr="00BC3132">
        <w:trPr>
          <w:cantSplit/>
          <w:trHeight w:val="721"/>
        </w:trPr>
        <w:tc>
          <w:tcPr>
            <w:tcW w:w="1929" w:type="dxa"/>
            <w:vMerge w:val="restart"/>
            <w:tcBorders>
              <w:left w:val="single" w:sz="4" w:space="0" w:color="auto"/>
              <w:bottom w:val="single" w:sz="4" w:space="0" w:color="auto"/>
            </w:tcBorders>
            <w:vAlign w:val="center"/>
            <w:hideMark/>
          </w:tcPr>
          <w:p w14:paraId="2BE6EAEC" w14:textId="77777777" w:rsidR="00BC3132" w:rsidRPr="007228CE" w:rsidRDefault="00BC3132" w:rsidP="00A626C3">
            <w:pPr>
              <w:pStyle w:val="Default"/>
              <w:spacing w:before="40" w:after="40"/>
              <w:rPr>
                <w:rFonts w:ascii="Arial" w:hAnsi="Arial" w:cs="Arial"/>
                <w:sz w:val="20"/>
                <w:szCs w:val="20"/>
              </w:rPr>
            </w:pPr>
            <w:r w:rsidRPr="007228CE">
              <w:rPr>
                <w:rFonts w:ascii="Arial" w:hAnsi="Arial" w:cs="Arial"/>
                <w:sz w:val="20"/>
                <w:szCs w:val="20"/>
                <w:lang w:val="en-US" w:eastAsia="el-GR"/>
              </w:rPr>
              <w:t>15. Data synthesis</w:t>
            </w:r>
          </w:p>
        </w:tc>
        <w:tc>
          <w:tcPr>
            <w:tcW w:w="870" w:type="dxa"/>
            <w:tcBorders>
              <w:bottom w:val="single" w:sz="4" w:space="0" w:color="auto"/>
            </w:tcBorders>
            <w:vAlign w:val="center"/>
            <w:hideMark/>
          </w:tcPr>
          <w:p w14:paraId="54CF2B67" w14:textId="77777777" w:rsidR="00BC3132" w:rsidRPr="007228CE" w:rsidRDefault="00BC3132" w:rsidP="00A626C3">
            <w:pPr>
              <w:pStyle w:val="Default"/>
              <w:spacing w:before="40" w:after="40"/>
              <w:rPr>
                <w:rFonts w:ascii="Arial" w:hAnsi="Arial" w:cs="Arial"/>
                <w:sz w:val="20"/>
                <w:szCs w:val="20"/>
              </w:rPr>
            </w:pPr>
            <w:r>
              <w:rPr>
                <w:rFonts w:ascii="Arial" w:hAnsi="Arial" w:cs="Arial"/>
                <w:sz w:val="20"/>
                <w:szCs w:val="20"/>
              </w:rPr>
              <w:t>15a</w:t>
            </w:r>
          </w:p>
        </w:tc>
        <w:tc>
          <w:tcPr>
            <w:tcW w:w="10489" w:type="dxa"/>
            <w:gridSpan w:val="5"/>
            <w:tcBorders>
              <w:bottom w:val="single" w:sz="4" w:space="0" w:color="auto"/>
            </w:tcBorders>
            <w:vAlign w:val="center"/>
          </w:tcPr>
          <w:p w14:paraId="2AC0EA8B" w14:textId="77777777" w:rsidR="00BC3132" w:rsidRPr="00631883" w:rsidRDefault="00BC3132" w:rsidP="00A626C3">
            <w:pPr>
              <w:pStyle w:val="Default"/>
              <w:spacing w:before="40" w:after="40"/>
              <w:jc w:val="both"/>
              <w:rPr>
                <w:rFonts w:ascii="Arial" w:hAnsi="Arial" w:cs="Arial"/>
                <w:sz w:val="20"/>
                <w:szCs w:val="20"/>
              </w:rPr>
            </w:pPr>
            <w:r w:rsidRPr="007228CE">
              <w:rPr>
                <w:rFonts w:ascii="Arial" w:hAnsi="Arial" w:cs="Arial"/>
                <w:sz w:val="20"/>
                <w:szCs w:val="20"/>
                <w:lang w:eastAsia="el-GR"/>
              </w:rPr>
              <w:t xml:space="preserve">Specify </w:t>
            </w:r>
            <w:r>
              <w:rPr>
                <w:rFonts w:ascii="Arial" w:hAnsi="Arial" w:cs="Arial"/>
                <w:sz w:val="20"/>
                <w:szCs w:val="20"/>
                <w:lang w:eastAsia="el-GR"/>
              </w:rPr>
              <w:t xml:space="preserve">clearly </w:t>
            </w:r>
            <w:r w:rsidRPr="007228CE">
              <w:rPr>
                <w:rFonts w:ascii="Arial" w:hAnsi="Arial" w:cs="Arial"/>
                <w:sz w:val="20"/>
                <w:szCs w:val="20"/>
                <w:lang w:eastAsia="el-GR"/>
              </w:rPr>
              <w:t xml:space="preserve">the </w:t>
            </w:r>
            <w:r>
              <w:rPr>
                <w:rFonts w:ascii="Arial" w:hAnsi="Arial" w:cs="Arial"/>
                <w:sz w:val="20"/>
                <w:szCs w:val="20"/>
                <w:lang w:eastAsia="el-GR"/>
              </w:rPr>
              <w:t>method (narrative, meta-analysis or network meta-analysis)</w:t>
            </w:r>
            <w:r w:rsidRPr="007228CE">
              <w:rPr>
                <w:rFonts w:ascii="Arial" w:hAnsi="Arial" w:cs="Arial"/>
                <w:sz w:val="20"/>
                <w:szCs w:val="20"/>
                <w:lang w:eastAsia="el-GR"/>
              </w:rPr>
              <w:t xml:space="preserve"> of handling </w:t>
            </w:r>
            <w:r>
              <w:rPr>
                <w:rFonts w:ascii="Arial" w:hAnsi="Arial" w:cs="Arial"/>
                <w:sz w:val="20"/>
                <w:szCs w:val="20"/>
                <w:lang w:eastAsia="el-GR"/>
              </w:rPr>
              <w:t>or</w:t>
            </w:r>
            <w:r w:rsidRPr="007228CE">
              <w:rPr>
                <w:rFonts w:ascii="Arial" w:hAnsi="Arial" w:cs="Arial"/>
                <w:sz w:val="20"/>
                <w:szCs w:val="20"/>
                <w:lang w:eastAsia="el-GR"/>
              </w:rPr>
              <w:t xml:space="preserve"> synthesizing data and their details (e.g. state the principal summary measures</w:t>
            </w:r>
            <w:r>
              <w:rPr>
                <w:rFonts w:ascii="Arial" w:hAnsi="Arial" w:cs="Arial"/>
                <w:sz w:val="20"/>
                <w:szCs w:val="20"/>
                <w:lang w:eastAsia="el-GR"/>
              </w:rPr>
              <w:t xml:space="preserve"> that were extracted or calculated</w:t>
            </w:r>
            <w:r w:rsidRPr="007228CE">
              <w:rPr>
                <w:rFonts w:ascii="Arial" w:hAnsi="Arial" w:cs="Arial"/>
                <w:sz w:val="20"/>
                <w:szCs w:val="20"/>
                <w:lang w:eastAsia="el-GR"/>
              </w:rPr>
              <w:t xml:space="preserve">, how heterogeneity </w:t>
            </w:r>
            <w:r>
              <w:rPr>
                <w:rFonts w:ascii="Arial" w:hAnsi="Arial" w:cs="Arial"/>
                <w:sz w:val="20"/>
                <w:szCs w:val="20"/>
                <w:lang w:eastAsia="el-GR"/>
              </w:rPr>
              <w:t xml:space="preserve">was </w:t>
            </w:r>
            <w:r w:rsidRPr="007228CE">
              <w:rPr>
                <w:rFonts w:ascii="Arial" w:hAnsi="Arial" w:cs="Arial"/>
                <w:sz w:val="20"/>
                <w:szCs w:val="20"/>
                <w:lang w:eastAsia="el-GR"/>
              </w:rPr>
              <w:lastRenderedPageBreak/>
              <w:t>assess</w:t>
            </w:r>
            <w:r>
              <w:rPr>
                <w:rFonts w:ascii="Arial" w:hAnsi="Arial" w:cs="Arial"/>
                <w:sz w:val="20"/>
                <w:szCs w:val="20"/>
                <w:lang w:eastAsia="el-GR"/>
              </w:rPr>
              <w:t>ed</w:t>
            </w:r>
            <w:r w:rsidRPr="007228CE">
              <w:rPr>
                <w:rFonts w:ascii="Arial" w:hAnsi="Arial" w:cs="Arial"/>
                <w:sz w:val="20"/>
                <w:szCs w:val="20"/>
                <w:lang w:eastAsia="el-GR"/>
              </w:rPr>
              <w:t xml:space="preserve">, what statistical approaches </w:t>
            </w:r>
            <w:r>
              <w:rPr>
                <w:rFonts w:ascii="Arial" w:hAnsi="Arial" w:cs="Arial"/>
                <w:sz w:val="20"/>
                <w:szCs w:val="20"/>
                <w:lang w:eastAsia="el-GR"/>
              </w:rPr>
              <w:t>were us</w:t>
            </w:r>
            <w:r w:rsidRPr="007228CE">
              <w:rPr>
                <w:rFonts w:ascii="Arial" w:hAnsi="Arial" w:cs="Arial"/>
                <w:sz w:val="20"/>
                <w:szCs w:val="20"/>
                <w:lang w:eastAsia="el-GR"/>
              </w:rPr>
              <w:t>ed</w:t>
            </w:r>
            <w:r>
              <w:rPr>
                <w:rFonts w:ascii="Arial" w:hAnsi="Arial" w:cs="Arial"/>
                <w:sz w:val="20"/>
                <w:szCs w:val="20"/>
                <w:lang w:eastAsia="el-GR"/>
              </w:rPr>
              <w:t xml:space="preserve"> if</w:t>
            </w:r>
            <w:r>
              <w:rPr>
                <w:rFonts w:ascii="Arial" w:hAnsi="Arial" w:cs="Arial"/>
                <w:sz w:val="20"/>
                <w:szCs w:val="20"/>
              </w:rPr>
              <w:t xml:space="preserve"> a quantitative synthesis has been conducted</w:t>
            </w:r>
            <w:r w:rsidRPr="007228CE">
              <w:rPr>
                <w:rFonts w:ascii="Arial" w:hAnsi="Arial" w:cs="Arial"/>
                <w:sz w:val="20"/>
                <w:szCs w:val="20"/>
                <w:lang w:eastAsia="el-GR"/>
              </w:rPr>
              <w:t>)</w:t>
            </w:r>
            <w:r>
              <w:rPr>
                <w:rFonts w:ascii="Arial" w:hAnsi="Arial" w:cs="Arial"/>
                <w:sz w:val="20"/>
                <w:szCs w:val="20"/>
                <w:lang w:eastAsia="el-GR"/>
              </w:rPr>
              <w:t>.</w:t>
            </w:r>
          </w:p>
        </w:tc>
        <w:tc>
          <w:tcPr>
            <w:tcW w:w="1156" w:type="dxa"/>
            <w:tcBorders>
              <w:bottom w:val="single" w:sz="4" w:space="0" w:color="auto"/>
              <w:right w:val="single" w:sz="4" w:space="0" w:color="auto"/>
            </w:tcBorders>
            <w:vAlign w:val="center"/>
          </w:tcPr>
          <w:p w14:paraId="45F2A9AB" w14:textId="77777777" w:rsidR="00BC3132" w:rsidRPr="00B66C4E" w:rsidRDefault="00BC3132" w:rsidP="00A626C3">
            <w:pPr>
              <w:rPr>
                <w:rFonts w:ascii="Arial" w:hAnsi="Arial" w:cs="Arial"/>
                <w:iCs/>
                <w:szCs w:val="20"/>
                <w:lang w:val="en-CA" w:eastAsia="zh-CN"/>
              </w:rPr>
            </w:pPr>
            <w:r>
              <w:rPr>
                <w:rFonts w:ascii="Arial" w:hAnsi="Arial" w:cs="Arial" w:hint="eastAsia"/>
                <w:iCs/>
                <w:szCs w:val="20"/>
                <w:lang w:val="en-CA" w:eastAsia="zh-CN"/>
              </w:rPr>
              <w:lastRenderedPageBreak/>
              <w:t>6</w:t>
            </w:r>
            <w:r>
              <w:rPr>
                <w:rFonts w:ascii="Arial" w:hAnsi="Arial" w:cs="Arial"/>
                <w:iCs/>
                <w:szCs w:val="20"/>
                <w:lang w:val="en-CA" w:eastAsia="zh-CN"/>
              </w:rPr>
              <w:t>-7</w:t>
            </w:r>
          </w:p>
        </w:tc>
      </w:tr>
      <w:tr w:rsidR="00BC3132" w:rsidRPr="00962B44" w14:paraId="0A4352E7" w14:textId="77777777" w:rsidTr="00BC3132">
        <w:trPr>
          <w:cantSplit/>
          <w:trHeight w:val="222"/>
        </w:trPr>
        <w:tc>
          <w:tcPr>
            <w:tcW w:w="1929" w:type="dxa"/>
            <w:vMerge/>
            <w:tcBorders>
              <w:left w:val="single" w:sz="4" w:space="0" w:color="auto"/>
              <w:bottom w:val="single" w:sz="4" w:space="0" w:color="auto"/>
            </w:tcBorders>
            <w:vAlign w:val="center"/>
            <w:hideMark/>
          </w:tcPr>
          <w:p w14:paraId="553FAE21" w14:textId="77777777" w:rsidR="00BC3132" w:rsidRPr="007228CE" w:rsidRDefault="00BC3132" w:rsidP="00A626C3">
            <w:pPr>
              <w:pStyle w:val="Default"/>
              <w:spacing w:before="40" w:after="40"/>
              <w:rPr>
                <w:rFonts w:ascii="Arial" w:hAnsi="Arial" w:cs="Arial"/>
                <w:sz w:val="20"/>
                <w:szCs w:val="20"/>
              </w:rPr>
            </w:pPr>
          </w:p>
        </w:tc>
        <w:tc>
          <w:tcPr>
            <w:tcW w:w="870" w:type="dxa"/>
            <w:tcBorders>
              <w:bottom w:val="single" w:sz="4" w:space="0" w:color="auto"/>
            </w:tcBorders>
            <w:vAlign w:val="center"/>
            <w:hideMark/>
          </w:tcPr>
          <w:p w14:paraId="0707FB3D" w14:textId="77777777" w:rsidR="00BC3132" w:rsidRPr="007228CE" w:rsidRDefault="00BC3132" w:rsidP="00A626C3">
            <w:pPr>
              <w:pStyle w:val="Default"/>
              <w:spacing w:before="40" w:after="40"/>
              <w:rPr>
                <w:rFonts w:ascii="Arial" w:hAnsi="Arial" w:cs="Arial"/>
                <w:sz w:val="20"/>
                <w:szCs w:val="20"/>
              </w:rPr>
            </w:pPr>
            <w:r w:rsidRPr="007228CE">
              <w:rPr>
                <w:rFonts w:ascii="Arial" w:hAnsi="Arial" w:cs="Arial"/>
                <w:sz w:val="20"/>
                <w:szCs w:val="20"/>
              </w:rPr>
              <w:t>15</w:t>
            </w:r>
            <w:r>
              <w:rPr>
                <w:rFonts w:ascii="Arial" w:hAnsi="Arial" w:cs="Arial"/>
                <w:sz w:val="20"/>
                <w:szCs w:val="20"/>
              </w:rPr>
              <w:t>b</w:t>
            </w:r>
          </w:p>
        </w:tc>
        <w:tc>
          <w:tcPr>
            <w:tcW w:w="10489" w:type="dxa"/>
            <w:gridSpan w:val="5"/>
            <w:tcBorders>
              <w:bottom w:val="single" w:sz="4" w:space="0" w:color="auto"/>
            </w:tcBorders>
            <w:vAlign w:val="center"/>
          </w:tcPr>
          <w:p w14:paraId="583DFF11" w14:textId="77777777" w:rsidR="00BC3132" w:rsidRPr="007228CE" w:rsidRDefault="00BC3132" w:rsidP="00A626C3">
            <w:pPr>
              <w:pStyle w:val="Default"/>
              <w:spacing w:before="40" w:after="40"/>
              <w:jc w:val="both"/>
              <w:rPr>
                <w:rFonts w:ascii="Arial" w:hAnsi="Arial" w:cs="Arial"/>
                <w:sz w:val="20"/>
                <w:szCs w:val="20"/>
              </w:rPr>
            </w:pPr>
            <w:r w:rsidRPr="00631883">
              <w:rPr>
                <w:rFonts w:ascii="Arial" w:hAnsi="Arial" w:cs="Arial"/>
                <w:sz w:val="20"/>
                <w:szCs w:val="20"/>
              </w:rPr>
              <w:t xml:space="preserve">Describe </w:t>
            </w:r>
            <w:r>
              <w:rPr>
                <w:rFonts w:ascii="Arial" w:hAnsi="Arial" w:cs="Arial"/>
                <w:sz w:val="20"/>
                <w:szCs w:val="20"/>
              </w:rPr>
              <w:t xml:space="preserve">the software </w:t>
            </w:r>
            <w:r w:rsidRPr="00631883">
              <w:rPr>
                <w:rFonts w:ascii="Arial" w:hAnsi="Arial" w:cs="Arial"/>
                <w:sz w:val="20"/>
                <w:szCs w:val="20"/>
              </w:rPr>
              <w:t xml:space="preserve">that </w:t>
            </w:r>
            <w:r>
              <w:rPr>
                <w:rFonts w:ascii="Arial" w:hAnsi="Arial" w:cs="Arial"/>
                <w:sz w:val="20"/>
                <w:szCs w:val="20"/>
              </w:rPr>
              <w:t xml:space="preserve">was used </w:t>
            </w:r>
            <w:r w:rsidRPr="00631883">
              <w:rPr>
                <w:rFonts w:ascii="Arial" w:hAnsi="Arial" w:cs="Arial"/>
                <w:sz w:val="20"/>
                <w:szCs w:val="20"/>
              </w:rPr>
              <w:t xml:space="preserve">to </w:t>
            </w:r>
            <w:r>
              <w:rPr>
                <w:rFonts w:ascii="Arial" w:hAnsi="Arial" w:cs="Arial"/>
                <w:sz w:val="20"/>
                <w:szCs w:val="20"/>
              </w:rPr>
              <w:t>analyze the data if a quantitative synthesis has been conducted</w:t>
            </w:r>
            <w:r w:rsidRPr="00631883">
              <w:rPr>
                <w:rFonts w:ascii="Arial" w:hAnsi="Arial" w:cs="Arial"/>
                <w:sz w:val="20"/>
                <w:szCs w:val="20"/>
              </w:rPr>
              <w:t>.</w:t>
            </w:r>
          </w:p>
        </w:tc>
        <w:tc>
          <w:tcPr>
            <w:tcW w:w="1156" w:type="dxa"/>
            <w:tcBorders>
              <w:bottom w:val="single" w:sz="4" w:space="0" w:color="auto"/>
              <w:right w:val="single" w:sz="4" w:space="0" w:color="auto"/>
            </w:tcBorders>
            <w:vAlign w:val="center"/>
          </w:tcPr>
          <w:p w14:paraId="5D6F19F2"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6</w:t>
            </w:r>
            <w:r>
              <w:rPr>
                <w:rFonts w:ascii="Arial" w:hAnsi="Arial" w:cs="Arial"/>
                <w:iCs/>
                <w:szCs w:val="20"/>
                <w:lang w:eastAsia="zh-CN"/>
              </w:rPr>
              <w:t>-7</w:t>
            </w:r>
          </w:p>
        </w:tc>
      </w:tr>
      <w:tr w:rsidR="00BC3132" w:rsidRPr="00962B44" w14:paraId="0A66AC7E" w14:textId="77777777" w:rsidTr="00BC3132">
        <w:trPr>
          <w:cantSplit/>
          <w:trHeight w:val="269"/>
        </w:trPr>
        <w:tc>
          <w:tcPr>
            <w:tcW w:w="1929" w:type="dxa"/>
            <w:vMerge/>
            <w:tcBorders>
              <w:left w:val="single" w:sz="4" w:space="0" w:color="auto"/>
              <w:bottom w:val="single" w:sz="4" w:space="0" w:color="auto"/>
            </w:tcBorders>
            <w:vAlign w:val="center"/>
            <w:hideMark/>
          </w:tcPr>
          <w:p w14:paraId="53D0104E" w14:textId="77777777" w:rsidR="00BC3132" w:rsidRPr="007228CE" w:rsidRDefault="00BC3132" w:rsidP="00A626C3">
            <w:pPr>
              <w:pStyle w:val="Default"/>
              <w:spacing w:before="40" w:after="40"/>
              <w:rPr>
                <w:rFonts w:ascii="Arial" w:hAnsi="Arial" w:cs="Arial"/>
                <w:sz w:val="20"/>
                <w:szCs w:val="20"/>
              </w:rPr>
            </w:pPr>
          </w:p>
        </w:tc>
        <w:tc>
          <w:tcPr>
            <w:tcW w:w="870" w:type="dxa"/>
            <w:tcBorders>
              <w:bottom w:val="single" w:sz="4" w:space="0" w:color="auto"/>
            </w:tcBorders>
            <w:vAlign w:val="center"/>
            <w:hideMark/>
          </w:tcPr>
          <w:p w14:paraId="700E5680" w14:textId="77777777" w:rsidR="00BC3132" w:rsidRPr="007228CE" w:rsidRDefault="00BC3132" w:rsidP="00A626C3">
            <w:pPr>
              <w:pStyle w:val="Default"/>
              <w:spacing w:before="40" w:after="40"/>
              <w:rPr>
                <w:rFonts w:ascii="Arial" w:hAnsi="Arial" w:cs="Arial"/>
                <w:sz w:val="20"/>
                <w:szCs w:val="20"/>
              </w:rPr>
            </w:pPr>
            <w:r>
              <w:rPr>
                <w:rFonts w:ascii="Arial" w:hAnsi="Arial" w:cs="Arial"/>
                <w:sz w:val="20"/>
                <w:szCs w:val="20"/>
              </w:rPr>
              <w:t>15c</w:t>
            </w:r>
          </w:p>
        </w:tc>
        <w:tc>
          <w:tcPr>
            <w:tcW w:w="10489" w:type="dxa"/>
            <w:gridSpan w:val="5"/>
            <w:tcBorders>
              <w:bottom w:val="single" w:sz="4" w:space="0" w:color="auto"/>
            </w:tcBorders>
            <w:vAlign w:val="center"/>
          </w:tcPr>
          <w:p w14:paraId="7119685B" w14:textId="77777777" w:rsidR="00BC3132" w:rsidRPr="004310C2" w:rsidRDefault="00BC3132" w:rsidP="00A626C3">
            <w:pPr>
              <w:pStyle w:val="Default"/>
              <w:jc w:val="both"/>
              <w:rPr>
                <w:rFonts w:ascii="Arial" w:hAnsi="Arial" w:cs="Arial"/>
                <w:sz w:val="20"/>
                <w:szCs w:val="20"/>
              </w:rPr>
            </w:pPr>
            <w:r w:rsidRPr="007228CE">
              <w:rPr>
                <w:rFonts w:ascii="Arial" w:hAnsi="Arial" w:cs="Arial"/>
                <w:sz w:val="20"/>
                <w:szCs w:val="20"/>
              </w:rPr>
              <w:t xml:space="preserve">Report if zero events are included in the studies and how they </w:t>
            </w:r>
            <w:r>
              <w:rPr>
                <w:rFonts w:ascii="Arial" w:hAnsi="Arial" w:cs="Arial"/>
                <w:sz w:val="20"/>
                <w:szCs w:val="20"/>
              </w:rPr>
              <w:t>were</w:t>
            </w:r>
            <w:r w:rsidRPr="007228CE">
              <w:rPr>
                <w:rFonts w:ascii="Arial" w:hAnsi="Arial" w:cs="Arial"/>
                <w:sz w:val="20"/>
                <w:szCs w:val="20"/>
              </w:rPr>
              <w:t xml:space="preserve"> handled in statistical analyses, if relevant.</w:t>
            </w:r>
          </w:p>
        </w:tc>
        <w:tc>
          <w:tcPr>
            <w:tcW w:w="1156" w:type="dxa"/>
            <w:tcBorders>
              <w:bottom w:val="single" w:sz="4" w:space="0" w:color="auto"/>
              <w:right w:val="single" w:sz="4" w:space="0" w:color="auto"/>
            </w:tcBorders>
            <w:vAlign w:val="center"/>
          </w:tcPr>
          <w:p w14:paraId="76C54EA3"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6</w:t>
            </w:r>
            <w:r>
              <w:rPr>
                <w:rFonts w:ascii="Arial" w:hAnsi="Arial" w:cs="Arial"/>
                <w:iCs/>
                <w:szCs w:val="20"/>
                <w:lang w:eastAsia="zh-CN"/>
              </w:rPr>
              <w:t>-7</w:t>
            </w:r>
          </w:p>
        </w:tc>
      </w:tr>
      <w:tr w:rsidR="00BC3132" w:rsidRPr="00962B44" w14:paraId="702330EE" w14:textId="77777777" w:rsidTr="00BC3132">
        <w:trPr>
          <w:cantSplit/>
          <w:trHeight w:val="373"/>
        </w:trPr>
        <w:tc>
          <w:tcPr>
            <w:tcW w:w="1929" w:type="dxa"/>
            <w:vMerge/>
            <w:tcBorders>
              <w:top w:val="single" w:sz="4" w:space="0" w:color="auto"/>
              <w:left w:val="single" w:sz="4" w:space="0" w:color="auto"/>
              <w:bottom w:val="double" w:sz="6" w:space="0" w:color="auto"/>
            </w:tcBorders>
            <w:vAlign w:val="center"/>
            <w:hideMark/>
          </w:tcPr>
          <w:p w14:paraId="1FF41932" w14:textId="77777777" w:rsidR="00BC3132" w:rsidRPr="007228CE" w:rsidRDefault="00BC3132" w:rsidP="00A626C3">
            <w:pPr>
              <w:pStyle w:val="Default"/>
              <w:spacing w:before="40" w:after="40"/>
              <w:rPr>
                <w:rFonts w:ascii="Arial" w:hAnsi="Arial" w:cs="Arial"/>
                <w:sz w:val="20"/>
                <w:szCs w:val="20"/>
              </w:rPr>
            </w:pPr>
          </w:p>
        </w:tc>
        <w:tc>
          <w:tcPr>
            <w:tcW w:w="870" w:type="dxa"/>
            <w:tcBorders>
              <w:top w:val="single" w:sz="4" w:space="0" w:color="auto"/>
              <w:bottom w:val="double" w:sz="6" w:space="0" w:color="auto"/>
            </w:tcBorders>
            <w:vAlign w:val="center"/>
            <w:hideMark/>
          </w:tcPr>
          <w:p w14:paraId="72774836" w14:textId="77777777" w:rsidR="00BC3132" w:rsidRPr="007228CE" w:rsidRDefault="00BC3132" w:rsidP="00A626C3">
            <w:pPr>
              <w:pStyle w:val="Default"/>
              <w:spacing w:before="40" w:after="40"/>
              <w:rPr>
                <w:rFonts w:ascii="Arial" w:hAnsi="Arial" w:cs="Arial"/>
                <w:sz w:val="20"/>
                <w:szCs w:val="20"/>
              </w:rPr>
            </w:pPr>
            <w:r w:rsidRPr="007228CE">
              <w:rPr>
                <w:rFonts w:ascii="Arial" w:hAnsi="Arial" w:cs="Arial"/>
                <w:sz w:val="20"/>
                <w:szCs w:val="20"/>
              </w:rPr>
              <w:t>15</w:t>
            </w:r>
            <w:r>
              <w:rPr>
                <w:rFonts w:ascii="Arial" w:hAnsi="Arial" w:cs="Arial"/>
                <w:sz w:val="20"/>
                <w:szCs w:val="20"/>
              </w:rPr>
              <w:t>d</w:t>
            </w:r>
          </w:p>
        </w:tc>
        <w:tc>
          <w:tcPr>
            <w:tcW w:w="10489" w:type="dxa"/>
            <w:gridSpan w:val="5"/>
            <w:tcBorders>
              <w:top w:val="single" w:sz="4" w:space="0" w:color="auto"/>
              <w:bottom w:val="double" w:sz="6" w:space="0" w:color="auto"/>
            </w:tcBorders>
            <w:vAlign w:val="center"/>
          </w:tcPr>
          <w:p w14:paraId="651A3088" w14:textId="77777777" w:rsidR="00BC3132" w:rsidRPr="007228CE" w:rsidRDefault="00BC3132" w:rsidP="00A626C3">
            <w:pPr>
              <w:pStyle w:val="Default"/>
              <w:spacing w:before="40" w:after="40"/>
              <w:jc w:val="both"/>
              <w:rPr>
                <w:rFonts w:ascii="Arial" w:hAnsi="Arial" w:cs="Arial"/>
                <w:sz w:val="20"/>
                <w:szCs w:val="20"/>
              </w:rPr>
            </w:pPr>
            <w:r w:rsidRPr="004310C2">
              <w:rPr>
                <w:rFonts w:ascii="Arial" w:hAnsi="Arial" w:cs="Arial"/>
                <w:sz w:val="20"/>
                <w:szCs w:val="20"/>
              </w:rPr>
              <w:t xml:space="preserve">Describe methods of </w:t>
            </w:r>
            <w:r>
              <w:rPr>
                <w:rFonts w:ascii="Arial" w:hAnsi="Arial" w:cs="Arial"/>
                <w:sz w:val="20"/>
                <w:szCs w:val="20"/>
              </w:rPr>
              <w:t>any</w:t>
            </w:r>
            <w:r w:rsidRPr="004310C2">
              <w:rPr>
                <w:rFonts w:ascii="Arial" w:hAnsi="Arial" w:cs="Arial"/>
                <w:sz w:val="20"/>
                <w:szCs w:val="20"/>
              </w:rPr>
              <w:t xml:space="preserve"> pre-specified</w:t>
            </w:r>
            <w:r>
              <w:rPr>
                <w:rFonts w:ascii="Arial" w:hAnsi="Arial" w:cs="Arial"/>
                <w:sz w:val="20"/>
                <w:szCs w:val="20"/>
              </w:rPr>
              <w:t xml:space="preserve"> additional</w:t>
            </w:r>
            <w:r w:rsidRPr="004310C2">
              <w:rPr>
                <w:rFonts w:ascii="Arial" w:hAnsi="Arial" w:cs="Arial"/>
                <w:sz w:val="20"/>
                <w:szCs w:val="20"/>
              </w:rPr>
              <w:t xml:space="preserve"> analyses </w:t>
            </w:r>
            <w:r w:rsidRPr="00780FC1">
              <w:rPr>
                <w:rFonts w:ascii="Arial" w:hAnsi="Arial" w:cs="Arial"/>
                <w:sz w:val="20"/>
                <w:szCs w:val="20"/>
              </w:rPr>
              <w:t xml:space="preserve">(such as </w:t>
            </w:r>
            <w:r>
              <w:rPr>
                <w:rFonts w:ascii="Arial" w:hAnsi="Arial" w:cs="Arial"/>
                <w:sz w:val="20"/>
                <w:szCs w:val="20"/>
              </w:rPr>
              <w:t>sensitivity or subgroup analyses, meta-regression</w:t>
            </w:r>
            <w:r w:rsidRPr="00780FC1">
              <w:rPr>
                <w:rFonts w:ascii="Arial" w:hAnsi="Arial" w:cs="Arial"/>
                <w:sz w:val="20"/>
                <w:szCs w:val="20"/>
              </w:rPr>
              <w:t>).</w:t>
            </w:r>
          </w:p>
        </w:tc>
        <w:tc>
          <w:tcPr>
            <w:tcW w:w="1156" w:type="dxa"/>
            <w:tcBorders>
              <w:top w:val="single" w:sz="4" w:space="0" w:color="auto"/>
              <w:bottom w:val="double" w:sz="6" w:space="0" w:color="auto"/>
              <w:right w:val="single" w:sz="4" w:space="0" w:color="auto"/>
            </w:tcBorders>
            <w:vAlign w:val="center"/>
          </w:tcPr>
          <w:p w14:paraId="38C4C76B"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6</w:t>
            </w:r>
            <w:r>
              <w:rPr>
                <w:rFonts w:ascii="Arial" w:hAnsi="Arial" w:cs="Arial"/>
                <w:iCs/>
                <w:szCs w:val="20"/>
                <w:lang w:eastAsia="zh-CN"/>
              </w:rPr>
              <w:t>-7</w:t>
            </w:r>
          </w:p>
        </w:tc>
      </w:tr>
      <w:tr w:rsidR="00BC3132" w:rsidRPr="00962B44" w14:paraId="4569A8BF" w14:textId="77777777" w:rsidTr="00BC3132">
        <w:trPr>
          <w:cantSplit/>
          <w:trHeight w:val="399"/>
        </w:trPr>
        <w:tc>
          <w:tcPr>
            <w:tcW w:w="13288" w:type="dxa"/>
            <w:gridSpan w:val="7"/>
            <w:tcBorders>
              <w:top w:val="double" w:sz="6" w:space="0" w:color="auto"/>
              <w:left w:val="single" w:sz="4" w:space="0" w:color="auto"/>
              <w:bottom w:val="single" w:sz="4" w:space="0" w:color="auto"/>
            </w:tcBorders>
            <w:shd w:val="clear" w:color="auto" w:fill="FFFFCC"/>
            <w:vAlign w:val="center"/>
            <w:hideMark/>
          </w:tcPr>
          <w:p w14:paraId="11190B3B" w14:textId="77777777" w:rsidR="00BC3132" w:rsidRPr="00324C20" w:rsidRDefault="00BC3132" w:rsidP="00A626C3">
            <w:pPr>
              <w:pStyle w:val="Default"/>
              <w:spacing w:before="40" w:after="40"/>
              <w:rPr>
                <w:rFonts w:ascii="Arial" w:hAnsi="Arial" w:cs="Arial"/>
                <w:sz w:val="20"/>
                <w:szCs w:val="20"/>
              </w:rPr>
            </w:pPr>
            <w:r w:rsidRPr="00436723">
              <w:rPr>
                <w:rFonts w:ascii="Arial" w:hAnsi="Arial" w:cs="Arial"/>
                <w:b/>
                <w:sz w:val="21"/>
                <w:szCs w:val="21"/>
              </w:rPr>
              <w:t>RESULTS</w:t>
            </w:r>
          </w:p>
        </w:tc>
        <w:tc>
          <w:tcPr>
            <w:tcW w:w="1156" w:type="dxa"/>
            <w:tcBorders>
              <w:top w:val="double" w:sz="6" w:space="0" w:color="auto"/>
              <w:right w:val="single" w:sz="4" w:space="0" w:color="auto"/>
            </w:tcBorders>
            <w:shd w:val="clear" w:color="auto" w:fill="FFFFCC"/>
            <w:vAlign w:val="center"/>
          </w:tcPr>
          <w:p w14:paraId="08D09826" w14:textId="77777777" w:rsidR="00BC3132" w:rsidRPr="006649E6" w:rsidRDefault="00BC3132" w:rsidP="00A626C3">
            <w:pPr>
              <w:rPr>
                <w:rFonts w:ascii="Arial" w:hAnsi="Arial" w:cs="Arial"/>
                <w:iCs/>
                <w:szCs w:val="20"/>
              </w:rPr>
            </w:pPr>
          </w:p>
        </w:tc>
      </w:tr>
      <w:tr w:rsidR="00BC3132" w:rsidRPr="00962B44" w14:paraId="256EF94E" w14:textId="77777777" w:rsidTr="00BC3132">
        <w:trPr>
          <w:cantSplit/>
          <w:trHeight w:val="712"/>
        </w:trPr>
        <w:tc>
          <w:tcPr>
            <w:tcW w:w="1929" w:type="dxa"/>
            <w:vMerge w:val="restart"/>
            <w:tcBorders>
              <w:top w:val="single" w:sz="4" w:space="0" w:color="auto"/>
              <w:left w:val="single" w:sz="4" w:space="0" w:color="auto"/>
            </w:tcBorders>
            <w:vAlign w:val="center"/>
            <w:hideMark/>
          </w:tcPr>
          <w:p w14:paraId="017B710C" w14:textId="77777777" w:rsidR="00BC3132" w:rsidRPr="00854BF7" w:rsidRDefault="00BC3132" w:rsidP="00A626C3">
            <w:pPr>
              <w:pStyle w:val="Default"/>
              <w:spacing w:before="40" w:after="40"/>
              <w:ind w:left="284" w:hanging="284"/>
              <w:rPr>
                <w:rFonts w:ascii="Arial" w:hAnsi="Arial" w:cs="Arial"/>
                <w:sz w:val="20"/>
                <w:szCs w:val="20"/>
              </w:rPr>
            </w:pPr>
            <w:r>
              <w:rPr>
                <w:rFonts w:ascii="Arial" w:hAnsi="Arial" w:cs="Arial"/>
                <w:sz w:val="20"/>
                <w:szCs w:val="20"/>
                <w:lang w:val="en-US" w:eastAsia="el-GR"/>
              </w:rPr>
              <w:t xml:space="preserve">16. </w:t>
            </w:r>
            <w:r w:rsidRPr="00854BF7">
              <w:rPr>
                <w:rFonts w:ascii="Arial" w:hAnsi="Arial" w:cs="Arial"/>
                <w:sz w:val="20"/>
                <w:szCs w:val="20"/>
                <w:lang w:val="en-US" w:eastAsia="el-GR"/>
              </w:rPr>
              <w:t xml:space="preserve">Review </w:t>
            </w:r>
            <w:r>
              <w:rPr>
                <w:rFonts w:ascii="Arial" w:hAnsi="Arial" w:cs="Arial"/>
                <w:sz w:val="20"/>
                <w:szCs w:val="20"/>
                <w:lang w:val="en-US" w:eastAsia="el-GR"/>
              </w:rPr>
              <w:t xml:space="preserve">&amp; primary study </w:t>
            </w:r>
            <w:r w:rsidRPr="00854BF7">
              <w:rPr>
                <w:rFonts w:ascii="Arial" w:hAnsi="Arial" w:cs="Arial"/>
                <w:sz w:val="20"/>
                <w:szCs w:val="20"/>
                <w:lang w:val="en-US" w:eastAsia="el-GR"/>
              </w:rPr>
              <w:t>selection</w:t>
            </w:r>
          </w:p>
        </w:tc>
        <w:tc>
          <w:tcPr>
            <w:tcW w:w="870" w:type="dxa"/>
            <w:tcBorders>
              <w:top w:val="single" w:sz="4" w:space="0" w:color="auto"/>
            </w:tcBorders>
            <w:vAlign w:val="center"/>
            <w:hideMark/>
          </w:tcPr>
          <w:p w14:paraId="77AC7BAC" w14:textId="77777777" w:rsidR="00BC3132" w:rsidRPr="00854BF7" w:rsidRDefault="00BC3132" w:rsidP="00A626C3">
            <w:pPr>
              <w:pStyle w:val="Default"/>
              <w:spacing w:before="40" w:after="40"/>
              <w:rPr>
                <w:rFonts w:ascii="Arial" w:hAnsi="Arial" w:cs="Arial"/>
                <w:sz w:val="20"/>
                <w:szCs w:val="20"/>
              </w:rPr>
            </w:pPr>
            <w:r w:rsidRPr="00854BF7">
              <w:rPr>
                <w:rFonts w:ascii="Arial" w:hAnsi="Arial" w:cs="Arial"/>
                <w:sz w:val="20"/>
                <w:szCs w:val="20"/>
              </w:rPr>
              <w:t>16a</w:t>
            </w:r>
          </w:p>
        </w:tc>
        <w:tc>
          <w:tcPr>
            <w:tcW w:w="10489" w:type="dxa"/>
            <w:gridSpan w:val="5"/>
            <w:tcBorders>
              <w:top w:val="single" w:sz="4" w:space="0" w:color="auto"/>
            </w:tcBorders>
            <w:vAlign w:val="center"/>
          </w:tcPr>
          <w:p w14:paraId="2F117D08" w14:textId="77777777" w:rsidR="00BC3132" w:rsidRPr="00263551" w:rsidRDefault="00BC3132" w:rsidP="00A626C3">
            <w:pPr>
              <w:autoSpaceDE w:val="0"/>
              <w:autoSpaceDN w:val="0"/>
              <w:adjustRightInd w:val="0"/>
              <w:rPr>
                <w:rFonts w:ascii="Arial" w:hAnsi="Arial" w:cs="Arial"/>
                <w:szCs w:val="20"/>
                <w:lang w:eastAsia="el-GR"/>
              </w:rPr>
            </w:pPr>
            <w:r w:rsidRPr="00854BF7">
              <w:rPr>
                <w:rFonts w:ascii="Arial" w:hAnsi="Arial" w:cs="Arial"/>
                <w:szCs w:val="20"/>
                <w:lang w:eastAsia="el-GR"/>
              </w:rPr>
              <w:t>Provide the de</w:t>
            </w:r>
            <w:r>
              <w:rPr>
                <w:rFonts w:ascii="Arial" w:hAnsi="Arial" w:cs="Arial"/>
                <w:szCs w:val="20"/>
                <w:lang w:eastAsia="el-GR"/>
              </w:rPr>
              <w:t>tails of review selection (e.g.</w:t>
            </w:r>
            <w:r w:rsidRPr="00854BF7">
              <w:rPr>
                <w:rFonts w:ascii="Arial" w:hAnsi="Arial" w:cs="Arial"/>
                <w:szCs w:val="20"/>
                <w:lang w:eastAsia="el-GR"/>
              </w:rPr>
              <w:t xml:space="preserve"> numbers of reviews screened, retrieved, and included and excluded in the overview)</w:t>
            </w:r>
            <w:r>
              <w:rPr>
                <w:rFonts w:ascii="Arial" w:hAnsi="Arial" w:cs="Arial"/>
                <w:szCs w:val="20"/>
                <w:lang w:eastAsia="el-GR"/>
              </w:rPr>
              <w:t xml:space="preserve"> and the number of the additional eligible primary studies that were included,</w:t>
            </w:r>
            <w:r w:rsidRPr="00854BF7">
              <w:rPr>
                <w:rFonts w:ascii="Arial" w:hAnsi="Arial" w:cs="Arial"/>
                <w:szCs w:val="20"/>
                <w:lang w:eastAsia="el-GR"/>
              </w:rPr>
              <w:t xml:space="preserve"> </w:t>
            </w:r>
            <w:r>
              <w:rPr>
                <w:rFonts w:ascii="Arial" w:hAnsi="Arial" w:cs="Arial"/>
                <w:szCs w:val="20"/>
                <w:lang w:eastAsia="el-GR"/>
              </w:rPr>
              <w:t>ideally with</w:t>
            </w:r>
            <w:r w:rsidRPr="00854BF7">
              <w:rPr>
                <w:rFonts w:ascii="Arial" w:hAnsi="Arial" w:cs="Arial"/>
                <w:szCs w:val="20"/>
                <w:lang w:eastAsia="el-GR"/>
              </w:rPr>
              <w:t xml:space="preserve"> a flow diagram of the overview process</w:t>
            </w:r>
            <w:r>
              <w:rPr>
                <w:rFonts w:ascii="Arial" w:hAnsi="Arial" w:cs="Arial"/>
                <w:szCs w:val="20"/>
                <w:lang w:eastAsia="el-GR"/>
              </w:rPr>
              <w:t>.</w:t>
            </w:r>
          </w:p>
        </w:tc>
        <w:tc>
          <w:tcPr>
            <w:tcW w:w="1156" w:type="dxa"/>
            <w:tcBorders>
              <w:right w:val="single" w:sz="4" w:space="0" w:color="auto"/>
            </w:tcBorders>
            <w:vAlign w:val="center"/>
          </w:tcPr>
          <w:p w14:paraId="4CF6718C"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7</w:t>
            </w:r>
            <w:r>
              <w:rPr>
                <w:rFonts w:ascii="Arial" w:hAnsi="Arial" w:cs="Arial"/>
                <w:iCs/>
                <w:szCs w:val="20"/>
                <w:lang w:eastAsia="zh-CN"/>
              </w:rPr>
              <w:t>-8</w:t>
            </w:r>
          </w:p>
        </w:tc>
      </w:tr>
      <w:tr w:rsidR="00BC3132" w:rsidRPr="00962B44" w14:paraId="6340AF3F" w14:textId="77777777" w:rsidTr="00BC3132">
        <w:trPr>
          <w:cantSplit/>
          <w:trHeight w:val="243"/>
        </w:trPr>
        <w:tc>
          <w:tcPr>
            <w:tcW w:w="1929" w:type="dxa"/>
            <w:vMerge/>
            <w:tcBorders>
              <w:left w:val="single" w:sz="4" w:space="0" w:color="auto"/>
            </w:tcBorders>
            <w:vAlign w:val="center"/>
            <w:hideMark/>
          </w:tcPr>
          <w:p w14:paraId="2D5ED8F7" w14:textId="77777777" w:rsidR="00BC3132" w:rsidRPr="00854BF7" w:rsidRDefault="00BC3132" w:rsidP="00A626C3">
            <w:pPr>
              <w:pStyle w:val="Default"/>
              <w:spacing w:before="40" w:after="40"/>
              <w:rPr>
                <w:rFonts w:ascii="Arial" w:hAnsi="Arial" w:cs="Arial"/>
                <w:sz w:val="20"/>
                <w:szCs w:val="20"/>
              </w:rPr>
            </w:pPr>
          </w:p>
        </w:tc>
        <w:tc>
          <w:tcPr>
            <w:tcW w:w="870" w:type="dxa"/>
            <w:vAlign w:val="center"/>
            <w:hideMark/>
          </w:tcPr>
          <w:p w14:paraId="2AB634FA" w14:textId="77777777" w:rsidR="00BC3132" w:rsidRPr="00854BF7" w:rsidRDefault="00BC3132" w:rsidP="00A626C3">
            <w:pPr>
              <w:pStyle w:val="Default"/>
              <w:spacing w:before="40" w:after="40"/>
              <w:rPr>
                <w:rFonts w:ascii="Arial" w:hAnsi="Arial" w:cs="Arial"/>
                <w:sz w:val="20"/>
                <w:szCs w:val="20"/>
              </w:rPr>
            </w:pPr>
            <w:r w:rsidRPr="00854BF7">
              <w:rPr>
                <w:rFonts w:ascii="Arial" w:hAnsi="Arial" w:cs="Arial"/>
                <w:sz w:val="20"/>
                <w:szCs w:val="20"/>
              </w:rPr>
              <w:t>16b</w:t>
            </w:r>
          </w:p>
        </w:tc>
        <w:tc>
          <w:tcPr>
            <w:tcW w:w="10489" w:type="dxa"/>
            <w:gridSpan w:val="5"/>
            <w:vAlign w:val="center"/>
          </w:tcPr>
          <w:p w14:paraId="2B1B2BF8" w14:textId="77777777" w:rsidR="00BC3132" w:rsidRPr="00854BF7" w:rsidRDefault="00BC3132" w:rsidP="00A626C3">
            <w:pPr>
              <w:autoSpaceDE w:val="0"/>
              <w:autoSpaceDN w:val="0"/>
              <w:adjustRightInd w:val="0"/>
              <w:rPr>
                <w:rFonts w:ascii="Arial" w:hAnsi="Arial" w:cs="Arial"/>
                <w:szCs w:val="20"/>
                <w:lang w:eastAsia="el-GR"/>
              </w:rPr>
            </w:pPr>
            <w:r>
              <w:rPr>
                <w:rFonts w:ascii="Arial" w:hAnsi="Arial" w:cs="Arial"/>
                <w:szCs w:val="20"/>
                <w:lang w:val="en-CA" w:eastAsia="el-GR"/>
              </w:rPr>
              <w:t>P</w:t>
            </w:r>
            <w:r w:rsidRPr="00854BF7">
              <w:rPr>
                <w:rFonts w:ascii="Arial" w:hAnsi="Arial" w:cs="Arial"/>
                <w:szCs w:val="20"/>
                <w:lang w:eastAsia="el-GR"/>
              </w:rPr>
              <w:t xml:space="preserve">resent a flow diagram that gives separately the number of studies focused on </w:t>
            </w:r>
            <w:r>
              <w:rPr>
                <w:rFonts w:ascii="Arial" w:hAnsi="Arial" w:cs="Arial"/>
                <w:szCs w:val="20"/>
                <w:lang w:eastAsia="el-GR"/>
              </w:rPr>
              <w:t>harms</w:t>
            </w:r>
            <w:r w:rsidRPr="00854BF7">
              <w:rPr>
                <w:rFonts w:ascii="Arial" w:hAnsi="Arial" w:cs="Arial"/>
                <w:szCs w:val="20"/>
                <w:lang w:eastAsia="el-GR"/>
              </w:rPr>
              <w:t xml:space="preserve"> outcomes.</w:t>
            </w:r>
          </w:p>
        </w:tc>
        <w:tc>
          <w:tcPr>
            <w:tcW w:w="1156" w:type="dxa"/>
            <w:tcBorders>
              <w:right w:val="single" w:sz="4" w:space="0" w:color="auto"/>
            </w:tcBorders>
            <w:vAlign w:val="center"/>
          </w:tcPr>
          <w:p w14:paraId="4C729811" w14:textId="77777777" w:rsidR="00BC3132" w:rsidRPr="006649E6" w:rsidRDefault="00BC3132" w:rsidP="00A626C3">
            <w:pPr>
              <w:rPr>
                <w:rFonts w:ascii="Arial" w:hAnsi="Arial" w:cs="Arial"/>
                <w:iCs/>
                <w:szCs w:val="20"/>
                <w:lang w:eastAsia="zh-CN"/>
              </w:rPr>
            </w:pPr>
            <w:r>
              <w:rPr>
                <w:rFonts w:ascii="Arial" w:hAnsi="Arial" w:cs="Arial"/>
                <w:iCs/>
                <w:szCs w:val="20"/>
                <w:lang w:eastAsia="zh-CN"/>
              </w:rPr>
              <w:t>F</w:t>
            </w:r>
            <w:r>
              <w:rPr>
                <w:rFonts w:ascii="Arial" w:hAnsi="Arial" w:cs="Arial" w:hint="eastAsia"/>
                <w:iCs/>
                <w:szCs w:val="20"/>
                <w:lang w:eastAsia="zh-CN"/>
              </w:rPr>
              <w:t>igure</w:t>
            </w:r>
            <w:r>
              <w:rPr>
                <w:rFonts w:ascii="Arial" w:hAnsi="Arial" w:cs="Arial"/>
                <w:iCs/>
                <w:szCs w:val="20"/>
                <w:lang w:eastAsia="zh-CN"/>
              </w:rPr>
              <w:t xml:space="preserve"> 1</w:t>
            </w:r>
          </w:p>
        </w:tc>
      </w:tr>
      <w:tr w:rsidR="00BC3132" w:rsidRPr="00962B44" w14:paraId="2AD14B31" w14:textId="77777777" w:rsidTr="00BC3132">
        <w:trPr>
          <w:cantSplit/>
          <w:trHeight w:val="219"/>
        </w:trPr>
        <w:tc>
          <w:tcPr>
            <w:tcW w:w="1929" w:type="dxa"/>
            <w:vMerge/>
            <w:tcBorders>
              <w:left w:val="single" w:sz="4" w:space="0" w:color="auto"/>
            </w:tcBorders>
            <w:vAlign w:val="center"/>
            <w:hideMark/>
          </w:tcPr>
          <w:p w14:paraId="438FF361" w14:textId="77777777" w:rsidR="00BC3132" w:rsidRPr="00854BF7" w:rsidRDefault="00BC3132" w:rsidP="00A626C3">
            <w:pPr>
              <w:pStyle w:val="Default"/>
              <w:spacing w:before="40" w:after="40"/>
              <w:rPr>
                <w:rFonts w:ascii="Arial" w:hAnsi="Arial" w:cs="Arial"/>
                <w:sz w:val="20"/>
                <w:szCs w:val="20"/>
              </w:rPr>
            </w:pPr>
          </w:p>
        </w:tc>
        <w:tc>
          <w:tcPr>
            <w:tcW w:w="870" w:type="dxa"/>
            <w:vAlign w:val="center"/>
            <w:hideMark/>
          </w:tcPr>
          <w:p w14:paraId="0478B4DF" w14:textId="77777777" w:rsidR="00BC3132" w:rsidRPr="00854BF7" w:rsidRDefault="00BC3132" w:rsidP="00A626C3">
            <w:pPr>
              <w:pStyle w:val="Default"/>
              <w:spacing w:before="40" w:after="40"/>
              <w:rPr>
                <w:rFonts w:ascii="Arial" w:hAnsi="Arial" w:cs="Arial"/>
                <w:sz w:val="20"/>
                <w:szCs w:val="20"/>
              </w:rPr>
            </w:pPr>
            <w:r w:rsidRPr="00854BF7">
              <w:rPr>
                <w:rFonts w:ascii="Arial" w:hAnsi="Arial" w:cs="Arial"/>
                <w:sz w:val="20"/>
                <w:szCs w:val="20"/>
              </w:rPr>
              <w:t>16c</w:t>
            </w:r>
            <w:r w:rsidRPr="00EC79DE">
              <w:rPr>
                <w:b/>
                <w:color w:val="8496B0" w:themeColor="text2" w:themeTint="99"/>
                <w:vertAlign w:val="superscript"/>
              </w:rPr>
              <w:t>c</w:t>
            </w:r>
          </w:p>
        </w:tc>
        <w:tc>
          <w:tcPr>
            <w:tcW w:w="10489" w:type="dxa"/>
            <w:gridSpan w:val="5"/>
            <w:vAlign w:val="center"/>
          </w:tcPr>
          <w:p w14:paraId="25BF8051" w14:textId="77777777" w:rsidR="00BC3132" w:rsidRPr="00854BF7" w:rsidRDefault="00BC3132" w:rsidP="00A626C3">
            <w:pPr>
              <w:pStyle w:val="Default"/>
              <w:spacing w:before="40" w:after="40"/>
              <w:jc w:val="both"/>
              <w:rPr>
                <w:rFonts w:ascii="Arial" w:hAnsi="Arial" w:cs="Arial"/>
                <w:sz w:val="20"/>
                <w:szCs w:val="20"/>
              </w:rPr>
            </w:pPr>
            <w:r>
              <w:rPr>
                <w:rFonts w:ascii="Arial" w:hAnsi="Arial" w:cs="Arial"/>
                <w:sz w:val="20"/>
                <w:szCs w:val="20"/>
                <w:lang w:eastAsia="el-GR"/>
              </w:rPr>
              <w:t>List the studies</w:t>
            </w:r>
            <w:r w:rsidRPr="00854BF7">
              <w:rPr>
                <w:rFonts w:ascii="Arial" w:hAnsi="Arial" w:cs="Arial"/>
                <w:sz w:val="20"/>
                <w:szCs w:val="20"/>
                <w:lang w:eastAsia="el-GR"/>
              </w:rPr>
              <w:t xml:space="preserve"> </w:t>
            </w:r>
            <w:r>
              <w:rPr>
                <w:rFonts w:ascii="Arial" w:hAnsi="Arial" w:cs="Arial"/>
                <w:sz w:val="20"/>
                <w:szCs w:val="20"/>
                <w:lang w:eastAsia="el-GR"/>
              </w:rPr>
              <w:t xml:space="preserve">(full citation) </w:t>
            </w:r>
            <w:r w:rsidRPr="00854BF7">
              <w:rPr>
                <w:rFonts w:ascii="Arial" w:hAnsi="Arial" w:cs="Arial"/>
                <w:sz w:val="20"/>
                <w:szCs w:val="20"/>
                <w:lang w:eastAsia="el-GR"/>
              </w:rPr>
              <w:t xml:space="preserve">that were excluded after reading the full text </w:t>
            </w:r>
            <w:r>
              <w:rPr>
                <w:rFonts w:ascii="Arial" w:hAnsi="Arial" w:cs="Arial"/>
                <w:sz w:val="20"/>
                <w:szCs w:val="20"/>
                <w:lang w:eastAsia="el-GR"/>
              </w:rPr>
              <w:t>and provide</w:t>
            </w:r>
            <w:r w:rsidRPr="00854BF7">
              <w:rPr>
                <w:rFonts w:ascii="Arial" w:hAnsi="Arial" w:cs="Arial"/>
                <w:sz w:val="20"/>
                <w:szCs w:val="20"/>
                <w:lang w:eastAsia="el-GR"/>
              </w:rPr>
              <w:t xml:space="preserve"> reasons.</w:t>
            </w:r>
          </w:p>
        </w:tc>
        <w:tc>
          <w:tcPr>
            <w:tcW w:w="1156" w:type="dxa"/>
            <w:tcBorders>
              <w:right w:val="single" w:sz="4" w:space="0" w:color="auto"/>
            </w:tcBorders>
            <w:vAlign w:val="center"/>
          </w:tcPr>
          <w:p w14:paraId="3EAA6AD5" w14:textId="77777777" w:rsidR="00BC3132" w:rsidRPr="006649E6" w:rsidRDefault="00BC3132" w:rsidP="00A626C3">
            <w:pPr>
              <w:rPr>
                <w:rFonts w:ascii="Arial" w:hAnsi="Arial" w:cs="Arial"/>
                <w:iCs/>
                <w:szCs w:val="20"/>
                <w:lang w:eastAsia="zh-CN"/>
              </w:rPr>
            </w:pPr>
            <w:r>
              <w:rPr>
                <w:rFonts w:ascii="Arial" w:hAnsi="Arial" w:cs="Arial"/>
                <w:iCs/>
                <w:szCs w:val="20"/>
                <w:lang w:eastAsia="zh-CN"/>
              </w:rPr>
              <w:t>NA</w:t>
            </w:r>
          </w:p>
        </w:tc>
      </w:tr>
      <w:tr w:rsidR="00BC3132" w:rsidRPr="00962B44" w14:paraId="4EA3DDE4" w14:textId="77777777" w:rsidTr="00BC3132">
        <w:trPr>
          <w:cantSplit/>
          <w:trHeight w:val="705"/>
        </w:trPr>
        <w:tc>
          <w:tcPr>
            <w:tcW w:w="1929" w:type="dxa"/>
            <w:vMerge w:val="restart"/>
            <w:tcBorders>
              <w:left w:val="single" w:sz="4" w:space="0" w:color="auto"/>
            </w:tcBorders>
            <w:vAlign w:val="center"/>
            <w:hideMark/>
          </w:tcPr>
          <w:p w14:paraId="3A3E5A29" w14:textId="77777777" w:rsidR="00BC3132" w:rsidRPr="00AE3B09" w:rsidRDefault="00BC3132" w:rsidP="00A626C3">
            <w:pPr>
              <w:pStyle w:val="Default"/>
              <w:spacing w:before="40" w:after="40"/>
              <w:ind w:left="284" w:hanging="284"/>
              <w:rPr>
                <w:rFonts w:ascii="Arial" w:hAnsi="Arial" w:cs="Arial"/>
                <w:sz w:val="20"/>
                <w:szCs w:val="20"/>
              </w:rPr>
            </w:pPr>
            <w:r>
              <w:rPr>
                <w:rFonts w:ascii="Arial" w:hAnsi="Arial" w:cs="Arial"/>
                <w:sz w:val="20"/>
                <w:szCs w:val="20"/>
                <w:lang w:val="en-US" w:eastAsia="el-GR"/>
              </w:rPr>
              <w:t xml:space="preserve">17. </w:t>
            </w:r>
            <w:r w:rsidRPr="00AE3B09">
              <w:rPr>
                <w:rFonts w:ascii="Arial" w:hAnsi="Arial" w:cs="Arial"/>
                <w:sz w:val="20"/>
                <w:szCs w:val="20"/>
                <w:lang w:val="el-GR" w:eastAsia="el-GR"/>
              </w:rPr>
              <w:t xml:space="preserve">Review </w:t>
            </w:r>
            <w:r>
              <w:rPr>
                <w:rFonts w:ascii="Arial" w:hAnsi="Arial" w:cs="Arial"/>
                <w:sz w:val="20"/>
                <w:szCs w:val="20"/>
                <w:lang w:val="en-US" w:eastAsia="el-GR"/>
              </w:rPr>
              <w:t xml:space="preserve">&amp; primary study </w:t>
            </w:r>
            <w:r w:rsidRPr="00AE3B09">
              <w:rPr>
                <w:rFonts w:ascii="Arial" w:hAnsi="Arial" w:cs="Arial"/>
                <w:sz w:val="20"/>
                <w:szCs w:val="20"/>
                <w:lang w:val="el-GR" w:eastAsia="el-GR"/>
              </w:rPr>
              <w:t>characteristics</w:t>
            </w:r>
          </w:p>
        </w:tc>
        <w:tc>
          <w:tcPr>
            <w:tcW w:w="870" w:type="dxa"/>
            <w:vAlign w:val="center"/>
            <w:hideMark/>
          </w:tcPr>
          <w:p w14:paraId="0515BC0D" w14:textId="77777777" w:rsidR="00BC3132" w:rsidRPr="00AE3B09" w:rsidRDefault="00BC3132" w:rsidP="00A626C3">
            <w:pPr>
              <w:pStyle w:val="Default"/>
              <w:spacing w:before="40" w:after="40"/>
              <w:rPr>
                <w:rFonts w:ascii="Arial" w:hAnsi="Arial" w:cs="Arial"/>
                <w:sz w:val="20"/>
                <w:szCs w:val="20"/>
              </w:rPr>
            </w:pPr>
            <w:r w:rsidRPr="00AE3B09">
              <w:rPr>
                <w:rFonts w:ascii="Arial" w:hAnsi="Arial" w:cs="Arial"/>
                <w:sz w:val="20"/>
                <w:szCs w:val="20"/>
              </w:rPr>
              <w:t>17a</w:t>
            </w:r>
            <w:r w:rsidRPr="00EC79DE">
              <w:rPr>
                <w:b/>
                <w:color w:val="8496B0" w:themeColor="text2" w:themeTint="99"/>
                <w:vertAlign w:val="superscript"/>
              </w:rPr>
              <w:t>c</w:t>
            </w:r>
          </w:p>
        </w:tc>
        <w:tc>
          <w:tcPr>
            <w:tcW w:w="10489" w:type="dxa"/>
            <w:gridSpan w:val="5"/>
            <w:vAlign w:val="center"/>
          </w:tcPr>
          <w:p w14:paraId="2DDBFA71" w14:textId="77777777" w:rsidR="00BC3132" w:rsidRPr="00AE3B09" w:rsidRDefault="00BC3132" w:rsidP="00A626C3">
            <w:pPr>
              <w:autoSpaceDE w:val="0"/>
              <w:autoSpaceDN w:val="0"/>
              <w:adjustRightInd w:val="0"/>
              <w:rPr>
                <w:rFonts w:ascii="Arial" w:hAnsi="Arial" w:cs="Arial"/>
                <w:szCs w:val="20"/>
                <w:lang w:eastAsia="el-GR"/>
              </w:rPr>
            </w:pPr>
            <w:r w:rsidRPr="00AE3B09">
              <w:rPr>
                <w:rFonts w:ascii="Arial" w:hAnsi="Arial" w:cs="Arial"/>
                <w:szCs w:val="20"/>
                <w:lang w:eastAsia="el-GR"/>
              </w:rPr>
              <w:t xml:space="preserve">Describe characteristics of each included </w:t>
            </w:r>
            <w:r>
              <w:rPr>
                <w:rFonts w:ascii="Arial" w:hAnsi="Arial" w:cs="Arial"/>
                <w:szCs w:val="20"/>
                <w:lang w:eastAsia="el-GR"/>
              </w:rPr>
              <w:t xml:space="preserve">SR in tables (such as </w:t>
            </w:r>
            <w:r w:rsidRPr="00AE3B09">
              <w:rPr>
                <w:rFonts w:ascii="Arial" w:hAnsi="Arial" w:cs="Arial"/>
                <w:szCs w:val="20"/>
                <w:lang w:eastAsia="el-GR"/>
              </w:rPr>
              <w:t xml:space="preserve">title or author, search date, </w:t>
            </w:r>
            <w:r>
              <w:rPr>
                <w:rFonts w:ascii="Arial" w:hAnsi="Arial" w:cs="Arial"/>
                <w:szCs w:val="20"/>
                <w:lang w:eastAsia="el-GR"/>
              </w:rPr>
              <w:t>PICOS, design</w:t>
            </w:r>
            <w:r w:rsidRPr="00AE3B09">
              <w:rPr>
                <w:rFonts w:ascii="Arial" w:hAnsi="Arial" w:cs="Arial"/>
                <w:szCs w:val="20"/>
                <w:lang w:eastAsia="el-GR"/>
              </w:rPr>
              <w:t xml:space="preserve"> </w:t>
            </w:r>
            <w:r>
              <w:rPr>
                <w:rFonts w:ascii="Arial" w:hAnsi="Arial" w:cs="Arial"/>
                <w:szCs w:val="20"/>
                <w:lang w:eastAsia="el-GR"/>
              </w:rPr>
              <w:t>and</w:t>
            </w:r>
            <w:r w:rsidRPr="00AE3B09">
              <w:rPr>
                <w:rFonts w:ascii="Arial" w:hAnsi="Arial" w:cs="Arial"/>
                <w:szCs w:val="20"/>
                <w:lang w:eastAsia="el-GR"/>
              </w:rPr>
              <w:t xml:space="preserve"> </w:t>
            </w:r>
            <w:r>
              <w:rPr>
                <w:rFonts w:ascii="Arial" w:hAnsi="Arial" w:cs="Arial"/>
                <w:szCs w:val="20"/>
                <w:lang w:eastAsia="el-GR"/>
              </w:rPr>
              <w:t>number of studies</w:t>
            </w:r>
            <w:r w:rsidRPr="00AE3B09">
              <w:rPr>
                <w:rFonts w:ascii="Arial" w:hAnsi="Arial" w:cs="Arial"/>
                <w:szCs w:val="20"/>
                <w:lang w:eastAsia="el-GR"/>
              </w:rPr>
              <w:t xml:space="preserve"> included</w:t>
            </w:r>
            <w:r>
              <w:rPr>
                <w:rFonts w:ascii="Arial" w:hAnsi="Arial" w:cs="Arial"/>
                <w:szCs w:val="20"/>
                <w:lang w:eastAsia="el-GR"/>
              </w:rPr>
              <w:t>, number and age range of</w:t>
            </w:r>
            <w:r w:rsidRPr="00AE3B09">
              <w:rPr>
                <w:rFonts w:ascii="Arial" w:hAnsi="Arial" w:cs="Arial"/>
                <w:szCs w:val="20"/>
                <w:lang w:eastAsia="el-GR"/>
              </w:rPr>
              <w:t xml:space="preserve"> participants, dose/frequency, </w:t>
            </w:r>
            <w:r>
              <w:rPr>
                <w:rFonts w:ascii="Arial" w:hAnsi="Arial" w:cs="Arial"/>
                <w:szCs w:val="20"/>
                <w:lang w:eastAsia="el-GR"/>
              </w:rPr>
              <w:t>follow up period [treatment duration]</w:t>
            </w:r>
            <w:r w:rsidRPr="00AE3B09">
              <w:rPr>
                <w:rFonts w:ascii="Arial" w:hAnsi="Arial" w:cs="Arial"/>
                <w:szCs w:val="20"/>
                <w:lang w:eastAsia="el-GR"/>
              </w:rPr>
              <w:t xml:space="preserve">, </w:t>
            </w:r>
            <w:r>
              <w:rPr>
                <w:rFonts w:ascii="Arial" w:hAnsi="Arial" w:cs="Arial"/>
                <w:szCs w:val="20"/>
                <w:lang w:eastAsia="el-GR"/>
              </w:rPr>
              <w:t xml:space="preserve">review limitations, </w:t>
            </w:r>
            <w:r w:rsidRPr="00AE3B09">
              <w:rPr>
                <w:rFonts w:ascii="Arial" w:hAnsi="Arial" w:cs="Arial"/>
                <w:szCs w:val="20"/>
                <w:lang w:eastAsia="el-GR"/>
              </w:rPr>
              <w:t>results or conclusion)</w:t>
            </w:r>
            <w:r>
              <w:rPr>
                <w:rFonts w:ascii="Arial" w:hAnsi="Arial" w:cs="Arial"/>
                <w:szCs w:val="20"/>
                <w:lang w:eastAsia="el-GR"/>
              </w:rPr>
              <w:t xml:space="preserve"> and of each additional primary study</w:t>
            </w:r>
            <w:r w:rsidRPr="00AE3B09">
              <w:rPr>
                <w:rFonts w:ascii="Arial" w:hAnsi="Arial" w:cs="Arial"/>
                <w:szCs w:val="20"/>
                <w:lang w:eastAsia="el-GR"/>
              </w:rPr>
              <w:t>.</w:t>
            </w:r>
          </w:p>
        </w:tc>
        <w:tc>
          <w:tcPr>
            <w:tcW w:w="1156" w:type="dxa"/>
            <w:tcBorders>
              <w:right w:val="single" w:sz="4" w:space="0" w:color="auto"/>
            </w:tcBorders>
            <w:vAlign w:val="center"/>
          </w:tcPr>
          <w:p w14:paraId="6B2391F9"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7</w:t>
            </w:r>
            <w:r>
              <w:rPr>
                <w:rFonts w:ascii="Arial" w:hAnsi="Arial" w:cs="Arial"/>
                <w:iCs/>
                <w:szCs w:val="20"/>
                <w:lang w:eastAsia="zh-CN"/>
              </w:rPr>
              <w:t>-8, T</w:t>
            </w:r>
            <w:r>
              <w:rPr>
                <w:rFonts w:ascii="Arial" w:hAnsi="Arial" w:cs="Arial" w:hint="eastAsia"/>
                <w:iCs/>
                <w:szCs w:val="20"/>
                <w:lang w:eastAsia="zh-CN"/>
              </w:rPr>
              <w:t>a</w:t>
            </w:r>
            <w:r>
              <w:rPr>
                <w:rFonts w:ascii="Arial" w:hAnsi="Arial" w:cs="Arial"/>
                <w:iCs/>
                <w:szCs w:val="20"/>
                <w:lang w:eastAsia="zh-CN"/>
              </w:rPr>
              <w:t>ble 1, 2</w:t>
            </w:r>
          </w:p>
        </w:tc>
      </w:tr>
      <w:tr w:rsidR="00BC3132" w:rsidRPr="00962B44" w14:paraId="6522C16E" w14:textId="77777777" w:rsidTr="00BC3132">
        <w:trPr>
          <w:cantSplit/>
          <w:trHeight w:val="363"/>
        </w:trPr>
        <w:tc>
          <w:tcPr>
            <w:tcW w:w="1929" w:type="dxa"/>
            <w:vMerge/>
            <w:tcBorders>
              <w:left w:val="single" w:sz="4" w:space="0" w:color="auto"/>
            </w:tcBorders>
            <w:vAlign w:val="center"/>
            <w:hideMark/>
          </w:tcPr>
          <w:p w14:paraId="7F8444F9" w14:textId="77777777" w:rsidR="00BC3132" w:rsidRPr="00AE3B09" w:rsidRDefault="00BC3132" w:rsidP="00A626C3">
            <w:pPr>
              <w:pStyle w:val="Default"/>
              <w:spacing w:before="40" w:after="40"/>
              <w:rPr>
                <w:rFonts w:ascii="Arial" w:hAnsi="Arial" w:cs="Arial"/>
                <w:sz w:val="20"/>
                <w:szCs w:val="20"/>
              </w:rPr>
            </w:pPr>
          </w:p>
        </w:tc>
        <w:tc>
          <w:tcPr>
            <w:tcW w:w="870" w:type="dxa"/>
            <w:vAlign w:val="center"/>
            <w:hideMark/>
          </w:tcPr>
          <w:p w14:paraId="1056F9CC" w14:textId="77777777" w:rsidR="00BC3132" w:rsidRPr="00AE3B09" w:rsidRDefault="00BC3132" w:rsidP="00A626C3">
            <w:pPr>
              <w:pStyle w:val="Default"/>
              <w:spacing w:before="40" w:after="40"/>
              <w:rPr>
                <w:rFonts w:ascii="Arial" w:hAnsi="Arial" w:cs="Arial"/>
                <w:sz w:val="20"/>
                <w:szCs w:val="20"/>
              </w:rPr>
            </w:pPr>
            <w:r w:rsidRPr="00AE3B09">
              <w:rPr>
                <w:rFonts w:ascii="Arial" w:hAnsi="Arial" w:cs="Arial"/>
                <w:sz w:val="20"/>
                <w:szCs w:val="20"/>
              </w:rPr>
              <w:t>17b</w:t>
            </w:r>
          </w:p>
        </w:tc>
        <w:tc>
          <w:tcPr>
            <w:tcW w:w="10489" w:type="dxa"/>
            <w:gridSpan w:val="5"/>
            <w:vAlign w:val="center"/>
          </w:tcPr>
          <w:p w14:paraId="73B9CBF7" w14:textId="77777777" w:rsidR="00BC3132" w:rsidRPr="00AE3B09" w:rsidRDefault="00BC3132" w:rsidP="00A626C3">
            <w:pPr>
              <w:pStyle w:val="Default"/>
              <w:spacing w:before="40" w:after="40"/>
              <w:jc w:val="both"/>
              <w:rPr>
                <w:rFonts w:ascii="Arial" w:hAnsi="Arial" w:cs="Arial"/>
                <w:sz w:val="20"/>
                <w:szCs w:val="20"/>
              </w:rPr>
            </w:pPr>
            <w:r w:rsidRPr="00AE3B09">
              <w:rPr>
                <w:rFonts w:ascii="Arial" w:hAnsi="Arial" w:cs="Arial"/>
                <w:sz w:val="20"/>
                <w:szCs w:val="20"/>
                <w:lang w:eastAsia="el-GR"/>
              </w:rPr>
              <w:t xml:space="preserve">For each included </w:t>
            </w:r>
            <w:r>
              <w:rPr>
                <w:rFonts w:ascii="Arial" w:hAnsi="Arial" w:cs="Arial"/>
                <w:sz w:val="20"/>
                <w:szCs w:val="20"/>
                <w:lang w:eastAsia="el-GR"/>
              </w:rPr>
              <w:t>SR</w:t>
            </w:r>
            <w:r w:rsidRPr="00AE3B09">
              <w:rPr>
                <w:rFonts w:ascii="Arial" w:hAnsi="Arial" w:cs="Arial"/>
                <w:sz w:val="20"/>
                <w:szCs w:val="20"/>
                <w:lang w:eastAsia="el-GR"/>
              </w:rPr>
              <w:t xml:space="preserve"> report language and publication status restrictions that ha</w:t>
            </w:r>
            <w:r>
              <w:rPr>
                <w:rFonts w:ascii="Arial" w:hAnsi="Arial" w:cs="Arial"/>
                <w:sz w:val="20"/>
                <w:szCs w:val="20"/>
                <w:lang w:eastAsia="el-GR"/>
              </w:rPr>
              <w:t>ve</w:t>
            </w:r>
            <w:r w:rsidRPr="00AE3B09">
              <w:rPr>
                <w:rFonts w:ascii="Arial" w:hAnsi="Arial" w:cs="Arial"/>
                <w:sz w:val="20"/>
                <w:szCs w:val="20"/>
                <w:lang w:eastAsia="el-GR"/>
              </w:rPr>
              <w:t xml:space="preserve"> been </w:t>
            </w:r>
            <w:r>
              <w:rPr>
                <w:rFonts w:ascii="Arial" w:hAnsi="Arial" w:cs="Arial"/>
                <w:sz w:val="20"/>
                <w:szCs w:val="20"/>
                <w:lang w:eastAsia="el-GR"/>
              </w:rPr>
              <w:t>used</w:t>
            </w:r>
            <w:r w:rsidRPr="00AE3B09">
              <w:rPr>
                <w:rFonts w:ascii="Arial" w:hAnsi="Arial" w:cs="Arial"/>
                <w:sz w:val="20"/>
                <w:szCs w:val="20"/>
                <w:lang w:eastAsia="el-GR"/>
              </w:rPr>
              <w:t>.</w:t>
            </w:r>
          </w:p>
        </w:tc>
        <w:tc>
          <w:tcPr>
            <w:tcW w:w="1156" w:type="dxa"/>
            <w:tcBorders>
              <w:right w:val="single" w:sz="4" w:space="0" w:color="auto"/>
            </w:tcBorders>
            <w:vAlign w:val="center"/>
          </w:tcPr>
          <w:p w14:paraId="39D2C029"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7</w:t>
            </w:r>
            <w:r>
              <w:rPr>
                <w:rFonts w:ascii="Arial" w:hAnsi="Arial" w:cs="Arial"/>
                <w:iCs/>
                <w:szCs w:val="20"/>
                <w:lang w:eastAsia="zh-CN"/>
              </w:rPr>
              <w:t>-8</w:t>
            </w:r>
          </w:p>
        </w:tc>
      </w:tr>
      <w:tr w:rsidR="00BC3132" w:rsidRPr="00962B44" w14:paraId="1279CDE6" w14:textId="77777777" w:rsidTr="00BC3132">
        <w:trPr>
          <w:cantSplit/>
          <w:trHeight w:val="341"/>
        </w:trPr>
        <w:tc>
          <w:tcPr>
            <w:tcW w:w="1929" w:type="dxa"/>
            <w:vMerge w:val="restart"/>
            <w:tcBorders>
              <w:left w:val="single" w:sz="4" w:space="0" w:color="auto"/>
            </w:tcBorders>
            <w:vAlign w:val="center"/>
            <w:hideMark/>
          </w:tcPr>
          <w:p w14:paraId="01637F51" w14:textId="77777777" w:rsidR="00BC3132" w:rsidRPr="00A75E83" w:rsidRDefault="00BC3132" w:rsidP="00A626C3">
            <w:pPr>
              <w:rPr>
                <w:rFonts w:ascii="Arial" w:hAnsi="Arial" w:cs="Arial"/>
                <w:i/>
                <w:iCs/>
                <w:sz w:val="16"/>
                <w:szCs w:val="16"/>
                <w:vertAlign w:val="superscript"/>
                <w:lang w:eastAsia="el-GR"/>
              </w:rPr>
            </w:pPr>
            <w:r w:rsidRPr="00377786">
              <w:rPr>
                <w:rFonts w:ascii="Arial" w:hAnsi="Arial" w:cs="Arial"/>
                <w:szCs w:val="20"/>
              </w:rPr>
              <w:t>18. Overlapping</w:t>
            </w:r>
          </w:p>
        </w:tc>
        <w:tc>
          <w:tcPr>
            <w:tcW w:w="870" w:type="dxa"/>
            <w:vAlign w:val="center"/>
            <w:hideMark/>
          </w:tcPr>
          <w:p w14:paraId="6117FE8C" w14:textId="77777777" w:rsidR="00BC3132" w:rsidRPr="00363B8D" w:rsidRDefault="00BC3132" w:rsidP="00A626C3">
            <w:pPr>
              <w:pStyle w:val="Default"/>
              <w:spacing w:before="40" w:after="40"/>
              <w:rPr>
                <w:rFonts w:ascii="Arial" w:hAnsi="Arial" w:cs="Arial"/>
                <w:sz w:val="20"/>
                <w:szCs w:val="20"/>
              </w:rPr>
            </w:pPr>
            <w:r>
              <w:rPr>
                <w:rFonts w:ascii="Arial" w:hAnsi="Arial" w:cs="Arial"/>
                <w:sz w:val="20"/>
                <w:szCs w:val="20"/>
              </w:rPr>
              <w:t>18</w:t>
            </w:r>
          </w:p>
        </w:tc>
        <w:tc>
          <w:tcPr>
            <w:tcW w:w="10489" w:type="dxa"/>
            <w:gridSpan w:val="5"/>
            <w:vAlign w:val="center"/>
          </w:tcPr>
          <w:p w14:paraId="708D1C92" w14:textId="77777777" w:rsidR="00BC3132" w:rsidRPr="00377786" w:rsidRDefault="00BC3132" w:rsidP="00A626C3">
            <w:pPr>
              <w:pStyle w:val="Default"/>
              <w:spacing w:line="276" w:lineRule="auto"/>
              <w:rPr>
                <w:rFonts w:ascii="Arial" w:hAnsi="Arial" w:cs="Arial"/>
                <w:sz w:val="20"/>
                <w:szCs w:val="20"/>
                <w:lang w:val="en-US" w:eastAsia="el-GR"/>
              </w:rPr>
            </w:pPr>
            <w:r w:rsidRPr="00377786">
              <w:rPr>
                <w:rFonts w:ascii="Arial" w:hAnsi="Arial" w:cs="Arial"/>
                <w:sz w:val="20"/>
                <w:szCs w:val="20"/>
                <w:lang w:val="en-US" w:eastAsia="el-GR"/>
              </w:rPr>
              <w:t xml:space="preserve">Present </w:t>
            </w:r>
            <w:r>
              <w:rPr>
                <w:rFonts w:ascii="Arial" w:hAnsi="Arial" w:cs="Arial"/>
                <w:sz w:val="20"/>
                <w:szCs w:val="20"/>
                <w:lang w:val="en-US" w:eastAsia="el-GR"/>
              </w:rPr>
              <w:t>or/</w:t>
            </w:r>
            <w:r w:rsidRPr="00377786">
              <w:rPr>
                <w:rFonts w:ascii="Arial" w:hAnsi="Arial" w:cs="Arial"/>
                <w:sz w:val="20"/>
                <w:szCs w:val="20"/>
                <w:lang w:val="en-US" w:eastAsia="el-GR"/>
              </w:rPr>
              <w:t xml:space="preserve">and discuss about overlapping of studies within </w:t>
            </w:r>
            <w:r>
              <w:rPr>
                <w:rFonts w:ascii="Arial" w:hAnsi="Arial" w:cs="Arial"/>
                <w:sz w:val="20"/>
                <w:szCs w:val="20"/>
                <w:lang w:val="en-US" w:eastAsia="el-GR"/>
              </w:rPr>
              <w:t>SRs (at least one of the following):</w:t>
            </w:r>
          </w:p>
        </w:tc>
        <w:tc>
          <w:tcPr>
            <w:tcW w:w="1156" w:type="dxa"/>
            <w:tcBorders>
              <w:right w:val="single" w:sz="4" w:space="0" w:color="auto"/>
            </w:tcBorders>
            <w:vAlign w:val="center"/>
          </w:tcPr>
          <w:p w14:paraId="708DFEED"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N</w:t>
            </w:r>
            <w:r>
              <w:rPr>
                <w:rFonts w:ascii="Arial" w:hAnsi="Arial" w:cs="Arial"/>
                <w:iCs/>
                <w:szCs w:val="20"/>
                <w:lang w:eastAsia="zh-CN"/>
              </w:rPr>
              <w:t>A</w:t>
            </w:r>
          </w:p>
        </w:tc>
      </w:tr>
      <w:tr w:rsidR="00BC3132" w:rsidRPr="00962B44" w14:paraId="0FD02D2C" w14:textId="77777777" w:rsidTr="00BC3132">
        <w:trPr>
          <w:cantSplit/>
          <w:trHeight w:val="280"/>
        </w:trPr>
        <w:tc>
          <w:tcPr>
            <w:tcW w:w="1929" w:type="dxa"/>
            <w:vMerge/>
            <w:tcBorders>
              <w:left w:val="single" w:sz="4" w:space="0" w:color="auto"/>
            </w:tcBorders>
            <w:hideMark/>
          </w:tcPr>
          <w:p w14:paraId="65DCB783" w14:textId="77777777" w:rsidR="00BC3132" w:rsidRPr="004C1685" w:rsidRDefault="00BC3132" w:rsidP="00A626C3">
            <w:pPr>
              <w:pStyle w:val="Default"/>
              <w:spacing w:before="40" w:after="40"/>
              <w:rPr>
                <w:rFonts w:ascii="Arial" w:hAnsi="Arial" w:cs="Arial"/>
                <w:sz w:val="20"/>
                <w:szCs w:val="20"/>
              </w:rPr>
            </w:pPr>
          </w:p>
        </w:tc>
        <w:tc>
          <w:tcPr>
            <w:tcW w:w="870" w:type="dxa"/>
            <w:vAlign w:val="center"/>
            <w:hideMark/>
          </w:tcPr>
          <w:p w14:paraId="5F78F6F4" w14:textId="77777777" w:rsidR="00BC3132" w:rsidRPr="00363B8D" w:rsidRDefault="00BC3132" w:rsidP="00A626C3">
            <w:pPr>
              <w:pStyle w:val="Default"/>
              <w:spacing w:before="40" w:after="40"/>
              <w:rPr>
                <w:rFonts w:ascii="Arial" w:hAnsi="Arial" w:cs="Arial"/>
                <w:sz w:val="20"/>
                <w:szCs w:val="20"/>
              </w:rPr>
            </w:pPr>
          </w:p>
        </w:tc>
        <w:tc>
          <w:tcPr>
            <w:tcW w:w="10489" w:type="dxa"/>
            <w:gridSpan w:val="5"/>
          </w:tcPr>
          <w:p w14:paraId="3EA6CABA" w14:textId="77777777" w:rsidR="00BC3132" w:rsidRPr="00C955B9" w:rsidRDefault="00BC3132" w:rsidP="00BC3132">
            <w:pPr>
              <w:pStyle w:val="Default"/>
              <w:numPr>
                <w:ilvl w:val="0"/>
                <w:numId w:val="11"/>
              </w:numPr>
              <w:spacing w:before="40" w:after="40"/>
              <w:ind w:left="459" w:hanging="284"/>
              <w:rPr>
                <w:rFonts w:ascii="Arial" w:hAnsi="Arial" w:cs="Arial"/>
                <w:sz w:val="18"/>
                <w:szCs w:val="18"/>
              </w:rPr>
            </w:pPr>
            <w:r>
              <w:rPr>
                <w:rFonts w:ascii="Arial" w:hAnsi="Arial" w:cs="Arial"/>
                <w:sz w:val="18"/>
                <w:szCs w:val="18"/>
                <w:lang w:val="en-US" w:eastAsia="el-GR"/>
              </w:rPr>
              <w:t>Present m</w:t>
            </w:r>
            <w:r w:rsidRPr="00C955B9">
              <w:rPr>
                <w:rFonts w:ascii="Arial" w:hAnsi="Arial" w:cs="Arial"/>
                <w:sz w:val="18"/>
                <w:szCs w:val="18"/>
                <w:lang w:val="en-US" w:eastAsia="el-GR"/>
              </w:rPr>
              <w:t xml:space="preserve">easures of overlap </w:t>
            </w:r>
            <w:r>
              <w:rPr>
                <w:rFonts w:ascii="Arial" w:hAnsi="Arial" w:cs="Arial"/>
                <w:sz w:val="18"/>
                <w:szCs w:val="18"/>
                <w:lang w:val="en-US" w:eastAsia="el-GR"/>
              </w:rPr>
              <w:t xml:space="preserve">(such as </w:t>
            </w:r>
            <w:r w:rsidRPr="00C955B9">
              <w:rPr>
                <w:rFonts w:ascii="Arial" w:hAnsi="Arial" w:cs="Arial"/>
                <w:sz w:val="18"/>
                <w:szCs w:val="18"/>
                <w:lang w:val="en-US" w:eastAsia="el-GR"/>
              </w:rPr>
              <w:t>CCA</w:t>
            </w:r>
            <w:r>
              <w:rPr>
                <w:rFonts w:ascii="Arial" w:hAnsi="Arial" w:cs="Arial"/>
                <w:sz w:val="18"/>
                <w:szCs w:val="18"/>
                <w:lang w:val="en-US" w:eastAsia="el-GR"/>
              </w:rPr>
              <w:t>).</w:t>
            </w:r>
          </w:p>
        </w:tc>
        <w:tc>
          <w:tcPr>
            <w:tcW w:w="1156" w:type="dxa"/>
            <w:tcBorders>
              <w:right w:val="single" w:sz="4" w:space="0" w:color="auto"/>
            </w:tcBorders>
            <w:vAlign w:val="center"/>
          </w:tcPr>
          <w:p w14:paraId="1FBC247A"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N</w:t>
            </w:r>
            <w:r>
              <w:rPr>
                <w:rFonts w:ascii="Arial" w:hAnsi="Arial" w:cs="Arial"/>
                <w:iCs/>
                <w:szCs w:val="20"/>
                <w:lang w:eastAsia="zh-CN"/>
              </w:rPr>
              <w:t>A</w:t>
            </w:r>
          </w:p>
        </w:tc>
      </w:tr>
      <w:tr w:rsidR="00BC3132" w:rsidRPr="00962B44" w14:paraId="31D2D831" w14:textId="77777777" w:rsidTr="00BC3132">
        <w:trPr>
          <w:cantSplit/>
          <w:trHeight w:val="249"/>
        </w:trPr>
        <w:tc>
          <w:tcPr>
            <w:tcW w:w="1929" w:type="dxa"/>
            <w:vMerge/>
            <w:tcBorders>
              <w:left w:val="single" w:sz="4" w:space="0" w:color="auto"/>
            </w:tcBorders>
            <w:hideMark/>
          </w:tcPr>
          <w:p w14:paraId="4061A416" w14:textId="77777777" w:rsidR="00BC3132" w:rsidRPr="004C1685" w:rsidRDefault="00BC3132" w:rsidP="00A626C3">
            <w:pPr>
              <w:pStyle w:val="Default"/>
              <w:spacing w:before="40" w:after="40"/>
              <w:rPr>
                <w:rFonts w:ascii="Arial" w:hAnsi="Arial" w:cs="Arial"/>
                <w:sz w:val="20"/>
                <w:szCs w:val="20"/>
              </w:rPr>
            </w:pPr>
          </w:p>
        </w:tc>
        <w:tc>
          <w:tcPr>
            <w:tcW w:w="870" w:type="dxa"/>
            <w:vAlign w:val="center"/>
            <w:hideMark/>
          </w:tcPr>
          <w:p w14:paraId="7CE0B52F" w14:textId="77777777" w:rsidR="00BC3132" w:rsidRPr="00363B8D" w:rsidRDefault="00BC3132" w:rsidP="00A626C3">
            <w:pPr>
              <w:pStyle w:val="Default"/>
              <w:spacing w:before="40" w:after="40"/>
              <w:rPr>
                <w:rFonts w:ascii="Arial" w:hAnsi="Arial" w:cs="Arial"/>
                <w:sz w:val="20"/>
                <w:szCs w:val="20"/>
              </w:rPr>
            </w:pPr>
          </w:p>
        </w:tc>
        <w:tc>
          <w:tcPr>
            <w:tcW w:w="10489" w:type="dxa"/>
            <w:gridSpan w:val="5"/>
          </w:tcPr>
          <w:p w14:paraId="5393BA11" w14:textId="77777777" w:rsidR="00BC3132" w:rsidRPr="00C955B9" w:rsidRDefault="00BC3132" w:rsidP="00BC3132">
            <w:pPr>
              <w:pStyle w:val="Default"/>
              <w:numPr>
                <w:ilvl w:val="0"/>
                <w:numId w:val="11"/>
              </w:numPr>
              <w:spacing w:before="40" w:after="40"/>
              <w:ind w:left="459" w:hanging="284"/>
              <w:rPr>
                <w:rFonts w:ascii="Arial" w:hAnsi="Arial" w:cs="Arial"/>
                <w:sz w:val="18"/>
                <w:szCs w:val="18"/>
              </w:rPr>
            </w:pPr>
            <w:r>
              <w:rPr>
                <w:rFonts w:ascii="Arial" w:hAnsi="Arial" w:cs="Arial"/>
                <w:sz w:val="18"/>
                <w:szCs w:val="18"/>
                <w:lang w:val="en-US" w:eastAsia="el-GR"/>
              </w:rPr>
              <w:t>P</w:t>
            </w:r>
            <w:r w:rsidRPr="00C955B9">
              <w:rPr>
                <w:rFonts w:ascii="Arial" w:hAnsi="Arial" w:cs="Arial"/>
                <w:sz w:val="18"/>
                <w:szCs w:val="18"/>
                <w:lang w:val="en-US" w:eastAsia="el-GR"/>
              </w:rPr>
              <w:t>rovide citation matrix</w:t>
            </w:r>
            <w:r>
              <w:rPr>
                <w:rFonts w:ascii="Arial" w:hAnsi="Arial" w:cs="Arial"/>
                <w:sz w:val="18"/>
                <w:szCs w:val="18"/>
                <w:lang w:val="en-US" w:eastAsia="el-GR"/>
              </w:rPr>
              <w:t>.</w:t>
            </w:r>
            <w:r w:rsidRPr="00EC79DE">
              <w:rPr>
                <w:b/>
                <w:color w:val="8496B0" w:themeColor="text2" w:themeTint="99"/>
                <w:vertAlign w:val="superscript"/>
              </w:rPr>
              <w:t>c</w:t>
            </w:r>
          </w:p>
        </w:tc>
        <w:tc>
          <w:tcPr>
            <w:tcW w:w="1156" w:type="dxa"/>
            <w:tcBorders>
              <w:right w:val="single" w:sz="4" w:space="0" w:color="auto"/>
            </w:tcBorders>
            <w:vAlign w:val="center"/>
          </w:tcPr>
          <w:p w14:paraId="655610E4"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N</w:t>
            </w:r>
            <w:r>
              <w:rPr>
                <w:rFonts w:ascii="Arial" w:hAnsi="Arial" w:cs="Arial"/>
                <w:iCs/>
                <w:szCs w:val="20"/>
                <w:lang w:eastAsia="zh-CN"/>
              </w:rPr>
              <w:t>A</w:t>
            </w:r>
          </w:p>
        </w:tc>
      </w:tr>
      <w:tr w:rsidR="00BC3132" w:rsidRPr="00962B44" w14:paraId="15708035" w14:textId="77777777" w:rsidTr="00BC3132">
        <w:trPr>
          <w:cantSplit/>
          <w:trHeight w:val="283"/>
        </w:trPr>
        <w:tc>
          <w:tcPr>
            <w:tcW w:w="1929" w:type="dxa"/>
            <w:vMerge/>
            <w:tcBorders>
              <w:left w:val="single" w:sz="4" w:space="0" w:color="auto"/>
            </w:tcBorders>
            <w:hideMark/>
          </w:tcPr>
          <w:p w14:paraId="00BC8FB8" w14:textId="77777777" w:rsidR="00BC3132" w:rsidRPr="004C1685" w:rsidRDefault="00BC3132" w:rsidP="00A626C3">
            <w:pPr>
              <w:pStyle w:val="Default"/>
              <w:spacing w:before="40" w:after="40"/>
              <w:rPr>
                <w:rFonts w:ascii="Arial" w:hAnsi="Arial" w:cs="Arial"/>
                <w:sz w:val="20"/>
                <w:szCs w:val="20"/>
              </w:rPr>
            </w:pPr>
          </w:p>
        </w:tc>
        <w:tc>
          <w:tcPr>
            <w:tcW w:w="870" w:type="dxa"/>
            <w:vAlign w:val="center"/>
            <w:hideMark/>
          </w:tcPr>
          <w:p w14:paraId="5CE236FF" w14:textId="77777777" w:rsidR="00BC3132" w:rsidRPr="00363B8D" w:rsidRDefault="00BC3132" w:rsidP="00A626C3">
            <w:pPr>
              <w:pStyle w:val="Default"/>
              <w:spacing w:before="40" w:after="40"/>
              <w:rPr>
                <w:rFonts w:ascii="Arial" w:hAnsi="Arial" w:cs="Arial"/>
                <w:sz w:val="20"/>
                <w:szCs w:val="20"/>
              </w:rPr>
            </w:pPr>
          </w:p>
        </w:tc>
        <w:tc>
          <w:tcPr>
            <w:tcW w:w="10489" w:type="dxa"/>
            <w:gridSpan w:val="5"/>
          </w:tcPr>
          <w:p w14:paraId="6D64B478" w14:textId="77777777" w:rsidR="00BC3132" w:rsidRPr="00C955B9" w:rsidRDefault="00BC3132" w:rsidP="00BC3132">
            <w:pPr>
              <w:pStyle w:val="Default"/>
              <w:numPr>
                <w:ilvl w:val="0"/>
                <w:numId w:val="11"/>
              </w:numPr>
              <w:spacing w:before="40" w:after="40"/>
              <w:ind w:left="459" w:hanging="284"/>
              <w:rPr>
                <w:rFonts w:ascii="Arial" w:hAnsi="Arial" w:cs="Arial"/>
                <w:sz w:val="18"/>
                <w:szCs w:val="18"/>
              </w:rPr>
            </w:pPr>
            <w:r>
              <w:rPr>
                <w:rFonts w:ascii="Arial" w:hAnsi="Arial" w:cs="Arial"/>
                <w:sz w:val="18"/>
                <w:szCs w:val="18"/>
                <w:lang w:eastAsia="el-GR"/>
              </w:rPr>
              <w:t>G</w:t>
            </w:r>
            <w:r w:rsidRPr="00C955B9">
              <w:rPr>
                <w:rFonts w:ascii="Arial" w:hAnsi="Arial" w:cs="Arial"/>
                <w:sz w:val="18"/>
                <w:szCs w:val="18"/>
                <w:lang w:eastAsia="el-GR"/>
              </w:rPr>
              <w:t xml:space="preserve">ive the </w:t>
            </w:r>
            <w:r w:rsidRPr="00C955B9">
              <w:rPr>
                <w:rFonts w:ascii="Arial" w:hAnsi="Arial" w:cs="Arial"/>
                <w:bCs/>
                <w:sz w:val="18"/>
                <w:szCs w:val="18"/>
              </w:rPr>
              <w:t xml:space="preserve">number of </w:t>
            </w:r>
            <w:r>
              <w:rPr>
                <w:rFonts w:ascii="Arial" w:hAnsi="Arial" w:cs="Arial"/>
                <w:bCs/>
                <w:sz w:val="18"/>
                <w:szCs w:val="18"/>
              </w:rPr>
              <w:t>index publications or/and discuss about overlapping.</w:t>
            </w:r>
            <w:r w:rsidRPr="00EC79DE">
              <w:rPr>
                <w:b/>
                <w:color w:val="8496B0" w:themeColor="text2" w:themeTint="99"/>
                <w:vertAlign w:val="superscript"/>
              </w:rPr>
              <w:t>f</w:t>
            </w:r>
          </w:p>
        </w:tc>
        <w:tc>
          <w:tcPr>
            <w:tcW w:w="1156" w:type="dxa"/>
            <w:tcBorders>
              <w:right w:val="single" w:sz="4" w:space="0" w:color="auto"/>
            </w:tcBorders>
            <w:vAlign w:val="center"/>
          </w:tcPr>
          <w:p w14:paraId="4B6C511C"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N</w:t>
            </w:r>
            <w:r>
              <w:rPr>
                <w:rFonts w:ascii="Arial" w:hAnsi="Arial" w:cs="Arial"/>
                <w:iCs/>
                <w:szCs w:val="20"/>
                <w:lang w:eastAsia="zh-CN"/>
              </w:rPr>
              <w:t>A</w:t>
            </w:r>
          </w:p>
        </w:tc>
      </w:tr>
      <w:tr w:rsidR="00BC3132" w:rsidRPr="00962B44" w14:paraId="78BD47CC" w14:textId="77777777" w:rsidTr="00BC3132">
        <w:trPr>
          <w:cantSplit/>
          <w:trHeight w:val="347"/>
        </w:trPr>
        <w:tc>
          <w:tcPr>
            <w:tcW w:w="1929" w:type="dxa"/>
            <w:vMerge w:val="restart"/>
            <w:tcBorders>
              <w:left w:val="single" w:sz="4" w:space="0" w:color="auto"/>
            </w:tcBorders>
            <w:vAlign w:val="center"/>
            <w:hideMark/>
          </w:tcPr>
          <w:p w14:paraId="17F32D59" w14:textId="77777777" w:rsidR="00BC3132" w:rsidRPr="00855763" w:rsidRDefault="00BC3132" w:rsidP="00A626C3">
            <w:pPr>
              <w:pStyle w:val="Default"/>
              <w:spacing w:before="40" w:after="40"/>
              <w:ind w:left="326" w:hanging="326"/>
              <w:rPr>
                <w:rFonts w:ascii="Arial" w:hAnsi="Arial" w:cs="Arial"/>
                <w:sz w:val="20"/>
                <w:szCs w:val="20"/>
              </w:rPr>
            </w:pPr>
            <w:r w:rsidRPr="00855763">
              <w:rPr>
                <w:rFonts w:ascii="Arial" w:hAnsi="Arial" w:cs="Arial"/>
                <w:sz w:val="20"/>
                <w:szCs w:val="20"/>
                <w:lang w:eastAsia="el-GR"/>
              </w:rPr>
              <w:t xml:space="preserve">19. Present </w:t>
            </w:r>
            <w:r w:rsidRPr="00855763">
              <w:rPr>
                <w:rFonts w:ascii="Arial" w:hAnsi="Arial" w:cs="Arial"/>
                <w:sz w:val="20"/>
                <w:szCs w:val="20"/>
                <w:lang w:eastAsia="el-GR"/>
              </w:rPr>
              <w:lastRenderedPageBreak/>
              <w:t xml:space="preserve">assessment of methodological quality </w:t>
            </w:r>
            <w:r>
              <w:rPr>
                <w:rFonts w:ascii="Arial" w:hAnsi="Arial" w:cs="Arial"/>
                <w:sz w:val="20"/>
                <w:szCs w:val="20"/>
                <w:lang w:eastAsia="el-GR"/>
              </w:rPr>
              <w:t>&amp;</w:t>
            </w:r>
            <w:r w:rsidRPr="00617166">
              <w:rPr>
                <w:rFonts w:ascii="Arial" w:hAnsi="Arial" w:cs="Arial"/>
                <w:sz w:val="20"/>
                <w:szCs w:val="20"/>
                <w:lang w:eastAsia="el-GR"/>
              </w:rPr>
              <w:t xml:space="preserve"> quality of evidence</w:t>
            </w:r>
          </w:p>
        </w:tc>
        <w:tc>
          <w:tcPr>
            <w:tcW w:w="870" w:type="dxa"/>
            <w:vAlign w:val="center"/>
            <w:hideMark/>
          </w:tcPr>
          <w:p w14:paraId="671F7CBB" w14:textId="77777777" w:rsidR="00BC3132" w:rsidRPr="00363B8D" w:rsidRDefault="00BC3132" w:rsidP="00A626C3">
            <w:pPr>
              <w:pStyle w:val="Default"/>
              <w:spacing w:before="40" w:after="40"/>
              <w:rPr>
                <w:rFonts w:ascii="Arial" w:hAnsi="Arial" w:cs="Arial"/>
                <w:sz w:val="20"/>
                <w:szCs w:val="20"/>
              </w:rPr>
            </w:pPr>
            <w:r>
              <w:rPr>
                <w:rFonts w:ascii="Arial" w:hAnsi="Arial" w:cs="Arial"/>
                <w:sz w:val="20"/>
                <w:szCs w:val="20"/>
              </w:rPr>
              <w:lastRenderedPageBreak/>
              <w:t>19</w:t>
            </w:r>
          </w:p>
        </w:tc>
        <w:tc>
          <w:tcPr>
            <w:tcW w:w="10489" w:type="dxa"/>
            <w:gridSpan w:val="5"/>
            <w:vAlign w:val="center"/>
          </w:tcPr>
          <w:p w14:paraId="3E010420" w14:textId="77777777" w:rsidR="00BC3132" w:rsidRPr="0068360B" w:rsidRDefault="00BC3132" w:rsidP="00A626C3">
            <w:pPr>
              <w:pStyle w:val="Default"/>
              <w:spacing w:before="40" w:after="40"/>
              <w:rPr>
                <w:rFonts w:ascii="Arial" w:hAnsi="Arial" w:cs="Arial"/>
                <w:sz w:val="20"/>
                <w:szCs w:val="20"/>
              </w:rPr>
            </w:pPr>
            <w:r w:rsidRPr="0068360B">
              <w:rPr>
                <w:rFonts w:ascii="Arial" w:hAnsi="Arial" w:cs="Arial"/>
                <w:sz w:val="20"/>
                <w:szCs w:val="20"/>
                <w:lang w:eastAsia="el-GR"/>
              </w:rPr>
              <w:t xml:space="preserve">Present results in text </w:t>
            </w:r>
            <w:r>
              <w:rPr>
                <w:rFonts w:ascii="Arial" w:hAnsi="Arial" w:cs="Arial"/>
                <w:sz w:val="20"/>
                <w:szCs w:val="20"/>
                <w:lang w:eastAsia="el-GR"/>
              </w:rPr>
              <w:t>or/and</w:t>
            </w:r>
            <w:r w:rsidRPr="0068360B">
              <w:rPr>
                <w:rFonts w:ascii="Arial" w:hAnsi="Arial" w:cs="Arial"/>
                <w:sz w:val="20"/>
                <w:szCs w:val="20"/>
                <w:lang w:eastAsia="el-GR"/>
              </w:rPr>
              <w:t xml:space="preserve"> tables</w:t>
            </w:r>
            <w:r w:rsidRPr="00EC79DE">
              <w:rPr>
                <w:b/>
                <w:color w:val="8496B0" w:themeColor="text2" w:themeTint="99"/>
                <w:vertAlign w:val="superscript"/>
              </w:rPr>
              <w:t>c</w:t>
            </w:r>
            <w:r w:rsidRPr="0068360B">
              <w:rPr>
                <w:rFonts w:ascii="Arial" w:hAnsi="Arial" w:cs="Arial"/>
                <w:sz w:val="20"/>
                <w:szCs w:val="20"/>
                <w:lang w:eastAsia="el-GR"/>
              </w:rPr>
              <w:t xml:space="preserve"> of any quality assessment (see</w:t>
            </w:r>
            <w:r w:rsidRPr="008E01CA">
              <w:rPr>
                <w:rFonts w:ascii="Arial" w:hAnsi="Arial" w:cs="Arial"/>
                <w:sz w:val="20"/>
                <w:szCs w:val="20"/>
                <w:lang w:val="en-US" w:eastAsia="el-GR"/>
              </w:rPr>
              <w:t xml:space="preserve"> </w:t>
            </w:r>
            <w:r>
              <w:rPr>
                <w:rFonts w:ascii="Arial" w:hAnsi="Arial" w:cs="Arial"/>
                <w:sz w:val="20"/>
                <w:szCs w:val="20"/>
                <w:lang w:val="en-US" w:eastAsia="el-GR"/>
              </w:rPr>
              <w:t>also</w:t>
            </w:r>
            <w:r w:rsidRPr="0068360B">
              <w:rPr>
                <w:rFonts w:ascii="Arial" w:hAnsi="Arial" w:cs="Arial"/>
                <w:sz w:val="20"/>
                <w:szCs w:val="20"/>
                <w:lang w:eastAsia="el-GR"/>
              </w:rPr>
              <w:t xml:space="preserve"> </w:t>
            </w:r>
            <w:r>
              <w:rPr>
                <w:rFonts w:ascii="Arial" w:hAnsi="Arial" w:cs="Arial"/>
                <w:sz w:val="20"/>
                <w:szCs w:val="20"/>
                <w:lang w:eastAsia="el-GR"/>
              </w:rPr>
              <w:t>sub</w:t>
            </w:r>
            <w:r w:rsidRPr="0068360B">
              <w:rPr>
                <w:rFonts w:ascii="Arial" w:hAnsi="Arial" w:cs="Arial"/>
                <w:sz w:val="20"/>
                <w:szCs w:val="20"/>
                <w:lang w:eastAsia="el-GR"/>
              </w:rPr>
              <w:t>item</w:t>
            </w:r>
            <w:r>
              <w:rPr>
                <w:rFonts w:ascii="Arial" w:hAnsi="Arial" w:cs="Arial"/>
                <w:sz w:val="20"/>
                <w:szCs w:val="20"/>
                <w:lang w:eastAsia="el-GR"/>
              </w:rPr>
              <w:t>s</w:t>
            </w:r>
            <w:r w:rsidRPr="0068360B">
              <w:rPr>
                <w:rFonts w:ascii="Arial" w:hAnsi="Arial" w:cs="Arial"/>
                <w:sz w:val="20"/>
                <w:szCs w:val="20"/>
                <w:lang w:eastAsia="el-GR"/>
              </w:rPr>
              <w:t xml:space="preserve"> 13</w:t>
            </w:r>
            <w:r>
              <w:rPr>
                <w:rFonts w:ascii="Arial" w:hAnsi="Arial" w:cs="Arial"/>
                <w:sz w:val="20"/>
                <w:szCs w:val="20"/>
                <w:lang w:eastAsia="el-GR"/>
              </w:rPr>
              <w:t>a-c</w:t>
            </w:r>
            <w:r w:rsidRPr="0068360B">
              <w:rPr>
                <w:rFonts w:ascii="Arial" w:hAnsi="Arial" w:cs="Arial"/>
                <w:sz w:val="20"/>
                <w:szCs w:val="20"/>
                <w:lang w:eastAsia="el-GR"/>
              </w:rPr>
              <w:t>)</w:t>
            </w:r>
            <w:r>
              <w:rPr>
                <w:rFonts w:ascii="Arial" w:hAnsi="Arial" w:cs="Arial"/>
                <w:sz w:val="20"/>
                <w:szCs w:val="20"/>
                <w:lang w:eastAsia="el-GR"/>
              </w:rPr>
              <w:t>:</w:t>
            </w:r>
          </w:p>
        </w:tc>
        <w:tc>
          <w:tcPr>
            <w:tcW w:w="1156" w:type="dxa"/>
            <w:tcBorders>
              <w:right w:val="single" w:sz="4" w:space="0" w:color="auto"/>
            </w:tcBorders>
            <w:vAlign w:val="center"/>
          </w:tcPr>
          <w:p w14:paraId="48081292"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N</w:t>
            </w:r>
            <w:r>
              <w:rPr>
                <w:rFonts w:ascii="Arial" w:hAnsi="Arial" w:cs="Arial"/>
                <w:iCs/>
                <w:szCs w:val="20"/>
                <w:lang w:eastAsia="zh-CN"/>
              </w:rPr>
              <w:t>A</w:t>
            </w:r>
          </w:p>
        </w:tc>
      </w:tr>
      <w:tr w:rsidR="00BC3132" w:rsidRPr="00962B44" w14:paraId="1FF876DD" w14:textId="77777777" w:rsidTr="00BC3132">
        <w:trPr>
          <w:cantSplit/>
          <w:trHeight w:val="250"/>
        </w:trPr>
        <w:tc>
          <w:tcPr>
            <w:tcW w:w="1929" w:type="dxa"/>
            <w:vMerge/>
            <w:tcBorders>
              <w:left w:val="single" w:sz="4" w:space="0" w:color="auto"/>
            </w:tcBorders>
            <w:vAlign w:val="center"/>
            <w:hideMark/>
          </w:tcPr>
          <w:p w14:paraId="1078585F" w14:textId="77777777" w:rsidR="00BC3132" w:rsidRPr="004C1685" w:rsidRDefault="00BC3132" w:rsidP="00A626C3">
            <w:pPr>
              <w:pStyle w:val="Default"/>
              <w:spacing w:before="40" w:after="40"/>
              <w:rPr>
                <w:rFonts w:ascii="Arial" w:hAnsi="Arial" w:cs="Arial"/>
                <w:sz w:val="20"/>
                <w:szCs w:val="20"/>
              </w:rPr>
            </w:pPr>
          </w:p>
        </w:tc>
        <w:tc>
          <w:tcPr>
            <w:tcW w:w="870" w:type="dxa"/>
            <w:vAlign w:val="center"/>
            <w:hideMark/>
          </w:tcPr>
          <w:p w14:paraId="73E2E058" w14:textId="77777777" w:rsidR="00BC3132" w:rsidRPr="00363B8D" w:rsidRDefault="00BC3132" w:rsidP="00A626C3">
            <w:pPr>
              <w:pStyle w:val="Default"/>
              <w:spacing w:before="40" w:after="40"/>
              <w:rPr>
                <w:rFonts w:ascii="Arial" w:hAnsi="Arial" w:cs="Arial"/>
                <w:sz w:val="20"/>
                <w:szCs w:val="20"/>
              </w:rPr>
            </w:pPr>
          </w:p>
        </w:tc>
        <w:tc>
          <w:tcPr>
            <w:tcW w:w="10489" w:type="dxa"/>
            <w:gridSpan w:val="5"/>
            <w:vAlign w:val="center"/>
          </w:tcPr>
          <w:p w14:paraId="61C573C6" w14:textId="77777777" w:rsidR="00BC3132" w:rsidRPr="0068360B" w:rsidRDefault="00BC3132" w:rsidP="00BC3132">
            <w:pPr>
              <w:pStyle w:val="Default"/>
              <w:numPr>
                <w:ilvl w:val="0"/>
                <w:numId w:val="12"/>
              </w:numPr>
              <w:spacing w:before="40" w:after="40"/>
              <w:ind w:left="459" w:hanging="284"/>
              <w:rPr>
                <w:rFonts w:ascii="Arial" w:hAnsi="Arial" w:cs="Arial"/>
                <w:sz w:val="18"/>
                <w:szCs w:val="18"/>
                <w:lang w:eastAsia="el-GR"/>
              </w:rPr>
            </w:pPr>
            <w:r>
              <w:rPr>
                <w:rFonts w:ascii="Arial" w:hAnsi="Arial" w:cs="Arial"/>
                <w:sz w:val="18"/>
                <w:szCs w:val="18"/>
                <w:lang w:eastAsia="el-GR"/>
              </w:rPr>
              <w:t>Reporting or/and methodological quality of the included SRs.</w:t>
            </w:r>
          </w:p>
        </w:tc>
        <w:tc>
          <w:tcPr>
            <w:tcW w:w="1156" w:type="dxa"/>
            <w:tcBorders>
              <w:right w:val="single" w:sz="4" w:space="0" w:color="auto"/>
            </w:tcBorders>
            <w:vAlign w:val="center"/>
          </w:tcPr>
          <w:p w14:paraId="6EF74AAB"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N</w:t>
            </w:r>
            <w:r>
              <w:rPr>
                <w:rFonts w:ascii="Arial" w:hAnsi="Arial" w:cs="Arial"/>
                <w:iCs/>
                <w:szCs w:val="20"/>
                <w:lang w:eastAsia="zh-CN"/>
              </w:rPr>
              <w:t>A</w:t>
            </w:r>
          </w:p>
        </w:tc>
      </w:tr>
      <w:tr w:rsidR="00BC3132" w:rsidRPr="00962B44" w14:paraId="65AF41E5" w14:textId="77777777" w:rsidTr="00BC3132">
        <w:trPr>
          <w:cantSplit/>
          <w:trHeight w:val="240"/>
        </w:trPr>
        <w:tc>
          <w:tcPr>
            <w:tcW w:w="1929" w:type="dxa"/>
            <w:vMerge/>
            <w:tcBorders>
              <w:left w:val="single" w:sz="4" w:space="0" w:color="auto"/>
            </w:tcBorders>
            <w:vAlign w:val="center"/>
            <w:hideMark/>
          </w:tcPr>
          <w:p w14:paraId="19F4AFC3" w14:textId="77777777" w:rsidR="00BC3132" w:rsidRPr="004C1685" w:rsidRDefault="00BC3132" w:rsidP="00A626C3">
            <w:pPr>
              <w:pStyle w:val="Default"/>
              <w:spacing w:before="40" w:after="40"/>
              <w:rPr>
                <w:rFonts w:ascii="Arial" w:hAnsi="Arial" w:cs="Arial"/>
                <w:sz w:val="20"/>
                <w:szCs w:val="20"/>
              </w:rPr>
            </w:pPr>
          </w:p>
        </w:tc>
        <w:tc>
          <w:tcPr>
            <w:tcW w:w="870" w:type="dxa"/>
            <w:vAlign w:val="center"/>
            <w:hideMark/>
          </w:tcPr>
          <w:p w14:paraId="5B079D83" w14:textId="77777777" w:rsidR="00BC3132" w:rsidRPr="00363B8D" w:rsidRDefault="00BC3132" w:rsidP="00A626C3">
            <w:pPr>
              <w:pStyle w:val="Default"/>
              <w:spacing w:before="40" w:after="40"/>
              <w:rPr>
                <w:rFonts w:ascii="Arial" w:hAnsi="Arial" w:cs="Arial"/>
                <w:sz w:val="20"/>
                <w:szCs w:val="20"/>
              </w:rPr>
            </w:pPr>
          </w:p>
        </w:tc>
        <w:tc>
          <w:tcPr>
            <w:tcW w:w="10489" w:type="dxa"/>
            <w:gridSpan w:val="5"/>
            <w:vAlign w:val="center"/>
          </w:tcPr>
          <w:p w14:paraId="4E3283FB" w14:textId="77777777" w:rsidR="00BC3132" w:rsidRPr="00324C20" w:rsidRDefault="00BC3132" w:rsidP="00BC3132">
            <w:pPr>
              <w:pStyle w:val="Default"/>
              <w:numPr>
                <w:ilvl w:val="0"/>
                <w:numId w:val="12"/>
              </w:numPr>
              <w:spacing w:before="40" w:after="40"/>
              <w:ind w:left="459" w:hanging="284"/>
              <w:jc w:val="both"/>
              <w:rPr>
                <w:rFonts w:ascii="Arial" w:hAnsi="Arial" w:cs="Arial"/>
                <w:sz w:val="20"/>
                <w:szCs w:val="20"/>
              </w:rPr>
            </w:pPr>
            <w:r>
              <w:rPr>
                <w:rFonts w:ascii="Arial" w:hAnsi="Arial" w:cs="Arial"/>
                <w:sz w:val="18"/>
                <w:szCs w:val="18"/>
                <w:lang w:eastAsia="el-GR"/>
              </w:rPr>
              <w:t>Inform for the q</w:t>
            </w:r>
            <w:r w:rsidRPr="00AC503C">
              <w:rPr>
                <w:rFonts w:ascii="Arial" w:hAnsi="Arial" w:cs="Arial"/>
                <w:sz w:val="18"/>
                <w:szCs w:val="18"/>
                <w:lang w:eastAsia="el-GR"/>
              </w:rPr>
              <w:t>uality</w:t>
            </w:r>
            <w:r>
              <w:rPr>
                <w:rFonts w:ascii="Arial" w:hAnsi="Arial" w:cs="Arial"/>
                <w:sz w:val="18"/>
                <w:szCs w:val="18"/>
                <w:lang w:eastAsia="el-GR"/>
              </w:rPr>
              <w:t xml:space="preserve"> </w:t>
            </w:r>
            <w:r>
              <w:rPr>
                <w:rFonts w:ascii="Arial" w:hAnsi="Arial" w:cs="Times New Roman"/>
                <w:sz w:val="18"/>
              </w:rPr>
              <w:t xml:space="preserve">of the individual studies that were included in the SRs (report results for sequence generation, allocation concealment, blinding, </w:t>
            </w:r>
            <w:r w:rsidRPr="005255EB">
              <w:rPr>
                <w:rFonts w:ascii="Arial" w:eastAsiaTheme="minorHAnsi" w:hAnsi="Arial" w:cs="Arial"/>
                <w:sz w:val="18"/>
                <w:szCs w:val="18"/>
                <w:lang w:val="en-US"/>
              </w:rPr>
              <w:t>withdrawals,</w:t>
            </w:r>
            <w:r>
              <w:rPr>
                <w:rFonts w:ascii="Arial" w:hAnsi="Arial" w:cs="Times New Roman"/>
                <w:sz w:val="18"/>
              </w:rPr>
              <w:t xml:space="preserve"> bias etc.) and for the additional included primary studies</w:t>
            </w:r>
            <w:r>
              <w:rPr>
                <w:rFonts w:ascii="Arial" w:hAnsi="Arial" w:cs="Arial"/>
                <w:sz w:val="18"/>
                <w:szCs w:val="18"/>
                <w:lang w:eastAsia="el-GR"/>
              </w:rPr>
              <w:t>.</w:t>
            </w:r>
          </w:p>
        </w:tc>
        <w:tc>
          <w:tcPr>
            <w:tcW w:w="1156" w:type="dxa"/>
            <w:tcBorders>
              <w:right w:val="single" w:sz="4" w:space="0" w:color="auto"/>
            </w:tcBorders>
            <w:vAlign w:val="center"/>
          </w:tcPr>
          <w:p w14:paraId="02FE026A"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N</w:t>
            </w:r>
            <w:r>
              <w:rPr>
                <w:rFonts w:ascii="Arial" w:hAnsi="Arial" w:cs="Arial"/>
                <w:iCs/>
                <w:szCs w:val="20"/>
                <w:lang w:eastAsia="zh-CN"/>
              </w:rPr>
              <w:t>A</w:t>
            </w:r>
          </w:p>
        </w:tc>
      </w:tr>
      <w:tr w:rsidR="00BC3132" w:rsidRPr="00962B44" w14:paraId="62191D23" w14:textId="77777777" w:rsidTr="00BC3132">
        <w:trPr>
          <w:cantSplit/>
          <w:trHeight w:val="229"/>
        </w:trPr>
        <w:tc>
          <w:tcPr>
            <w:tcW w:w="1929" w:type="dxa"/>
            <w:vMerge/>
            <w:tcBorders>
              <w:left w:val="single" w:sz="4" w:space="0" w:color="auto"/>
            </w:tcBorders>
            <w:vAlign w:val="center"/>
            <w:hideMark/>
          </w:tcPr>
          <w:p w14:paraId="0F7FE08A" w14:textId="77777777" w:rsidR="00BC3132" w:rsidRPr="004C1685" w:rsidRDefault="00BC3132" w:rsidP="00A626C3">
            <w:pPr>
              <w:pStyle w:val="Default"/>
              <w:spacing w:before="40" w:after="40"/>
              <w:rPr>
                <w:rFonts w:ascii="Arial" w:hAnsi="Arial" w:cs="Arial"/>
                <w:sz w:val="20"/>
                <w:szCs w:val="20"/>
              </w:rPr>
            </w:pPr>
          </w:p>
        </w:tc>
        <w:tc>
          <w:tcPr>
            <w:tcW w:w="870" w:type="dxa"/>
            <w:vAlign w:val="center"/>
            <w:hideMark/>
          </w:tcPr>
          <w:p w14:paraId="37D5B94B" w14:textId="77777777" w:rsidR="00BC3132" w:rsidRPr="00363B8D" w:rsidRDefault="00BC3132" w:rsidP="00A626C3">
            <w:pPr>
              <w:pStyle w:val="Default"/>
              <w:spacing w:before="40" w:after="40"/>
              <w:rPr>
                <w:rFonts w:ascii="Arial" w:hAnsi="Arial" w:cs="Arial"/>
                <w:sz w:val="20"/>
                <w:szCs w:val="20"/>
              </w:rPr>
            </w:pPr>
          </w:p>
        </w:tc>
        <w:tc>
          <w:tcPr>
            <w:tcW w:w="10489" w:type="dxa"/>
            <w:gridSpan w:val="5"/>
            <w:vAlign w:val="center"/>
          </w:tcPr>
          <w:p w14:paraId="1D323DB4" w14:textId="77777777" w:rsidR="00BC3132" w:rsidRPr="00324C20" w:rsidRDefault="00BC3132" w:rsidP="00BC3132">
            <w:pPr>
              <w:pStyle w:val="Default"/>
              <w:numPr>
                <w:ilvl w:val="0"/>
                <w:numId w:val="12"/>
              </w:numPr>
              <w:spacing w:before="40" w:after="40"/>
              <w:ind w:left="459" w:hanging="284"/>
              <w:rPr>
                <w:rFonts w:ascii="Arial" w:hAnsi="Arial" w:cs="Arial"/>
                <w:sz w:val="20"/>
                <w:szCs w:val="20"/>
              </w:rPr>
            </w:pPr>
            <w:r>
              <w:rPr>
                <w:rFonts w:ascii="Arial" w:hAnsi="Arial" w:cs="Arial"/>
                <w:sz w:val="18"/>
                <w:szCs w:val="18"/>
                <w:lang w:eastAsia="el-GR"/>
              </w:rPr>
              <w:t>Q</w:t>
            </w:r>
            <w:r w:rsidRPr="00AC503C">
              <w:rPr>
                <w:rFonts w:ascii="Arial" w:hAnsi="Arial" w:cs="Arial"/>
                <w:sz w:val="18"/>
                <w:szCs w:val="18"/>
                <w:lang w:eastAsia="el-GR"/>
              </w:rPr>
              <w:t>uality of evidence</w:t>
            </w:r>
            <w:r>
              <w:rPr>
                <w:rFonts w:ascii="Arial" w:hAnsi="Arial" w:cs="Arial"/>
                <w:sz w:val="18"/>
                <w:szCs w:val="18"/>
                <w:lang w:eastAsia="el-GR"/>
              </w:rPr>
              <w:t>.</w:t>
            </w:r>
          </w:p>
        </w:tc>
        <w:tc>
          <w:tcPr>
            <w:tcW w:w="1156" w:type="dxa"/>
            <w:tcBorders>
              <w:right w:val="single" w:sz="4" w:space="0" w:color="auto"/>
            </w:tcBorders>
            <w:vAlign w:val="center"/>
          </w:tcPr>
          <w:p w14:paraId="2B75D27F"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N</w:t>
            </w:r>
            <w:r>
              <w:rPr>
                <w:rFonts w:ascii="Arial" w:hAnsi="Arial" w:cs="Arial"/>
                <w:iCs/>
                <w:szCs w:val="20"/>
                <w:lang w:eastAsia="zh-CN"/>
              </w:rPr>
              <w:t>A</w:t>
            </w:r>
          </w:p>
        </w:tc>
      </w:tr>
      <w:tr w:rsidR="00BC3132" w:rsidRPr="00962B44" w14:paraId="780FEDDD" w14:textId="77777777" w:rsidTr="00BC3132">
        <w:trPr>
          <w:cantSplit/>
          <w:trHeight w:val="416"/>
        </w:trPr>
        <w:tc>
          <w:tcPr>
            <w:tcW w:w="1929" w:type="dxa"/>
            <w:tcBorders>
              <w:left w:val="single" w:sz="4" w:space="0" w:color="auto"/>
            </w:tcBorders>
            <w:vAlign w:val="center"/>
            <w:hideMark/>
          </w:tcPr>
          <w:p w14:paraId="787FC118" w14:textId="77777777" w:rsidR="00BC3132" w:rsidRPr="004C1685" w:rsidRDefault="00BC3132" w:rsidP="00A626C3">
            <w:pPr>
              <w:pStyle w:val="Default"/>
              <w:spacing w:before="40" w:after="40"/>
              <w:rPr>
                <w:rFonts w:ascii="Arial" w:hAnsi="Arial" w:cs="Arial"/>
                <w:sz w:val="20"/>
                <w:szCs w:val="20"/>
              </w:rPr>
            </w:pPr>
            <w:r>
              <w:rPr>
                <w:rFonts w:ascii="Arial" w:eastAsiaTheme="minorHAnsi" w:hAnsi="Arial" w:cs="Arial"/>
                <w:bCs/>
                <w:sz w:val="20"/>
                <w:szCs w:val="20"/>
                <w:lang w:val="en-US"/>
              </w:rPr>
              <w:t>20. Present m</w:t>
            </w:r>
            <w:r w:rsidRPr="008533E6">
              <w:rPr>
                <w:rFonts w:ascii="Arial" w:eastAsiaTheme="minorHAnsi" w:hAnsi="Arial" w:cs="Arial"/>
                <w:bCs/>
                <w:sz w:val="20"/>
                <w:szCs w:val="20"/>
                <w:lang w:val="el-GR"/>
              </w:rPr>
              <w:t>eta-bias(es)</w:t>
            </w:r>
          </w:p>
        </w:tc>
        <w:tc>
          <w:tcPr>
            <w:tcW w:w="870" w:type="dxa"/>
            <w:vAlign w:val="center"/>
            <w:hideMark/>
          </w:tcPr>
          <w:p w14:paraId="581FBFCF" w14:textId="77777777" w:rsidR="00BC3132" w:rsidRPr="00363B8D" w:rsidRDefault="00BC3132" w:rsidP="00A626C3">
            <w:pPr>
              <w:pStyle w:val="Default"/>
              <w:spacing w:before="40" w:after="40"/>
              <w:rPr>
                <w:rFonts w:ascii="Arial" w:hAnsi="Arial" w:cs="Arial"/>
                <w:sz w:val="20"/>
                <w:szCs w:val="20"/>
              </w:rPr>
            </w:pPr>
            <w:r>
              <w:rPr>
                <w:rFonts w:ascii="Arial" w:hAnsi="Arial" w:cs="Arial"/>
                <w:sz w:val="20"/>
                <w:szCs w:val="20"/>
              </w:rPr>
              <w:t>20</w:t>
            </w:r>
          </w:p>
        </w:tc>
        <w:tc>
          <w:tcPr>
            <w:tcW w:w="10489" w:type="dxa"/>
            <w:gridSpan w:val="5"/>
            <w:vAlign w:val="center"/>
          </w:tcPr>
          <w:p w14:paraId="550E5F69" w14:textId="77777777" w:rsidR="00BC3132" w:rsidRPr="00324C20" w:rsidRDefault="00BC3132" w:rsidP="00A626C3">
            <w:pPr>
              <w:pStyle w:val="Default"/>
              <w:spacing w:before="40" w:after="40"/>
              <w:jc w:val="both"/>
              <w:rPr>
                <w:rFonts w:ascii="Arial" w:hAnsi="Arial" w:cs="Arial"/>
                <w:sz w:val="20"/>
                <w:szCs w:val="20"/>
              </w:rPr>
            </w:pPr>
            <w:r>
              <w:rPr>
                <w:rFonts w:ascii="Arial" w:hAnsi="Arial" w:cs="Arial"/>
                <w:sz w:val="20"/>
              </w:rPr>
              <w:t>Present results of any</w:t>
            </w:r>
            <w:r w:rsidRPr="008533E6">
              <w:rPr>
                <w:rFonts w:ascii="Arial" w:hAnsi="Arial" w:cs="Arial"/>
                <w:sz w:val="20"/>
              </w:rPr>
              <w:t xml:space="preserve"> assessment of meta-bias(es) (such as publication bias </w:t>
            </w:r>
            <w:r>
              <w:rPr>
                <w:rFonts w:ascii="Arial" w:hAnsi="Arial" w:cs="Arial"/>
                <w:sz w:val="20"/>
              </w:rPr>
              <w:t>or</w:t>
            </w:r>
            <w:r w:rsidRPr="008533E6">
              <w:rPr>
                <w:rFonts w:ascii="Arial" w:hAnsi="Arial" w:cs="Arial"/>
                <w:sz w:val="20"/>
              </w:rPr>
              <w:t xml:space="preserve"> selective reporting </w:t>
            </w:r>
            <w:r>
              <w:rPr>
                <w:rFonts w:ascii="Arial" w:hAnsi="Arial" w:cs="Arial"/>
                <w:sz w:val="20"/>
              </w:rPr>
              <w:t>across studies, ROBIS assessment).</w:t>
            </w:r>
          </w:p>
        </w:tc>
        <w:tc>
          <w:tcPr>
            <w:tcW w:w="1156" w:type="dxa"/>
            <w:tcBorders>
              <w:right w:val="single" w:sz="4" w:space="0" w:color="auto"/>
            </w:tcBorders>
            <w:vAlign w:val="center"/>
          </w:tcPr>
          <w:p w14:paraId="236F189C"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N</w:t>
            </w:r>
            <w:r>
              <w:rPr>
                <w:rFonts w:ascii="Arial" w:hAnsi="Arial" w:cs="Arial"/>
                <w:iCs/>
                <w:szCs w:val="20"/>
                <w:lang w:eastAsia="zh-CN"/>
              </w:rPr>
              <w:t>A</w:t>
            </w:r>
          </w:p>
        </w:tc>
      </w:tr>
      <w:tr w:rsidR="00BC3132" w:rsidRPr="00962B44" w14:paraId="497D7815" w14:textId="77777777" w:rsidTr="00BC3132">
        <w:trPr>
          <w:cantSplit/>
          <w:trHeight w:val="558"/>
        </w:trPr>
        <w:tc>
          <w:tcPr>
            <w:tcW w:w="1929" w:type="dxa"/>
            <w:vMerge w:val="restart"/>
            <w:tcBorders>
              <w:left w:val="single" w:sz="4" w:space="0" w:color="auto"/>
            </w:tcBorders>
            <w:vAlign w:val="center"/>
            <w:hideMark/>
          </w:tcPr>
          <w:p w14:paraId="16252548" w14:textId="77777777" w:rsidR="00BC3132" w:rsidRPr="00E63CC5" w:rsidRDefault="00BC3132" w:rsidP="00A626C3">
            <w:pPr>
              <w:pStyle w:val="Default"/>
              <w:spacing w:before="40" w:after="40"/>
              <w:rPr>
                <w:rFonts w:ascii="Arial" w:hAnsi="Arial" w:cs="Arial"/>
                <w:sz w:val="20"/>
                <w:szCs w:val="20"/>
              </w:rPr>
            </w:pPr>
            <w:r w:rsidRPr="00E63CC5">
              <w:rPr>
                <w:rFonts w:ascii="Arial" w:hAnsi="Arial" w:cs="Arial"/>
                <w:sz w:val="20"/>
                <w:szCs w:val="20"/>
              </w:rPr>
              <w:t>21. Synthesis of results</w:t>
            </w:r>
          </w:p>
        </w:tc>
        <w:tc>
          <w:tcPr>
            <w:tcW w:w="870" w:type="dxa"/>
            <w:vAlign w:val="center"/>
            <w:hideMark/>
          </w:tcPr>
          <w:p w14:paraId="2A140783" w14:textId="77777777" w:rsidR="00BC3132" w:rsidRPr="00E63CC5" w:rsidRDefault="00BC3132" w:rsidP="00A626C3">
            <w:pPr>
              <w:pStyle w:val="Default"/>
              <w:spacing w:before="40" w:after="40"/>
              <w:rPr>
                <w:rFonts w:ascii="Arial" w:hAnsi="Arial" w:cs="Arial"/>
                <w:sz w:val="20"/>
                <w:szCs w:val="20"/>
              </w:rPr>
            </w:pPr>
            <w:r w:rsidRPr="00E63CC5">
              <w:rPr>
                <w:rFonts w:ascii="Arial" w:hAnsi="Arial" w:cs="Arial"/>
                <w:sz w:val="20"/>
                <w:szCs w:val="20"/>
              </w:rPr>
              <w:t>21a</w:t>
            </w:r>
          </w:p>
        </w:tc>
        <w:tc>
          <w:tcPr>
            <w:tcW w:w="10489" w:type="dxa"/>
            <w:gridSpan w:val="5"/>
            <w:vAlign w:val="center"/>
          </w:tcPr>
          <w:p w14:paraId="5D70E396" w14:textId="77777777" w:rsidR="00BC3132" w:rsidRPr="00AD45B3" w:rsidRDefault="00BC3132" w:rsidP="00A626C3">
            <w:pPr>
              <w:autoSpaceDE w:val="0"/>
              <w:autoSpaceDN w:val="0"/>
              <w:adjustRightInd w:val="0"/>
              <w:rPr>
                <w:rFonts w:ascii="Arial" w:hAnsi="Arial" w:cs="Arial"/>
                <w:szCs w:val="20"/>
                <w:lang w:eastAsia="el-GR"/>
              </w:rPr>
            </w:pPr>
            <w:r w:rsidRPr="00AD45B3">
              <w:rPr>
                <w:rFonts w:ascii="Arial" w:hAnsi="Arial" w:cs="Arial"/>
                <w:color w:val="000000"/>
                <w:kern w:val="1"/>
                <w:szCs w:val="20"/>
              </w:rPr>
              <w:t xml:space="preserve">Summarize and present the main findings of the overview for benefits and harms. </w:t>
            </w:r>
            <w:r w:rsidRPr="00AD45B3">
              <w:rPr>
                <w:rFonts w:ascii="Arial" w:hAnsi="Arial" w:cs="Arial"/>
                <w:kern w:val="1"/>
                <w:szCs w:val="20"/>
              </w:rPr>
              <w:t xml:space="preserve">If a quantitative synthesis has been conducted, </w:t>
            </w:r>
            <w:r w:rsidRPr="00AD45B3">
              <w:rPr>
                <w:rFonts w:ascii="Arial" w:hAnsi="Arial" w:cs="Arial"/>
                <w:color w:val="000000"/>
                <w:kern w:val="1"/>
                <w:szCs w:val="20"/>
              </w:rPr>
              <w:t>present each summary measure with a confidenc</w:t>
            </w:r>
            <w:r>
              <w:rPr>
                <w:rFonts w:ascii="Arial" w:hAnsi="Arial" w:cs="Arial"/>
                <w:color w:val="000000"/>
                <w:kern w:val="1"/>
                <w:szCs w:val="20"/>
              </w:rPr>
              <w:t>e interval, prediction interval</w:t>
            </w:r>
            <w:r w:rsidRPr="00AD45B3">
              <w:rPr>
                <w:rFonts w:ascii="Arial" w:hAnsi="Arial" w:cs="Arial"/>
                <w:color w:val="000000"/>
                <w:kern w:val="1"/>
                <w:szCs w:val="20"/>
              </w:rPr>
              <w:t xml:space="preserve"> or a credible interval and measures of heterogeneity or inconsistency.</w:t>
            </w:r>
          </w:p>
        </w:tc>
        <w:tc>
          <w:tcPr>
            <w:tcW w:w="1156" w:type="dxa"/>
            <w:tcBorders>
              <w:right w:val="single" w:sz="4" w:space="0" w:color="auto"/>
            </w:tcBorders>
            <w:vAlign w:val="center"/>
          </w:tcPr>
          <w:p w14:paraId="4ED7D7C5"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8</w:t>
            </w:r>
            <w:r>
              <w:rPr>
                <w:rFonts w:ascii="Arial" w:hAnsi="Arial" w:cs="Arial"/>
                <w:iCs/>
                <w:szCs w:val="20"/>
                <w:lang w:eastAsia="zh-CN"/>
              </w:rPr>
              <w:t>-10</w:t>
            </w:r>
          </w:p>
        </w:tc>
      </w:tr>
      <w:tr w:rsidR="00BC3132" w:rsidRPr="00962B44" w14:paraId="3F4560F8" w14:textId="77777777" w:rsidTr="00BC3132">
        <w:trPr>
          <w:cantSplit/>
          <w:trHeight w:val="164"/>
        </w:trPr>
        <w:tc>
          <w:tcPr>
            <w:tcW w:w="1929" w:type="dxa"/>
            <w:vMerge/>
            <w:tcBorders>
              <w:left w:val="single" w:sz="4" w:space="0" w:color="auto"/>
            </w:tcBorders>
            <w:vAlign w:val="center"/>
            <w:hideMark/>
          </w:tcPr>
          <w:p w14:paraId="6D749D76" w14:textId="77777777" w:rsidR="00BC3132" w:rsidRPr="00E63CC5" w:rsidRDefault="00BC3132" w:rsidP="00A626C3">
            <w:pPr>
              <w:pStyle w:val="Default"/>
              <w:spacing w:before="40" w:after="40"/>
              <w:rPr>
                <w:rFonts w:ascii="Arial" w:hAnsi="Arial" w:cs="Arial"/>
                <w:sz w:val="20"/>
                <w:szCs w:val="20"/>
              </w:rPr>
            </w:pPr>
          </w:p>
        </w:tc>
        <w:tc>
          <w:tcPr>
            <w:tcW w:w="870" w:type="dxa"/>
            <w:vAlign w:val="center"/>
            <w:hideMark/>
          </w:tcPr>
          <w:p w14:paraId="2DC99DEC" w14:textId="77777777" w:rsidR="00BC3132" w:rsidRPr="00E63CC5" w:rsidRDefault="00BC3132" w:rsidP="00A626C3">
            <w:pPr>
              <w:pStyle w:val="Default"/>
              <w:spacing w:before="40" w:after="40"/>
              <w:rPr>
                <w:rFonts w:ascii="Arial" w:hAnsi="Arial" w:cs="Arial"/>
                <w:sz w:val="20"/>
                <w:szCs w:val="20"/>
              </w:rPr>
            </w:pPr>
            <w:r w:rsidRPr="00E63CC5">
              <w:rPr>
                <w:rFonts w:ascii="Arial" w:hAnsi="Arial" w:cs="Arial"/>
                <w:sz w:val="20"/>
                <w:szCs w:val="20"/>
              </w:rPr>
              <w:t>21b</w:t>
            </w:r>
          </w:p>
        </w:tc>
        <w:tc>
          <w:tcPr>
            <w:tcW w:w="10489" w:type="dxa"/>
            <w:gridSpan w:val="5"/>
            <w:vAlign w:val="center"/>
          </w:tcPr>
          <w:p w14:paraId="2ABC297F" w14:textId="77777777" w:rsidR="00BC3132" w:rsidRPr="00E63CC5" w:rsidRDefault="00BC3132" w:rsidP="00A626C3">
            <w:pPr>
              <w:autoSpaceDE w:val="0"/>
              <w:autoSpaceDN w:val="0"/>
              <w:adjustRightInd w:val="0"/>
              <w:rPr>
                <w:rFonts w:ascii="Arial" w:hAnsi="Arial" w:cs="Arial"/>
                <w:szCs w:val="20"/>
                <w:lang w:eastAsia="el-GR"/>
              </w:rPr>
            </w:pPr>
            <w:r w:rsidRPr="00E63CC5">
              <w:rPr>
                <w:rFonts w:ascii="Arial" w:hAnsi="Arial" w:cs="Arial"/>
                <w:color w:val="000000"/>
                <w:szCs w:val="20"/>
              </w:rPr>
              <w:t xml:space="preserve">Give results of </w:t>
            </w:r>
            <w:r>
              <w:rPr>
                <w:rFonts w:ascii="Arial" w:hAnsi="Arial" w:cs="Arial"/>
                <w:color w:val="000000"/>
                <w:szCs w:val="20"/>
              </w:rPr>
              <w:t xml:space="preserve">any </w:t>
            </w:r>
            <w:r w:rsidRPr="00E63CC5">
              <w:rPr>
                <w:rFonts w:ascii="Arial" w:hAnsi="Arial" w:cs="Arial"/>
                <w:color w:val="000000"/>
                <w:szCs w:val="20"/>
              </w:rPr>
              <w:t>additional analyse</w:t>
            </w:r>
            <w:r>
              <w:rPr>
                <w:rFonts w:ascii="Arial" w:hAnsi="Arial" w:cs="Arial"/>
                <w:color w:val="000000"/>
                <w:szCs w:val="20"/>
              </w:rPr>
              <w:t xml:space="preserve">s (such as sensitivity, </w:t>
            </w:r>
            <w:r w:rsidRPr="00E63CC5">
              <w:rPr>
                <w:rFonts w:ascii="Arial" w:hAnsi="Arial" w:cs="Arial"/>
                <w:color w:val="000000"/>
                <w:szCs w:val="20"/>
              </w:rPr>
              <w:t>subgroup analyses</w:t>
            </w:r>
            <w:r>
              <w:rPr>
                <w:rFonts w:ascii="Arial" w:hAnsi="Arial" w:cs="Arial"/>
                <w:color w:val="000000"/>
                <w:szCs w:val="20"/>
              </w:rPr>
              <w:t>, or meta-regression</w:t>
            </w:r>
            <w:r w:rsidRPr="00E63CC5">
              <w:rPr>
                <w:rFonts w:ascii="Arial" w:hAnsi="Arial" w:cs="Arial"/>
                <w:color w:val="000000"/>
                <w:szCs w:val="20"/>
              </w:rPr>
              <w:t>).</w:t>
            </w:r>
          </w:p>
        </w:tc>
        <w:tc>
          <w:tcPr>
            <w:tcW w:w="1156" w:type="dxa"/>
            <w:tcBorders>
              <w:right w:val="single" w:sz="4" w:space="0" w:color="auto"/>
            </w:tcBorders>
            <w:vAlign w:val="center"/>
          </w:tcPr>
          <w:p w14:paraId="0F90C0E9"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8</w:t>
            </w:r>
            <w:r>
              <w:rPr>
                <w:rFonts w:ascii="Arial" w:hAnsi="Arial" w:cs="Arial"/>
                <w:iCs/>
                <w:szCs w:val="20"/>
                <w:lang w:eastAsia="zh-CN"/>
              </w:rPr>
              <w:t>-10</w:t>
            </w:r>
          </w:p>
        </w:tc>
      </w:tr>
      <w:tr w:rsidR="00BC3132" w:rsidRPr="00962B44" w14:paraId="78F889E3" w14:textId="77777777" w:rsidTr="00BC3132">
        <w:trPr>
          <w:cantSplit/>
          <w:trHeight w:val="267"/>
        </w:trPr>
        <w:tc>
          <w:tcPr>
            <w:tcW w:w="1929" w:type="dxa"/>
            <w:vMerge/>
            <w:tcBorders>
              <w:left w:val="single" w:sz="4" w:space="0" w:color="auto"/>
              <w:bottom w:val="double" w:sz="6" w:space="0" w:color="auto"/>
            </w:tcBorders>
            <w:vAlign w:val="center"/>
            <w:hideMark/>
          </w:tcPr>
          <w:p w14:paraId="63A5D804" w14:textId="77777777" w:rsidR="00BC3132" w:rsidRPr="00E63CC5" w:rsidRDefault="00BC3132" w:rsidP="00A626C3">
            <w:pPr>
              <w:pStyle w:val="Default"/>
              <w:spacing w:before="40" w:after="40"/>
              <w:rPr>
                <w:rFonts w:ascii="Arial" w:hAnsi="Arial" w:cs="Arial"/>
                <w:sz w:val="20"/>
                <w:szCs w:val="20"/>
              </w:rPr>
            </w:pPr>
          </w:p>
        </w:tc>
        <w:tc>
          <w:tcPr>
            <w:tcW w:w="870" w:type="dxa"/>
            <w:tcBorders>
              <w:bottom w:val="double" w:sz="6" w:space="0" w:color="auto"/>
            </w:tcBorders>
            <w:vAlign w:val="center"/>
            <w:hideMark/>
          </w:tcPr>
          <w:p w14:paraId="6C5D0E0E" w14:textId="77777777" w:rsidR="00BC3132" w:rsidRPr="00E63CC5" w:rsidRDefault="00BC3132" w:rsidP="00A626C3">
            <w:pPr>
              <w:pStyle w:val="Default"/>
              <w:spacing w:before="40" w:after="40"/>
              <w:rPr>
                <w:rFonts w:ascii="Arial" w:hAnsi="Arial" w:cs="Arial"/>
                <w:sz w:val="20"/>
                <w:szCs w:val="20"/>
              </w:rPr>
            </w:pPr>
            <w:r w:rsidRPr="00E63CC5">
              <w:rPr>
                <w:rFonts w:ascii="Arial" w:hAnsi="Arial" w:cs="Arial"/>
                <w:sz w:val="20"/>
                <w:szCs w:val="20"/>
              </w:rPr>
              <w:t>21c</w:t>
            </w:r>
          </w:p>
        </w:tc>
        <w:tc>
          <w:tcPr>
            <w:tcW w:w="10489" w:type="dxa"/>
            <w:gridSpan w:val="5"/>
            <w:tcBorders>
              <w:bottom w:val="double" w:sz="6" w:space="0" w:color="auto"/>
            </w:tcBorders>
            <w:vAlign w:val="center"/>
          </w:tcPr>
          <w:p w14:paraId="48F131E9" w14:textId="77777777" w:rsidR="00BC3132" w:rsidRPr="00E63CC5" w:rsidRDefault="00BC3132" w:rsidP="00A626C3">
            <w:pPr>
              <w:pStyle w:val="Default"/>
              <w:spacing w:before="40" w:after="40"/>
              <w:jc w:val="both"/>
              <w:rPr>
                <w:rFonts w:ascii="Arial" w:hAnsi="Arial" w:cs="Arial"/>
                <w:sz w:val="20"/>
                <w:szCs w:val="20"/>
              </w:rPr>
            </w:pPr>
            <w:r>
              <w:rPr>
                <w:rFonts w:ascii="Arial" w:hAnsi="Arial" w:cs="Arial"/>
                <w:sz w:val="20"/>
                <w:szCs w:val="20"/>
                <w:lang w:eastAsia="el-GR"/>
              </w:rPr>
              <w:t xml:space="preserve">Report results for adverse events </w:t>
            </w:r>
            <w:r w:rsidRPr="00E63CC5">
              <w:rPr>
                <w:rFonts w:ascii="Arial" w:hAnsi="Arial" w:cs="Arial"/>
                <w:sz w:val="20"/>
                <w:szCs w:val="20"/>
                <w:lang w:eastAsia="el-GR"/>
              </w:rPr>
              <w:t>separately for each intervention.</w:t>
            </w:r>
          </w:p>
        </w:tc>
        <w:tc>
          <w:tcPr>
            <w:tcW w:w="1156" w:type="dxa"/>
            <w:tcBorders>
              <w:bottom w:val="double" w:sz="6" w:space="0" w:color="auto"/>
              <w:right w:val="single" w:sz="4" w:space="0" w:color="auto"/>
            </w:tcBorders>
            <w:vAlign w:val="center"/>
          </w:tcPr>
          <w:p w14:paraId="6814972D"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8</w:t>
            </w:r>
            <w:r>
              <w:rPr>
                <w:rFonts w:ascii="Arial" w:hAnsi="Arial" w:cs="Arial"/>
                <w:iCs/>
                <w:szCs w:val="20"/>
                <w:lang w:eastAsia="zh-CN"/>
              </w:rPr>
              <w:t>-10</w:t>
            </w:r>
          </w:p>
        </w:tc>
      </w:tr>
      <w:tr w:rsidR="00BC3132" w:rsidRPr="00962B44" w14:paraId="64EAC8EB" w14:textId="77777777" w:rsidTr="00BC3132">
        <w:trPr>
          <w:cantSplit/>
          <w:trHeight w:val="314"/>
        </w:trPr>
        <w:tc>
          <w:tcPr>
            <w:tcW w:w="13288" w:type="dxa"/>
            <w:gridSpan w:val="7"/>
            <w:tcBorders>
              <w:top w:val="double" w:sz="6" w:space="0" w:color="auto"/>
              <w:left w:val="single" w:sz="4" w:space="0" w:color="auto"/>
              <w:bottom w:val="single" w:sz="6" w:space="0" w:color="auto"/>
            </w:tcBorders>
            <w:shd w:val="clear" w:color="auto" w:fill="FFFFCC"/>
            <w:vAlign w:val="center"/>
            <w:hideMark/>
          </w:tcPr>
          <w:p w14:paraId="71CEC2EC" w14:textId="77777777" w:rsidR="00BC3132" w:rsidRPr="00F7007A" w:rsidRDefault="00BC3132" w:rsidP="00A626C3">
            <w:pPr>
              <w:pStyle w:val="Default"/>
              <w:spacing w:before="40" w:after="40"/>
              <w:rPr>
                <w:rFonts w:ascii="Arial" w:hAnsi="Arial" w:cs="Arial"/>
                <w:sz w:val="20"/>
                <w:szCs w:val="20"/>
                <w:lang w:val="el-GR"/>
              </w:rPr>
            </w:pPr>
            <w:r w:rsidRPr="00436723">
              <w:rPr>
                <w:rFonts w:ascii="Arial" w:hAnsi="Arial" w:cs="Arial"/>
                <w:b/>
                <w:sz w:val="21"/>
                <w:szCs w:val="21"/>
              </w:rPr>
              <w:t>DISCUSSION</w:t>
            </w:r>
          </w:p>
        </w:tc>
        <w:tc>
          <w:tcPr>
            <w:tcW w:w="1156" w:type="dxa"/>
            <w:tcBorders>
              <w:top w:val="double" w:sz="6" w:space="0" w:color="auto"/>
              <w:bottom w:val="single" w:sz="6" w:space="0" w:color="auto"/>
              <w:right w:val="single" w:sz="4" w:space="0" w:color="auto"/>
            </w:tcBorders>
            <w:shd w:val="clear" w:color="auto" w:fill="FFFFCC"/>
            <w:vAlign w:val="center"/>
          </w:tcPr>
          <w:p w14:paraId="2418C282" w14:textId="77777777" w:rsidR="00BC3132" w:rsidRPr="006649E6" w:rsidRDefault="00BC3132" w:rsidP="00A626C3">
            <w:pPr>
              <w:rPr>
                <w:rFonts w:ascii="Arial" w:hAnsi="Arial" w:cs="Arial"/>
                <w:iCs/>
                <w:szCs w:val="20"/>
              </w:rPr>
            </w:pPr>
          </w:p>
        </w:tc>
      </w:tr>
      <w:tr w:rsidR="00BC3132" w:rsidRPr="00E63FEA" w14:paraId="18A07529" w14:textId="77777777" w:rsidTr="00BC3132">
        <w:trPr>
          <w:cantSplit/>
          <w:trHeight w:val="435"/>
        </w:trPr>
        <w:tc>
          <w:tcPr>
            <w:tcW w:w="1929" w:type="dxa"/>
            <w:tcBorders>
              <w:top w:val="single" w:sz="6" w:space="0" w:color="auto"/>
              <w:left w:val="single" w:sz="4" w:space="0" w:color="auto"/>
            </w:tcBorders>
            <w:vAlign w:val="center"/>
            <w:hideMark/>
          </w:tcPr>
          <w:p w14:paraId="1E2ADB74" w14:textId="77777777" w:rsidR="00BC3132" w:rsidRPr="00E63FEA" w:rsidRDefault="00BC3132" w:rsidP="00A626C3">
            <w:pPr>
              <w:pStyle w:val="Default"/>
              <w:spacing w:before="40" w:after="40"/>
              <w:rPr>
                <w:rFonts w:ascii="Arial" w:hAnsi="Arial" w:cs="Arial"/>
                <w:sz w:val="20"/>
                <w:szCs w:val="20"/>
              </w:rPr>
            </w:pPr>
            <w:r>
              <w:rPr>
                <w:rFonts w:ascii="Arial" w:hAnsi="Arial" w:cs="Arial"/>
                <w:sz w:val="20"/>
                <w:szCs w:val="20"/>
              </w:rPr>
              <w:t xml:space="preserve">22. </w:t>
            </w:r>
            <w:r w:rsidRPr="00E63FEA">
              <w:rPr>
                <w:rFonts w:ascii="Arial" w:hAnsi="Arial" w:cs="Arial"/>
                <w:sz w:val="20"/>
                <w:szCs w:val="20"/>
              </w:rPr>
              <w:t>Summary of evidence</w:t>
            </w:r>
          </w:p>
        </w:tc>
        <w:tc>
          <w:tcPr>
            <w:tcW w:w="870" w:type="dxa"/>
            <w:tcBorders>
              <w:top w:val="single" w:sz="6" w:space="0" w:color="auto"/>
            </w:tcBorders>
            <w:vAlign w:val="center"/>
            <w:hideMark/>
          </w:tcPr>
          <w:p w14:paraId="6D31C32F" w14:textId="77777777" w:rsidR="00BC3132" w:rsidRPr="00E63FEA" w:rsidRDefault="00BC3132" w:rsidP="00A626C3">
            <w:pPr>
              <w:pStyle w:val="Default"/>
              <w:spacing w:before="40" w:after="40"/>
              <w:rPr>
                <w:rFonts w:ascii="Arial" w:hAnsi="Arial" w:cs="Arial"/>
                <w:sz w:val="20"/>
                <w:szCs w:val="20"/>
                <w:lang w:val="el-GR"/>
              </w:rPr>
            </w:pPr>
            <w:r w:rsidRPr="00E63FEA">
              <w:rPr>
                <w:rFonts w:ascii="Arial" w:hAnsi="Arial" w:cs="Arial"/>
                <w:sz w:val="20"/>
                <w:szCs w:val="20"/>
                <w:lang w:val="el-GR"/>
              </w:rPr>
              <w:t>22</w:t>
            </w:r>
          </w:p>
        </w:tc>
        <w:tc>
          <w:tcPr>
            <w:tcW w:w="10489" w:type="dxa"/>
            <w:gridSpan w:val="5"/>
            <w:tcBorders>
              <w:top w:val="single" w:sz="6" w:space="0" w:color="auto"/>
            </w:tcBorders>
            <w:vAlign w:val="center"/>
          </w:tcPr>
          <w:p w14:paraId="2919DE4F" w14:textId="77777777" w:rsidR="00BC3132" w:rsidRPr="0062767D" w:rsidRDefault="00BC3132" w:rsidP="00A626C3">
            <w:pPr>
              <w:autoSpaceDE w:val="0"/>
              <w:autoSpaceDN w:val="0"/>
              <w:adjustRightInd w:val="0"/>
              <w:rPr>
                <w:rFonts w:ascii="Arial" w:hAnsi="Arial" w:cs="Arial"/>
                <w:szCs w:val="20"/>
                <w:lang w:eastAsia="el-GR"/>
              </w:rPr>
            </w:pPr>
            <w:r w:rsidRPr="00E63FEA">
              <w:rPr>
                <w:rFonts w:ascii="Arial" w:hAnsi="Arial" w:cs="Arial"/>
                <w:szCs w:val="20"/>
                <w:lang w:eastAsia="el-GR"/>
              </w:rPr>
              <w:t xml:space="preserve">Provide a concise summary of the main findings with the strength and shortcomings of evidence for each main outcome. </w:t>
            </w:r>
          </w:p>
        </w:tc>
        <w:tc>
          <w:tcPr>
            <w:tcW w:w="1156" w:type="dxa"/>
            <w:tcBorders>
              <w:top w:val="single" w:sz="6" w:space="0" w:color="auto"/>
              <w:right w:val="single" w:sz="4" w:space="0" w:color="auto"/>
            </w:tcBorders>
            <w:vAlign w:val="center"/>
          </w:tcPr>
          <w:p w14:paraId="60723678"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1</w:t>
            </w:r>
            <w:r>
              <w:rPr>
                <w:rFonts w:ascii="Arial" w:hAnsi="Arial" w:cs="Arial"/>
                <w:iCs/>
                <w:szCs w:val="20"/>
                <w:lang w:eastAsia="zh-CN"/>
              </w:rPr>
              <w:t>1-12</w:t>
            </w:r>
          </w:p>
        </w:tc>
      </w:tr>
      <w:tr w:rsidR="00BC3132" w:rsidRPr="00962B44" w14:paraId="244E599E" w14:textId="77777777" w:rsidTr="00BC3132">
        <w:trPr>
          <w:cantSplit/>
          <w:trHeight w:val="428"/>
        </w:trPr>
        <w:tc>
          <w:tcPr>
            <w:tcW w:w="1929" w:type="dxa"/>
            <w:vMerge w:val="restart"/>
            <w:tcBorders>
              <w:top w:val="single" w:sz="6" w:space="0" w:color="auto"/>
              <w:left w:val="single" w:sz="4" w:space="0" w:color="auto"/>
            </w:tcBorders>
            <w:vAlign w:val="center"/>
            <w:hideMark/>
          </w:tcPr>
          <w:p w14:paraId="5EBB5805" w14:textId="77777777" w:rsidR="00BC3132" w:rsidRPr="00E63FEA" w:rsidRDefault="00BC3132" w:rsidP="00A626C3">
            <w:pPr>
              <w:pStyle w:val="Default"/>
              <w:spacing w:before="40" w:after="40"/>
              <w:rPr>
                <w:rFonts w:ascii="Arial" w:hAnsi="Arial" w:cs="Arial"/>
                <w:sz w:val="20"/>
                <w:szCs w:val="20"/>
              </w:rPr>
            </w:pPr>
            <w:r>
              <w:rPr>
                <w:rFonts w:ascii="Arial" w:hAnsi="Arial" w:cs="Arial"/>
                <w:sz w:val="20"/>
                <w:szCs w:val="20"/>
              </w:rPr>
              <w:t xml:space="preserve">23. </w:t>
            </w:r>
            <w:r w:rsidRPr="00E63FEA">
              <w:rPr>
                <w:rFonts w:ascii="Arial" w:hAnsi="Arial" w:cs="Arial"/>
                <w:sz w:val="20"/>
                <w:szCs w:val="20"/>
              </w:rPr>
              <w:t>Limitations</w:t>
            </w:r>
          </w:p>
        </w:tc>
        <w:tc>
          <w:tcPr>
            <w:tcW w:w="870" w:type="dxa"/>
            <w:tcBorders>
              <w:top w:val="single" w:sz="6" w:space="0" w:color="auto"/>
            </w:tcBorders>
            <w:vAlign w:val="center"/>
            <w:hideMark/>
          </w:tcPr>
          <w:p w14:paraId="542CA583" w14:textId="77777777" w:rsidR="00BC3132" w:rsidRPr="00E63FEA" w:rsidRDefault="00BC3132" w:rsidP="00A626C3">
            <w:pPr>
              <w:pStyle w:val="Default"/>
              <w:spacing w:before="40" w:after="40"/>
              <w:rPr>
                <w:rFonts w:ascii="Arial" w:hAnsi="Arial" w:cs="Arial"/>
                <w:sz w:val="20"/>
                <w:szCs w:val="20"/>
                <w:lang w:val="en-US"/>
              </w:rPr>
            </w:pPr>
            <w:r>
              <w:rPr>
                <w:rFonts w:ascii="Arial" w:hAnsi="Arial" w:cs="Arial"/>
                <w:sz w:val="20"/>
                <w:szCs w:val="20"/>
                <w:lang w:val="en-US"/>
              </w:rPr>
              <w:t>23a</w:t>
            </w:r>
          </w:p>
        </w:tc>
        <w:tc>
          <w:tcPr>
            <w:tcW w:w="10489" w:type="dxa"/>
            <w:gridSpan w:val="5"/>
            <w:tcBorders>
              <w:top w:val="single" w:sz="6" w:space="0" w:color="auto"/>
            </w:tcBorders>
            <w:vAlign w:val="center"/>
          </w:tcPr>
          <w:p w14:paraId="4FD6696E" w14:textId="77777777" w:rsidR="00BC3132" w:rsidRPr="00E63FEA" w:rsidRDefault="00BC3132" w:rsidP="00A626C3">
            <w:pPr>
              <w:pStyle w:val="Default"/>
              <w:spacing w:before="40" w:after="40"/>
              <w:jc w:val="both"/>
              <w:rPr>
                <w:rFonts w:ascii="Arial" w:hAnsi="Arial" w:cs="Arial"/>
                <w:sz w:val="20"/>
                <w:szCs w:val="20"/>
              </w:rPr>
            </w:pPr>
            <w:r w:rsidRPr="00E63FEA">
              <w:rPr>
                <w:rFonts w:ascii="Arial" w:hAnsi="Arial" w:cs="Arial"/>
                <w:sz w:val="20"/>
                <w:szCs w:val="20"/>
                <w:lang w:eastAsia="el-GR"/>
              </w:rPr>
              <w:t>Discuss limitations of either the overview or included studies (or both) (e</w:t>
            </w:r>
            <w:r>
              <w:rPr>
                <w:rFonts w:ascii="Arial" w:hAnsi="Arial" w:cs="Arial"/>
                <w:sz w:val="20"/>
                <w:szCs w:val="20"/>
                <w:lang w:eastAsia="el-GR"/>
              </w:rPr>
              <w:t>.</w:t>
            </w:r>
            <w:r w:rsidRPr="00E63FEA">
              <w:rPr>
                <w:rFonts w:ascii="Arial" w:hAnsi="Arial" w:cs="Arial"/>
                <w:sz w:val="20"/>
                <w:szCs w:val="20"/>
                <w:lang w:eastAsia="el-GR"/>
              </w:rPr>
              <w:t xml:space="preserve">g. different eligibility criteria, </w:t>
            </w:r>
            <w:r w:rsidRPr="00E63FEA">
              <w:rPr>
                <w:rFonts w:ascii="Arial" w:hAnsi="Arial" w:cs="Arial"/>
                <w:sz w:val="20"/>
                <w:szCs w:val="20"/>
              </w:rPr>
              <w:t>limitations of searching reviews, language restrictions,</w:t>
            </w:r>
            <w:r>
              <w:rPr>
                <w:rFonts w:ascii="Arial" w:hAnsi="Arial" w:cs="Arial"/>
                <w:sz w:val="20"/>
                <w:szCs w:val="20"/>
                <w:lang w:eastAsia="el-GR"/>
              </w:rPr>
              <w:t xml:space="preserve"> publication </w:t>
            </w:r>
            <w:r w:rsidRPr="00E63FEA">
              <w:rPr>
                <w:rFonts w:ascii="Arial" w:hAnsi="Arial" w:cs="Arial"/>
                <w:sz w:val="20"/>
                <w:szCs w:val="20"/>
                <w:lang w:eastAsia="el-GR"/>
              </w:rPr>
              <w:t>and selection bias).</w:t>
            </w:r>
          </w:p>
        </w:tc>
        <w:tc>
          <w:tcPr>
            <w:tcW w:w="1156" w:type="dxa"/>
            <w:tcBorders>
              <w:top w:val="single" w:sz="6" w:space="0" w:color="auto"/>
              <w:right w:val="single" w:sz="4" w:space="0" w:color="auto"/>
            </w:tcBorders>
            <w:vAlign w:val="center"/>
          </w:tcPr>
          <w:p w14:paraId="6F978ECE"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1</w:t>
            </w:r>
            <w:r>
              <w:rPr>
                <w:rFonts w:ascii="Arial" w:hAnsi="Arial" w:cs="Arial"/>
                <w:iCs/>
                <w:szCs w:val="20"/>
                <w:lang w:eastAsia="zh-CN"/>
              </w:rPr>
              <w:t>3-14</w:t>
            </w:r>
          </w:p>
        </w:tc>
      </w:tr>
      <w:tr w:rsidR="00BC3132" w:rsidRPr="00962B44" w14:paraId="332AD706" w14:textId="77777777" w:rsidTr="00BC3132">
        <w:trPr>
          <w:cantSplit/>
          <w:trHeight w:val="386"/>
        </w:trPr>
        <w:tc>
          <w:tcPr>
            <w:tcW w:w="1929" w:type="dxa"/>
            <w:vMerge/>
            <w:tcBorders>
              <w:left w:val="single" w:sz="4" w:space="0" w:color="auto"/>
            </w:tcBorders>
            <w:vAlign w:val="center"/>
            <w:hideMark/>
          </w:tcPr>
          <w:p w14:paraId="6CD0C1B6" w14:textId="77777777" w:rsidR="00BC3132" w:rsidRPr="00E63FEA" w:rsidRDefault="00BC3132" w:rsidP="00A626C3">
            <w:pPr>
              <w:pStyle w:val="Default"/>
              <w:spacing w:before="40" w:after="40"/>
              <w:rPr>
                <w:rFonts w:ascii="Arial" w:hAnsi="Arial" w:cs="Arial"/>
                <w:sz w:val="20"/>
                <w:szCs w:val="20"/>
              </w:rPr>
            </w:pPr>
          </w:p>
        </w:tc>
        <w:tc>
          <w:tcPr>
            <w:tcW w:w="870" w:type="dxa"/>
            <w:tcBorders>
              <w:top w:val="single" w:sz="6" w:space="0" w:color="auto"/>
            </w:tcBorders>
            <w:vAlign w:val="center"/>
            <w:hideMark/>
          </w:tcPr>
          <w:p w14:paraId="1FA44F9E" w14:textId="77777777" w:rsidR="00BC3132" w:rsidRPr="00E63FEA" w:rsidRDefault="00BC3132" w:rsidP="00A626C3">
            <w:pPr>
              <w:pStyle w:val="Default"/>
              <w:spacing w:before="40" w:after="40"/>
              <w:rPr>
                <w:rFonts w:ascii="Arial" w:hAnsi="Arial" w:cs="Arial"/>
                <w:sz w:val="20"/>
                <w:szCs w:val="20"/>
              </w:rPr>
            </w:pPr>
            <w:r>
              <w:rPr>
                <w:rFonts w:ascii="Arial" w:hAnsi="Arial" w:cs="Arial"/>
                <w:sz w:val="20"/>
                <w:szCs w:val="20"/>
              </w:rPr>
              <w:t>23b</w:t>
            </w:r>
          </w:p>
        </w:tc>
        <w:tc>
          <w:tcPr>
            <w:tcW w:w="10489" w:type="dxa"/>
            <w:gridSpan w:val="5"/>
            <w:tcBorders>
              <w:top w:val="single" w:sz="6" w:space="0" w:color="auto"/>
            </w:tcBorders>
            <w:vAlign w:val="center"/>
          </w:tcPr>
          <w:p w14:paraId="7D8F1478" w14:textId="77777777" w:rsidR="00BC3132" w:rsidRPr="00E63FEA" w:rsidRDefault="00BC3132" w:rsidP="00A626C3">
            <w:pPr>
              <w:pStyle w:val="Default"/>
              <w:spacing w:before="40" w:after="40"/>
              <w:jc w:val="both"/>
              <w:rPr>
                <w:rFonts w:ascii="Arial" w:hAnsi="Arial" w:cs="Arial"/>
                <w:sz w:val="20"/>
                <w:szCs w:val="20"/>
              </w:rPr>
            </w:pPr>
            <w:r w:rsidRPr="00E63FEA">
              <w:rPr>
                <w:rFonts w:ascii="Arial" w:hAnsi="Arial" w:cs="Arial"/>
                <w:sz w:val="20"/>
                <w:szCs w:val="20"/>
                <w:lang w:eastAsia="el-GR"/>
              </w:rPr>
              <w:t>Report possible limitations of the included reviews related to harms (issues of missing data</w:t>
            </w:r>
            <w:r>
              <w:rPr>
                <w:rFonts w:ascii="Arial" w:hAnsi="Arial" w:cs="Arial"/>
                <w:sz w:val="20"/>
                <w:szCs w:val="20"/>
                <w:lang w:eastAsia="el-GR"/>
              </w:rPr>
              <w:t xml:space="preserve"> and information</w:t>
            </w:r>
            <w:r w:rsidRPr="00E63FEA">
              <w:rPr>
                <w:rFonts w:ascii="Arial" w:hAnsi="Arial" w:cs="Arial"/>
                <w:sz w:val="20"/>
                <w:szCs w:val="20"/>
                <w:lang w:eastAsia="el-GR"/>
              </w:rPr>
              <w:t>, definitions of harms, rare adverse effects).</w:t>
            </w:r>
          </w:p>
        </w:tc>
        <w:tc>
          <w:tcPr>
            <w:tcW w:w="1156" w:type="dxa"/>
            <w:tcBorders>
              <w:top w:val="single" w:sz="6" w:space="0" w:color="auto"/>
              <w:right w:val="single" w:sz="4" w:space="0" w:color="auto"/>
            </w:tcBorders>
            <w:vAlign w:val="center"/>
          </w:tcPr>
          <w:p w14:paraId="75114902"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1</w:t>
            </w:r>
            <w:r>
              <w:rPr>
                <w:rFonts w:ascii="Arial" w:hAnsi="Arial" w:cs="Arial"/>
                <w:iCs/>
                <w:szCs w:val="20"/>
                <w:lang w:eastAsia="zh-CN"/>
              </w:rPr>
              <w:t>3-14</w:t>
            </w:r>
          </w:p>
        </w:tc>
      </w:tr>
      <w:tr w:rsidR="00BC3132" w:rsidRPr="00962B44" w14:paraId="0DB9B35A" w14:textId="77777777" w:rsidTr="00BC3132">
        <w:trPr>
          <w:cantSplit/>
          <w:trHeight w:val="480"/>
        </w:trPr>
        <w:tc>
          <w:tcPr>
            <w:tcW w:w="1929" w:type="dxa"/>
            <w:vMerge w:val="restart"/>
            <w:tcBorders>
              <w:top w:val="single" w:sz="6" w:space="0" w:color="auto"/>
              <w:left w:val="single" w:sz="4" w:space="0" w:color="auto"/>
            </w:tcBorders>
            <w:vAlign w:val="center"/>
            <w:hideMark/>
          </w:tcPr>
          <w:p w14:paraId="0D87E06B" w14:textId="77777777" w:rsidR="00BC3132" w:rsidRPr="00895C92" w:rsidRDefault="00BC3132" w:rsidP="00A626C3">
            <w:pPr>
              <w:pStyle w:val="Default"/>
              <w:spacing w:before="40" w:after="40"/>
              <w:rPr>
                <w:rFonts w:ascii="Arial" w:hAnsi="Arial" w:cs="Arial"/>
                <w:sz w:val="20"/>
                <w:szCs w:val="20"/>
              </w:rPr>
            </w:pPr>
            <w:r w:rsidRPr="00895C92">
              <w:rPr>
                <w:rFonts w:ascii="Arial" w:hAnsi="Arial" w:cs="Arial"/>
                <w:sz w:val="20"/>
                <w:szCs w:val="20"/>
              </w:rPr>
              <w:t>24. Conclusions</w:t>
            </w:r>
          </w:p>
        </w:tc>
        <w:tc>
          <w:tcPr>
            <w:tcW w:w="870" w:type="dxa"/>
            <w:tcBorders>
              <w:top w:val="single" w:sz="6" w:space="0" w:color="auto"/>
            </w:tcBorders>
            <w:vAlign w:val="center"/>
            <w:hideMark/>
          </w:tcPr>
          <w:p w14:paraId="30B9172E" w14:textId="77777777" w:rsidR="00BC3132" w:rsidRPr="00363B8D" w:rsidRDefault="00BC3132" w:rsidP="00A626C3">
            <w:pPr>
              <w:pStyle w:val="Default"/>
              <w:spacing w:before="40" w:after="40"/>
              <w:rPr>
                <w:rFonts w:ascii="Arial" w:hAnsi="Arial" w:cs="Arial"/>
                <w:sz w:val="20"/>
                <w:szCs w:val="20"/>
              </w:rPr>
            </w:pPr>
            <w:r>
              <w:rPr>
                <w:rFonts w:ascii="Arial" w:hAnsi="Arial" w:cs="Arial"/>
                <w:sz w:val="20"/>
                <w:szCs w:val="20"/>
              </w:rPr>
              <w:t>24a</w:t>
            </w:r>
          </w:p>
        </w:tc>
        <w:tc>
          <w:tcPr>
            <w:tcW w:w="10489" w:type="dxa"/>
            <w:gridSpan w:val="5"/>
            <w:tcBorders>
              <w:top w:val="single" w:sz="6" w:space="0" w:color="auto"/>
            </w:tcBorders>
            <w:vAlign w:val="center"/>
          </w:tcPr>
          <w:p w14:paraId="47BAFCED" w14:textId="77777777" w:rsidR="00BC3132" w:rsidRPr="007B590F" w:rsidRDefault="00BC3132" w:rsidP="00A626C3">
            <w:pPr>
              <w:pStyle w:val="Default"/>
              <w:spacing w:before="40" w:after="40"/>
              <w:jc w:val="both"/>
              <w:rPr>
                <w:rFonts w:ascii="Arial" w:hAnsi="Arial" w:cs="Arial"/>
                <w:sz w:val="20"/>
                <w:szCs w:val="20"/>
              </w:rPr>
            </w:pPr>
            <w:r w:rsidRPr="007B590F">
              <w:rPr>
                <w:rFonts w:ascii="Arial" w:hAnsi="Arial" w:cs="Arial"/>
                <w:sz w:val="20"/>
                <w:szCs w:val="20"/>
                <w:lang w:val="en-US"/>
              </w:rPr>
              <w:t>Provide a general interpretation of the results in coh</w:t>
            </w:r>
            <w:r>
              <w:rPr>
                <w:rFonts w:ascii="Arial" w:hAnsi="Arial" w:cs="Arial"/>
                <w:sz w:val="20"/>
                <w:szCs w:val="20"/>
                <w:lang w:val="en-US"/>
              </w:rPr>
              <w:t>erence with the review findings</w:t>
            </w:r>
            <w:r w:rsidRPr="007B590F">
              <w:rPr>
                <w:rFonts w:ascii="Arial" w:hAnsi="Arial" w:cs="Arial"/>
                <w:sz w:val="20"/>
                <w:szCs w:val="20"/>
                <w:lang w:val="en-US" w:eastAsia="el-GR"/>
              </w:rPr>
              <w:t xml:space="preserve"> </w:t>
            </w:r>
            <w:r>
              <w:rPr>
                <w:rFonts w:ascii="Arial" w:hAnsi="Arial" w:cs="Arial"/>
                <w:sz w:val="20"/>
                <w:szCs w:val="20"/>
                <w:lang w:val="en-US" w:eastAsia="el-GR"/>
              </w:rPr>
              <w:t>and p</w:t>
            </w:r>
            <w:r w:rsidRPr="007B590F">
              <w:rPr>
                <w:rFonts w:ascii="Arial" w:hAnsi="Arial" w:cs="Arial"/>
                <w:sz w:val="20"/>
                <w:szCs w:val="20"/>
                <w:lang w:val="en-US" w:eastAsia="el-GR"/>
              </w:rPr>
              <w:t>resent implications for practice</w:t>
            </w:r>
            <w:r>
              <w:rPr>
                <w:rFonts w:ascii="Arial" w:hAnsi="Arial" w:cs="Arial"/>
                <w:sz w:val="20"/>
                <w:szCs w:val="20"/>
                <w:lang w:val="en-US"/>
              </w:rPr>
              <w:t>;</w:t>
            </w:r>
            <w:r w:rsidRPr="007B590F">
              <w:rPr>
                <w:rFonts w:ascii="Arial" w:hAnsi="Arial" w:cs="Arial"/>
                <w:sz w:val="20"/>
                <w:szCs w:val="20"/>
                <w:lang w:val="en-US"/>
              </w:rPr>
              <w:t xml:space="preserve"> </w:t>
            </w:r>
            <w:r w:rsidRPr="007B590F">
              <w:rPr>
                <w:rFonts w:ascii="Arial" w:hAnsi="Arial" w:cs="Arial"/>
                <w:sz w:val="20"/>
                <w:szCs w:val="20"/>
              </w:rPr>
              <w:t>consider the harms equally as carefully as the benefits</w:t>
            </w:r>
            <w:r w:rsidRPr="007B590F">
              <w:rPr>
                <w:rFonts w:ascii="Arial" w:hAnsi="Arial" w:cs="Arial"/>
                <w:sz w:val="20"/>
                <w:szCs w:val="20"/>
                <w:lang w:val="en-US"/>
              </w:rPr>
              <w:t xml:space="preserve"> and in the context of other evidence.</w:t>
            </w:r>
          </w:p>
        </w:tc>
        <w:tc>
          <w:tcPr>
            <w:tcW w:w="1156" w:type="dxa"/>
            <w:tcBorders>
              <w:top w:val="single" w:sz="6" w:space="0" w:color="auto"/>
              <w:right w:val="single" w:sz="4" w:space="0" w:color="auto"/>
            </w:tcBorders>
            <w:vAlign w:val="center"/>
          </w:tcPr>
          <w:p w14:paraId="6B85F94B"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1</w:t>
            </w:r>
            <w:r>
              <w:rPr>
                <w:rFonts w:ascii="Arial" w:hAnsi="Arial" w:cs="Arial"/>
                <w:iCs/>
                <w:szCs w:val="20"/>
                <w:lang w:eastAsia="zh-CN"/>
              </w:rPr>
              <w:t>3</w:t>
            </w:r>
          </w:p>
        </w:tc>
      </w:tr>
      <w:tr w:rsidR="00BC3132" w:rsidRPr="00962B44" w14:paraId="59E897B7" w14:textId="77777777" w:rsidTr="00BC3132">
        <w:trPr>
          <w:cantSplit/>
          <w:trHeight w:val="274"/>
        </w:trPr>
        <w:tc>
          <w:tcPr>
            <w:tcW w:w="1929" w:type="dxa"/>
            <w:vMerge/>
            <w:tcBorders>
              <w:left w:val="single" w:sz="4" w:space="0" w:color="auto"/>
              <w:bottom w:val="double" w:sz="2" w:space="0" w:color="auto"/>
            </w:tcBorders>
            <w:vAlign w:val="center"/>
            <w:hideMark/>
          </w:tcPr>
          <w:p w14:paraId="282235F9" w14:textId="77777777" w:rsidR="00BC3132" w:rsidRPr="004C1685" w:rsidRDefault="00BC3132" w:rsidP="00A626C3">
            <w:pPr>
              <w:pStyle w:val="Default"/>
              <w:spacing w:before="40" w:after="40"/>
              <w:rPr>
                <w:rFonts w:ascii="Arial" w:hAnsi="Arial" w:cs="Arial"/>
                <w:sz w:val="20"/>
                <w:szCs w:val="20"/>
              </w:rPr>
            </w:pPr>
          </w:p>
        </w:tc>
        <w:tc>
          <w:tcPr>
            <w:tcW w:w="870" w:type="dxa"/>
            <w:tcBorders>
              <w:top w:val="single" w:sz="6" w:space="0" w:color="auto"/>
              <w:bottom w:val="double" w:sz="2" w:space="0" w:color="auto"/>
            </w:tcBorders>
            <w:vAlign w:val="center"/>
            <w:hideMark/>
          </w:tcPr>
          <w:p w14:paraId="437D66BA" w14:textId="77777777" w:rsidR="00BC3132" w:rsidRPr="00363B8D" w:rsidRDefault="00BC3132" w:rsidP="00A626C3">
            <w:pPr>
              <w:pStyle w:val="Default"/>
              <w:spacing w:before="40" w:after="40"/>
              <w:rPr>
                <w:rFonts w:ascii="Arial" w:hAnsi="Arial" w:cs="Arial"/>
                <w:sz w:val="20"/>
                <w:szCs w:val="20"/>
              </w:rPr>
            </w:pPr>
            <w:r>
              <w:rPr>
                <w:rFonts w:ascii="Arial" w:hAnsi="Arial" w:cs="Arial"/>
                <w:sz w:val="20"/>
                <w:szCs w:val="20"/>
              </w:rPr>
              <w:t>24b</w:t>
            </w:r>
          </w:p>
        </w:tc>
        <w:tc>
          <w:tcPr>
            <w:tcW w:w="10489" w:type="dxa"/>
            <w:gridSpan w:val="5"/>
            <w:tcBorders>
              <w:top w:val="single" w:sz="6" w:space="0" w:color="auto"/>
              <w:bottom w:val="double" w:sz="2" w:space="0" w:color="auto"/>
            </w:tcBorders>
            <w:vAlign w:val="center"/>
          </w:tcPr>
          <w:p w14:paraId="3CDABC2C" w14:textId="77777777" w:rsidR="00BC3132" w:rsidRPr="007B590F" w:rsidRDefault="00BC3132" w:rsidP="00A626C3">
            <w:pPr>
              <w:pStyle w:val="Default"/>
              <w:spacing w:before="40" w:after="40"/>
              <w:jc w:val="both"/>
              <w:rPr>
                <w:rFonts w:ascii="Arial" w:hAnsi="Arial" w:cs="Arial"/>
                <w:sz w:val="20"/>
                <w:szCs w:val="20"/>
              </w:rPr>
            </w:pPr>
            <w:r w:rsidRPr="007B590F">
              <w:rPr>
                <w:rFonts w:ascii="Arial" w:hAnsi="Arial" w:cs="Arial"/>
                <w:sz w:val="20"/>
                <w:szCs w:val="20"/>
                <w:lang w:val="en-US" w:eastAsia="el-GR"/>
              </w:rPr>
              <w:t>Present implications for future research.</w:t>
            </w:r>
          </w:p>
        </w:tc>
        <w:tc>
          <w:tcPr>
            <w:tcW w:w="1156" w:type="dxa"/>
            <w:tcBorders>
              <w:top w:val="single" w:sz="6" w:space="0" w:color="auto"/>
              <w:bottom w:val="double" w:sz="2" w:space="0" w:color="auto"/>
              <w:right w:val="single" w:sz="4" w:space="0" w:color="auto"/>
            </w:tcBorders>
            <w:vAlign w:val="center"/>
          </w:tcPr>
          <w:p w14:paraId="2E71AC37"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1</w:t>
            </w:r>
            <w:r>
              <w:rPr>
                <w:rFonts w:ascii="Arial" w:hAnsi="Arial" w:cs="Arial"/>
                <w:iCs/>
                <w:szCs w:val="20"/>
                <w:lang w:eastAsia="zh-CN"/>
              </w:rPr>
              <w:t>4</w:t>
            </w:r>
          </w:p>
        </w:tc>
      </w:tr>
      <w:tr w:rsidR="00BC3132" w:rsidRPr="00962B44" w14:paraId="24CA793F" w14:textId="77777777" w:rsidTr="00BC3132">
        <w:trPr>
          <w:cantSplit/>
          <w:trHeight w:val="358"/>
        </w:trPr>
        <w:tc>
          <w:tcPr>
            <w:tcW w:w="13288" w:type="dxa"/>
            <w:gridSpan w:val="7"/>
            <w:tcBorders>
              <w:top w:val="double" w:sz="2" w:space="0" w:color="auto"/>
              <w:left w:val="single" w:sz="4" w:space="0" w:color="auto"/>
            </w:tcBorders>
            <w:shd w:val="clear" w:color="auto" w:fill="FFFFCC"/>
            <w:vAlign w:val="center"/>
            <w:hideMark/>
          </w:tcPr>
          <w:p w14:paraId="4B112A3C" w14:textId="77777777" w:rsidR="00BC3132" w:rsidRPr="00324C20" w:rsidRDefault="00BC3132" w:rsidP="00A626C3">
            <w:pPr>
              <w:pStyle w:val="Default"/>
              <w:spacing w:before="40" w:after="40"/>
              <w:rPr>
                <w:rFonts w:ascii="Arial" w:hAnsi="Arial" w:cs="Arial"/>
                <w:sz w:val="20"/>
                <w:szCs w:val="20"/>
              </w:rPr>
            </w:pPr>
            <w:r>
              <w:rPr>
                <w:rFonts w:ascii="Arial" w:hAnsi="Arial" w:cs="Arial"/>
                <w:b/>
                <w:sz w:val="21"/>
                <w:szCs w:val="21"/>
              </w:rPr>
              <w:lastRenderedPageBreak/>
              <w:t>AUTHORSHIP</w:t>
            </w:r>
          </w:p>
        </w:tc>
        <w:tc>
          <w:tcPr>
            <w:tcW w:w="1156" w:type="dxa"/>
            <w:tcBorders>
              <w:top w:val="double" w:sz="2" w:space="0" w:color="auto"/>
              <w:right w:val="single" w:sz="4" w:space="0" w:color="auto"/>
            </w:tcBorders>
            <w:shd w:val="clear" w:color="auto" w:fill="FFFFCC"/>
            <w:vAlign w:val="center"/>
          </w:tcPr>
          <w:p w14:paraId="6C8E2912" w14:textId="77777777" w:rsidR="00BC3132" w:rsidRPr="006649E6" w:rsidRDefault="00BC3132" w:rsidP="00A626C3">
            <w:pPr>
              <w:rPr>
                <w:rFonts w:ascii="Arial" w:hAnsi="Arial" w:cs="Arial"/>
                <w:iCs/>
                <w:szCs w:val="20"/>
              </w:rPr>
            </w:pPr>
          </w:p>
        </w:tc>
      </w:tr>
      <w:tr w:rsidR="00BC3132" w:rsidRPr="00962B44" w14:paraId="7AE998FA" w14:textId="77777777" w:rsidTr="00BC3132">
        <w:trPr>
          <w:cantSplit/>
          <w:trHeight w:val="215"/>
        </w:trPr>
        <w:tc>
          <w:tcPr>
            <w:tcW w:w="1929" w:type="dxa"/>
            <w:tcBorders>
              <w:left w:val="single" w:sz="4" w:space="0" w:color="auto"/>
            </w:tcBorders>
            <w:vAlign w:val="center"/>
            <w:hideMark/>
          </w:tcPr>
          <w:p w14:paraId="069A3A56" w14:textId="77777777" w:rsidR="00BC3132" w:rsidRPr="00895C92" w:rsidRDefault="00BC3132" w:rsidP="00A626C3">
            <w:pPr>
              <w:pStyle w:val="Default"/>
              <w:rPr>
                <w:rFonts w:ascii="Arial" w:hAnsi="Arial" w:cs="Arial"/>
                <w:b/>
                <w:sz w:val="20"/>
                <w:szCs w:val="20"/>
              </w:rPr>
            </w:pPr>
            <w:r w:rsidRPr="00895C92">
              <w:rPr>
                <w:rFonts w:ascii="Arial" w:hAnsi="Arial" w:cs="Arial"/>
                <w:bCs/>
                <w:sz w:val="20"/>
                <w:szCs w:val="20"/>
                <w:lang w:eastAsia="el-GR"/>
              </w:rPr>
              <w:t>25. Contributions of authors</w:t>
            </w:r>
          </w:p>
        </w:tc>
        <w:tc>
          <w:tcPr>
            <w:tcW w:w="870" w:type="dxa"/>
            <w:vAlign w:val="center"/>
            <w:hideMark/>
          </w:tcPr>
          <w:p w14:paraId="65BC9D8D" w14:textId="77777777" w:rsidR="00BC3132" w:rsidRPr="00895C92" w:rsidRDefault="00BC3132" w:rsidP="00A626C3">
            <w:pPr>
              <w:pStyle w:val="Default"/>
              <w:spacing w:before="40" w:after="40"/>
              <w:rPr>
                <w:rFonts w:ascii="Arial" w:hAnsi="Arial" w:cs="Arial"/>
                <w:sz w:val="20"/>
                <w:szCs w:val="20"/>
              </w:rPr>
            </w:pPr>
            <w:r w:rsidRPr="00895C92">
              <w:rPr>
                <w:rFonts w:ascii="Arial" w:hAnsi="Arial" w:cs="Arial"/>
                <w:sz w:val="20"/>
                <w:szCs w:val="20"/>
              </w:rPr>
              <w:t>25</w:t>
            </w:r>
          </w:p>
        </w:tc>
        <w:tc>
          <w:tcPr>
            <w:tcW w:w="10489" w:type="dxa"/>
            <w:gridSpan w:val="5"/>
            <w:vAlign w:val="center"/>
          </w:tcPr>
          <w:p w14:paraId="0FF51FCA" w14:textId="77777777" w:rsidR="00BC3132" w:rsidRPr="00895C92" w:rsidRDefault="00BC3132" w:rsidP="00A626C3">
            <w:pPr>
              <w:pStyle w:val="Default"/>
              <w:spacing w:before="40" w:after="40"/>
              <w:jc w:val="both"/>
              <w:rPr>
                <w:rFonts w:ascii="Arial" w:hAnsi="Arial" w:cs="Arial"/>
                <w:sz w:val="20"/>
                <w:szCs w:val="20"/>
              </w:rPr>
            </w:pPr>
            <w:r w:rsidRPr="00895C92">
              <w:rPr>
                <w:rFonts w:ascii="Arial" w:hAnsi="Arial" w:cs="Arial"/>
                <w:sz w:val="20"/>
                <w:szCs w:val="20"/>
                <w:lang w:eastAsia="el-GR"/>
              </w:rPr>
              <w:t>Provide contributions of authors.</w:t>
            </w:r>
          </w:p>
        </w:tc>
        <w:tc>
          <w:tcPr>
            <w:tcW w:w="1156" w:type="dxa"/>
            <w:tcBorders>
              <w:right w:val="single" w:sz="4" w:space="0" w:color="auto"/>
            </w:tcBorders>
            <w:vAlign w:val="center"/>
          </w:tcPr>
          <w:p w14:paraId="49D13BA2"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1</w:t>
            </w:r>
            <w:r>
              <w:rPr>
                <w:rFonts w:ascii="Arial" w:hAnsi="Arial" w:cs="Arial"/>
                <w:iCs/>
                <w:szCs w:val="20"/>
                <w:lang w:eastAsia="zh-CN"/>
              </w:rPr>
              <w:t>5</w:t>
            </w:r>
          </w:p>
        </w:tc>
      </w:tr>
      <w:tr w:rsidR="00BC3132" w:rsidRPr="00962B44" w14:paraId="4ED16A90" w14:textId="77777777" w:rsidTr="00BC3132">
        <w:trPr>
          <w:cantSplit/>
          <w:trHeight w:val="253"/>
        </w:trPr>
        <w:tc>
          <w:tcPr>
            <w:tcW w:w="1929" w:type="dxa"/>
            <w:tcBorders>
              <w:left w:val="single" w:sz="4" w:space="0" w:color="auto"/>
              <w:bottom w:val="double" w:sz="2" w:space="0" w:color="auto"/>
            </w:tcBorders>
            <w:hideMark/>
          </w:tcPr>
          <w:p w14:paraId="6E9EBAEF" w14:textId="77777777" w:rsidR="00BC3132" w:rsidRPr="00895C92" w:rsidRDefault="00BC3132" w:rsidP="00A626C3">
            <w:pPr>
              <w:pStyle w:val="Default"/>
              <w:spacing w:before="40" w:after="40"/>
              <w:rPr>
                <w:rFonts w:ascii="Arial" w:hAnsi="Arial" w:cs="Arial"/>
                <w:sz w:val="20"/>
                <w:szCs w:val="20"/>
              </w:rPr>
            </w:pPr>
            <w:r w:rsidRPr="00895C92">
              <w:rPr>
                <w:rFonts w:ascii="Arial" w:hAnsi="Arial" w:cs="Arial"/>
                <w:sz w:val="20"/>
                <w:szCs w:val="20"/>
              </w:rPr>
              <w:t xml:space="preserve">26. Dual </w:t>
            </w:r>
            <w:r>
              <w:rPr>
                <w:rFonts w:ascii="Arial" w:hAnsi="Arial" w:cs="Arial"/>
                <w:sz w:val="20"/>
                <w:szCs w:val="20"/>
              </w:rPr>
              <w:t>(</w:t>
            </w:r>
            <w:r w:rsidRPr="00895C92">
              <w:rPr>
                <w:rFonts w:ascii="Arial" w:hAnsi="Arial" w:cs="Arial"/>
                <w:sz w:val="20"/>
                <w:szCs w:val="20"/>
              </w:rPr>
              <w:t>co-</w:t>
            </w:r>
            <w:r>
              <w:rPr>
                <w:rFonts w:ascii="Arial" w:hAnsi="Arial" w:cs="Arial"/>
                <w:sz w:val="20"/>
                <w:szCs w:val="20"/>
              </w:rPr>
              <w:t>)</w:t>
            </w:r>
            <w:r w:rsidRPr="00895C92">
              <w:rPr>
                <w:rFonts w:ascii="Arial" w:hAnsi="Arial" w:cs="Arial"/>
                <w:sz w:val="20"/>
                <w:szCs w:val="20"/>
              </w:rPr>
              <w:t>authorship</w:t>
            </w:r>
          </w:p>
        </w:tc>
        <w:tc>
          <w:tcPr>
            <w:tcW w:w="870" w:type="dxa"/>
            <w:tcBorders>
              <w:bottom w:val="double" w:sz="2" w:space="0" w:color="auto"/>
            </w:tcBorders>
            <w:vAlign w:val="center"/>
            <w:hideMark/>
          </w:tcPr>
          <w:p w14:paraId="5A765670" w14:textId="77777777" w:rsidR="00BC3132" w:rsidRPr="00895C92" w:rsidRDefault="00BC3132" w:rsidP="00A626C3">
            <w:pPr>
              <w:pStyle w:val="Default"/>
              <w:spacing w:before="40" w:after="40"/>
              <w:rPr>
                <w:rFonts w:ascii="Arial" w:hAnsi="Arial" w:cs="Arial"/>
                <w:sz w:val="20"/>
                <w:szCs w:val="20"/>
              </w:rPr>
            </w:pPr>
            <w:r w:rsidRPr="00895C92">
              <w:rPr>
                <w:rFonts w:ascii="Arial" w:hAnsi="Arial" w:cs="Arial"/>
                <w:sz w:val="20"/>
                <w:szCs w:val="20"/>
              </w:rPr>
              <w:t>26</w:t>
            </w:r>
          </w:p>
        </w:tc>
        <w:tc>
          <w:tcPr>
            <w:tcW w:w="10489" w:type="dxa"/>
            <w:gridSpan w:val="5"/>
            <w:tcBorders>
              <w:bottom w:val="double" w:sz="2" w:space="0" w:color="auto"/>
            </w:tcBorders>
            <w:vAlign w:val="center"/>
          </w:tcPr>
          <w:p w14:paraId="08DEEB05" w14:textId="77777777" w:rsidR="00BC3132" w:rsidRPr="00895C92" w:rsidRDefault="00BC3132" w:rsidP="00A626C3">
            <w:pPr>
              <w:pStyle w:val="Default"/>
              <w:spacing w:before="40" w:after="40"/>
              <w:jc w:val="both"/>
              <w:rPr>
                <w:rFonts w:ascii="Arial" w:hAnsi="Arial" w:cs="Arial"/>
                <w:sz w:val="20"/>
                <w:szCs w:val="20"/>
              </w:rPr>
            </w:pPr>
            <w:r>
              <w:rPr>
                <w:rFonts w:ascii="Arial" w:hAnsi="Arial" w:cs="Arial"/>
                <w:sz w:val="20"/>
                <w:szCs w:val="20"/>
                <w:lang w:eastAsia="el-GR"/>
              </w:rPr>
              <w:t>Report about dual (co-)</w:t>
            </w:r>
            <w:r w:rsidRPr="00895C92">
              <w:rPr>
                <w:rFonts w:ascii="Arial" w:hAnsi="Arial" w:cs="Arial"/>
                <w:sz w:val="20"/>
                <w:szCs w:val="20"/>
                <w:lang w:eastAsia="el-GR"/>
              </w:rPr>
              <w:t>authorship in the limitation or declarations of interest section.</w:t>
            </w:r>
          </w:p>
        </w:tc>
        <w:tc>
          <w:tcPr>
            <w:tcW w:w="1156" w:type="dxa"/>
            <w:tcBorders>
              <w:bottom w:val="double" w:sz="2" w:space="0" w:color="auto"/>
              <w:right w:val="single" w:sz="4" w:space="0" w:color="auto"/>
            </w:tcBorders>
            <w:vAlign w:val="center"/>
          </w:tcPr>
          <w:p w14:paraId="6AEADA9B"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1</w:t>
            </w:r>
            <w:r>
              <w:rPr>
                <w:rFonts w:ascii="Arial" w:hAnsi="Arial" w:cs="Arial"/>
                <w:iCs/>
                <w:szCs w:val="20"/>
                <w:lang w:eastAsia="zh-CN"/>
              </w:rPr>
              <w:t>5</w:t>
            </w:r>
          </w:p>
        </w:tc>
      </w:tr>
      <w:tr w:rsidR="00BC3132" w:rsidRPr="00962B44" w14:paraId="2989F6C7" w14:textId="77777777" w:rsidTr="00BC3132">
        <w:trPr>
          <w:cantSplit/>
          <w:trHeight w:val="220"/>
        </w:trPr>
        <w:tc>
          <w:tcPr>
            <w:tcW w:w="13288" w:type="dxa"/>
            <w:gridSpan w:val="7"/>
            <w:tcBorders>
              <w:top w:val="double" w:sz="2" w:space="0" w:color="auto"/>
              <w:left w:val="single" w:sz="4" w:space="0" w:color="auto"/>
            </w:tcBorders>
            <w:shd w:val="clear" w:color="auto" w:fill="FFFFCC"/>
            <w:vAlign w:val="center"/>
            <w:hideMark/>
          </w:tcPr>
          <w:p w14:paraId="52F1F2B3" w14:textId="77777777" w:rsidR="00BC3132" w:rsidRPr="00324C20" w:rsidRDefault="00BC3132" w:rsidP="00A626C3">
            <w:pPr>
              <w:pStyle w:val="Default"/>
              <w:spacing w:before="40" w:after="40"/>
              <w:rPr>
                <w:rFonts w:ascii="Arial" w:hAnsi="Arial" w:cs="Arial"/>
                <w:sz w:val="20"/>
                <w:szCs w:val="20"/>
              </w:rPr>
            </w:pPr>
            <w:r w:rsidRPr="00436723">
              <w:rPr>
                <w:rFonts w:ascii="Arial" w:hAnsi="Arial" w:cs="Arial"/>
                <w:b/>
                <w:sz w:val="21"/>
                <w:szCs w:val="21"/>
              </w:rPr>
              <w:t>FUNDING</w:t>
            </w:r>
          </w:p>
        </w:tc>
        <w:tc>
          <w:tcPr>
            <w:tcW w:w="1156" w:type="dxa"/>
            <w:tcBorders>
              <w:top w:val="double" w:sz="2" w:space="0" w:color="auto"/>
              <w:right w:val="single" w:sz="4" w:space="0" w:color="auto"/>
            </w:tcBorders>
            <w:shd w:val="clear" w:color="auto" w:fill="FFFFCC"/>
            <w:vAlign w:val="center"/>
          </w:tcPr>
          <w:p w14:paraId="26F89572" w14:textId="77777777" w:rsidR="00BC3132" w:rsidRPr="006649E6" w:rsidRDefault="00BC3132" w:rsidP="00A626C3">
            <w:pPr>
              <w:rPr>
                <w:rFonts w:ascii="Arial" w:hAnsi="Arial" w:cs="Arial"/>
                <w:iCs/>
                <w:szCs w:val="20"/>
              </w:rPr>
            </w:pPr>
          </w:p>
        </w:tc>
      </w:tr>
      <w:tr w:rsidR="00BC3132" w:rsidRPr="001B1FD1" w14:paraId="1B79E0FE" w14:textId="77777777" w:rsidTr="00BC3132">
        <w:trPr>
          <w:cantSplit/>
          <w:trHeight w:val="447"/>
        </w:trPr>
        <w:tc>
          <w:tcPr>
            <w:tcW w:w="1929" w:type="dxa"/>
            <w:vMerge w:val="restart"/>
            <w:tcBorders>
              <w:left w:val="single" w:sz="4" w:space="0" w:color="auto"/>
            </w:tcBorders>
            <w:vAlign w:val="center"/>
            <w:hideMark/>
          </w:tcPr>
          <w:p w14:paraId="2CCD0B42" w14:textId="77777777" w:rsidR="00BC3132" w:rsidRPr="001B1FD1" w:rsidRDefault="00BC3132" w:rsidP="00A626C3">
            <w:pPr>
              <w:pStyle w:val="Default"/>
              <w:spacing w:before="40" w:after="40"/>
              <w:rPr>
                <w:rFonts w:ascii="Arial" w:hAnsi="Arial" w:cs="Arial"/>
                <w:sz w:val="20"/>
                <w:szCs w:val="20"/>
              </w:rPr>
            </w:pPr>
            <w:r w:rsidRPr="001B1FD1">
              <w:rPr>
                <w:rFonts w:ascii="Arial" w:hAnsi="Arial" w:cs="Arial"/>
                <w:sz w:val="20"/>
                <w:szCs w:val="20"/>
              </w:rPr>
              <w:t>27.</w:t>
            </w:r>
            <w:r w:rsidRPr="001B1FD1">
              <w:rPr>
                <w:rFonts w:ascii="Arial" w:hAnsi="Arial" w:cs="Arial"/>
                <w:sz w:val="20"/>
              </w:rPr>
              <w:t xml:space="preserve"> </w:t>
            </w:r>
            <w:r>
              <w:rPr>
                <w:rFonts w:ascii="Arial" w:hAnsi="Arial" w:cs="Arial"/>
                <w:sz w:val="20"/>
              </w:rPr>
              <w:t>Funding or other support</w:t>
            </w:r>
          </w:p>
        </w:tc>
        <w:tc>
          <w:tcPr>
            <w:tcW w:w="870" w:type="dxa"/>
            <w:vAlign w:val="center"/>
            <w:hideMark/>
          </w:tcPr>
          <w:p w14:paraId="5135AA15" w14:textId="77777777" w:rsidR="00BC3132" w:rsidRPr="001B1FD1" w:rsidRDefault="00BC3132" w:rsidP="00A626C3">
            <w:pPr>
              <w:pStyle w:val="Default"/>
              <w:spacing w:before="40" w:after="40"/>
              <w:rPr>
                <w:rFonts w:ascii="Arial" w:hAnsi="Arial" w:cs="Arial"/>
                <w:sz w:val="20"/>
                <w:szCs w:val="20"/>
              </w:rPr>
            </w:pPr>
            <w:r w:rsidRPr="001B1FD1">
              <w:rPr>
                <w:rFonts w:ascii="Arial" w:hAnsi="Arial" w:cs="Arial"/>
                <w:sz w:val="20"/>
                <w:szCs w:val="20"/>
              </w:rPr>
              <w:t>27a</w:t>
            </w:r>
          </w:p>
        </w:tc>
        <w:tc>
          <w:tcPr>
            <w:tcW w:w="10489" w:type="dxa"/>
            <w:gridSpan w:val="5"/>
            <w:vAlign w:val="center"/>
          </w:tcPr>
          <w:p w14:paraId="12CACFEF" w14:textId="77777777" w:rsidR="00BC3132" w:rsidRPr="001B1FD1" w:rsidRDefault="00BC3132" w:rsidP="00A626C3">
            <w:pPr>
              <w:pStyle w:val="Default"/>
              <w:spacing w:before="40" w:after="40"/>
              <w:jc w:val="both"/>
              <w:rPr>
                <w:rFonts w:ascii="Arial" w:hAnsi="Arial" w:cs="Arial"/>
                <w:sz w:val="20"/>
                <w:szCs w:val="20"/>
              </w:rPr>
            </w:pPr>
            <w:r>
              <w:rPr>
                <w:rFonts w:ascii="Arial" w:hAnsi="Arial" w:cs="Arial"/>
                <w:sz w:val="20"/>
              </w:rPr>
              <w:t>Indicate sources of financial and</w:t>
            </w:r>
            <w:r w:rsidRPr="001B1FD1">
              <w:rPr>
                <w:rFonts w:ascii="Arial" w:hAnsi="Arial" w:cs="Arial"/>
                <w:sz w:val="20"/>
              </w:rPr>
              <w:t xml:space="preserve"> other support for the </w:t>
            </w:r>
            <w:r>
              <w:rPr>
                <w:rFonts w:ascii="Arial" w:hAnsi="Arial" w:cs="Arial"/>
                <w:sz w:val="20"/>
              </w:rPr>
              <w:t>OoSRs (direct funding) or for the authors (indirect funding), or report no funding.</w:t>
            </w:r>
          </w:p>
        </w:tc>
        <w:tc>
          <w:tcPr>
            <w:tcW w:w="1156" w:type="dxa"/>
            <w:tcBorders>
              <w:right w:val="single" w:sz="4" w:space="0" w:color="auto"/>
            </w:tcBorders>
            <w:vAlign w:val="center"/>
          </w:tcPr>
          <w:p w14:paraId="0997B14F"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1</w:t>
            </w:r>
            <w:r>
              <w:rPr>
                <w:rFonts w:ascii="Arial" w:hAnsi="Arial" w:cs="Arial"/>
                <w:iCs/>
                <w:szCs w:val="20"/>
                <w:lang w:eastAsia="zh-CN"/>
              </w:rPr>
              <w:t>5</w:t>
            </w:r>
          </w:p>
        </w:tc>
      </w:tr>
      <w:tr w:rsidR="00BC3132" w:rsidRPr="001B1FD1" w14:paraId="0117726A" w14:textId="77777777" w:rsidTr="00BC3132">
        <w:trPr>
          <w:cantSplit/>
          <w:trHeight w:val="185"/>
        </w:trPr>
        <w:tc>
          <w:tcPr>
            <w:tcW w:w="1929" w:type="dxa"/>
            <w:vMerge/>
            <w:tcBorders>
              <w:left w:val="single" w:sz="4" w:space="0" w:color="auto"/>
            </w:tcBorders>
            <w:vAlign w:val="center"/>
            <w:hideMark/>
          </w:tcPr>
          <w:p w14:paraId="2DB93A14" w14:textId="77777777" w:rsidR="00BC3132" w:rsidRPr="001B1FD1" w:rsidRDefault="00BC3132" w:rsidP="00A626C3">
            <w:pPr>
              <w:pStyle w:val="Default"/>
              <w:spacing w:before="40" w:after="40"/>
              <w:rPr>
                <w:rFonts w:ascii="Arial" w:hAnsi="Arial" w:cs="Arial"/>
                <w:sz w:val="20"/>
                <w:szCs w:val="20"/>
              </w:rPr>
            </w:pPr>
          </w:p>
        </w:tc>
        <w:tc>
          <w:tcPr>
            <w:tcW w:w="870" w:type="dxa"/>
            <w:vAlign w:val="center"/>
            <w:hideMark/>
          </w:tcPr>
          <w:p w14:paraId="35F5E7E2" w14:textId="77777777" w:rsidR="00BC3132" w:rsidRPr="001B1FD1" w:rsidRDefault="00BC3132" w:rsidP="00A626C3">
            <w:pPr>
              <w:pStyle w:val="Default"/>
              <w:spacing w:before="40" w:after="40"/>
              <w:rPr>
                <w:rFonts w:ascii="Arial" w:hAnsi="Arial" w:cs="Arial"/>
                <w:sz w:val="20"/>
                <w:szCs w:val="20"/>
              </w:rPr>
            </w:pPr>
            <w:r w:rsidRPr="001B1FD1">
              <w:rPr>
                <w:rFonts w:ascii="Arial" w:hAnsi="Arial" w:cs="Arial"/>
                <w:sz w:val="20"/>
                <w:szCs w:val="20"/>
              </w:rPr>
              <w:t>27b</w:t>
            </w:r>
          </w:p>
        </w:tc>
        <w:tc>
          <w:tcPr>
            <w:tcW w:w="10489" w:type="dxa"/>
            <w:gridSpan w:val="5"/>
            <w:vAlign w:val="center"/>
          </w:tcPr>
          <w:p w14:paraId="35CDA20B" w14:textId="77777777" w:rsidR="00BC3132" w:rsidRPr="001B1FD1" w:rsidRDefault="00BC3132" w:rsidP="00A626C3">
            <w:pPr>
              <w:pStyle w:val="Default"/>
              <w:spacing w:before="40" w:after="40"/>
              <w:jc w:val="both"/>
              <w:rPr>
                <w:rFonts w:ascii="Arial" w:hAnsi="Arial" w:cs="Arial"/>
                <w:sz w:val="20"/>
                <w:szCs w:val="20"/>
              </w:rPr>
            </w:pPr>
            <w:r w:rsidRPr="001B1FD1">
              <w:rPr>
                <w:rFonts w:ascii="Arial" w:hAnsi="Arial" w:cs="Arial"/>
                <w:sz w:val="20"/>
              </w:rPr>
              <w:t>Provide name for the overview funder and/or sponsor</w:t>
            </w:r>
            <w:r>
              <w:rPr>
                <w:rFonts w:ascii="Arial" w:hAnsi="Arial" w:cs="Arial"/>
                <w:sz w:val="20"/>
              </w:rPr>
              <w:t>, or for the authors’ supporters.</w:t>
            </w:r>
          </w:p>
        </w:tc>
        <w:tc>
          <w:tcPr>
            <w:tcW w:w="1156" w:type="dxa"/>
            <w:tcBorders>
              <w:right w:val="single" w:sz="4" w:space="0" w:color="auto"/>
            </w:tcBorders>
            <w:vAlign w:val="center"/>
          </w:tcPr>
          <w:p w14:paraId="2CCE4AC7"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1</w:t>
            </w:r>
            <w:r>
              <w:rPr>
                <w:rFonts w:ascii="Arial" w:hAnsi="Arial" w:cs="Arial"/>
                <w:iCs/>
                <w:szCs w:val="20"/>
                <w:lang w:eastAsia="zh-CN"/>
              </w:rPr>
              <w:t>5</w:t>
            </w:r>
          </w:p>
        </w:tc>
      </w:tr>
      <w:tr w:rsidR="00BC3132" w:rsidRPr="001B1FD1" w14:paraId="0A7CEC28" w14:textId="77777777" w:rsidTr="00BC3132">
        <w:trPr>
          <w:cantSplit/>
          <w:trHeight w:val="147"/>
        </w:trPr>
        <w:tc>
          <w:tcPr>
            <w:tcW w:w="1929" w:type="dxa"/>
            <w:vMerge/>
            <w:tcBorders>
              <w:left w:val="single" w:sz="4" w:space="0" w:color="auto"/>
            </w:tcBorders>
            <w:vAlign w:val="center"/>
            <w:hideMark/>
          </w:tcPr>
          <w:p w14:paraId="7B8CEFDF" w14:textId="77777777" w:rsidR="00BC3132" w:rsidRPr="001B1FD1" w:rsidRDefault="00BC3132" w:rsidP="00A626C3">
            <w:pPr>
              <w:pStyle w:val="Default"/>
              <w:spacing w:before="40" w:after="40"/>
              <w:rPr>
                <w:rFonts w:ascii="Arial" w:hAnsi="Arial" w:cs="Arial"/>
                <w:sz w:val="20"/>
                <w:szCs w:val="20"/>
              </w:rPr>
            </w:pPr>
          </w:p>
        </w:tc>
        <w:tc>
          <w:tcPr>
            <w:tcW w:w="870" w:type="dxa"/>
            <w:vAlign w:val="center"/>
            <w:hideMark/>
          </w:tcPr>
          <w:p w14:paraId="68DB3406" w14:textId="77777777" w:rsidR="00BC3132" w:rsidRPr="001B1FD1" w:rsidRDefault="00BC3132" w:rsidP="00A626C3">
            <w:pPr>
              <w:pStyle w:val="Default"/>
              <w:spacing w:before="40" w:after="40"/>
              <w:rPr>
                <w:rFonts w:ascii="Arial" w:hAnsi="Arial" w:cs="Arial"/>
                <w:sz w:val="20"/>
                <w:szCs w:val="20"/>
              </w:rPr>
            </w:pPr>
            <w:r w:rsidRPr="001B1FD1">
              <w:rPr>
                <w:rFonts w:ascii="Arial" w:hAnsi="Arial" w:cs="Arial"/>
                <w:sz w:val="20"/>
                <w:szCs w:val="20"/>
              </w:rPr>
              <w:t>27c</w:t>
            </w:r>
          </w:p>
        </w:tc>
        <w:tc>
          <w:tcPr>
            <w:tcW w:w="10489" w:type="dxa"/>
            <w:gridSpan w:val="5"/>
            <w:vAlign w:val="center"/>
          </w:tcPr>
          <w:p w14:paraId="3C67B2DB" w14:textId="77777777" w:rsidR="00BC3132" w:rsidRPr="001B1FD1" w:rsidRDefault="00BC3132" w:rsidP="00A626C3">
            <w:pPr>
              <w:pStyle w:val="Default"/>
              <w:spacing w:before="40" w:after="40"/>
              <w:jc w:val="both"/>
              <w:rPr>
                <w:rFonts w:ascii="Arial" w:hAnsi="Arial" w:cs="Arial"/>
                <w:sz w:val="20"/>
                <w:szCs w:val="20"/>
              </w:rPr>
            </w:pPr>
            <w:r w:rsidRPr="001B1FD1">
              <w:rPr>
                <w:rFonts w:ascii="Arial" w:hAnsi="Arial" w:cs="Arial"/>
                <w:sz w:val="20"/>
              </w:rPr>
              <w:t xml:space="preserve">Describe roles of funder(s), sponsor(s), and/or institution(s), if any, in conducted the </w:t>
            </w:r>
            <w:r>
              <w:rPr>
                <w:rFonts w:ascii="Arial" w:hAnsi="Arial" w:cs="Arial"/>
                <w:sz w:val="20"/>
              </w:rPr>
              <w:t>OoSRs.</w:t>
            </w:r>
          </w:p>
        </w:tc>
        <w:tc>
          <w:tcPr>
            <w:tcW w:w="1156" w:type="dxa"/>
            <w:tcBorders>
              <w:right w:val="single" w:sz="4" w:space="0" w:color="auto"/>
            </w:tcBorders>
            <w:vAlign w:val="center"/>
          </w:tcPr>
          <w:p w14:paraId="71454BE1" w14:textId="77777777" w:rsidR="00BC3132" w:rsidRPr="006649E6" w:rsidRDefault="00BC3132" w:rsidP="00A626C3">
            <w:pPr>
              <w:rPr>
                <w:rFonts w:ascii="Arial" w:hAnsi="Arial" w:cs="Arial"/>
                <w:iCs/>
                <w:szCs w:val="20"/>
                <w:lang w:eastAsia="zh-CN"/>
              </w:rPr>
            </w:pPr>
            <w:r>
              <w:rPr>
                <w:rFonts w:ascii="Arial" w:hAnsi="Arial" w:cs="Arial" w:hint="eastAsia"/>
                <w:iCs/>
                <w:szCs w:val="20"/>
                <w:lang w:eastAsia="zh-CN"/>
              </w:rPr>
              <w:t>1</w:t>
            </w:r>
            <w:r>
              <w:rPr>
                <w:rFonts w:ascii="Arial" w:hAnsi="Arial" w:cs="Arial"/>
                <w:iCs/>
                <w:szCs w:val="20"/>
                <w:lang w:eastAsia="zh-CN"/>
              </w:rPr>
              <w:t>5</w:t>
            </w:r>
          </w:p>
        </w:tc>
      </w:tr>
    </w:tbl>
    <w:p w14:paraId="757C5FEB" w14:textId="77777777" w:rsidR="00BC3132" w:rsidRDefault="00BC3132" w:rsidP="00BC3132">
      <w:pPr>
        <w:rPr>
          <w:rFonts w:ascii="Arial" w:hAnsi="Arial" w:cs="Arial"/>
          <w:i/>
          <w:sz w:val="18"/>
          <w:szCs w:val="18"/>
        </w:rPr>
      </w:pPr>
    </w:p>
    <w:p w14:paraId="2AA7E328" w14:textId="77777777" w:rsidR="00BC3132" w:rsidRDefault="00BC3132">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7F59F72B" w14:textId="4BF5AAD7" w:rsidR="00E11AAA" w:rsidRDefault="00E11AAA" w:rsidP="00E11AAA">
      <w:pPr>
        <w:widowControl/>
        <w:jc w:val="left"/>
        <w:rPr>
          <w:rFonts w:ascii="Times New Roman" w:hAnsi="Times New Roman" w:cs="Times New Roman"/>
        </w:rPr>
      </w:pPr>
      <w:r>
        <w:rPr>
          <w:rFonts w:ascii="Times New Roman" w:hAnsi="Times New Roman" w:cs="Times New Roman" w:hint="eastAsia"/>
          <w:b/>
          <w:bCs/>
          <w:sz w:val="24"/>
          <w:szCs w:val="24"/>
        </w:rPr>
        <w:lastRenderedPageBreak/>
        <w:t>F</w:t>
      </w:r>
      <w:r>
        <w:rPr>
          <w:rFonts w:ascii="Times New Roman" w:hAnsi="Times New Roman" w:cs="Times New Roman"/>
          <w:b/>
          <w:bCs/>
          <w:sz w:val="24"/>
          <w:szCs w:val="24"/>
        </w:rPr>
        <w:t xml:space="preserve">igure S1. </w:t>
      </w:r>
      <w:r>
        <w:rPr>
          <w:rFonts w:ascii="Times New Roman" w:hAnsi="Times New Roman" w:cs="Times New Roman"/>
        </w:rPr>
        <w:t>C</w:t>
      </w:r>
      <w:r>
        <w:rPr>
          <w:rFonts w:ascii="Times New Roman" w:hAnsi="Times New Roman" w:cs="Times New Roman" w:hint="eastAsia"/>
        </w:rPr>
        <w:t>o</w:t>
      </w:r>
      <w:r>
        <w:rPr>
          <w:rFonts w:ascii="Times New Roman" w:hAnsi="Times New Roman" w:cs="Times New Roman"/>
        </w:rPr>
        <w:t>mparison of the proportions of discarding zero-events studies for the present to the past.</w:t>
      </w:r>
    </w:p>
    <w:p w14:paraId="2377C493" w14:textId="628EE7E6" w:rsidR="00E11AAA" w:rsidRDefault="00E11AAA" w:rsidP="00E11AAA">
      <w:pPr>
        <w:widowControl/>
        <w:jc w:val="left"/>
        <w:rPr>
          <w:rFonts w:ascii="Times New Roman" w:hAnsi="Times New Roman" w:cs="Times New Roman"/>
        </w:rPr>
      </w:pPr>
      <w:r>
        <w:rPr>
          <w:rFonts w:ascii="Times New Roman" w:hAnsi="Times New Roman" w:cs="Times New Roman"/>
          <w:noProof/>
        </w:rPr>
        <w:drawing>
          <wp:inline distT="0" distB="0" distL="0" distR="0" wp14:anchorId="38F6EA23" wp14:editId="029997AB">
            <wp:extent cx="8652510" cy="1793426"/>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753470" cy="1814352"/>
                    </a:xfrm>
                    <a:prstGeom prst="rect">
                      <a:avLst/>
                    </a:prstGeom>
                    <a:noFill/>
                  </pic:spPr>
                </pic:pic>
              </a:graphicData>
            </a:graphic>
          </wp:inline>
        </w:drawing>
      </w:r>
    </w:p>
    <w:p w14:paraId="396C2961" w14:textId="4A1136B1" w:rsidR="00E11AAA" w:rsidRDefault="00E11AAA" w:rsidP="00E11AAA">
      <w:pPr>
        <w:widowControl/>
        <w:spacing w:line="360" w:lineRule="auto"/>
        <w:rPr>
          <w:rFonts w:ascii="Times New Roman" w:hAnsi="Times New Roman" w:cs="Times New Roman"/>
        </w:rPr>
      </w:pPr>
      <w:r>
        <w:rPr>
          <w:rFonts w:ascii="Times New Roman" w:hAnsi="Times New Roman" w:cs="Times New Roman" w:hint="eastAsia"/>
          <w:b/>
          <w:bCs/>
          <w:sz w:val="24"/>
          <w:szCs w:val="24"/>
        </w:rPr>
        <w:t>F</w:t>
      </w:r>
      <w:r>
        <w:rPr>
          <w:rFonts w:ascii="Times New Roman" w:hAnsi="Times New Roman" w:cs="Times New Roman"/>
          <w:b/>
          <w:bCs/>
          <w:sz w:val="24"/>
          <w:szCs w:val="24"/>
        </w:rPr>
        <w:t>igure S2</w:t>
      </w:r>
      <w:r w:rsidRPr="00BB0E81">
        <w:rPr>
          <w:rFonts w:ascii="Times New Roman" w:hAnsi="Times New Roman" w:cs="Times New Roman"/>
          <w:b/>
          <w:bCs/>
        </w:rPr>
        <w:t xml:space="preserve">. </w:t>
      </w:r>
      <w:r>
        <w:rPr>
          <w:rFonts w:ascii="Times New Roman" w:hAnsi="Times New Roman" w:cs="Times New Roman"/>
        </w:rPr>
        <w:t>C</w:t>
      </w:r>
      <w:r>
        <w:rPr>
          <w:rFonts w:ascii="Times New Roman" w:hAnsi="Times New Roman" w:cs="Times New Roman" w:hint="eastAsia"/>
        </w:rPr>
        <w:t>o</w:t>
      </w:r>
      <w:r>
        <w:rPr>
          <w:rFonts w:ascii="Times New Roman" w:hAnsi="Times New Roman" w:cs="Times New Roman"/>
        </w:rPr>
        <w:t>mparison of the proportions of discarding zero-events studies in terms of protocol development or not.</w:t>
      </w:r>
    </w:p>
    <w:p w14:paraId="3FAB3E4F" w14:textId="5CDC0177" w:rsidR="00E11AAA" w:rsidRPr="00E11AAA" w:rsidRDefault="00E11AAA" w:rsidP="00E11AAA">
      <w:pPr>
        <w:widowControl/>
        <w:spacing w:line="360" w:lineRule="auto"/>
        <w:rPr>
          <w:rFonts w:ascii="Times New Roman" w:hAnsi="Times New Roman" w:cs="Times New Roman"/>
        </w:rPr>
      </w:pPr>
      <w:r>
        <w:rPr>
          <w:rFonts w:ascii="Times New Roman" w:hAnsi="Times New Roman" w:cs="Times New Roman"/>
          <w:noProof/>
        </w:rPr>
        <w:drawing>
          <wp:inline distT="0" distB="0" distL="0" distR="0" wp14:anchorId="0DA80C0F" wp14:editId="6693457A">
            <wp:extent cx="8592366" cy="1702689"/>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717135" cy="1727414"/>
                    </a:xfrm>
                    <a:prstGeom prst="rect">
                      <a:avLst/>
                    </a:prstGeom>
                    <a:noFill/>
                  </pic:spPr>
                </pic:pic>
              </a:graphicData>
            </a:graphic>
          </wp:inline>
        </w:drawing>
      </w:r>
    </w:p>
    <w:p w14:paraId="4C4D368F" w14:textId="58D563B0" w:rsidR="00E11AAA" w:rsidRDefault="00E11AAA">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741CE969" w14:textId="48DED63B" w:rsidR="00084398" w:rsidRDefault="005906C2" w:rsidP="00507062">
      <w:pPr>
        <w:spacing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Figure S3. </w:t>
      </w:r>
      <w:r w:rsidR="004100F6">
        <w:rPr>
          <w:rFonts w:ascii="Times New Roman" w:hAnsi="Times New Roman" w:cs="Times New Roman" w:hint="eastAsia"/>
          <w:b/>
          <w:bCs/>
          <w:sz w:val="24"/>
          <w:szCs w:val="24"/>
        </w:rPr>
        <w:t>Th</w:t>
      </w:r>
      <w:r w:rsidR="004100F6">
        <w:rPr>
          <w:rFonts w:ascii="Times New Roman" w:hAnsi="Times New Roman" w:cs="Times New Roman"/>
          <w:b/>
          <w:bCs/>
          <w:sz w:val="24"/>
          <w:szCs w:val="24"/>
        </w:rPr>
        <w:t xml:space="preserve">e framework </w:t>
      </w:r>
      <w:r w:rsidR="00084398">
        <w:rPr>
          <w:rFonts w:ascii="Times New Roman" w:hAnsi="Times New Roman" w:cs="Times New Roman"/>
          <w:b/>
          <w:bCs/>
          <w:sz w:val="24"/>
          <w:szCs w:val="24"/>
        </w:rPr>
        <w:t>to guide evidence-synthesis for meta-analysis with zero-events studies</w:t>
      </w:r>
    </w:p>
    <w:p w14:paraId="1241640C" w14:textId="7D986B60" w:rsidR="00084398" w:rsidRDefault="009C4FFE" w:rsidP="00507062">
      <w:pPr>
        <w:spacing w:line="360" w:lineRule="auto"/>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3B8DE1CB" wp14:editId="3C860451">
            <wp:extent cx="8821300" cy="4320540"/>
            <wp:effectExtent l="0" t="0" r="0"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848999" cy="4334106"/>
                    </a:xfrm>
                    <a:prstGeom prst="rect">
                      <a:avLst/>
                    </a:prstGeom>
                    <a:noFill/>
                  </pic:spPr>
                </pic:pic>
              </a:graphicData>
            </a:graphic>
          </wp:inline>
        </w:drawing>
      </w:r>
    </w:p>
    <w:p w14:paraId="5B5C4227" w14:textId="79812F9C" w:rsidR="00F745E5" w:rsidRDefault="003836DF" w:rsidP="00507062">
      <w:pPr>
        <w:spacing w:line="360" w:lineRule="auto"/>
        <w:rPr>
          <w:rFonts w:ascii="Times New Roman" w:hAnsi="Times New Roman" w:cs="Times New Roman"/>
          <w:b/>
          <w:bCs/>
          <w:sz w:val="24"/>
          <w:szCs w:val="24"/>
        </w:rPr>
      </w:pPr>
      <w:r>
        <w:rPr>
          <w:rFonts w:ascii="Times New Roman" w:hAnsi="Times New Roman" w:cs="Times New Roman" w:hint="eastAsia"/>
          <w:b/>
          <w:bCs/>
          <w:sz w:val="24"/>
          <w:szCs w:val="24"/>
        </w:rPr>
        <w:t>(</w:t>
      </w:r>
      <w:r w:rsidR="00081CCC" w:rsidRPr="00081CCC">
        <w:rPr>
          <w:rFonts w:ascii="Times New Roman" w:hAnsi="Times New Roman" w:cs="Times New Roman"/>
          <w:sz w:val="24"/>
          <w:szCs w:val="24"/>
        </w:rPr>
        <w:t>F</w:t>
      </w:r>
      <w:r w:rsidR="00081CCC" w:rsidRPr="00081CCC">
        <w:rPr>
          <w:rFonts w:ascii="Times New Roman" w:hAnsi="Times New Roman" w:cs="Times New Roman" w:hint="eastAsia"/>
          <w:sz w:val="24"/>
          <w:szCs w:val="24"/>
        </w:rPr>
        <w:t>i</w:t>
      </w:r>
      <w:r w:rsidR="00081CCC" w:rsidRPr="00081CCC">
        <w:rPr>
          <w:rFonts w:ascii="Times New Roman" w:hAnsi="Times New Roman" w:cs="Times New Roman"/>
          <w:sz w:val="24"/>
          <w:szCs w:val="24"/>
        </w:rPr>
        <w:t>gure is f</w:t>
      </w:r>
      <w:r w:rsidRPr="00081CCC">
        <w:rPr>
          <w:rFonts w:ascii="Times New Roman" w:hAnsi="Times New Roman" w:cs="Times New Roman"/>
          <w:sz w:val="24"/>
          <w:szCs w:val="24"/>
        </w:rPr>
        <w:t>r</w:t>
      </w:r>
      <w:r w:rsidRPr="00081CCC">
        <w:rPr>
          <w:rFonts w:ascii="Times New Roman" w:hAnsi="Times New Roman" w:cs="Times New Roman" w:hint="eastAsia"/>
          <w:sz w:val="24"/>
          <w:szCs w:val="24"/>
        </w:rPr>
        <w:t>o</w:t>
      </w:r>
      <w:r w:rsidRPr="00081CCC">
        <w:rPr>
          <w:rFonts w:ascii="Times New Roman" w:hAnsi="Times New Roman" w:cs="Times New Roman"/>
          <w:sz w:val="24"/>
          <w:szCs w:val="24"/>
        </w:rPr>
        <w:t>m</w:t>
      </w:r>
      <w:r w:rsidR="00081CCC" w:rsidRPr="00081CCC">
        <w:rPr>
          <w:rFonts w:ascii="Times New Roman" w:hAnsi="Times New Roman" w:cs="Times New Roman"/>
          <w:sz w:val="24"/>
          <w:szCs w:val="24"/>
        </w:rPr>
        <w:t>:</w:t>
      </w:r>
      <w:r w:rsidRPr="00081CCC">
        <w:rPr>
          <w:rFonts w:ascii="Times New Roman" w:hAnsi="Times New Roman" w:cs="Times New Roman"/>
          <w:sz w:val="24"/>
          <w:szCs w:val="24"/>
        </w:rPr>
        <w:t xml:space="preserve"> </w:t>
      </w:r>
      <w:r w:rsidR="009B1B8D" w:rsidRPr="00F64957">
        <w:rPr>
          <w:rFonts w:ascii="Times New Roman" w:hAnsi="Times New Roman" w:cs="Times New Roman"/>
          <w:i/>
          <w:iCs/>
          <w:sz w:val="24"/>
          <w:szCs w:val="24"/>
        </w:rPr>
        <w:t>Xu C</w:t>
      </w:r>
      <w:r w:rsidR="009B1B8D" w:rsidRPr="00F64957">
        <w:rPr>
          <w:rFonts w:ascii="Times New Roman" w:hAnsi="Times New Roman" w:cs="Times New Roman" w:hint="eastAsia"/>
          <w:i/>
          <w:iCs/>
          <w:sz w:val="24"/>
          <w:szCs w:val="24"/>
        </w:rPr>
        <w:t>,</w:t>
      </w:r>
      <w:r w:rsidR="009B1B8D" w:rsidRPr="00F64957">
        <w:rPr>
          <w:rFonts w:ascii="Times New Roman" w:hAnsi="Times New Roman" w:cs="Times New Roman"/>
          <w:i/>
          <w:iCs/>
          <w:sz w:val="24"/>
          <w:szCs w:val="24"/>
        </w:rPr>
        <w:t xml:space="preserve"> Furuya-Kanamori L</w:t>
      </w:r>
      <w:r w:rsidR="009B1B8D" w:rsidRPr="00F64957">
        <w:rPr>
          <w:rFonts w:ascii="Times New Roman" w:hAnsi="Times New Roman" w:cs="Times New Roman" w:hint="eastAsia"/>
          <w:i/>
          <w:iCs/>
          <w:sz w:val="24"/>
          <w:szCs w:val="24"/>
        </w:rPr>
        <w:t>,</w:t>
      </w:r>
      <w:r w:rsidR="009B1B8D" w:rsidRPr="00F64957">
        <w:rPr>
          <w:rFonts w:ascii="Times New Roman" w:hAnsi="Times New Roman" w:cs="Times New Roman"/>
          <w:i/>
          <w:iCs/>
          <w:sz w:val="24"/>
          <w:szCs w:val="24"/>
        </w:rPr>
        <w:t xml:space="preserve"> Zorzela L, L</w:t>
      </w:r>
      <w:r w:rsidR="009B1B8D" w:rsidRPr="00F64957">
        <w:rPr>
          <w:rFonts w:ascii="Times New Roman" w:hAnsi="Times New Roman" w:cs="Times New Roman" w:hint="eastAsia"/>
          <w:i/>
          <w:iCs/>
          <w:sz w:val="24"/>
          <w:szCs w:val="24"/>
        </w:rPr>
        <w:t>i</w:t>
      </w:r>
      <w:r w:rsidR="009B1B8D" w:rsidRPr="00F64957">
        <w:rPr>
          <w:rFonts w:ascii="Times New Roman" w:hAnsi="Times New Roman" w:cs="Times New Roman"/>
          <w:i/>
          <w:iCs/>
          <w:sz w:val="24"/>
          <w:szCs w:val="24"/>
        </w:rPr>
        <w:t>n L</w:t>
      </w:r>
      <w:r w:rsidR="009B1B8D" w:rsidRPr="00F64957">
        <w:rPr>
          <w:rFonts w:ascii="Times New Roman" w:hAnsi="Times New Roman" w:cs="Times New Roman" w:hint="eastAsia"/>
          <w:i/>
          <w:iCs/>
          <w:sz w:val="24"/>
          <w:szCs w:val="24"/>
        </w:rPr>
        <w:t>,</w:t>
      </w:r>
      <w:r w:rsidR="009B1B8D" w:rsidRPr="00F64957">
        <w:rPr>
          <w:rFonts w:ascii="Times New Roman" w:hAnsi="Times New Roman" w:cs="Times New Roman"/>
          <w:i/>
          <w:iCs/>
          <w:sz w:val="24"/>
          <w:szCs w:val="24"/>
        </w:rPr>
        <w:t xml:space="preserve"> Vohra S. A proposed framework to guide evidence synthesis practice for meta-analysis with zero-events studies. 2021</w:t>
      </w:r>
      <w:r w:rsidR="009B1B8D" w:rsidRPr="00B6080D">
        <w:rPr>
          <w:rFonts w:ascii="Times New Roman" w:hAnsi="Times New Roman" w:cs="Times New Roman"/>
          <w:i/>
          <w:iCs/>
          <w:sz w:val="24"/>
          <w:szCs w:val="24"/>
        </w:rPr>
        <w:t>;135:70-78.</w:t>
      </w:r>
      <w:r>
        <w:rPr>
          <w:rFonts w:ascii="Times New Roman" w:hAnsi="Times New Roman" w:cs="Times New Roman"/>
          <w:b/>
          <w:bCs/>
          <w:sz w:val="24"/>
          <w:szCs w:val="24"/>
        </w:rPr>
        <w:t>)</w:t>
      </w:r>
    </w:p>
    <w:p w14:paraId="2CFB94C6" w14:textId="77777777" w:rsidR="00F745E5" w:rsidRPr="008852AF" w:rsidRDefault="00F745E5">
      <w:pPr>
        <w:widowControl/>
        <w:jc w:val="left"/>
        <w:rPr>
          <w:rFonts w:ascii="Times New Roman" w:hAnsi="Times New Roman" w:cs="Times New Roman"/>
          <w:b/>
          <w:bCs/>
          <w:color w:val="000000" w:themeColor="text1"/>
          <w:szCs w:val="21"/>
        </w:rPr>
      </w:pPr>
      <w:r w:rsidRPr="008852AF">
        <w:rPr>
          <w:rFonts w:ascii="Times New Roman" w:hAnsi="Times New Roman" w:cs="Times New Roman"/>
          <w:b/>
          <w:bCs/>
          <w:color w:val="000000" w:themeColor="text1"/>
          <w:szCs w:val="21"/>
        </w:rPr>
        <w:lastRenderedPageBreak/>
        <w:t xml:space="preserve">Six subtypes of meta-analysis with zero-events studies: </w:t>
      </w:r>
    </w:p>
    <w:p w14:paraId="40A1F935" w14:textId="77777777" w:rsidR="00F745E5" w:rsidRDefault="00F745E5">
      <w:pPr>
        <w:widowControl/>
        <w:jc w:val="left"/>
        <w:rPr>
          <w:rFonts w:ascii="Times New Roman" w:hAnsi="Times New Roman" w:cs="Times New Roman"/>
          <w:color w:val="000000" w:themeColor="text1"/>
          <w:szCs w:val="21"/>
        </w:rPr>
      </w:pPr>
      <w:r w:rsidRPr="00794AB5">
        <w:rPr>
          <w:rFonts w:ascii="Times New Roman" w:hAnsi="Times New Roman" w:cs="Times New Roman"/>
          <w:color w:val="000000" w:themeColor="text1"/>
          <w:szCs w:val="21"/>
        </w:rPr>
        <w:t>1)</w:t>
      </w:r>
      <w:r>
        <w:rPr>
          <w:rFonts w:ascii="Times New Roman" w:hAnsi="Times New Roman" w:cs="Times New Roman"/>
          <w:color w:val="000000" w:themeColor="text1"/>
          <w:szCs w:val="21"/>
        </w:rPr>
        <w:t xml:space="preserve"> </w:t>
      </w:r>
      <w:r w:rsidRPr="00794AB5">
        <w:rPr>
          <w:rFonts w:ascii="Times New Roman" w:hAnsi="Times New Roman" w:cs="Times New Roman"/>
          <w:color w:val="000000" w:themeColor="text1"/>
          <w:szCs w:val="21"/>
        </w:rPr>
        <w:t>meta-analysis contains zero-events only occurring in single arms, no double-arm-zero-events studies are included, and the total events count in neither arm is zero</w:t>
      </w:r>
      <w:r>
        <w:rPr>
          <w:rFonts w:ascii="Times New Roman" w:hAnsi="Times New Roman" w:cs="Times New Roman"/>
          <w:color w:val="000000" w:themeColor="text1"/>
          <w:szCs w:val="21"/>
        </w:rPr>
        <w:t xml:space="preserve"> (MA-SZ)</w:t>
      </w:r>
      <w:r w:rsidRPr="00794AB5">
        <w:rPr>
          <w:rFonts w:ascii="Times New Roman" w:hAnsi="Times New Roman" w:cs="Times New Roman"/>
          <w:color w:val="000000" w:themeColor="text1"/>
          <w:szCs w:val="21"/>
        </w:rPr>
        <w:t>;</w:t>
      </w:r>
      <w:r>
        <w:rPr>
          <w:rFonts w:ascii="Times New Roman" w:hAnsi="Times New Roman" w:cs="Times New Roman" w:hint="eastAsia"/>
          <w:color w:val="000000" w:themeColor="text1"/>
          <w:szCs w:val="21"/>
        </w:rPr>
        <w:t xml:space="preserve"> </w:t>
      </w:r>
    </w:p>
    <w:p w14:paraId="230C6708" w14:textId="77777777" w:rsidR="00F745E5" w:rsidRDefault="00F745E5">
      <w:pPr>
        <w:widowControl/>
        <w:jc w:val="left"/>
        <w:rPr>
          <w:rFonts w:ascii="Times New Roman" w:hAnsi="Times New Roman" w:cs="Times New Roman"/>
          <w:color w:val="000000" w:themeColor="text1"/>
          <w:szCs w:val="21"/>
        </w:rPr>
      </w:pPr>
      <w:r w:rsidRPr="00794AB5">
        <w:rPr>
          <w:rFonts w:ascii="Times New Roman" w:hAnsi="Times New Roman" w:cs="Times New Roman"/>
          <w:color w:val="000000" w:themeColor="text1"/>
          <w:szCs w:val="21"/>
        </w:rPr>
        <w:t>2)</w:t>
      </w:r>
      <w:r w:rsidRPr="00794AB5">
        <w:rPr>
          <w:rFonts w:ascii="Times New Roman" w:hAnsi="Times New Roman" w:cs="Times New Roman"/>
          <w:color w:val="000000" w:themeColor="text1"/>
          <w:szCs w:val="21"/>
        </w:rPr>
        <w:tab/>
        <w:t>meta-analysis has a mixture of both single-arm-zero-events and double-arm-zero-events studies, and the total events count in neither arm is zero</w:t>
      </w:r>
      <w:r>
        <w:rPr>
          <w:rFonts w:ascii="Times New Roman" w:hAnsi="Times New Roman" w:cs="Times New Roman"/>
          <w:color w:val="000000" w:themeColor="text1"/>
          <w:szCs w:val="21"/>
        </w:rPr>
        <w:t xml:space="preserve"> (MA-MZ)</w:t>
      </w:r>
      <w:r w:rsidRPr="00794AB5">
        <w:rPr>
          <w:rFonts w:ascii="Times New Roman" w:hAnsi="Times New Roman" w:cs="Times New Roman"/>
          <w:color w:val="000000" w:themeColor="text1"/>
          <w:szCs w:val="21"/>
        </w:rPr>
        <w:t>;</w:t>
      </w:r>
      <w:r>
        <w:rPr>
          <w:rFonts w:ascii="Times New Roman" w:hAnsi="Times New Roman" w:cs="Times New Roman" w:hint="eastAsia"/>
          <w:color w:val="000000" w:themeColor="text1"/>
          <w:szCs w:val="21"/>
        </w:rPr>
        <w:t xml:space="preserve"> </w:t>
      </w:r>
    </w:p>
    <w:p w14:paraId="06336158" w14:textId="77777777" w:rsidR="00F745E5" w:rsidRDefault="00F745E5">
      <w:pPr>
        <w:widowControl/>
        <w:jc w:val="left"/>
        <w:rPr>
          <w:rFonts w:ascii="Times New Roman" w:hAnsi="Times New Roman" w:cs="Times New Roman"/>
          <w:color w:val="000000" w:themeColor="text1"/>
          <w:szCs w:val="21"/>
        </w:rPr>
      </w:pPr>
      <w:r w:rsidRPr="00794AB5">
        <w:rPr>
          <w:rFonts w:ascii="Times New Roman" w:hAnsi="Times New Roman" w:cs="Times New Roman"/>
          <w:color w:val="000000" w:themeColor="text1"/>
          <w:szCs w:val="21"/>
        </w:rPr>
        <w:t>3)</w:t>
      </w:r>
      <w:r>
        <w:rPr>
          <w:rFonts w:ascii="Times New Roman" w:hAnsi="Times New Roman" w:cs="Times New Roman"/>
          <w:color w:val="000000" w:themeColor="text1"/>
          <w:szCs w:val="21"/>
        </w:rPr>
        <w:t xml:space="preserve"> </w:t>
      </w:r>
      <w:r w:rsidRPr="00794AB5">
        <w:rPr>
          <w:rFonts w:ascii="Times New Roman" w:hAnsi="Times New Roman" w:cs="Times New Roman"/>
          <w:color w:val="000000" w:themeColor="text1"/>
          <w:szCs w:val="21"/>
        </w:rPr>
        <w:t>meta-analysis only includes double-arm-zero-events studies, and the total events count in neither arm is zero</w:t>
      </w:r>
      <w:r>
        <w:rPr>
          <w:rFonts w:ascii="Times New Roman" w:hAnsi="Times New Roman" w:cs="Times New Roman"/>
          <w:color w:val="000000" w:themeColor="text1"/>
          <w:szCs w:val="21"/>
        </w:rPr>
        <w:t xml:space="preserve"> (MA-DZ)</w:t>
      </w:r>
      <w:r w:rsidRPr="00794AB5">
        <w:rPr>
          <w:rFonts w:ascii="Times New Roman" w:hAnsi="Times New Roman" w:cs="Times New Roman"/>
          <w:color w:val="000000" w:themeColor="text1"/>
          <w:szCs w:val="21"/>
        </w:rPr>
        <w:t>;</w:t>
      </w:r>
      <w:r>
        <w:rPr>
          <w:rFonts w:ascii="Times New Roman" w:hAnsi="Times New Roman" w:cs="Times New Roman" w:hint="eastAsia"/>
          <w:color w:val="000000" w:themeColor="text1"/>
          <w:szCs w:val="21"/>
        </w:rPr>
        <w:t xml:space="preserve"> </w:t>
      </w:r>
    </w:p>
    <w:p w14:paraId="7895B6CA" w14:textId="77777777" w:rsidR="00F745E5" w:rsidRDefault="00F745E5">
      <w:pPr>
        <w:widowControl/>
        <w:jc w:val="left"/>
        <w:rPr>
          <w:rFonts w:ascii="Times New Roman" w:hAnsi="Times New Roman" w:cs="Times New Roman"/>
          <w:color w:val="000000" w:themeColor="text1"/>
          <w:szCs w:val="21"/>
        </w:rPr>
      </w:pPr>
      <w:r w:rsidRPr="00794AB5">
        <w:rPr>
          <w:rFonts w:ascii="Times New Roman" w:hAnsi="Times New Roman" w:cs="Times New Roman"/>
          <w:color w:val="000000" w:themeColor="text1"/>
          <w:szCs w:val="21"/>
        </w:rPr>
        <w:t>4)</w:t>
      </w:r>
      <w:r w:rsidRPr="00794AB5">
        <w:rPr>
          <w:rFonts w:ascii="Times New Roman" w:hAnsi="Times New Roman" w:cs="Times New Roman"/>
          <w:color w:val="000000" w:themeColor="text1"/>
          <w:szCs w:val="21"/>
        </w:rPr>
        <w:tab/>
        <w:t xml:space="preserve">meta-analysis contains zero-events occurring in single arms, and no double-arm-zero-events studies are included, while the events count in </w:t>
      </w:r>
      <w:r w:rsidRPr="009655CE">
        <w:rPr>
          <w:rFonts w:ascii="Times New Roman" w:hAnsi="Times New Roman" w:cs="Times New Roman"/>
          <w:i/>
          <w:iCs/>
          <w:color w:val="000000" w:themeColor="text1"/>
          <w:szCs w:val="21"/>
        </w:rPr>
        <w:t>one of the arms</w:t>
      </w:r>
      <w:r w:rsidRPr="00794AB5">
        <w:rPr>
          <w:rFonts w:ascii="Times New Roman" w:hAnsi="Times New Roman" w:cs="Times New Roman"/>
          <w:color w:val="000000" w:themeColor="text1"/>
          <w:szCs w:val="21"/>
        </w:rPr>
        <w:t xml:space="preserve"> is </w:t>
      </w:r>
      <w:r>
        <w:rPr>
          <w:rFonts w:ascii="Times New Roman" w:hAnsi="Times New Roman" w:cs="Times New Roman"/>
          <w:color w:val="000000" w:themeColor="text1"/>
          <w:szCs w:val="21"/>
        </w:rPr>
        <w:t xml:space="preserve">completely </w:t>
      </w:r>
      <w:r w:rsidRPr="00794AB5">
        <w:rPr>
          <w:rFonts w:ascii="Times New Roman" w:hAnsi="Times New Roman" w:cs="Times New Roman"/>
          <w:color w:val="000000" w:themeColor="text1"/>
          <w:szCs w:val="21"/>
        </w:rPr>
        <w:t>zero</w:t>
      </w:r>
      <w:r>
        <w:rPr>
          <w:rFonts w:ascii="Times New Roman" w:hAnsi="Times New Roman" w:cs="Times New Roman"/>
          <w:color w:val="000000" w:themeColor="text1"/>
          <w:szCs w:val="21"/>
        </w:rPr>
        <w:t xml:space="preserve"> in all studies (MA-CSZ)</w:t>
      </w:r>
      <w:r w:rsidRPr="00794AB5">
        <w:rPr>
          <w:rFonts w:ascii="Times New Roman" w:hAnsi="Times New Roman" w:cs="Times New Roman"/>
          <w:color w:val="000000" w:themeColor="text1"/>
          <w:szCs w:val="21"/>
        </w:rPr>
        <w:t>;</w:t>
      </w:r>
      <w:r>
        <w:rPr>
          <w:rFonts w:ascii="Times New Roman" w:hAnsi="Times New Roman" w:cs="Times New Roman" w:hint="eastAsia"/>
          <w:color w:val="000000" w:themeColor="text1"/>
          <w:szCs w:val="21"/>
        </w:rPr>
        <w:t xml:space="preserve"> </w:t>
      </w:r>
    </w:p>
    <w:p w14:paraId="61DE6773" w14:textId="77777777" w:rsidR="00F745E5" w:rsidRDefault="00F745E5">
      <w:pPr>
        <w:widowControl/>
        <w:jc w:val="left"/>
        <w:rPr>
          <w:rFonts w:ascii="Times New Roman" w:hAnsi="Times New Roman" w:cs="Times New Roman"/>
          <w:color w:val="000000" w:themeColor="text1"/>
          <w:szCs w:val="21"/>
        </w:rPr>
      </w:pPr>
      <w:r w:rsidRPr="00794AB5">
        <w:rPr>
          <w:rFonts w:ascii="Times New Roman" w:hAnsi="Times New Roman" w:cs="Times New Roman"/>
          <w:color w:val="000000" w:themeColor="text1"/>
          <w:szCs w:val="21"/>
        </w:rPr>
        <w:t>5)</w:t>
      </w:r>
      <w:r w:rsidRPr="00794AB5">
        <w:rPr>
          <w:rFonts w:ascii="Times New Roman" w:hAnsi="Times New Roman" w:cs="Times New Roman"/>
          <w:color w:val="000000" w:themeColor="text1"/>
          <w:szCs w:val="21"/>
        </w:rPr>
        <w:tab/>
        <w:t xml:space="preserve">meta-analysis has a mixture of both single-arm-zero-events and double-arm-zero-events studies, and the events count in </w:t>
      </w:r>
      <w:r w:rsidRPr="009655CE">
        <w:rPr>
          <w:rFonts w:ascii="Times New Roman" w:hAnsi="Times New Roman" w:cs="Times New Roman"/>
          <w:i/>
          <w:iCs/>
          <w:color w:val="000000" w:themeColor="text1"/>
          <w:szCs w:val="21"/>
        </w:rPr>
        <w:t xml:space="preserve">one of the arms </w:t>
      </w:r>
      <w:r w:rsidRPr="00794AB5">
        <w:rPr>
          <w:rFonts w:ascii="Times New Roman" w:hAnsi="Times New Roman" w:cs="Times New Roman"/>
          <w:color w:val="000000" w:themeColor="text1"/>
          <w:szCs w:val="21"/>
        </w:rPr>
        <w:t xml:space="preserve">is </w:t>
      </w:r>
      <w:r>
        <w:rPr>
          <w:rFonts w:ascii="Times New Roman" w:hAnsi="Times New Roman" w:cs="Times New Roman"/>
          <w:color w:val="000000" w:themeColor="text1"/>
          <w:szCs w:val="21"/>
        </w:rPr>
        <w:t xml:space="preserve">completely </w:t>
      </w:r>
      <w:r w:rsidRPr="00794AB5">
        <w:rPr>
          <w:rFonts w:ascii="Times New Roman" w:hAnsi="Times New Roman" w:cs="Times New Roman"/>
          <w:color w:val="000000" w:themeColor="text1"/>
          <w:szCs w:val="21"/>
        </w:rPr>
        <w:t>zero</w:t>
      </w:r>
      <w:r>
        <w:rPr>
          <w:rFonts w:ascii="Times New Roman" w:hAnsi="Times New Roman" w:cs="Times New Roman"/>
          <w:color w:val="000000" w:themeColor="text1"/>
          <w:szCs w:val="21"/>
        </w:rPr>
        <w:t xml:space="preserve"> </w:t>
      </w:r>
      <w:bookmarkStart w:id="1" w:name="_Hlk58225764"/>
      <w:r>
        <w:rPr>
          <w:rFonts w:ascii="Times New Roman" w:hAnsi="Times New Roman" w:cs="Times New Roman"/>
          <w:color w:val="000000" w:themeColor="text1"/>
          <w:szCs w:val="21"/>
        </w:rPr>
        <w:t>in all studies</w:t>
      </w:r>
      <w:bookmarkEnd w:id="1"/>
      <w:r>
        <w:rPr>
          <w:rFonts w:ascii="Times New Roman" w:hAnsi="Times New Roman" w:cs="Times New Roman"/>
          <w:color w:val="000000" w:themeColor="text1"/>
          <w:szCs w:val="21"/>
        </w:rPr>
        <w:t xml:space="preserve"> (MA-CMZ)</w:t>
      </w:r>
      <w:r w:rsidRPr="00794AB5">
        <w:rPr>
          <w:rFonts w:ascii="Times New Roman" w:hAnsi="Times New Roman" w:cs="Times New Roman"/>
          <w:color w:val="000000" w:themeColor="text1"/>
          <w:szCs w:val="21"/>
        </w:rPr>
        <w:t>;</w:t>
      </w:r>
      <w:r>
        <w:rPr>
          <w:rFonts w:ascii="Times New Roman" w:hAnsi="Times New Roman" w:cs="Times New Roman" w:hint="eastAsia"/>
          <w:color w:val="000000" w:themeColor="text1"/>
          <w:szCs w:val="21"/>
        </w:rPr>
        <w:t xml:space="preserve"> </w:t>
      </w:r>
    </w:p>
    <w:p w14:paraId="7E590F82" w14:textId="46377B3A" w:rsidR="003836DF" w:rsidRDefault="00F745E5" w:rsidP="00E83858">
      <w:pPr>
        <w:widowControl/>
        <w:jc w:val="left"/>
        <w:rPr>
          <w:rFonts w:ascii="Times New Roman" w:hAnsi="Times New Roman" w:cs="Times New Roman"/>
          <w:b/>
          <w:bCs/>
          <w:sz w:val="24"/>
          <w:szCs w:val="24"/>
        </w:rPr>
      </w:pPr>
      <w:r w:rsidRPr="00794AB5">
        <w:rPr>
          <w:rFonts w:ascii="Times New Roman" w:hAnsi="Times New Roman" w:cs="Times New Roman"/>
          <w:color w:val="000000" w:themeColor="text1"/>
          <w:szCs w:val="21"/>
        </w:rPr>
        <w:t>6)</w:t>
      </w:r>
      <w:r w:rsidRPr="00794AB5">
        <w:rPr>
          <w:rFonts w:ascii="Times New Roman" w:hAnsi="Times New Roman" w:cs="Times New Roman"/>
          <w:color w:val="000000" w:themeColor="text1"/>
          <w:szCs w:val="21"/>
        </w:rPr>
        <w:tab/>
        <w:t xml:space="preserve">meta-analysis only includes double-arm-zero-events studies, and the events count </w:t>
      </w:r>
      <w:r w:rsidRPr="009655CE">
        <w:rPr>
          <w:rFonts w:ascii="Times New Roman" w:hAnsi="Times New Roman" w:cs="Times New Roman"/>
          <w:i/>
          <w:iCs/>
          <w:color w:val="000000" w:themeColor="text1"/>
          <w:szCs w:val="21"/>
        </w:rPr>
        <w:t>in both arms</w:t>
      </w:r>
      <w:r w:rsidRPr="00794AB5">
        <w:rPr>
          <w:rFonts w:ascii="Times New Roman" w:hAnsi="Times New Roman" w:cs="Times New Roman"/>
          <w:color w:val="000000" w:themeColor="text1"/>
          <w:szCs w:val="21"/>
        </w:rPr>
        <w:t xml:space="preserve"> </w:t>
      </w:r>
      <w:r>
        <w:rPr>
          <w:rFonts w:ascii="Times New Roman" w:hAnsi="Times New Roman" w:cs="Times New Roman"/>
          <w:color w:val="000000" w:themeColor="text1"/>
          <w:szCs w:val="21"/>
        </w:rPr>
        <w:t>is</w:t>
      </w:r>
      <w:r w:rsidRPr="00794AB5">
        <w:rPr>
          <w:rFonts w:ascii="Times New Roman" w:hAnsi="Times New Roman" w:cs="Times New Roman"/>
          <w:color w:val="000000" w:themeColor="text1"/>
          <w:szCs w:val="21"/>
        </w:rPr>
        <w:t xml:space="preserve"> </w:t>
      </w:r>
      <w:r>
        <w:rPr>
          <w:rFonts w:ascii="Times New Roman" w:hAnsi="Times New Roman" w:cs="Times New Roman"/>
          <w:color w:val="000000" w:themeColor="text1"/>
          <w:szCs w:val="21"/>
        </w:rPr>
        <w:t>completely</w:t>
      </w:r>
      <w:r w:rsidRPr="00794AB5">
        <w:rPr>
          <w:rFonts w:ascii="Times New Roman" w:hAnsi="Times New Roman" w:cs="Times New Roman"/>
          <w:color w:val="000000" w:themeColor="text1"/>
          <w:szCs w:val="21"/>
        </w:rPr>
        <w:t xml:space="preserve"> zero</w:t>
      </w:r>
      <w:r w:rsidRPr="00937281">
        <w:rPr>
          <w:rFonts w:ascii="Times New Roman" w:hAnsi="Times New Roman" w:cs="Times New Roman"/>
          <w:color w:val="000000" w:themeColor="text1"/>
          <w:szCs w:val="21"/>
        </w:rPr>
        <w:t xml:space="preserve"> </w:t>
      </w:r>
      <w:r>
        <w:rPr>
          <w:rFonts w:ascii="Times New Roman" w:hAnsi="Times New Roman" w:cs="Times New Roman"/>
          <w:color w:val="000000" w:themeColor="text1"/>
          <w:szCs w:val="21"/>
        </w:rPr>
        <w:t>in all studies (MA-CDZ)</w:t>
      </w:r>
      <w:r>
        <w:rPr>
          <w:rFonts w:ascii="Times New Roman" w:hAnsi="Times New Roman" w:cs="Times New Roman"/>
          <w:b/>
          <w:bCs/>
          <w:sz w:val="24"/>
          <w:szCs w:val="24"/>
        </w:rPr>
        <w:br w:type="page"/>
      </w:r>
    </w:p>
    <w:p w14:paraId="07A259C1" w14:textId="090A6319" w:rsidR="003836DF" w:rsidRDefault="005906C2" w:rsidP="00507062">
      <w:pPr>
        <w:spacing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Figure S4. </w:t>
      </w:r>
      <w:r w:rsidR="00BF4ADE">
        <w:rPr>
          <w:rFonts w:ascii="Times New Roman" w:hAnsi="Times New Roman" w:cs="Times New Roman" w:hint="eastAsia"/>
          <w:b/>
          <w:bCs/>
          <w:sz w:val="24"/>
          <w:szCs w:val="24"/>
        </w:rPr>
        <w:t>Th</w:t>
      </w:r>
      <w:r w:rsidR="00BF4ADE">
        <w:rPr>
          <w:rFonts w:ascii="Times New Roman" w:hAnsi="Times New Roman" w:cs="Times New Roman"/>
          <w:b/>
          <w:bCs/>
          <w:sz w:val="24"/>
          <w:szCs w:val="24"/>
        </w:rPr>
        <w:t xml:space="preserve">e </w:t>
      </w:r>
      <w:r w:rsidR="00BF4ADE" w:rsidRPr="00BF4ADE">
        <w:rPr>
          <w:rFonts w:ascii="Times New Roman" w:hAnsi="Times New Roman" w:cs="Times New Roman"/>
          <w:b/>
          <w:bCs/>
          <w:sz w:val="24"/>
          <w:szCs w:val="24"/>
        </w:rPr>
        <w:t>flow diagram to guide synthesis practice under the proposed framework</w:t>
      </w:r>
    </w:p>
    <w:p w14:paraId="6182F18D" w14:textId="11BD8CDA" w:rsidR="00BF4ADE" w:rsidRDefault="00BF4ADE" w:rsidP="00507062">
      <w:pPr>
        <w:spacing w:line="360" w:lineRule="auto"/>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260E1A0B" wp14:editId="5DAC106A">
            <wp:extent cx="7193280" cy="4255777"/>
            <wp:effectExtent l="0" t="0" r="762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216644" cy="4269600"/>
                    </a:xfrm>
                    <a:prstGeom prst="rect">
                      <a:avLst/>
                    </a:prstGeom>
                    <a:noFill/>
                  </pic:spPr>
                </pic:pic>
              </a:graphicData>
            </a:graphic>
          </wp:inline>
        </w:drawing>
      </w:r>
    </w:p>
    <w:p w14:paraId="2FD14576" w14:textId="679A968C" w:rsidR="00BF4ADE" w:rsidRPr="00BF4ADE" w:rsidRDefault="00BF4ADE" w:rsidP="00507062">
      <w:pPr>
        <w:spacing w:line="360" w:lineRule="auto"/>
        <w:rPr>
          <w:rFonts w:ascii="Times New Roman" w:hAnsi="Times New Roman" w:cs="Times New Roman"/>
          <w:b/>
          <w:bCs/>
          <w:sz w:val="24"/>
          <w:szCs w:val="24"/>
        </w:rPr>
      </w:pPr>
      <w:r>
        <w:rPr>
          <w:rFonts w:ascii="Times New Roman" w:hAnsi="Times New Roman" w:cs="Times New Roman" w:hint="eastAsia"/>
          <w:b/>
          <w:bCs/>
          <w:sz w:val="24"/>
          <w:szCs w:val="24"/>
        </w:rPr>
        <w:t>(</w:t>
      </w:r>
      <w:r w:rsidRPr="00081CCC">
        <w:rPr>
          <w:rFonts w:ascii="Times New Roman" w:hAnsi="Times New Roman" w:cs="Times New Roman"/>
          <w:sz w:val="24"/>
          <w:szCs w:val="24"/>
        </w:rPr>
        <w:t>F</w:t>
      </w:r>
      <w:r w:rsidRPr="00081CCC">
        <w:rPr>
          <w:rFonts w:ascii="Times New Roman" w:hAnsi="Times New Roman" w:cs="Times New Roman" w:hint="eastAsia"/>
          <w:sz w:val="24"/>
          <w:szCs w:val="24"/>
        </w:rPr>
        <w:t>i</w:t>
      </w:r>
      <w:r w:rsidRPr="00081CCC">
        <w:rPr>
          <w:rFonts w:ascii="Times New Roman" w:hAnsi="Times New Roman" w:cs="Times New Roman"/>
          <w:sz w:val="24"/>
          <w:szCs w:val="24"/>
        </w:rPr>
        <w:t>gure is fr</w:t>
      </w:r>
      <w:r w:rsidRPr="00081CCC">
        <w:rPr>
          <w:rFonts w:ascii="Times New Roman" w:hAnsi="Times New Roman" w:cs="Times New Roman" w:hint="eastAsia"/>
          <w:sz w:val="24"/>
          <w:szCs w:val="24"/>
        </w:rPr>
        <w:t>o</w:t>
      </w:r>
      <w:r w:rsidRPr="00081CCC">
        <w:rPr>
          <w:rFonts w:ascii="Times New Roman" w:hAnsi="Times New Roman" w:cs="Times New Roman"/>
          <w:sz w:val="24"/>
          <w:szCs w:val="24"/>
        </w:rPr>
        <w:t xml:space="preserve">m: </w:t>
      </w:r>
      <w:r w:rsidRPr="00F64957">
        <w:rPr>
          <w:rFonts w:ascii="Times New Roman" w:hAnsi="Times New Roman" w:cs="Times New Roman"/>
          <w:i/>
          <w:iCs/>
          <w:sz w:val="24"/>
          <w:szCs w:val="24"/>
        </w:rPr>
        <w:t>Xu C</w:t>
      </w:r>
      <w:r w:rsidRPr="00F64957">
        <w:rPr>
          <w:rFonts w:ascii="Times New Roman" w:hAnsi="Times New Roman" w:cs="Times New Roman" w:hint="eastAsia"/>
          <w:i/>
          <w:iCs/>
          <w:sz w:val="24"/>
          <w:szCs w:val="24"/>
        </w:rPr>
        <w:t>,</w:t>
      </w:r>
      <w:r w:rsidRPr="00F64957">
        <w:rPr>
          <w:rFonts w:ascii="Times New Roman" w:hAnsi="Times New Roman" w:cs="Times New Roman"/>
          <w:i/>
          <w:iCs/>
          <w:sz w:val="24"/>
          <w:szCs w:val="24"/>
        </w:rPr>
        <w:t xml:space="preserve"> Furuya-Kanamori L</w:t>
      </w:r>
      <w:r w:rsidRPr="00F64957">
        <w:rPr>
          <w:rFonts w:ascii="Times New Roman" w:hAnsi="Times New Roman" w:cs="Times New Roman" w:hint="eastAsia"/>
          <w:i/>
          <w:iCs/>
          <w:sz w:val="24"/>
          <w:szCs w:val="24"/>
        </w:rPr>
        <w:t>,</w:t>
      </w:r>
      <w:r w:rsidRPr="00F64957">
        <w:rPr>
          <w:rFonts w:ascii="Times New Roman" w:hAnsi="Times New Roman" w:cs="Times New Roman"/>
          <w:i/>
          <w:iCs/>
          <w:sz w:val="24"/>
          <w:szCs w:val="24"/>
        </w:rPr>
        <w:t xml:space="preserve"> Zorzela L, L</w:t>
      </w:r>
      <w:r w:rsidRPr="00F64957">
        <w:rPr>
          <w:rFonts w:ascii="Times New Roman" w:hAnsi="Times New Roman" w:cs="Times New Roman" w:hint="eastAsia"/>
          <w:i/>
          <w:iCs/>
          <w:sz w:val="24"/>
          <w:szCs w:val="24"/>
        </w:rPr>
        <w:t>i</w:t>
      </w:r>
      <w:r w:rsidRPr="00F64957">
        <w:rPr>
          <w:rFonts w:ascii="Times New Roman" w:hAnsi="Times New Roman" w:cs="Times New Roman"/>
          <w:i/>
          <w:iCs/>
          <w:sz w:val="24"/>
          <w:szCs w:val="24"/>
        </w:rPr>
        <w:t>n L</w:t>
      </w:r>
      <w:r w:rsidRPr="00F64957">
        <w:rPr>
          <w:rFonts w:ascii="Times New Roman" w:hAnsi="Times New Roman" w:cs="Times New Roman" w:hint="eastAsia"/>
          <w:i/>
          <w:iCs/>
          <w:sz w:val="24"/>
          <w:szCs w:val="24"/>
        </w:rPr>
        <w:t>,</w:t>
      </w:r>
      <w:r w:rsidRPr="00F64957">
        <w:rPr>
          <w:rFonts w:ascii="Times New Roman" w:hAnsi="Times New Roman" w:cs="Times New Roman"/>
          <w:i/>
          <w:iCs/>
          <w:sz w:val="24"/>
          <w:szCs w:val="24"/>
        </w:rPr>
        <w:t xml:space="preserve"> Vohra S. A proposed framework to guide evidence synthesis practice for meta-analysis with zero-events studies. 2021</w:t>
      </w:r>
      <w:r w:rsidR="00B6080D" w:rsidRPr="00B6080D">
        <w:rPr>
          <w:rFonts w:ascii="Times New Roman" w:hAnsi="Times New Roman" w:cs="Times New Roman"/>
          <w:i/>
          <w:iCs/>
          <w:sz w:val="24"/>
          <w:szCs w:val="24"/>
        </w:rPr>
        <w:t>;135:70-78.</w:t>
      </w:r>
      <w:r>
        <w:rPr>
          <w:rFonts w:ascii="Times New Roman" w:hAnsi="Times New Roman" w:cs="Times New Roman"/>
          <w:b/>
          <w:bCs/>
          <w:sz w:val="24"/>
          <w:szCs w:val="24"/>
        </w:rPr>
        <w:t>)</w:t>
      </w:r>
    </w:p>
    <w:sectPr w:rsidR="00BF4ADE" w:rsidRPr="00BF4ADE" w:rsidSect="009C4FFE">
      <w:pgSz w:w="16838" w:h="11906" w:orient="landscape"/>
      <w:pgMar w:top="1797" w:right="1440" w:bottom="1797" w:left="1440" w:header="720" w:footer="720" w:gutter="0"/>
      <w:cols w:space="720"/>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1E4F76" w14:textId="77777777" w:rsidR="00CE2F3B" w:rsidRDefault="00CE2F3B" w:rsidP="0055293F">
      <w:r>
        <w:separator/>
      </w:r>
    </w:p>
  </w:endnote>
  <w:endnote w:type="continuationSeparator" w:id="0">
    <w:p w14:paraId="5C1653E5" w14:textId="77777777" w:rsidR="00CE2F3B" w:rsidRDefault="00CE2F3B" w:rsidP="005529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tka Subheading">
    <w:panose1 w:val="02000505000000020004"/>
    <w:charset w:val="00"/>
    <w:family w:val="auto"/>
    <w:pitch w:val="variable"/>
    <w:sig w:usb0="A00002EF" w:usb1="400020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drypRgdxncFmjkqjTimes-Roman">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E16996" w14:textId="77777777" w:rsidR="00CE2F3B" w:rsidRDefault="00CE2F3B" w:rsidP="0055293F">
      <w:r>
        <w:separator/>
      </w:r>
    </w:p>
  </w:footnote>
  <w:footnote w:type="continuationSeparator" w:id="0">
    <w:p w14:paraId="0CFBF9AB" w14:textId="77777777" w:rsidR="00CE2F3B" w:rsidRDefault="00CE2F3B" w:rsidP="005529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3924340"/>
      <w:docPartObj>
        <w:docPartGallery w:val="Page Numbers (Top of Page)"/>
        <w:docPartUnique/>
      </w:docPartObj>
    </w:sdtPr>
    <w:sdtEndPr/>
    <w:sdtContent>
      <w:p w14:paraId="6DA01DFC" w14:textId="77777777" w:rsidR="003476A3" w:rsidRDefault="003476A3">
        <w:pPr>
          <w:pStyle w:val="a5"/>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p w14:paraId="70DA3061" w14:textId="77777777" w:rsidR="003476A3" w:rsidRDefault="003476A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94AE5"/>
    <w:multiLevelType w:val="hybridMultilevel"/>
    <w:tmpl w:val="E57EA38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1EA6A5B"/>
    <w:multiLevelType w:val="hybridMultilevel"/>
    <w:tmpl w:val="F5DEDCD6"/>
    <w:lvl w:ilvl="0" w:tplc="BA1C48CE">
      <w:start w:val="1"/>
      <w:numFmt w:val="decimal"/>
      <w:lvlText w:val="%1)"/>
      <w:lvlJc w:val="left"/>
      <w:pPr>
        <w:ind w:left="360" w:hanging="360"/>
      </w:pPr>
      <w:rPr>
        <w:rFonts w:hint="default"/>
        <w:b w:val="0"/>
        <w:bCs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0906B50"/>
    <w:multiLevelType w:val="hybridMultilevel"/>
    <w:tmpl w:val="367EE51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289E01F1"/>
    <w:multiLevelType w:val="hybridMultilevel"/>
    <w:tmpl w:val="74D6C97C"/>
    <w:lvl w:ilvl="0" w:tplc="193094C0">
      <w:start w:val="1"/>
      <w:numFmt w:val="bullet"/>
      <w:lvlText w:val="•"/>
      <w:lvlJc w:val="left"/>
      <w:pPr>
        <w:ind w:left="720" w:hanging="360"/>
      </w:pPr>
      <w:rPr>
        <w:rFonts w:ascii="Sitka Subheading" w:hAnsi="Sitka Subheading"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3103078A"/>
    <w:multiLevelType w:val="hybridMultilevel"/>
    <w:tmpl w:val="DA2C4952"/>
    <w:lvl w:ilvl="0" w:tplc="193094C0">
      <w:start w:val="1"/>
      <w:numFmt w:val="bullet"/>
      <w:lvlText w:val="•"/>
      <w:lvlJc w:val="left"/>
      <w:pPr>
        <w:ind w:left="720" w:hanging="360"/>
      </w:pPr>
      <w:rPr>
        <w:rFonts w:ascii="Sitka Subheading" w:hAnsi="Sitka Subheading"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33AE61EE"/>
    <w:multiLevelType w:val="hybridMultilevel"/>
    <w:tmpl w:val="C1964B9E"/>
    <w:lvl w:ilvl="0" w:tplc="62E4499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463A5F44"/>
    <w:multiLevelType w:val="hybridMultilevel"/>
    <w:tmpl w:val="4EAC92DE"/>
    <w:lvl w:ilvl="0" w:tplc="193094C0">
      <w:start w:val="1"/>
      <w:numFmt w:val="bullet"/>
      <w:lvlText w:val="•"/>
      <w:lvlJc w:val="left"/>
      <w:pPr>
        <w:ind w:left="720" w:hanging="360"/>
      </w:pPr>
      <w:rPr>
        <w:rFonts w:ascii="Sitka Subheading" w:hAnsi="Sitka Subheading"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5607046A"/>
    <w:multiLevelType w:val="hybridMultilevel"/>
    <w:tmpl w:val="233AC020"/>
    <w:lvl w:ilvl="0" w:tplc="6D9EE36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15:restartNumberingAfterBreak="0">
    <w:nsid w:val="661E5C97"/>
    <w:multiLevelType w:val="hybridMultilevel"/>
    <w:tmpl w:val="9288FF6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67FD11DB"/>
    <w:multiLevelType w:val="hybridMultilevel"/>
    <w:tmpl w:val="D1FA198C"/>
    <w:lvl w:ilvl="0" w:tplc="B9D0EBF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71BF0290"/>
    <w:multiLevelType w:val="hybridMultilevel"/>
    <w:tmpl w:val="9D986EE8"/>
    <w:lvl w:ilvl="0" w:tplc="72BADC7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7B397CB9"/>
    <w:multiLevelType w:val="hybridMultilevel"/>
    <w:tmpl w:val="2896629A"/>
    <w:lvl w:ilvl="0" w:tplc="7E48F68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0"/>
  </w:num>
  <w:num w:numId="2">
    <w:abstractNumId w:val="1"/>
  </w:num>
  <w:num w:numId="3">
    <w:abstractNumId w:val="7"/>
  </w:num>
  <w:num w:numId="4">
    <w:abstractNumId w:val="0"/>
  </w:num>
  <w:num w:numId="5">
    <w:abstractNumId w:val="5"/>
  </w:num>
  <w:num w:numId="6">
    <w:abstractNumId w:val="11"/>
  </w:num>
  <w:num w:numId="7">
    <w:abstractNumId w:val="9"/>
  </w:num>
  <w:num w:numId="8">
    <w:abstractNumId w:val="2"/>
  </w:num>
  <w:num w:numId="9">
    <w:abstractNumId w:val="8"/>
  </w:num>
  <w:num w:numId="10">
    <w:abstractNumId w:val="6"/>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4CC"/>
    <w:rsid w:val="000003C6"/>
    <w:rsid w:val="0001103B"/>
    <w:rsid w:val="00021D12"/>
    <w:rsid w:val="00021FD3"/>
    <w:rsid w:val="000274AF"/>
    <w:rsid w:val="00045AD8"/>
    <w:rsid w:val="00062D62"/>
    <w:rsid w:val="00063668"/>
    <w:rsid w:val="00066ED5"/>
    <w:rsid w:val="00075CC2"/>
    <w:rsid w:val="00081CCC"/>
    <w:rsid w:val="00084398"/>
    <w:rsid w:val="000852FE"/>
    <w:rsid w:val="00094E05"/>
    <w:rsid w:val="000B06F7"/>
    <w:rsid w:val="000B2241"/>
    <w:rsid w:val="000B52A4"/>
    <w:rsid w:val="000C6D44"/>
    <w:rsid w:val="000D3055"/>
    <w:rsid w:val="001025A7"/>
    <w:rsid w:val="0010381D"/>
    <w:rsid w:val="001076ED"/>
    <w:rsid w:val="00112212"/>
    <w:rsid w:val="001138DC"/>
    <w:rsid w:val="001226ED"/>
    <w:rsid w:val="0012535C"/>
    <w:rsid w:val="00143EF1"/>
    <w:rsid w:val="00145CD5"/>
    <w:rsid w:val="001461B4"/>
    <w:rsid w:val="00157A36"/>
    <w:rsid w:val="001613F2"/>
    <w:rsid w:val="0017612C"/>
    <w:rsid w:val="0018548B"/>
    <w:rsid w:val="00187FCC"/>
    <w:rsid w:val="00190238"/>
    <w:rsid w:val="00197C2B"/>
    <w:rsid w:val="001A26B6"/>
    <w:rsid w:val="001B63F7"/>
    <w:rsid w:val="001C4F6A"/>
    <w:rsid w:val="001E2BC9"/>
    <w:rsid w:val="001E74B2"/>
    <w:rsid w:val="001F24BD"/>
    <w:rsid w:val="001F2E2D"/>
    <w:rsid w:val="00216EB9"/>
    <w:rsid w:val="00223591"/>
    <w:rsid w:val="00223A6E"/>
    <w:rsid w:val="0022477F"/>
    <w:rsid w:val="00255711"/>
    <w:rsid w:val="00260D9B"/>
    <w:rsid w:val="0027719F"/>
    <w:rsid w:val="002812D8"/>
    <w:rsid w:val="002946B2"/>
    <w:rsid w:val="002C63DD"/>
    <w:rsid w:val="002C7CFE"/>
    <w:rsid w:val="002D7831"/>
    <w:rsid w:val="002E6EA3"/>
    <w:rsid w:val="002E726A"/>
    <w:rsid w:val="002F06E1"/>
    <w:rsid w:val="002F3B50"/>
    <w:rsid w:val="002F4914"/>
    <w:rsid w:val="00304432"/>
    <w:rsid w:val="00304924"/>
    <w:rsid w:val="00313C62"/>
    <w:rsid w:val="003319EF"/>
    <w:rsid w:val="00331E5E"/>
    <w:rsid w:val="00332D48"/>
    <w:rsid w:val="003476A3"/>
    <w:rsid w:val="003477D1"/>
    <w:rsid w:val="00361A83"/>
    <w:rsid w:val="00381802"/>
    <w:rsid w:val="003836DF"/>
    <w:rsid w:val="00395A3D"/>
    <w:rsid w:val="0039784D"/>
    <w:rsid w:val="003A64AB"/>
    <w:rsid w:val="003C221E"/>
    <w:rsid w:val="003C3AC2"/>
    <w:rsid w:val="003E3117"/>
    <w:rsid w:val="003E60E5"/>
    <w:rsid w:val="00402DB7"/>
    <w:rsid w:val="004100F6"/>
    <w:rsid w:val="004146A6"/>
    <w:rsid w:val="0042370B"/>
    <w:rsid w:val="00430839"/>
    <w:rsid w:val="00433D00"/>
    <w:rsid w:val="00440F19"/>
    <w:rsid w:val="00443427"/>
    <w:rsid w:val="004520FC"/>
    <w:rsid w:val="00452BEB"/>
    <w:rsid w:val="004601C6"/>
    <w:rsid w:val="00462EE7"/>
    <w:rsid w:val="00475C8E"/>
    <w:rsid w:val="00476408"/>
    <w:rsid w:val="00484355"/>
    <w:rsid w:val="004A308D"/>
    <w:rsid w:val="004B5E97"/>
    <w:rsid w:val="004C1F26"/>
    <w:rsid w:val="004C3BFD"/>
    <w:rsid w:val="004C539C"/>
    <w:rsid w:val="004C708A"/>
    <w:rsid w:val="004D6A42"/>
    <w:rsid w:val="004E5C23"/>
    <w:rsid w:val="004E7441"/>
    <w:rsid w:val="004F225A"/>
    <w:rsid w:val="004F2425"/>
    <w:rsid w:val="004F4557"/>
    <w:rsid w:val="004F4CAA"/>
    <w:rsid w:val="00507062"/>
    <w:rsid w:val="0051413F"/>
    <w:rsid w:val="005175D2"/>
    <w:rsid w:val="00524660"/>
    <w:rsid w:val="00527692"/>
    <w:rsid w:val="005351D3"/>
    <w:rsid w:val="005427B5"/>
    <w:rsid w:val="00547FA8"/>
    <w:rsid w:val="00550236"/>
    <w:rsid w:val="0055293F"/>
    <w:rsid w:val="00561F69"/>
    <w:rsid w:val="00572AB5"/>
    <w:rsid w:val="00576FB8"/>
    <w:rsid w:val="005800C1"/>
    <w:rsid w:val="00580511"/>
    <w:rsid w:val="00584A20"/>
    <w:rsid w:val="00587AFD"/>
    <w:rsid w:val="005906C2"/>
    <w:rsid w:val="0059380D"/>
    <w:rsid w:val="005A044C"/>
    <w:rsid w:val="005A1E4E"/>
    <w:rsid w:val="005A1FAE"/>
    <w:rsid w:val="005C5A72"/>
    <w:rsid w:val="005E334D"/>
    <w:rsid w:val="005E5941"/>
    <w:rsid w:val="005F31F7"/>
    <w:rsid w:val="0060505F"/>
    <w:rsid w:val="00637774"/>
    <w:rsid w:val="006518C6"/>
    <w:rsid w:val="00655431"/>
    <w:rsid w:val="00660A9A"/>
    <w:rsid w:val="00672C4D"/>
    <w:rsid w:val="006761F6"/>
    <w:rsid w:val="006856BE"/>
    <w:rsid w:val="006863E8"/>
    <w:rsid w:val="006908A8"/>
    <w:rsid w:val="006A117D"/>
    <w:rsid w:val="006B25AA"/>
    <w:rsid w:val="006B544D"/>
    <w:rsid w:val="006B618A"/>
    <w:rsid w:val="006C7009"/>
    <w:rsid w:val="006D4259"/>
    <w:rsid w:val="006D7577"/>
    <w:rsid w:val="006E310C"/>
    <w:rsid w:val="006E7F6E"/>
    <w:rsid w:val="00712242"/>
    <w:rsid w:val="007144D9"/>
    <w:rsid w:val="007224DF"/>
    <w:rsid w:val="00723B70"/>
    <w:rsid w:val="007334C7"/>
    <w:rsid w:val="007431CC"/>
    <w:rsid w:val="007446B0"/>
    <w:rsid w:val="0075070C"/>
    <w:rsid w:val="00755ABA"/>
    <w:rsid w:val="00760445"/>
    <w:rsid w:val="00776BEC"/>
    <w:rsid w:val="0078634A"/>
    <w:rsid w:val="00796158"/>
    <w:rsid w:val="007A5C81"/>
    <w:rsid w:val="007A6743"/>
    <w:rsid w:val="007B2ED7"/>
    <w:rsid w:val="007D1938"/>
    <w:rsid w:val="007E6B78"/>
    <w:rsid w:val="008009C2"/>
    <w:rsid w:val="00801013"/>
    <w:rsid w:val="0080664B"/>
    <w:rsid w:val="00812710"/>
    <w:rsid w:val="0081634E"/>
    <w:rsid w:val="0082096C"/>
    <w:rsid w:val="00826DFA"/>
    <w:rsid w:val="0085006B"/>
    <w:rsid w:val="008513D3"/>
    <w:rsid w:val="00857EF0"/>
    <w:rsid w:val="00861525"/>
    <w:rsid w:val="00880442"/>
    <w:rsid w:val="008852AF"/>
    <w:rsid w:val="008A3548"/>
    <w:rsid w:val="008D7337"/>
    <w:rsid w:val="008E53E4"/>
    <w:rsid w:val="008F3AC7"/>
    <w:rsid w:val="008F6662"/>
    <w:rsid w:val="008F70D4"/>
    <w:rsid w:val="0090539F"/>
    <w:rsid w:val="009116E2"/>
    <w:rsid w:val="00917001"/>
    <w:rsid w:val="00917445"/>
    <w:rsid w:val="00930926"/>
    <w:rsid w:val="00934E6A"/>
    <w:rsid w:val="009566CC"/>
    <w:rsid w:val="009612B1"/>
    <w:rsid w:val="00966293"/>
    <w:rsid w:val="009825FC"/>
    <w:rsid w:val="00986FE3"/>
    <w:rsid w:val="00993221"/>
    <w:rsid w:val="0099348B"/>
    <w:rsid w:val="009A2627"/>
    <w:rsid w:val="009A73CA"/>
    <w:rsid w:val="009B128D"/>
    <w:rsid w:val="009B1B8D"/>
    <w:rsid w:val="009B70C1"/>
    <w:rsid w:val="009B71D0"/>
    <w:rsid w:val="009B7CF1"/>
    <w:rsid w:val="009C0E37"/>
    <w:rsid w:val="009C37F6"/>
    <w:rsid w:val="009C4FFE"/>
    <w:rsid w:val="009C7D1D"/>
    <w:rsid w:val="009D7BD3"/>
    <w:rsid w:val="009E1CD4"/>
    <w:rsid w:val="009E6343"/>
    <w:rsid w:val="009F083B"/>
    <w:rsid w:val="00A045C4"/>
    <w:rsid w:val="00A04B49"/>
    <w:rsid w:val="00A0653B"/>
    <w:rsid w:val="00A100FB"/>
    <w:rsid w:val="00A152AE"/>
    <w:rsid w:val="00A33227"/>
    <w:rsid w:val="00A40B82"/>
    <w:rsid w:val="00A556AA"/>
    <w:rsid w:val="00A57961"/>
    <w:rsid w:val="00A61F8F"/>
    <w:rsid w:val="00A66139"/>
    <w:rsid w:val="00A72C7D"/>
    <w:rsid w:val="00A81689"/>
    <w:rsid w:val="00A82A06"/>
    <w:rsid w:val="00AA5355"/>
    <w:rsid w:val="00AC77F4"/>
    <w:rsid w:val="00AD5D22"/>
    <w:rsid w:val="00AE70D0"/>
    <w:rsid w:val="00AF2523"/>
    <w:rsid w:val="00AF3B17"/>
    <w:rsid w:val="00AF60B2"/>
    <w:rsid w:val="00B02AC8"/>
    <w:rsid w:val="00B14EFA"/>
    <w:rsid w:val="00B274AE"/>
    <w:rsid w:val="00B35ABA"/>
    <w:rsid w:val="00B403A3"/>
    <w:rsid w:val="00B42CB4"/>
    <w:rsid w:val="00B46805"/>
    <w:rsid w:val="00B55CC4"/>
    <w:rsid w:val="00B6080D"/>
    <w:rsid w:val="00B60948"/>
    <w:rsid w:val="00B70DC5"/>
    <w:rsid w:val="00B7358B"/>
    <w:rsid w:val="00B82038"/>
    <w:rsid w:val="00B83B61"/>
    <w:rsid w:val="00B84949"/>
    <w:rsid w:val="00B84C44"/>
    <w:rsid w:val="00B8746A"/>
    <w:rsid w:val="00B90F5B"/>
    <w:rsid w:val="00BA3D27"/>
    <w:rsid w:val="00BB4477"/>
    <w:rsid w:val="00BB633C"/>
    <w:rsid w:val="00BC0504"/>
    <w:rsid w:val="00BC3132"/>
    <w:rsid w:val="00BC4DCF"/>
    <w:rsid w:val="00BC503A"/>
    <w:rsid w:val="00BD77AE"/>
    <w:rsid w:val="00BE0036"/>
    <w:rsid w:val="00BE1611"/>
    <w:rsid w:val="00BE7869"/>
    <w:rsid w:val="00BF4ADE"/>
    <w:rsid w:val="00BF566B"/>
    <w:rsid w:val="00C0083C"/>
    <w:rsid w:val="00C0269A"/>
    <w:rsid w:val="00C070AD"/>
    <w:rsid w:val="00C37B1B"/>
    <w:rsid w:val="00C40408"/>
    <w:rsid w:val="00C44D44"/>
    <w:rsid w:val="00C46FAC"/>
    <w:rsid w:val="00C503AA"/>
    <w:rsid w:val="00C75EA0"/>
    <w:rsid w:val="00C761A8"/>
    <w:rsid w:val="00C778FC"/>
    <w:rsid w:val="00C814E2"/>
    <w:rsid w:val="00C834D9"/>
    <w:rsid w:val="00C858FA"/>
    <w:rsid w:val="00C922E4"/>
    <w:rsid w:val="00CB35F9"/>
    <w:rsid w:val="00CC1B9E"/>
    <w:rsid w:val="00CC62C4"/>
    <w:rsid w:val="00CC772E"/>
    <w:rsid w:val="00CD005A"/>
    <w:rsid w:val="00CD17D2"/>
    <w:rsid w:val="00CE2F3B"/>
    <w:rsid w:val="00CF4956"/>
    <w:rsid w:val="00D0018E"/>
    <w:rsid w:val="00D06F39"/>
    <w:rsid w:val="00D16118"/>
    <w:rsid w:val="00D30DDC"/>
    <w:rsid w:val="00D34806"/>
    <w:rsid w:val="00D401BD"/>
    <w:rsid w:val="00D47914"/>
    <w:rsid w:val="00D765D2"/>
    <w:rsid w:val="00D809D3"/>
    <w:rsid w:val="00DA4106"/>
    <w:rsid w:val="00DA561A"/>
    <w:rsid w:val="00DA6226"/>
    <w:rsid w:val="00DB1560"/>
    <w:rsid w:val="00DB2945"/>
    <w:rsid w:val="00DB60C8"/>
    <w:rsid w:val="00DB654B"/>
    <w:rsid w:val="00DB6DA4"/>
    <w:rsid w:val="00DC7272"/>
    <w:rsid w:val="00DD24D6"/>
    <w:rsid w:val="00DE2C47"/>
    <w:rsid w:val="00DF3431"/>
    <w:rsid w:val="00E11AAA"/>
    <w:rsid w:val="00E236AC"/>
    <w:rsid w:val="00E254CC"/>
    <w:rsid w:val="00E358C4"/>
    <w:rsid w:val="00E47EB0"/>
    <w:rsid w:val="00E50CD9"/>
    <w:rsid w:val="00E57929"/>
    <w:rsid w:val="00E63E8A"/>
    <w:rsid w:val="00E65DDD"/>
    <w:rsid w:val="00E824B5"/>
    <w:rsid w:val="00E83858"/>
    <w:rsid w:val="00E84845"/>
    <w:rsid w:val="00E92192"/>
    <w:rsid w:val="00EA41E3"/>
    <w:rsid w:val="00EA61F4"/>
    <w:rsid w:val="00EB29D8"/>
    <w:rsid w:val="00EB2A6A"/>
    <w:rsid w:val="00EC205C"/>
    <w:rsid w:val="00EE4711"/>
    <w:rsid w:val="00EE70BB"/>
    <w:rsid w:val="00F01522"/>
    <w:rsid w:val="00F04E63"/>
    <w:rsid w:val="00F5500E"/>
    <w:rsid w:val="00F64957"/>
    <w:rsid w:val="00F71430"/>
    <w:rsid w:val="00F745E5"/>
    <w:rsid w:val="00F75D2C"/>
    <w:rsid w:val="00F777FA"/>
    <w:rsid w:val="00F8261F"/>
    <w:rsid w:val="00F9051B"/>
    <w:rsid w:val="00F916F7"/>
    <w:rsid w:val="00F92F2A"/>
    <w:rsid w:val="00F970B9"/>
    <w:rsid w:val="00FC0B79"/>
    <w:rsid w:val="00FC16E6"/>
    <w:rsid w:val="00FC20B0"/>
    <w:rsid w:val="00FC7471"/>
    <w:rsid w:val="00FD3EE1"/>
    <w:rsid w:val="00FE15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784ED8"/>
  <w15:chartTrackingRefBased/>
  <w15:docId w15:val="{4CEE48E5-46C7-431C-B122-0286A23D7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next w:val="a"/>
    <w:link w:val="20"/>
    <w:uiPriority w:val="9"/>
    <w:unhideWhenUsed/>
    <w:qFormat/>
    <w:rsid w:val="00AF60B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qFormat/>
    <w:rsid w:val="00AF60B2"/>
    <w:rPr>
      <w:rFonts w:asciiTheme="majorHAnsi" w:eastAsiaTheme="majorEastAsia" w:hAnsiTheme="majorHAnsi" w:cstheme="majorBidi"/>
      <w:b/>
      <w:bCs/>
      <w:sz w:val="32"/>
      <w:szCs w:val="32"/>
    </w:rPr>
  </w:style>
  <w:style w:type="character" w:styleId="a3">
    <w:name w:val="Hyperlink"/>
    <w:basedOn w:val="a0"/>
    <w:uiPriority w:val="99"/>
    <w:unhideWhenUsed/>
    <w:qFormat/>
    <w:rsid w:val="00AF60B2"/>
    <w:rPr>
      <w:color w:val="0563C1" w:themeColor="hyperlink"/>
      <w:u w:val="single"/>
    </w:rPr>
  </w:style>
  <w:style w:type="paragraph" w:styleId="a4">
    <w:name w:val="List Paragraph"/>
    <w:basedOn w:val="a"/>
    <w:uiPriority w:val="34"/>
    <w:qFormat/>
    <w:rsid w:val="00CD17D2"/>
    <w:pPr>
      <w:ind w:firstLineChars="200" w:firstLine="420"/>
    </w:pPr>
  </w:style>
  <w:style w:type="paragraph" w:styleId="a5">
    <w:name w:val="header"/>
    <w:basedOn w:val="a"/>
    <w:link w:val="a6"/>
    <w:uiPriority w:val="99"/>
    <w:unhideWhenUsed/>
    <w:rsid w:val="0055293F"/>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55293F"/>
    <w:rPr>
      <w:sz w:val="18"/>
      <w:szCs w:val="18"/>
    </w:rPr>
  </w:style>
  <w:style w:type="paragraph" w:styleId="a7">
    <w:name w:val="footer"/>
    <w:basedOn w:val="a"/>
    <w:link w:val="a8"/>
    <w:uiPriority w:val="99"/>
    <w:unhideWhenUsed/>
    <w:rsid w:val="0055293F"/>
    <w:pPr>
      <w:tabs>
        <w:tab w:val="center" w:pos="4153"/>
        <w:tab w:val="right" w:pos="8306"/>
      </w:tabs>
      <w:snapToGrid w:val="0"/>
      <w:jc w:val="left"/>
    </w:pPr>
    <w:rPr>
      <w:sz w:val="18"/>
      <w:szCs w:val="18"/>
    </w:rPr>
  </w:style>
  <w:style w:type="character" w:customStyle="1" w:styleId="a8">
    <w:name w:val="页脚 字符"/>
    <w:basedOn w:val="a0"/>
    <w:link w:val="a7"/>
    <w:uiPriority w:val="99"/>
    <w:rsid w:val="0055293F"/>
    <w:rPr>
      <w:sz w:val="18"/>
      <w:szCs w:val="18"/>
    </w:rPr>
  </w:style>
  <w:style w:type="character" w:styleId="a9">
    <w:name w:val="annotation reference"/>
    <w:basedOn w:val="a0"/>
    <w:uiPriority w:val="99"/>
    <w:semiHidden/>
    <w:unhideWhenUsed/>
    <w:rsid w:val="00F75D2C"/>
    <w:rPr>
      <w:sz w:val="16"/>
      <w:szCs w:val="16"/>
    </w:rPr>
  </w:style>
  <w:style w:type="paragraph" w:styleId="aa">
    <w:name w:val="annotation text"/>
    <w:basedOn w:val="a"/>
    <w:link w:val="ab"/>
    <w:uiPriority w:val="99"/>
    <w:semiHidden/>
    <w:unhideWhenUsed/>
    <w:rsid w:val="00F75D2C"/>
    <w:rPr>
      <w:sz w:val="20"/>
      <w:szCs w:val="20"/>
    </w:rPr>
  </w:style>
  <w:style w:type="character" w:customStyle="1" w:styleId="ab">
    <w:name w:val="批注文字 字符"/>
    <w:basedOn w:val="a0"/>
    <w:link w:val="aa"/>
    <w:uiPriority w:val="99"/>
    <w:semiHidden/>
    <w:rsid w:val="00F75D2C"/>
    <w:rPr>
      <w:sz w:val="20"/>
      <w:szCs w:val="20"/>
    </w:rPr>
  </w:style>
  <w:style w:type="paragraph" w:styleId="ac">
    <w:name w:val="Balloon Text"/>
    <w:basedOn w:val="a"/>
    <w:link w:val="ad"/>
    <w:uiPriority w:val="99"/>
    <w:semiHidden/>
    <w:unhideWhenUsed/>
    <w:rsid w:val="00F75D2C"/>
    <w:rPr>
      <w:sz w:val="18"/>
      <w:szCs w:val="18"/>
    </w:rPr>
  </w:style>
  <w:style w:type="character" w:customStyle="1" w:styleId="ad">
    <w:name w:val="批注框文本 字符"/>
    <w:basedOn w:val="a0"/>
    <w:link w:val="ac"/>
    <w:uiPriority w:val="99"/>
    <w:semiHidden/>
    <w:rsid w:val="00F75D2C"/>
    <w:rPr>
      <w:sz w:val="18"/>
      <w:szCs w:val="18"/>
    </w:rPr>
  </w:style>
  <w:style w:type="table" w:customStyle="1" w:styleId="TableGrid1">
    <w:name w:val="Table Grid1"/>
    <w:basedOn w:val="a1"/>
    <w:uiPriority w:val="59"/>
    <w:rsid w:val="00BC3132"/>
    <w:rPr>
      <w:kern w:val="0"/>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Table Grid"/>
    <w:basedOn w:val="a1"/>
    <w:uiPriority w:val="59"/>
    <w:rsid w:val="00BC3132"/>
    <w:pPr>
      <w:ind w:firstLine="454"/>
      <w:jc w:val="both"/>
    </w:pPr>
    <w:rPr>
      <w:kern w:val="0"/>
      <w:sz w:val="22"/>
      <w:lang w:val="el-GR"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t">
    <w:name w:val="st"/>
    <w:basedOn w:val="a0"/>
    <w:rsid w:val="00BC3132"/>
  </w:style>
  <w:style w:type="paragraph" w:customStyle="1" w:styleId="Default">
    <w:name w:val="Default"/>
    <w:rsid w:val="00BC3132"/>
    <w:pPr>
      <w:widowControl w:val="0"/>
      <w:autoSpaceDE w:val="0"/>
      <w:autoSpaceDN w:val="0"/>
      <w:adjustRightInd w:val="0"/>
    </w:pPr>
    <w:rPr>
      <w:rFonts w:ascii="Calibri" w:eastAsia="Times New Roman" w:hAnsi="Calibri" w:cs="Calibri"/>
      <w:color w:val="000000"/>
      <w:kern w:val="0"/>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uchang2016@runbox.com" TargetMode="Externa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xuchang2016@runbox.com" TargetMode="External"/><Relationship Id="rId14"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55E8A-4DEF-41D8-99D1-54E666513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780</TotalTime>
  <Pages>87</Pages>
  <Words>26413</Words>
  <Characters>150560</Characters>
  <Application>Microsoft Office Word</Application>
  <DocSecurity>0</DocSecurity>
  <Lines>1254</Lines>
  <Paragraphs>353</Paragraphs>
  <ScaleCrop>false</ScaleCrop>
  <Company/>
  <LinksUpToDate>false</LinksUpToDate>
  <CharactersWithSpaces>176620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X.C</dc:creator>
  <cp:keywords/>
  <dc:description/>
  <cp:lastModifiedBy>X.C</cp:lastModifiedBy>
  <cp:revision>2058</cp:revision>
  <dcterms:created xsi:type="dcterms:W3CDTF">2020-08-22T03:25:00Z</dcterms:created>
  <dcterms:modified xsi:type="dcterms:W3CDTF">2021-05-12T09:40:00Z</dcterms:modified>
</cp:coreProperties>
</file>