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623D" w14:textId="30EF976D" w:rsidR="004B7E8C" w:rsidRDefault="004B7E8C" w:rsidP="00667667">
      <w:pPr>
        <w:pStyle w:val="VDTableTitle"/>
        <w:spacing w:before="160" w:after="0" w:line="240" w:lineRule="auto"/>
        <w:rPr>
          <w:rFonts w:ascii="Avenir Next LT Pro" w:hAnsi="Avenir Next LT Pro" w:cs="Calibri"/>
          <w:color w:val="000000"/>
          <w:sz w:val="19"/>
          <w:szCs w:val="19"/>
          <w:lang w:eastAsia="pt-PT"/>
        </w:rPr>
      </w:pPr>
      <w:r w:rsidRPr="004B7E8C">
        <w:rPr>
          <w:rFonts w:ascii="Avenir Next LT Pro" w:hAnsi="Avenir Next LT Pro" w:cs="Calibri"/>
          <w:b/>
          <w:bCs/>
          <w:color w:val="000000"/>
          <w:sz w:val="19"/>
          <w:szCs w:val="19"/>
          <w:lang w:eastAsia="pt-PT"/>
        </w:rPr>
        <w:t>Table S</w:t>
      </w:r>
      <w:r w:rsidR="00EB6882">
        <w:rPr>
          <w:rFonts w:ascii="Avenir Next LT Pro" w:hAnsi="Avenir Next LT Pro" w:cs="Calibri"/>
          <w:b/>
          <w:bCs/>
          <w:color w:val="000000"/>
          <w:sz w:val="19"/>
          <w:szCs w:val="19"/>
          <w:lang w:eastAsia="pt-PT"/>
        </w:rPr>
        <w:t>2</w:t>
      </w:r>
      <w:r w:rsidRPr="004B7E8C">
        <w:rPr>
          <w:rFonts w:ascii="Avenir Next LT Pro" w:hAnsi="Avenir Next LT Pro" w:cs="Calibri"/>
          <w:b/>
          <w:bCs/>
          <w:color w:val="000000"/>
          <w:sz w:val="19"/>
          <w:szCs w:val="19"/>
          <w:lang w:eastAsia="pt-PT"/>
        </w:rPr>
        <w:t>.</w:t>
      </w:r>
      <w:r w:rsidRPr="008E7115">
        <w:rPr>
          <w:rFonts w:ascii="Avenir Next LT Pro" w:hAnsi="Avenir Next LT Pro" w:cs="Calibri"/>
          <w:color w:val="000000"/>
          <w:sz w:val="19"/>
          <w:szCs w:val="19"/>
          <w:lang w:eastAsia="pt-PT"/>
        </w:rPr>
        <w:t xml:space="preserve"> </w:t>
      </w:r>
      <w:r w:rsidR="007D421D" w:rsidRPr="007D421D">
        <w:rPr>
          <w:rFonts w:ascii="Avenir Next LT Pro" w:hAnsi="Avenir Next LT Pro"/>
          <w:sz w:val="22"/>
        </w:rPr>
        <w:t>Details of antibodies used for validation immunohistochemistry</w:t>
      </w:r>
    </w:p>
    <w:p w14:paraId="15AED024" w14:textId="6E73B5F7" w:rsidR="007D421D" w:rsidRDefault="007D421D" w:rsidP="007D421D">
      <w:pPr>
        <w:rPr>
          <w:lang w:eastAsia="pt-PT"/>
        </w:rPr>
      </w:pPr>
    </w:p>
    <w:p w14:paraId="6818AA1B" w14:textId="1542C4DF" w:rsidR="007D421D" w:rsidRDefault="007D421D" w:rsidP="007D421D">
      <w:pPr>
        <w:rPr>
          <w:lang w:eastAsia="pt-PT"/>
        </w:rPr>
      </w:pPr>
    </w:p>
    <w:tbl>
      <w:tblPr>
        <w:tblStyle w:val="TabelacomGrelha"/>
        <w:tblW w:w="98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440"/>
        <w:gridCol w:w="990"/>
        <w:gridCol w:w="1496"/>
        <w:gridCol w:w="1170"/>
        <w:gridCol w:w="1207"/>
        <w:gridCol w:w="1364"/>
      </w:tblGrid>
      <w:tr w:rsidR="007D421D" w:rsidRPr="0074780D" w14:paraId="342B3532" w14:textId="77777777" w:rsidTr="007D421D">
        <w:trPr>
          <w:jc w:val="center"/>
        </w:trPr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966E2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Antibody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CE7A9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Clone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0061A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Dilution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6E6C5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Antigen Retrieval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C671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Vendor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CC3B4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Positive Control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CA464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Negative control</w:t>
            </w:r>
          </w:p>
        </w:tc>
      </w:tr>
      <w:tr w:rsidR="007D421D" w:rsidRPr="0074780D" w14:paraId="1A0C5907" w14:textId="77777777" w:rsidTr="007D421D">
        <w:trPr>
          <w:jc w:val="center"/>
        </w:trPr>
        <w:tc>
          <w:tcPr>
            <w:tcW w:w="215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480BA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Perilipin 2 (PLIN 2)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B4DF0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2C5A3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9DF75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1:200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9E5B3B" w14:textId="067E716B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Citrate buffer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A41A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Abcam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A3FBC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Lung and others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BC1F4" w14:textId="3BD1CB98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Brain</w:t>
            </w:r>
          </w:p>
        </w:tc>
      </w:tr>
      <w:tr w:rsidR="007D421D" w:rsidRPr="0074780D" w14:paraId="6B44081D" w14:textId="77777777" w:rsidTr="007D421D">
        <w:trPr>
          <w:jc w:val="center"/>
        </w:trPr>
        <w:tc>
          <w:tcPr>
            <w:tcW w:w="2155" w:type="dxa"/>
            <w:vAlign w:val="center"/>
          </w:tcPr>
          <w:p w14:paraId="66C03287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Beta tubulin III</w:t>
            </w:r>
          </w:p>
        </w:tc>
        <w:tc>
          <w:tcPr>
            <w:tcW w:w="1440" w:type="dxa"/>
            <w:vAlign w:val="center"/>
          </w:tcPr>
          <w:p w14:paraId="765F638E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2G10</w:t>
            </w:r>
          </w:p>
        </w:tc>
        <w:tc>
          <w:tcPr>
            <w:tcW w:w="990" w:type="dxa"/>
            <w:vAlign w:val="center"/>
          </w:tcPr>
          <w:p w14:paraId="447B4682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1:200</w:t>
            </w:r>
          </w:p>
        </w:tc>
        <w:tc>
          <w:tcPr>
            <w:tcW w:w="1496" w:type="dxa"/>
            <w:vAlign w:val="center"/>
          </w:tcPr>
          <w:p w14:paraId="484CAFE2" w14:textId="7A7C691F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Citrate buffer</w:t>
            </w:r>
          </w:p>
        </w:tc>
        <w:tc>
          <w:tcPr>
            <w:tcW w:w="1170" w:type="dxa"/>
            <w:vAlign w:val="center"/>
          </w:tcPr>
          <w:p w14:paraId="410455F5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Abcam</w:t>
            </w:r>
          </w:p>
        </w:tc>
        <w:tc>
          <w:tcPr>
            <w:tcW w:w="1207" w:type="dxa"/>
            <w:vAlign w:val="center"/>
          </w:tcPr>
          <w:p w14:paraId="5E625E36" w14:textId="11D9C17A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Nerves in normal kidney</w:t>
            </w:r>
          </w:p>
        </w:tc>
        <w:tc>
          <w:tcPr>
            <w:tcW w:w="1364" w:type="dxa"/>
            <w:vAlign w:val="center"/>
          </w:tcPr>
          <w:p w14:paraId="7EC51F05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Lung</w:t>
            </w:r>
          </w:p>
        </w:tc>
      </w:tr>
      <w:tr w:rsidR="007D421D" w:rsidRPr="0074780D" w14:paraId="2CEB5A0D" w14:textId="77777777" w:rsidTr="007D421D">
        <w:trPr>
          <w:jc w:val="center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BF81FC5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Hexokinase 1 (HK-1)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8E79D4F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EPR10134(B)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88ACA40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1:100</w:t>
            </w:r>
          </w:p>
        </w:tc>
        <w:tc>
          <w:tcPr>
            <w:tcW w:w="1496" w:type="dxa"/>
            <w:shd w:val="clear" w:color="auto" w:fill="F2F2F2" w:themeFill="background1" w:themeFillShade="F2"/>
            <w:vAlign w:val="center"/>
          </w:tcPr>
          <w:p w14:paraId="1F7DB7F8" w14:textId="69E0187E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Citrate buffer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50759D8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Abcam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14:paraId="760E8882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Kidney &amp; others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14:paraId="2697E9A6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#Not applicable</w:t>
            </w:r>
          </w:p>
        </w:tc>
      </w:tr>
      <w:tr w:rsidR="007D421D" w:rsidRPr="0074780D" w14:paraId="5C88C871" w14:textId="77777777" w:rsidTr="007D421D">
        <w:trPr>
          <w:jc w:val="center"/>
        </w:trPr>
        <w:tc>
          <w:tcPr>
            <w:tcW w:w="2155" w:type="dxa"/>
            <w:vAlign w:val="center"/>
          </w:tcPr>
          <w:p w14:paraId="5BEA68E8" w14:textId="77777777" w:rsidR="007D421D" w:rsidRPr="007D421D" w:rsidRDefault="007D421D" w:rsidP="007D421D">
            <w:pPr>
              <w:spacing w:before="60"/>
              <w:jc w:val="center"/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b/>
                <w:bCs/>
                <w:color w:val="000000"/>
                <w:sz w:val="19"/>
                <w:szCs w:val="19"/>
                <w:lang w:eastAsia="pt-PT"/>
              </w:rPr>
              <w:t>Lysosomal associated membrane protein 1 (LAMP-1)</w:t>
            </w:r>
          </w:p>
        </w:tc>
        <w:tc>
          <w:tcPr>
            <w:tcW w:w="1440" w:type="dxa"/>
            <w:vAlign w:val="center"/>
          </w:tcPr>
          <w:p w14:paraId="4AC7715C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EPR4204</w:t>
            </w:r>
          </w:p>
        </w:tc>
        <w:tc>
          <w:tcPr>
            <w:tcW w:w="990" w:type="dxa"/>
            <w:vAlign w:val="center"/>
          </w:tcPr>
          <w:p w14:paraId="6054B188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1:100</w:t>
            </w:r>
          </w:p>
        </w:tc>
        <w:tc>
          <w:tcPr>
            <w:tcW w:w="1496" w:type="dxa"/>
            <w:vAlign w:val="center"/>
          </w:tcPr>
          <w:p w14:paraId="2C2BA9D1" w14:textId="55189C4C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Citrate buffer</w:t>
            </w:r>
          </w:p>
        </w:tc>
        <w:tc>
          <w:tcPr>
            <w:tcW w:w="1170" w:type="dxa"/>
            <w:vAlign w:val="center"/>
          </w:tcPr>
          <w:p w14:paraId="221E709F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Abcam</w:t>
            </w:r>
          </w:p>
        </w:tc>
        <w:tc>
          <w:tcPr>
            <w:tcW w:w="1207" w:type="dxa"/>
            <w:vAlign w:val="center"/>
          </w:tcPr>
          <w:p w14:paraId="04D3585C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Kidney &amp; others</w:t>
            </w:r>
          </w:p>
        </w:tc>
        <w:tc>
          <w:tcPr>
            <w:tcW w:w="1364" w:type="dxa"/>
            <w:vAlign w:val="center"/>
          </w:tcPr>
          <w:p w14:paraId="3AF177AC" w14:textId="77777777" w:rsidR="007D421D" w:rsidRPr="007D421D" w:rsidRDefault="007D421D" w:rsidP="007D421D">
            <w:pPr>
              <w:jc w:val="center"/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</w:pPr>
            <w:r w:rsidRPr="007D421D">
              <w:rPr>
                <w:rFonts w:ascii="Avenir Next LT Pro" w:hAnsi="Avenir Next LT Pro" w:cs="Calibri"/>
                <w:color w:val="000000"/>
                <w:sz w:val="19"/>
                <w:szCs w:val="19"/>
                <w:lang w:eastAsia="pt-PT"/>
              </w:rPr>
              <w:t>#Not applicable</w:t>
            </w:r>
          </w:p>
        </w:tc>
      </w:tr>
    </w:tbl>
    <w:p w14:paraId="3D876A8A" w14:textId="77777777" w:rsidR="007D421D" w:rsidRPr="007D421D" w:rsidRDefault="007D421D" w:rsidP="007D421D">
      <w:pPr>
        <w:rPr>
          <w:lang w:eastAsia="pt-PT"/>
        </w:rPr>
      </w:pPr>
    </w:p>
    <w:p w14:paraId="5D0B022A" w14:textId="57AAC75D" w:rsidR="004B7E8C" w:rsidRDefault="004B7E8C" w:rsidP="004B7E8C">
      <w:pPr>
        <w:rPr>
          <w:rFonts w:ascii="Avenir Next LT Pro" w:hAnsi="Avenir Next LT Pro"/>
          <w:sz w:val="19"/>
          <w:szCs w:val="19"/>
        </w:rPr>
      </w:pPr>
    </w:p>
    <w:p w14:paraId="259636EC" w14:textId="77777777" w:rsidR="007D421D" w:rsidRPr="007D421D" w:rsidRDefault="007D421D" w:rsidP="00BE2C50">
      <w:pPr>
        <w:spacing w:line="360" w:lineRule="auto"/>
        <w:rPr>
          <w:rFonts w:ascii="Avenir Next LT Pro" w:hAnsi="Avenir Next LT Pro"/>
          <w:sz w:val="19"/>
          <w:szCs w:val="19"/>
        </w:rPr>
      </w:pPr>
      <w:r w:rsidRPr="007D421D">
        <w:rPr>
          <w:rFonts w:ascii="Avenir Next LT Pro" w:hAnsi="Avenir Next LT Pro"/>
          <w:sz w:val="19"/>
          <w:szCs w:val="19"/>
        </w:rPr>
        <w:t xml:space="preserve"># In general LAMP-1 and HK-1 shows at least focal granular positivity in all tissue types thus precluding negative control tissue. </w:t>
      </w:r>
    </w:p>
    <w:p w14:paraId="643CA7BE" w14:textId="05FC080E" w:rsidR="007D421D" w:rsidRDefault="007D421D" w:rsidP="00BE2C50">
      <w:pPr>
        <w:spacing w:line="360" w:lineRule="auto"/>
        <w:rPr>
          <w:rFonts w:ascii="Avenir Next LT Pro" w:hAnsi="Avenir Next LT Pro"/>
          <w:sz w:val="19"/>
          <w:szCs w:val="19"/>
        </w:rPr>
      </w:pPr>
    </w:p>
    <w:p w14:paraId="2C1F747F" w14:textId="77777777" w:rsidR="007D421D" w:rsidRDefault="007D421D" w:rsidP="00BE2C50">
      <w:pPr>
        <w:spacing w:line="360" w:lineRule="auto"/>
        <w:rPr>
          <w:rFonts w:ascii="Avenir Next LT Pro" w:hAnsi="Avenir Next LT Pro"/>
          <w:sz w:val="19"/>
          <w:szCs w:val="19"/>
        </w:rPr>
      </w:pPr>
    </w:p>
    <w:p w14:paraId="30F1EC81" w14:textId="77777777" w:rsidR="00795584" w:rsidRPr="00795584" w:rsidRDefault="00795584" w:rsidP="00BE2C50">
      <w:pPr>
        <w:spacing w:line="360" w:lineRule="auto"/>
        <w:rPr>
          <w:rFonts w:ascii="Avenir Next LT Pro" w:hAnsi="Avenir Next LT Pro" w:cs="Calibri"/>
          <w:b/>
          <w:bCs/>
          <w:color w:val="000000"/>
          <w:sz w:val="19"/>
          <w:szCs w:val="19"/>
          <w:lang w:eastAsia="pt-PT"/>
        </w:rPr>
      </w:pPr>
      <w:r w:rsidRPr="00795584">
        <w:rPr>
          <w:rFonts w:ascii="Avenir Next LT Pro" w:hAnsi="Avenir Next LT Pro" w:cs="Calibri"/>
          <w:b/>
          <w:bCs/>
          <w:color w:val="000000"/>
          <w:sz w:val="19"/>
          <w:szCs w:val="19"/>
          <w:lang w:eastAsia="pt-PT"/>
        </w:rPr>
        <w:t>IHC method details:</w:t>
      </w:r>
    </w:p>
    <w:p w14:paraId="0AB43D96" w14:textId="1A19F1BE" w:rsidR="004B7E8C" w:rsidRPr="00BE2C50" w:rsidRDefault="00795584" w:rsidP="00BE2C50">
      <w:pPr>
        <w:spacing w:line="360" w:lineRule="auto"/>
        <w:jc w:val="both"/>
        <w:rPr>
          <w:rFonts w:ascii="Avenir Next LT Pro" w:hAnsi="Avenir Next LT Pro"/>
          <w:sz w:val="19"/>
          <w:szCs w:val="19"/>
        </w:rPr>
      </w:pPr>
      <w:r w:rsidRPr="00795584">
        <w:rPr>
          <w:rFonts w:ascii="Avenir Next LT Pro" w:hAnsi="Avenir Next LT Pro"/>
          <w:sz w:val="19"/>
          <w:szCs w:val="19"/>
        </w:rPr>
        <w:t>The standard histology deparaffinization protocol was followed for the 4</w:t>
      </w:r>
      <w:r w:rsidR="001D7604">
        <w:rPr>
          <w:rFonts w:ascii="Avenir Next LT Pro" w:hAnsi="Avenir Next LT Pro"/>
          <w:sz w:val="19"/>
          <w:szCs w:val="19"/>
        </w:rPr>
        <w:t xml:space="preserve"> </w:t>
      </w:r>
      <w:r w:rsidRPr="00795584">
        <w:rPr>
          <w:rFonts w:ascii="Avenir Next LT Pro" w:hAnsi="Avenir Next LT Pro"/>
          <w:sz w:val="19"/>
          <w:szCs w:val="19"/>
        </w:rPr>
        <w:t>µm section of paraffin embedded tissue micro-array slides that were used for staining. Different controls included on the TMA slide sections include lung, colon, brain, liver, prostate tissue, and kidney. The primary antibodies, perilipin-2, beta tubulin III, hexokinase-1, Lysosomal associated membrane protein 1(LAMP-1) were utilized. (Clone details Table 5).  Antigen retrieval was done using a Decloaking chamber (Biocare Medical, Pacheco, CA) at 120°C for 2 minutes with citrate buffer at pH6.0 (Cell Signaling, Danvers MA). The Envision Dual Link + (DAKO, Carpinteria, CA) was used for detection and visualization was done using 3,3 Diaminobenzidine (DAB) (DAKO). Sections were counterstained with hematoxylin (Cell Signaling) for 5 minutes, followed by dehydration in ascending alcohol concentrations and xylene followed by glass coverslipping.</w:t>
      </w:r>
    </w:p>
    <w:sectPr w:rsidR="004B7E8C" w:rsidRPr="00BE2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3MzOwNDMwsTAwMTdT0lEKTi0uzszPAykwrQUA2lCJRiwAAAA="/>
  </w:docVars>
  <w:rsids>
    <w:rsidRoot w:val="003D4D68"/>
    <w:rsid w:val="001D7604"/>
    <w:rsid w:val="003D4D68"/>
    <w:rsid w:val="004B7E8C"/>
    <w:rsid w:val="00667667"/>
    <w:rsid w:val="00795584"/>
    <w:rsid w:val="007D421D"/>
    <w:rsid w:val="008018E3"/>
    <w:rsid w:val="00854DC4"/>
    <w:rsid w:val="008C2E28"/>
    <w:rsid w:val="00B86253"/>
    <w:rsid w:val="00BE2C50"/>
    <w:rsid w:val="00C87AF7"/>
    <w:rsid w:val="00D27F14"/>
    <w:rsid w:val="00D97BB7"/>
    <w:rsid w:val="00EB6882"/>
    <w:rsid w:val="00FB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EB29B"/>
  <w15:chartTrackingRefBased/>
  <w15:docId w15:val="{D7D004EF-6919-4203-BF9C-737A5946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D68"/>
    <w:pPr>
      <w:spacing w:after="0" w:line="240" w:lineRule="auto"/>
    </w:pPr>
    <w:rPr>
      <w:rFonts w:ascii="Times New Roman" w:eastAsia="Times New Roman" w:hAnsi="Times New Roman" w:cs="Times New Roman"/>
      <w:szCs w:val="24"/>
      <w:lang w:val="en-US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MainText">
    <w:name w:val="TA_Main_Text"/>
    <w:basedOn w:val="Normal"/>
    <w:rsid w:val="003D4D68"/>
    <w:pPr>
      <w:spacing w:line="480" w:lineRule="auto"/>
      <w:ind w:firstLine="202"/>
      <w:jc w:val="both"/>
    </w:pPr>
    <w:rPr>
      <w:rFonts w:ascii="Times" w:hAnsi="Times"/>
      <w:szCs w:val="20"/>
      <w:lang w:eastAsia="en-US"/>
    </w:rPr>
  </w:style>
  <w:style w:type="paragraph" w:customStyle="1" w:styleId="VDTableTitle">
    <w:name w:val="VD_Table_Title"/>
    <w:basedOn w:val="Normal"/>
    <w:next w:val="Normal"/>
    <w:rsid w:val="003D4D68"/>
    <w:pPr>
      <w:spacing w:after="200" w:line="480" w:lineRule="auto"/>
      <w:jc w:val="both"/>
    </w:pPr>
    <w:rPr>
      <w:rFonts w:ascii="Times" w:hAnsi="Times"/>
      <w:szCs w:val="20"/>
      <w:lang w:eastAsia="en-US"/>
    </w:rPr>
  </w:style>
  <w:style w:type="table" w:styleId="TabelaSimples4">
    <w:name w:val="Plain Table 4"/>
    <w:basedOn w:val="Tabelanormal"/>
    <w:uiPriority w:val="44"/>
    <w:rsid w:val="003D4D68"/>
    <w:pPr>
      <w:spacing w:after="0" w:line="240" w:lineRule="auto"/>
    </w:pPr>
    <w:rPr>
      <w:rFonts w:asciiTheme="minorHAnsi" w:hAnsiTheme="minorHAnsi"/>
      <w:szCs w:val="24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854DC4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54DC4"/>
    <w:rPr>
      <w:rFonts w:eastAsia="Times New Roman" w:cs="Segoe UI"/>
      <w:sz w:val="18"/>
      <w:szCs w:val="18"/>
      <w:lang w:val="en-US" w:eastAsia="en-GB"/>
    </w:rPr>
  </w:style>
  <w:style w:type="table" w:customStyle="1" w:styleId="TableGrid1">
    <w:name w:val="Table Grid1"/>
    <w:basedOn w:val="Tabelanormal"/>
    <w:next w:val="TabelacomGrelha"/>
    <w:uiPriority w:val="39"/>
    <w:rsid w:val="004B7E8C"/>
    <w:pPr>
      <w:spacing w:after="0" w:line="240" w:lineRule="auto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elha">
    <w:name w:val="Table Grid"/>
    <w:basedOn w:val="Tabelanormal"/>
    <w:uiPriority w:val="39"/>
    <w:rsid w:val="004B7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B7E8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B7E8C"/>
    <w:pPr>
      <w:spacing w:after="160"/>
    </w:pPr>
    <w:rPr>
      <w:rFonts w:ascii="Segoe UI" w:eastAsiaTheme="minorHAnsi" w:hAnsi="Segoe UI" w:cstheme="minorBidi"/>
      <w:sz w:val="20"/>
      <w:szCs w:val="20"/>
      <w:lang w:val="pt-PT"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B7E8C"/>
    <w:rPr>
      <w:sz w:val="20"/>
      <w:szCs w:val="20"/>
    </w:rPr>
  </w:style>
  <w:style w:type="table" w:styleId="TabeladeLista6Colorida">
    <w:name w:val="List Table 6 Colorful"/>
    <w:basedOn w:val="Tabelanormal"/>
    <w:uiPriority w:val="51"/>
    <w:rsid w:val="004B7E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Destaque3">
    <w:name w:val="List Table 6 Colorful Accent 3"/>
    <w:basedOn w:val="Tabelanormal"/>
    <w:uiPriority w:val="51"/>
    <w:rsid w:val="004B7E8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Jorge</dc:creator>
  <cp:keywords/>
  <dc:description/>
  <cp:lastModifiedBy>Susana Jorge</cp:lastModifiedBy>
  <cp:revision>8</cp:revision>
  <dcterms:created xsi:type="dcterms:W3CDTF">2021-03-09T16:39:00Z</dcterms:created>
  <dcterms:modified xsi:type="dcterms:W3CDTF">2021-07-16T11:05:00Z</dcterms:modified>
</cp:coreProperties>
</file>