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B42" w:rsidRDefault="003E0989">
      <w:r>
        <w:rPr>
          <w:noProof/>
        </w:rPr>
        <w:drawing>
          <wp:inline distT="0" distB="0" distL="0" distR="0" wp14:anchorId="665D6E66">
            <wp:extent cx="5913120" cy="519071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938"/>
                    <a:stretch/>
                  </pic:blipFill>
                  <pic:spPr bwMode="auto">
                    <a:xfrm>
                      <a:off x="0" y="0"/>
                      <a:ext cx="5918726" cy="5195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0989" w:rsidRPr="00AD7918" w:rsidRDefault="003E0989" w:rsidP="003E0989">
      <w:pPr>
        <w:pStyle w:val="A3"/>
        <w:spacing w:before="0" w:line="360" w:lineRule="auto"/>
        <w:jc w:val="both"/>
        <w:rPr>
          <w:rFonts w:ascii="Times New Roman" w:hAnsi="Times New Roman" w:cs="Times New Roman"/>
          <w:color w:val="auto"/>
        </w:rPr>
      </w:pPr>
      <w:r w:rsidRPr="00AD7918">
        <w:rPr>
          <w:rFonts w:ascii="Times New Roman" w:hAnsi="Times New Roman" w:cs="Times New Roman"/>
          <w:b/>
          <w:bCs/>
          <w:color w:val="auto"/>
        </w:rPr>
        <w:t>Figure S1.</w:t>
      </w:r>
      <w:r w:rsidRPr="00AD7918">
        <w:rPr>
          <w:rFonts w:ascii="Times New Roman" w:hAnsi="Times New Roman" w:cs="Times New Roman"/>
          <w:color w:val="auto"/>
        </w:rPr>
        <w:t xml:space="preserve"> Baseline mutational profile of Training cohort A. The patients were grouped according to </w:t>
      </w:r>
      <w:r>
        <w:rPr>
          <w:rFonts w:ascii="Times New Roman" w:hAnsi="Times New Roman" w:cs="Times New Roman"/>
          <w:color w:val="auto"/>
        </w:rPr>
        <w:t xml:space="preserve">the </w:t>
      </w:r>
      <w:r w:rsidRPr="00AD7918">
        <w:rPr>
          <w:rFonts w:ascii="Times New Roman" w:hAnsi="Times New Roman" w:cs="Times New Roman"/>
          <w:color w:val="auto"/>
        </w:rPr>
        <w:t>treatment received</w:t>
      </w:r>
      <w:r>
        <w:rPr>
          <w:rFonts w:ascii="Times New Roman" w:hAnsi="Times New Roman" w:cs="Times New Roman"/>
          <w:color w:val="auto"/>
        </w:rPr>
        <w:t>; A+T, EGFR-TKI with bevacizumab; T, single-agent EGFR-TKI</w:t>
      </w:r>
      <w:r w:rsidRPr="00AD7918">
        <w:rPr>
          <w:rFonts w:ascii="Times New Roman" w:hAnsi="Times New Roman" w:cs="Times New Roman"/>
          <w:color w:val="auto"/>
        </w:rPr>
        <w:t>.</w:t>
      </w:r>
    </w:p>
    <w:p w:rsidR="003E0989" w:rsidRDefault="003E0989">
      <w:pPr>
        <w:sectPr w:rsidR="003E0989" w:rsidSect="003E0989">
          <w:footerReference w:type="default" r:id="rId8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:rsidR="003E0989" w:rsidRDefault="003E0989">
      <w:r>
        <w:rPr>
          <w:noProof/>
        </w:rPr>
        <w:lastRenderedPageBreak/>
        <w:drawing>
          <wp:inline distT="0" distB="0" distL="0" distR="0" wp14:anchorId="2682709B">
            <wp:extent cx="8175625" cy="4299701"/>
            <wp:effectExtent l="0" t="0" r="0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2550" cy="43086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0989" w:rsidRPr="00AD7918" w:rsidRDefault="003E0989" w:rsidP="003E0989">
      <w:pPr>
        <w:pStyle w:val="A3"/>
        <w:spacing w:before="0" w:line="360" w:lineRule="auto"/>
        <w:jc w:val="both"/>
        <w:rPr>
          <w:rFonts w:ascii="Times New Roman" w:hAnsi="Times New Roman" w:cs="Times New Roman"/>
          <w:color w:val="auto"/>
        </w:rPr>
      </w:pPr>
      <w:r w:rsidRPr="00AD7918">
        <w:rPr>
          <w:rFonts w:ascii="Times New Roman" w:hAnsi="Times New Roman" w:cs="Times New Roman"/>
          <w:b/>
          <w:bCs/>
          <w:color w:val="auto"/>
        </w:rPr>
        <w:t>Figure S2.</w:t>
      </w:r>
      <w:r w:rsidRPr="00AD7918">
        <w:rPr>
          <w:rFonts w:ascii="Times New Roman" w:hAnsi="Times New Roman" w:cs="Times New Roman"/>
          <w:color w:val="auto"/>
        </w:rPr>
        <w:t xml:space="preserve"> Heat map illustrating the association between gene mutation or pathway (y-axis) and clinical characteristics, progression-free survival (PFS), and overall survival (OS) (x-axis)</w:t>
      </w:r>
      <w:r>
        <w:rPr>
          <w:rFonts w:ascii="Times New Roman" w:hAnsi="Times New Roman" w:cs="Times New Roman"/>
          <w:color w:val="auto"/>
        </w:rPr>
        <w:t xml:space="preserve"> for single-agent EGFR-TKI group (</w:t>
      </w:r>
      <w:r w:rsidRPr="003E0989">
        <w:rPr>
          <w:rFonts w:ascii="Times New Roman" w:hAnsi="Times New Roman" w:cs="Times New Roman"/>
          <w:b/>
          <w:color w:val="auto"/>
        </w:rPr>
        <w:t>A</w:t>
      </w:r>
      <w:r>
        <w:rPr>
          <w:rFonts w:ascii="Times New Roman" w:hAnsi="Times New Roman" w:cs="Times New Roman"/>
          <w:color w:val="auto"/>
        </w:rPr>
        <w:t>) and EGFR-TKI plus bevacizumab group (</w:t>
      </w:r>
      <w:r w:rsidRPr="003E0989">
        <w:rPr>
          <w:rFonts w:ascii="Times New Roman" w:hAnsi="Times New Roman" w:cs="Times New Roman"/>
          <w:b/>
          <w:color w:val="auto"/>
        </w:rPr>
        <w:t>B</w:t>
      </w:r>
      <w:r>
        <w:rPr>
          <w:rFonts w:ascii="Times New Roman" w:hAnsi="Times New Roman" w:cs="Times New Roman"/>
          <w:color w:val="auto"/>
        </w:rPr>
        <w:t>)</w:t>
      </w:r>
      <w:r w:rsidRPr="00AD7918">
        <w:rPr>
          <w:rFonts w:ascii="Times New Roman" w:hAnsi="Times New Roman" w:cs="Times New Roman"/>
          <w:color w:val="auto"/>
        </w:rPr>
        <w:t>. Blue indicates no statistical difference. The intensity of red color indicates the level of statistical significance with corresponding p-values indicated.</w:t>
      </w:r>
    </w:p>
    <w:p w:rsidR="003E0989" w:rsidRDefault="003E0989">
      <w:pPr>
        <w:sectPr w:rsidR="003E0989" w:rsidSect="003E0989">
          <w:pgSz w:w="15840" w:h="12240" w:orient="landscape" w:code="1"/>
          <w:pgMar w:top="1080" w:right="1440" w:bottom="1080" w:left="1440" w:header="720" w:footer="720" w:gutter="0"/>
          <w:cols w:space="720"/>
          <w:docGrid w:linePitch="360"/>
        </w:sectPr>
      </w:pPr>
    </w:p>
    <w:p w:rsidR="003E0989" w:rsidRDefault="003E0989">
      <w:r>
        <w:rPr>
          <w:noProof/>
        </w:rPr>
        <w:lastRenderedPageBreak/>
        <w:drawing>
          <wp:inline distT="0" distB="0" distL="0" distR="0" wp14:anchorId="6A0F634D">
            <wp:extent cx="6430645" cy="3395323"/>
            <wp:effectExtent l="0" t="0" r="825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275" cy="34025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0457" w:rsidRDefault="003E0989">
      <w:pPr>
        <w:rPr>
          <w:rFonts w:ascii="Times New Roman" w:hAnsi="Times New Roman" w:cs="Times New Roman"/>
        </w:rPr>
      </w:pPr>
      <w:r w:rsidRPr="00AD7918">
        <w:rPr>
          <w:rFonts w:ascii="Times New Roman" w:hAnsi="Times New Roman" w:cs="Times New Roman"/>
          <w:b/>
          <w:bCs/>
        </w:rPr>
        <w:t xml:space="preserve">Figure S3. </w:t>
      </w:r>
      <w:r w:rsidRPr="00AD7918">
        <w:rPr>
          <w:rFonts w:ascii="Times New Roman" w:hAnsi="Times New Roman" w:cs="Times New Roman"/>
        </w:rPr>
        <w:t xml:space="preserve">Patients </w:t>
      </w:r>
      <w:r w:rsidR="00E30457">
        <w:rPr>
          <w:rFonts w:ascii="Times New Roman" w:hAnsi="Times New Roman" w:cs="Times New Roman"/>
        </w:rPr>
        <w:t xml:space="preserve">in cohort A </w:t>
      </w:r>
      <w:r w:rsidRPr="00AD7918">
        <w:rPr>
          <w:rFonts w:ascii="Times New Roman" w:hAnsi="Times New Roman" w:cs="Times New Roman"/>
        </w:rPr>
        <w:t xml:space="preserve">with </w:t>
      </w:r>
      <w:r w:rsidRPr="00AD7918">
        <w:rPr>
          <w:rFonts w:ascii="Times New Roman" w:eastAsia="微软雅黑" w:hAnsi="Times New Roman" w:cs="Times New Roman"/>
        </w:rPr>
        <w:t>brain</w:t>
      </w:r>
      <w:r>
        <w:rPr>
          <w:rFonts w:ascii="Times New Roman" w:eastAsia="微软雅黑" w:hAnsi="Times New Roman" w:cs="Times New Roman"/>
        </w:rPr>
        <w:t xml:space="preserve">, </w:t>
      </w:r>
      <w:r w:rsidRPr="00AD7918">
        <w:rPr>
          <w:rFonts w:ascii="Times New Roman" w:eastAsia="微软雅黑" w:hAnsi="Times New Roman" w:cs="Times New Roman"/>
        </w:rPr>
        <w:t>liver</w:t>
      </w:r>
      <w:r>
        <w:rPr>
          <w:rFonts w:ascii="Times New Roman" w:eastAsia="微软雅黑" w:hAnsi="Times New Roman" w:cs="Times New Roman"/>
        </w:rPr>
        <w:t xml:space="preserve">, or </w:t>
      </w:r>
      <w:r w:rsidRPr="00AD7918">
        <w:rPr>
          <w:rFonts w:ascii="Times New Roman" w:eastAsia="微软雅黑" w:hAnsi="Times New Roman" w:cs="Times New Roman"/>
        </w:rPr>
        <w:t>pleural metastasis</w:t>
      </w:r>
      <w:r w:rsidRPr="00AD7918">
        <w:rPr>
          <w:rFonts w:ascii="Times New Roman" w:hAnsi="Times New Roman" w:cs="Times New Roman"/>
        </w:rPr>
        <w:t xml:space="preserve"> had significantly short</w:t>
      </w:r>
      <w:r>
        <w:rPr>
          <w:rFonts w:ascii="Times New Roman" w:hAnsi="Times New Roman" w:cs="Times New Roman"/>
        </w:rPr>
        <w:t>er</w:t>
      </w:r>
      <w:r w:rsidRPr="00AD7918">
        <w:rPr>
          <w:rFonts w:ascii="Times New Roman" w:hAnsi="Times New Roman" w:cs="Times New Roman"/>
        </w:rPr>
        <w:t xml:space="preserve"> progression-free survival (PFS) </w:t>
      </w:r>
      <w:r>
        <w:rPr>
          <w:rFonts w:ascii="Times New Roman" w:hAnsi="Times New Roman" w:cs="Times New Roman"/>
        </w:rPr>
        <w:t>and</w:t>
      </w:r>
      <w:r w:rsidRPr="00AD7918">
        <w:rPr>
          <w:rFonts w:ascii="Times New Roman" w:hAnsi="Times New Roman" w:cs="Times New Roman"/>
        </w:rPr>
        <w:t xml:space="preserve"> overall survival (OS) with </w:t>
      </w:r>
      <w:r>
        <w:rPr>
          <w:rFonts w:ascii="Times New Roman" w:hAnsi="Times New Roman" w:cs="Times New Roman"/>
        </w:rPr>
        <w:t>single-agent EGFR-TKI (</w:t>
      </w:r>
      <w:r w:rsidRPr="005B414A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</w:rPr>
        <w:t xml:space="preserve">) but not on </w:t>
      </w:r>
      <w:r w:rsidRPr="00AD7918">
        <w:rPr>
          <w:rFonts w:ascii="Times New Roman" w:hAnsi="Times New Roman" w:cs="Times New Roman"/>
        </w:rPr>
        <w:t xml:space="preserve">EGFR-TKI plus bevacizumab combination </w:t>
      </w:r>
      <w:r>
        <w:rPr>
          <w:rFonts w:ascii="Times New Roman" w:hAnsi="Times New Roman" w:cs="Times New Roman"/>
        </w:rPr>
        <w:t>(</w:t>
      </w:r>
      <w:r w:rsidRPr="005B414A">
        <w:rPr>
          <w:rFonts w:ascii="Times New Roman" w:hAnsi="Times New Roman" w:cs="Times New Roman"/>
          <w:b/>
        </w:rPr>
        <w:t>B</w:t>
      </w:r>
      <w:r>
        <w:rPr>
          <w:rFonts w:ascii="Times New Roman" w:hAnsi="Times New Roman" w:cs="Times New Roman"/>
        </w:rPr>
        <w:t>).</w:t>
      </w:r>
    </w:p>
    <w:p w:rsidR="00E30457" w:rsidRDefault="00E304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30457" w:rsidRDefault="00E30457">
      <w:pPr>
        <w:sectPr w:rsidR="00E30457" w:rsidSect="003E0989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:rsidR="00E30457" w:rsidRPr="00E30457" w:rsidRDefault="00E30457" w:rsidP="00E30457">
      <w:pPr>
        <w:pStyle w:val="A3"/>
        <w:spacing w:before="0" w:line="360" w:lineRule="auto"/>
        <w:jc w:val="both"/>
        <w:rPr>
          <w:rFonts w:ascii="Times New Roman" w:hAnsi="Times New Roman" w:cs="Times New Roman"/>
          <w:color w:val="auto"/>
        </w:rPr>
        <w:sectPr w:rsidR="00E30457" w:rsidRPr="00E30457" w:rsidSect="00E30457">
          <w:pgSz w:w="15840" w:h="12240" w:orient="landscape" w:code="1"/>
          <w:pgMar w:top="1080" w:right="1440" w:bottom="108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5DB456E">
            <wp:extent cx="8273969" cy="3897975"/>
            <wp:effectExtent l="0" t="0" r="0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9672" cy="39053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30457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AD7918">
        <w:rPr>
          <w:rFonts w:ascii="Times New Roman" w:hAnsi="Times New Roman" w:cs="Times New Roman"/>
          <w:b/>
          <w:bCs/>
          <w:color w:val="auto"/>
        </w:rPr>
        <w:t>Figure S4.</w:t>
      </w:r>
      <w:r w:rsidRPr="00AD7918">
        <w:rPr>
          <w:rFonts w:ascii="Times New Roman" w:hAnsi="Times New Roman" w:cs="Times New Roman"/>
          <w:color w:val="auto"/>
        </w:rPr>
        <w:t xml:space="preserve"> Patients with concomitant </w:t>
      </w:r>
      <w:r w:rsidRPr="00AD7918">
        <w:rPr>
          <w:rFonts w:ascii="Times New Roman" w:hAnsi="Times New Roman" w:cs="Times New Roman"/>
          <w:i/>
          <w:color w:val="auto"/>
        </w:rPr>
        <w:t>TP53</w:t>
      </w:r>
      <w:r w:rsidRPr="00AD7918">
        <w:rPr>
          <w:rFonts w:ascii="Times New Roman" w:hAnsi="Times New Roman" w:cs="Times New Roman"/>
          <w:color w:val="auto"/>
        </w:rPr>
        <w:t xml:space="preserve"> mutation had significantly longer progression-free survival (PFS) and overall survival (OS) with EGFR-TKI plus bevacizumab combination. Kaplan-Meier curves for PFS (</w:t>
      </w:r>
      <w:r w:rsidRPr="00AD7918">
        <w:rPr>
          <w:rFonts w:ascii="Times New Roman" w:hAnsi="Times New Roman" w:cs="Times New Roman"/>
          <w:b/>
          <w:color w:val="auto"/>
        </w:rPr>
        <w:t>A</w:t>
      </w:r>
      <w:r w:rsidRPr="00AD7918">
        <w:rPr>
          <w:rFonts w:ascii="Times New Roman" w:hAnsi="Times New Roman" w:cs="Times New Roman"/>
          <w:color w:val="auto"/>
        </w:rPr>
        <w:t>) and OS (</w:t>
      </w:r>
      <w:r w:rsidRPr="00AD7918">
        <w:rPr>
          <w:rFonts w:ascii="Times New Roman" w:hAnsi="Times New Roman" w:cs="Times New Roman"/>
          <w:b/>
          <w:color w:val="auto"/>
        </w:rPr>
        <w:t>B</w:t>
      </w:r>
      <w:r w:rsidRPr="00AD7918">
        <w:rPr>
          <w:rFonts w:ascii="Times New Roman" w:hAnsi="Times New Roman" w:cs="Times New Roman"/>
          <w:color w:val="auto"/>
        </w:rPr>
        <w:t xml:space="preserve">) of patients with </w:t>
      </w:r>
      <w:r w:rsidRPr="00AD7918">
        <w:rPr>
          <w:rFonts w:ascii="Times New Roman" w:hAnsi="Times New Roman" w:cs="Times New Roman"/>
          <w:i/>
          <w:color w:val="auto"/>
        </w:rPr>
        <w:t>EGFR</w:t>
      </w:r>
      <w:r w:rsidRPr="00AD7918">
        <w:rPr>
          <w:rFonts w:ascii="Times New Roman" w:hAnsi="Times New Roman" w:cs="Times New Roman"/>
          <w:color w:val="auto"/>
        </w:rPr>
        <w:t xml:space="preserve">-mutant advanced NSCLC with concurrent </w:t>
      </w:r>
      <w:r w:rsidRPr="00AD7918">
        <w:rPr>
          <w:rFonts w:ascii="Times New Roman" w:hAnsi="Times New Roman" w:cs="Times New Roman"/>
          <w:i/>
          <w:color w:val="auto"/>
        </w:rPr>
        <w:t>TP53</w:t>
      </w:r>
      <w:r w:rsidRPr="00AD7918">
        <w:rPr>
          <w:rFonts w:ascii="Times New Roman" w:hAnsi="Times New Roman" w:cs="Times New Roman"/>
          <w:color w:val="auto"/>
        </w:rPr>
        <w:t xml:space="preserve"> mutations (TP53+, red color) or wild-type </w:t>
      </w:r>
      <w:r w:rsidRPr="00AD7918">
        <w:rPr>
          <w:rFonts w:ascii="Times New Roman" w:hAnsi="Times New Roman" w:cs="Times New Roman"/>
          <w:i/>
          <w:color w:val="auto"/>
        </w:rPr>
        <w:t>TP53</w:t>
      </w:r>
      <w:r w:rsidRPr="00AD7918">
        <w:rPr>
          <w:rFonts w:ascii="Times New Roman" w:hAnsi="Times New Roman" w:cs="Times New Roman"/>
          <w:color w:val="auto"/>
        </w:rPr>
        <w:t xml:space="preserve"> (TP53-, blue color) treated with either EGFR-TKI with bevacizumab (A+T, solid lines) or EGFR-TKI monotherapy (T-single, dashed lines). The table below summarizes the p-values.</w:t>
      </w:r>
    </w:p>
    <w:p w:rsidR="00E30457" w:rsidRDefault="00E61574">
      <w:r>
        <w:rPr>
          <w:noProof/>
        </w:rPr>
        <w:lastRenderedPageBreak/>
        <w:drawing>
          <wp:inline distT="0" distB="0" distL="0" distR="0" wp14:anchorId="61CA070A">
            <wp:extent cx="5780314" cy="8186859"/>
            <wp:effectExtent l="0" t="0" r="0" b="508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020" cy="8204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1C5F" w:rsidRDefault="00E30457" w:rsidP="00C51C5F">
      <w:pPr>
        <w:pStyle w:val="A3"/>
        <w:spacing w:before="0" w:line="360" w:lineRule="auto"/>
        <w:jc w:val="both"/>
        <w:rPr>
          <w:rFonts w:ascii="Times New Roman" w:hAnsi="Times New Roman" w:cs="Times New Roman"/>
          <w:color w:val="auto"/>
        </w:rPr>
      </w:pPr>
      <w:r w:rsidRPr="00AD7918">
        <w:rPr>
          <w:rFonts w:ascii="Times New Roman" w:hAnsi="Times New Roman" w:cs="Times New Roman"/>
          <w:b/>
          <w:bCs/>
          <w:color w:val="auto"/>
        </w:rPr>
        <w:lastRenderedPageBreak/>
        <w:t>Figure S5.</w:t>
      </w:r>
      <w:r w:rsidRPr="00AD7918">
        <w:rPr>
          <w:rFonts w:ascii="Times New Roman" w:hAnsi="Times New Roman" w:cs="Times New Roman"/>
          <w:color w:val="auto"/>
        </w:rPr>
        <w:t xml:space="preserve"> Patients with concomitant </w:t>
      </w:r>
      <w:r w:rsidRPr="00AD7918">
        <w:rPr>
          <w:rFonts w:ascii="Times New Roman" w:hAnsi="Times New Roman" w:cs="Times New Roman"/>
          <w:i/>
          <w:color w:val="auto"/>
        </w:rPr>
        <w:t>TP53</w:t>
      </w:r>
      <w:r w:rsidRPr="00AD7918">
        <w:rPr>
          <w:rFonts w:ascii="Times New Roman" w:hAnsi="Times New Roman" w:cs="Times New Roman"/>
          <w:color w:val="auto"/>
        </w:rPr>
        <w:t xml:space="preserve"> mutations located in exons 5-8 had significantly longer progression-free survival (PFS) and overall survival (OS) with EGFR-TKI plus bevacizumab combination. Kaplan-Meier curves for PFS (</w:t>
      </w:r>
      <w:r w:rsidRPr="00AD7918">
        <w:rPr>
          <w:rFonts w:ascii="Times New Roman" w:hAnsi="Times New Roman" w:cs="Times New Roman"/>
          <w:b/>
          <w:color w:val="auto"/>
        </w:rPr>
        <w:t>A, C</w:t>
      </w:r>
      <w:r w:rsidRPr="00AD7918">
        <w:rPr>
          <w:rFonts w:ascii="Times New Roman" w:hAnsi="Times New Roman" w:cs="Times New Roman"/>
          <w:color w:val="auto"/>
        </w:rPr>
        <w:t>) and OS (</w:t>
      </w:r>
      <w:r w:rsidRPr="00AD7918">
        <w:rPr>
          <w:rFonts w:ascii="Times New Roman" w:hAnsi="Times New Roman" w:cs="Times New Roman"/>
          <w:b/>
          <w:color w:val="auto"/>
        </w:rPr>
        <w:t>B, D</w:t>
      </w:r>
      <w:r w:rsidRPr="00AD7918">
        <w:rPr>
          <w:rFonts w:ascii="Times New Roman" w:hAnsi="Times New Roman" w:cs="Times New Roman"/>
          <w:color w:val="auto"/>
        </w:rPr>
        <w:t xml:space="preserve">) of patients with </w:t>
      </w:r>
      <w:r w:rsidRPr="00AD7918">
        <w:rPr>
          <w:rFonts w:ascii="Times New Roman" w:hAnsi="Times New Roman" w:cs="Times New Roman"/>
          <w:i/>
          <w:color w:val="auto"/>
        </w:rPr>
        <w:t>EGFR</w:t>
      </w:r>
      <w:r w:rsidRPr="00AD7918">
        <w:rPr>
          <w:rFonts w:ascii="Times New Roman" w:hAnsi="Times New Roman" w:cs="Times New Roman"/>
          <w:color w:val="auto"/>
        </w:rPr>
        <w:t xml:space="preserve">-mutant advanced NSCLC with or without concurrent </w:t>
      </w:r>
      <w:r w:rsidRPr="00AD7918">
        <w:rPr>
          <w:rFonts w:ascii="Times New Roman" w:hAnsi="Times New Roman" w:cs="Times New Roman"/>
          <w:i/>
          <w:color w:val="auto"/>
        </w:rPr>
        <w:t>TP53</w:t>
      </w:r>
      <w:r w:rsidRPr="00AD7918">
        <w:rPr>
          <w:rFonts w:ascii="Times New Roman" w:hAnsi="Times New Roman" w:cs="Times New Roman"/>
          <w:color w:val="auto"/>
        </w:rPr>
        <w:t xml:space="preserve"> mutations located between exon 5-8 (TP53_hot; </w:t>
      </w:r>
      <w:r w:rsidRPr="00AD7918">
        <w:rPr>
          <w:rFonts w:ascii="Times New Roman" w:hAnsi="Times New Roman" w:cs="Times New Roman"/>
          <w:b/>
          <w:color w:val="auto"/>
        </w:rPr>
        <w:t>A-B</w:t>
      </w:r>
      <w:r w:rsidRPr="00AD7918">
        <w:rPr>
          <w:rFonts w:ascii="Times New Roman" w:hAnsi="Times New Roman" w:cs="Times New Roman"/>
          <w:color w:val="auto"/>
        </w:rPr>
        <w:t xml:space="preserve">) or mutations that result in loss-of-function (TP53_LOF; </w:t>
      </w:r>
      <w:r w:rsidRPr="00AD7918">
        <w:rPr>
          <w:rFonts w:ascii="Times New Roman" w:hAnsi="Times New Roman" w:cs="Times New Roman"/>
          <w:b/>
          <w:color w:val="auto"/>
        </w:rPr>
        <w:t>C-D</w:t>
      </w:r>
      <w:r w:rsidRPr="00AD7918">
        <w:rPr>
          <w:rFonts w:ascii="Times New Roman" w:hAnsi="Times New Roman" w:cs="Times New Roman"/>
          <w:color w:val="auto"/>
        </w:rPr>
        <w:t>) and were treated with either EGFR-TKI with bevacizumab (A+T) or EGFR-TKI monotherapy (T-single). Kaplan-Meier curves for PFS (</w:t>
      </w:r>
      <w:r w:rsidRPr="00AD7918">
        <w:rPr>
          <w:rFonts w:ascii="Times New Roman" w:hAnsi="Times New Roman" w:cs="Times New Roman"/>
          <w:b/>
          <w:color w:val="auto"/>
        </w:rPr>
        <w:t>E, G</w:t>
      </w:r>
      <w:r w:rsidRPr="00AD7918">
        <w:rPr>
          <w:rFonts w:ascii="Times New Roman" w:hAnsi="Times New Roman" w:cs="Times New Roman"/>
          <w:color w:val="auto"/>
        </w:rPr>
        <w:t>) and OS (</w:t>
      </w:r>
      <w:r w:rsidRPr="00AD7918">
        <w:rPr>
          <w:rFonts w:ascii="Times New Roman" w:hAnsi="Times New Roman" w:cs="Times New Roman"/>
          <w:b/>
          <w:color w:val="auto"/>
        </w:rPr>
        <w:t>F, H</w:t>
      </w:r>
      <w:r w:rsidRPr="00AD7918">
        <w:rPr>
          <w:rFonts w:ascii="Times New Roman" w:hAnsi="Times New Roman" w:cs="Times New Roman"/>
          <w:color w:val="auto"/>
        </w:rPr>
        <w:t xml:space="preserve">) of patients with concomitant </w:t>
      </w:r>
      <w:r w:rsidRPr="00AD7918">
        <w:rPr>
          <w:rFonts w:ascii="Times New Roman" w:hAnsi="Times New Roman" w:cs="Times New Roman"/>
          <w:i/>
          <w:color w:val="auto"/>
        </w:rPr>
        <w:t>TP53</w:t>
      </w:r>
      <w:r w:rsidRPr="00AD7918">
        <w:rPr>
          <w:rFonts w:ascii="Times New Roman" w:hAnsi="Times New Roman" w:cs="Times New Roman"/>
          <w:color w:val="auto"/>
        </w:rPr>
        <w:t xml:space="preserve"> and </w:t>
      </w:r>
      <w:r w:rsidRPr="00AD7918">
        <w:rPr>
          <w:rFonts w:ascii="Times New Roman" w:hAnsi="Times New Roman" w:cs="Times New Roman"/>
          <w:i/>
          <w:color w:val="auto"/>
        </w:rPr>
        <w:t>RB1</w:t>
      </w:r>
      <w:r w:rsidRPr="00AD7918">
        <w:rPr>
          <w:rFonts w:ascii="Times New Roman" w:hAnsi="Times New Roman" w:cs="Times New Roman"/>
          <w:color w:val="auto"/>
        </w:rPr>
        <w:t xml:space="preserve"> mutations who were treated with either T-only (</w:t>
      </w:r>
      <w:r w:rsidRPr="00AD7918">
        <w:rPr>
          <w:rFonts w:ascii="Times New Roman" w:hAnsi="Times New Roman" w:cs="Times New Roman"/>
          <w:b/>
          <w:color w:val="auto"/>
        </w:rPr>
        <w:t>E, F</w:t>
      </w:r>
      <w:r w:rsidRPr="00AD7918">
        <w:rPr>
          <w:rFonts w:ascii="Times New Roman" w:hAnsi="Times New Roman" w:cs="Times New Roman"/>
          <w:color w:val="auto"/>
        </w:rPr>
        <w:t>) or A+T (</w:t>
      </w:r>
      <w:r w:rsidRPr="00AD7918">
        <w:rPr>
          <w:rFonts w:ascii="Times New Roman" w:hAnsi="Times New Roman" w:cs="Times New Roman"/>
          <w:b/>
          <w:color w:val="auto"/>
        </w:rPr>
        <w:t>G, H</w:t>
      </w:r>
      <w:r w:rsidRPr="00AD7918">
        <w:rPr>
          <w:rFonts w:ascii="Times New Roman" w:hAnsi="Times New Roman" w:cs="Times New Roman"/>
          <w:color w:val="auto"/>
        </w:rPr>
        <w:t>).</w:t>
      </w:r>
    </w:p>
    <w:p w:rsidR="00C51C5F" w:rsidRDefault="00C51C5F" w:rsidP="00C51C5F">
      <w:pPr>
        <w:pStyle w:val="A3"/>
        <w:spacing w:before="0" w:line="360" w:lineRule="auto"/>
        <w:jc w:val="both"/>
        <w:rPr>
          <w:rFonts w:ascii="Times New Roman" w:hAnsi="Times New Roman" w:cs="Times New Roman"/>
          <w:color w:val="auto"/>
        </w:rPr>
      </w:pPr>
    </w:p>
    <w:p w:rsidR="00C51C5F" w:rsidRDefault="00C51C5F">
      <w:pPr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>
        <w:rPr>
          <w:rFonts w:ascii="Times New Roman" w:hAnsi="Times New Roman" w:cs="Times New Roman"/>
        </w:rPr>
        <w:br w:type="page"/>
      </w:r>
    </w:p>
    <w:p w:rsidR="00C51C5F" w:rsidRDefault="00C51C5F" w:rsidP="00C51C5F">
      <w:pPr>
        <w:rPr>
          <w:rFonts w:ascii="Times New Roman" w:hAnsi="Times New Roman" w:cs="Times New Roman"/>
          <w:b/>
          <w:bCs/>
        </w:rPr>
        <w:sectPr w:rsidR="00C51C5F" w:rsidSect="00C51C5F">
          <w:pgSz w:w="12240" w:h="15840" w:code="1"/>
          <w:pgMar w:top="1440" w:right="1080" w:bottom="1440" w:left="1080" w:header="720" w:footer="720" w:gutter="0"/>
          <w:cols w:space="720"/>
          <w:docGrid w:linePitch="360"/>
        </w:sectPr>
      </w:pPr>
    </w:p>
    <w:p w:rsidR="00C51C5F" w:rsidRDefault="00C51C5F" w:rsidP="00C51C5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4D7C2DB2" wp14:editId="2FF1E845">
            <wp:extent cx="7460516" cy="5138057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8740" cy="5157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1C5F" w:rsidRPr="00AD7918" w:rsidRDefault="00C51C5F" w:rsidP="00C51C5F">
      <w:pPr>
        <w:pStyle w:val="A3"/>
        <w:spacing w:before="0" w:line="360" w:lineRule="auto"/>
        <w:jc w:val="both"/>
        <w:rPr>
          <w:rFonts w:ascii="Times New Roman" w:hAnsi="Times New Roman" w:cs="Times New Roman"/>
          <w:color w:val="auto"/>
        </w:rPr>
      </w:pPr>
      <w:r w:rsidRPr="00AD7918">
        <w:rPr>
          <w:rFonts w:ascii="Times New Roman" w:hAnsi="Times New Roman" w:cs="Times New Roman"/>
          <w:b/>
          <w:bCs/>
          <w:color w:val="auto"/>
        </w:rPr>
        <w:t>Figure S6.</w:t>
      </w:r>
      <w:r w:rsidRPr="00AD7918">
        <w:rPr>
          <w:rFonts w:ascii="Times New Roman" w:hAnsi="Times New Roman" w:cs="Times New Roman"/>
          <w:color w:val="auto"/>
        </w:rPr>
        <w:t xml:space="preserve"> Nomograms were constructed for predicting the risk of 12-month and </w:t>
      </w:r>
      <w:r>
        <w:rPr>
          <w:rFonts w:ascii="Times New Roman" w:hAnsi="Times New Roman" w:cs="Times New Roman"/>
          <w:color w:val="auto"/>
        </w:rPr>
        <w:t>24</w:t>
      </w:r>
      <w:r w:rsidRPr="00AD7918">
        <w:rPr>
          <w:rFonts w:ascii="Times New Roman" w:hAnsi="Times New Roman" w:cs="Times New Roman"/>
          <w:color w:val="auto"/>
        </w:rPr>
        <w:t>-month overall survival (OS) (</w:t>
      </w:r>
      <w:r w:rsidRPr="00AD7918">
        <w:rPr>
          <w:rFonts w:ascii="Times New Roman" w:hAnsi="Times New Roman" w:cs="Times New Roman"/>
          <w:b/>
          <w:color w:val="auto"/>
        </w:rPr>
        <w:t>A</w:t>
      </w:r>
      <w:r w:rsidRPr="00AD7918">
        <w:rPr>
          <w:rFonts w:ascii="Times New Roman" w:hAnsi="Times New Roman" w:cs="Times New Roman"/>
          <w:color w:val="auto"/>
        </w:rPr>
        <w:t xml:space="preserve">). </w:t>
      </w:r>
      <w:r>
        <w:rPr>
          <w:rFonts w:ascii="Times New Roman" w:hAnsi="Times New Roman" w:cs="Times New Roman"/>
          <w:color w:val="auto"/>
        </w:rPr>
        <w:t>Survival analysis of the t</w:t>
      </w:r>
      <w:r w:rsidRPr="00AD7918">
        <w:rPr>
          <w:rFonts w:ascii="Times New Roman" w:hAnsi="Times New Roman" w:cs="Times New Roman"/>
          <w:color w:val="auto"/>
        </w:rPr>
        <w:t xml:space="preserve">raining cohort A </w:t>
      </w:r>
      <w:r>
        <w:rPr>
          <w:rFonts w:ascii="Times New Roman" w:hAnsi="Times New Roman" w:cs="Times New Roman"/>
          <w:color w:val="auto"/>
        </w:rPr>
        <w:t>was</w:t>
      </w:r>
      <w:r w:rsidRPr="00AD7918">
        <w:rPr>
          <w:rFonts w:ascii="Times New Roman" w:hAnsi="Times New Roman" w:cs="Times New Roman"/>
          <w:color w:val="auto"/>
        </w:rPr>
        <w:t xml:space="preserve"> performed using Kaplan-Meier curves to compare the OS of patients in the T group (</w:t>
      </w:r>
      <w:r w:rsidRPr="00AD7918">
        <w:rPr>
          <w:rFonts w:ascii="Times New Roman" w:hAnsi="Times New Roman" w:cs="Times New Roman"/>
          <w:b/>
          <w:color w:val="auto"/>
        </w:rPr>
        <w:t>B</w:t>
      </w:r>
      <w:r w:rsidRPr="00AD7918">
        <w:rPr>
          <w:rFonts w:ascii="Times New Roman" w:hAnsi="Times New Roman" w:cs="Times New Roman"/>
          <w:color w:val="auto"/>
        </w:rPr>
        <w:t>) or A+T (</w:t>
      </w:r>
      <w:r w:rsidRPr="00AD7918">
        <w:rPr>
          <w:rFonts w:ascii="Times New Roman" w:hAnsi="Times New Roman" w:cs="Times New Roman"/>
          <w:b/>
          <w:color w:val="auto"/>
        </w:rPr>
        <w:t>C</w:t>
      </w:r>
      <w:r w:rsidRPr="00AD7918">
        <w:rPr>
          <w:rFonts w:ascii="Times New Roman" w:hAnsi="Times New Roman" w:cs="Times New Roman"/>
          <w:color w:val="auto"/>
        </w:rPr>
        <w:t xml:space="preserve">) group, which were further </w:t>
      </w:r>
      <w:proofErr w:type="spellStart"/>
      <w:r w:rsidRPr="00AD7918">
        <w:rPr>
          <w:rFonts w:ascii="Times New Roman" w:hAnsi="Times New Roman" w:cs="Times New Roman"/>
          <w:color w:val="auto"/>
        </w:rPr>
        <w:t>subgrouped</w:t>
      </w:r>
      <w:proofErr w:type="spellEnd"/>
      <w:r w:rsidRPr="00AD7918">
        <w:rPr>
          <w:rFonts w:ascii="Times New Roman" w:hAnsi="Times New Roman" w:cs="Times New Roman"/>
          <w:color w:val="auto"/>
        </w:rPr>
        <w:t xml:space="preserve"> according to the median score into low-risk (</w:t>
      </w:r>
      <w:r>
        <w:rPr>
          <w:rFonts w:ascii="Times New Roman" w:eastAsia="微软雅黑" w:hAnsi="Times New Roman" w:cs="Times New Roman"/>
          <w:color w:val="auto"/>
        </w:rPr>
        <w:t>&lt;</w:t>
      </w:r>
      <w:r w:rsidRPr="00AD7918">
        <w:rPr>
          <w:rFonts w:ascii="Times New Roman" w:eastAsia="微软雅黑" w:hAnsi="Times New Roman" w:cs="Times New Roman"/>
          <w:color w:val="auto"/>
        </w:rPr>
        <w:t xml:space="preserve"> median score) </w:t>
      </w:r>
      <w:r w:rsidRPr="00AD7918">
        <w:rPr>
          <w:rFonts w:ascii="Times New Roman" w:hAnsi="Times New Roman" w:cs="Times New Roman"/>
          <w:color w:val="auto"/>
        </w:rPr>
        <w:t>and high-risk (</w:t>
      </w:r>
      <w:r w:rsidRPr="00AD7918">
        <w:rPr>
          <w:rFonts w:ascii="Times New Roman" w:eastAsia="微软雅黑" w:hAnsi="Times New Roman" w:cs="Times New Roman"/>
          <w:color w:val="auto"/>
        </w:rPr>
        <w:t>≥</w:t>
      </w:r>
      <w:r w:rsidRPr="00AD7918">
        <w:rPr>
          <w:rFonts w:ascii="Times New Roman" w:hAnsi="Times New Roman" w:cs="Times New Roman"/>
          <w:color w:val="auto"/>
        </w:rPr>
        <w:t xml:space="preserve"> median score). </w:t>
      </w:r>
    </w:p>
    <w:p w:rsidR="00C51C5F" w:rsidRDefault="00C51C5F" w:rsidP="00C51C5F">
      <w:pPr>
        <w:pStyle w:val="A3"/>
        <w:spacing w:before="0" w:line="360" w:lineRule="auto"/>
        <w:jc w:val="both"/>
        <w:rPr>
          <w:rFonts w:ascii="Times New Roman" w:hAnsi="Times New Roman" w:cs="Times New Roman"/>
          <w:color w:val="auto"/>
        </w:rPr>
        <w:sectPr w:rsidR="00C51C5F" w:rsidSect="00C51C5F">
          <w:pgSz w:w="15840" w:h="12240" w:orient="landscape" w:code="1"/>
          <w:pgMar w:top="1080" w:right="1440" w:bottom="1080" w:left="1440" w:header="720" w:footer="720" w:gutter="0"/>
          <w:cols w:space="720"/>
          <w:docGrid w:linePitch="360"/>
        </w:sectPr>
      </w:pPr>
    </w:p>
    <w:p w:rsidR="00E30457" w:rsidRDefault="00F705C4" w:rsidP="00E30457">
      <w:pPr>
        <w:pStyle w:val="A3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noProof/>
          <w:color w:val="auto"/>
        </w:rPr>
        <w:lastRenderedPageBreak/>
        <w:drawing>
          <wp:inline distT="0" distB="0" distL="0" distR="0" wp14:anchorId="27187E03">
            <wp:extent cx="5193501" cy="6534560"/>
            <wp:effectExtent l="0" t="0" r="762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8779" cy="6541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7D0A" w:rsidRDefault="00E30457" w:rsidP="00C51C5F">
      <w:pPr>
        <w:pStyle w:val="A3"/>
        <w:spacing w:before="0" w:line="360" w:lineRule="auto"/>
        <w:jc w:val="both"/>
      </w:pPr>
      <w:r w:rsidRPr="00AD7918">
        <w:rPr>
          <w:rFonts w:ascii="Times New Roman" w:hAnsi="Times New Roman" w:cs="Times New Roman"/>
          <w:b/>
          <w:bCs/>
          <w:color w:val="auto"/>
        </w:rPr>
        <w:t>Figure S7.</w:t>
      </w:r>
      <w:r w:rsidRPr="00AD7918">
        <w:rPr>
          <w:rFonts w:ascii="Times New Roman" w:hAnsi="Times New Roman" w:cs="Times New Roman"/>
          <w:color w:val="auto"/>
        </w:rPr>
        <w:t xml:space="preserve"> Tabulated summary of the hazard ratios for each molecular and clinical features calculated for the patients treated with EGFR-TKI with bevacizumab (A+T) using Cox multivariable analysis for progression-free survival (</w:t>
      </w:r>
      <w:r w:rsidRPr="00AD7918">
        <w:rPr>
          <w:rFonts w:ascii="Times New Roman" w:hAnsi="Times New Roman" w:cs="Times New Roman"/>
          <w:b/>
          <w:color w:val="auto"/>
        </w:rPr>
        <w:t>A</w:t>
      </w:r>
      <w:r w:rsidRPr="00AD7918">
        <w:rPr>
          <w:rFonts w:ascii="Times New Roman" w:hAnsi="Times New Roman" w:cs="Times New Roman"/>
          <w:color w:val="auto"/>
        </w:rPr>
        <w:t>) and overall survival (</w:t>
      </w:r>
      <w:r w:rsidRPr="00AD7918">
        <w:rPr>
          <w:rFonts w:ascii="Times New Roman" w:hAnsi="Times New Roman" w:cs="Times New Roman"/>
          <w:b/>
          <w:color w:val="auto"/>
        </w:rPr>
        <w:t>B</w:t>
      </w:r>
      <w:r w:rsidRPr="00AD7918">
        <w:rPr>
          <w:rFonts w:ascii="Times New Roman" w:hAnsi="Times New Roman" w:cs="Times New Roman"/>
          <w:color w:val="auto"/>
        </w:rPr>
        <w:t>).</w:t>
      </w:r>
    </w:p>
    <w:sectPr w:rsidR="00C57D0A" w:rsidSect="00C51C5F">
      <w:pgSz w:w="12240" w:h="15840" w:code="1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8B2" w:rsidRDefault="007F38B2" w:rsidP="006B5FE2">
      <w:pPr>
        <w:spacing w:after="0" w:line="240" w:lineRule="auto"/>
      </w:pPr>
      <w:r>
        <w:separator/>
      </w:r>
    </w:p>
  </w:endnote>
  <w:endnote w:type="continuationSeparator" w:id="0">
    <w:p w:rsidR="007F38B2" w:rsidRDefault="007F38B2" w:rsidP="006B5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8221253"/>
      <w:docPartObj>
        <w:docPartGallery w:val="Page Numbers (Bottom of Page)"/>
        <w:docPartUnique/>
      </w:docPartObj>
    </w:sdtPr>
    <w:sdtEndPr/>
    <w:sdtContent>
      <w:p w:rsidR="0000331A" w:rsidRDefault="0000331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C5F" w:rsidRPr="00C51C5F">
          <w:rPr>
            <w:noProof/>
            <w:lang w:val="zh-CN"/>
          </w:rPr>
          <w:t>8</w:t>
        </w:r>
        <w:r>
          <w:fldChar w:fldCharType="end"/>
        </w:r>
      </w:p>
    </w:sdtContent>
  </w:sdt>
  <w:p w:rsidR="0000331A" w:rsidRDefault="0000331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8B2" w:rsidRDefault="007F38B2" w:rsidP="006B5FE2">
      <w:pPr>
        <w:spacing w:after="0" w:line="240" w:lineRule="auto"/>
      </w:pPr>
      <w:r>
        <w:separator/>
      </w:r>
    </w:p>
  </w:footnote>
  <w:footnote w:type="continuationSeparator" w:id="0">
    <w:p w:rsidR="007F38B2" w:rsidRDefault="007F38B2" w:rsidP="006B5F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C6CD8"/>
    <w:multiLevelType w:val="hybridMultilevel"/>
    <w:tmpl w:val="B5062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wMzc3N7UwMDY3sDRW0lEKTi0uzszPAykwqgUAo4+ZHSwAAAA="/>
  </w:docVars>
  <w:rsids>
    <w:rsidRoot w:val="003E0989"/>
    <w:rsid w:val="0000331A"/>
    <w:rsid w:val="00064B42"/>
    <w:rsid w:val="000A4491"/>
    <w:rsid w:val="001F05C9"/>
    <w:rsid w:val="002F5FB4"/>
    <w:rsid w:val="003E0989"/>
    <w:rsid w:val="00472C6D"/>
    <w:rsid w:val="006B5FE2"/>
    <w:rsid w:val="007F38B2"/>
    <w:rsid w:val="00952DC8"/>
    <w:rsid w:val="00C51C5F"/>
    <w:rsid w:val="00C57D0A"/>
    <w:rsid w:val="00CF1D4B"/>
    <w:rsid w:val="00DB0229"/>
    <w:rsid w:val="00DB7B2E"/>
    <w:rsid w:val="00E30457"/>
    <w:rsid w:val="00E350C5"/>
    <w:rsid w:val="00E61574"/>
    <w:rsid w:val="00F705C4"/>
    <w:rsid w:val="00FD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995CAA"/>
  <w15:chartTrackingRefBased/>
  <w15:docId w15:val="{D3ADADCF-88FB-4E75-9E69-05C8C0DC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 A"/>
    <w:link w:val="A4"/>
    <w:rsid w:val="003E0989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</w:rPr>
  </w:style>
  <w:style w:type="character" w:customStyle="1" w:styleId="A4">
    <w:name w:val="默认 A 字符"/>
    <w:basedOn w:val="a0"/>
    <w:link w:val="A3"/>
    <w:rsid w:val="003E0989"/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</w:rPr>
  </w:style>
  <w:style w:type="paragraph" w:styleId="a5">
    <w:name w:val="Balloon Text"/>
    <w:basedOn w:val="a"/>
    <w:link w:val="a6"/>
    <w:uiPriority w:val="99"/>
    <w:semiHidden/>
    <w:unhideWhenUsed/>
    <w:rsid w:val="00E350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E350C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5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8">
    <w:name w:val="页眉 字符"/>
    <w:basedOn w:val="a0"/>
    <w:link w:val="a7"/>
    <w:uiPriority w:val="99"/>
    <w:rsid w:val="00E350C5"/>
  </w:style>
  <w:style w:type="paragraph" w:styleId="a9">
    <w:name w:val="footer"/>
    <w:basedOn w:val="a"/>
    <w:link w:val="aa"/>
    <w:uiPriority w:val="99"/>
    <w:unhideWhenUsed/>
    <w:rsid w:val="00E35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a">
    <w:name w:val="页脚 字符"/>
    <w:basedOn w:val="a0"/>
    <w:link w:val="a9"/>
    <w:uiPriority w:val="99"/>
    <w:rsid w:val="00E350C5"/>
  </w:style>
  <w:style w:type="character" w:styleId="ab">
    <w:name w:val="annotation reference"/>
    <w:basedOn w:val="a0"/>
    <w:uiPriority w:val="99"/>
    <w:semiHidden/>
    <w:unhideWhenUsed/>
    <w:rsid w:val="00E350C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350C5"/>
    <w:pPr>
      <w:spacing w:line="240" w:lineRule="auto"/>
    </w:pPr>
    <w:rPr>
      <w:sz w:val="20"/>
      <w:szCs w:val="20"/>
    </w:rPr>
  </w:style>
  <w:style w:type="character" w:customStyle="1" w:styleId="ad">
    <w:name w:val="批注文字 字符"/>
    <w:basedOn w:val="a0"/>
    <w:link w:val="ac"/>
    <w:uiPriority w:val="99"/>
    <w:semiHidden/>
    <w:rsid w:val="00E350C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350C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E350C5"/>
    <w:rPr>
      <w:b/>
      <w:bCs/>
      <w:sz w:val="20"/>
      <w:szCs w:val="20"/>
    </w:rPr>
  </w:style>
  <w:style w:type="table" w:styleId="af0">
    <w:name w:val="Table Grid"/>
    <w:basedOn w:val="a1"/>
    <w:uiPriority w:val="39"/>
    <w:rsid w:val="00E350C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饶安丽</dc:creator>
  <cp:keywords/>
  <dc:description/>
  <cp:lastModifiedBy>饶安丽</cp:lastModifiedBy>
  <cp:revision>14</cp:revision>
  <dcterms:created xsi:type="dcterms:W3CDTF">2021-09-02T14:49:00Z</dcterms:created>
  <dcterms:modified xsi:type="dcterms:W3CDTF">2021-09-02T16:06:00Z</dcterms:modified>
</cp:coreProperties>
</file>