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51F" w:rsidRPr="002F7A61" w:rsidRDefault="00141BEC" w:rsidP="00FC16E1">
      <w:pPr>
        <w:spacing w:line="240" w:lineRule="auto"/>
        <w:jc w:val="both"/>
        <w:rPr>
          <w:rFonts w:cstheme="minorHAnsi"/>
          <w:b/>
          <w:bCs/>
          <w:sz w:val="36"/>
          <w:szCs w:val="36"/>
        </w:rPr>
      </w:pPr>
      <w:r>
        <w:rPr>
          <w:rFonts w:cstheme="minorHAnsi"/>
          <w:b/>
          <w:bCs/>
          <w:sz w:val="36"/>
          <w:szCs w:val="36"/>
        </w:rPr>
        <w:t xml:space="preserve">Additional file </w:t>
      </w:r>
      <w:r w:rsidR="004E5869">
        <w:rPr>
          <w:rFonts w:cstheme="minorHAnsi"/>
          <w:b/>
          <w:bCs/>
          <w:sz w:val="36"/>
          <w:szCs w:val="36"/>
        </w:rPr>
        <w:t>1</w:t>
      </w:r>
    </w:p>
    <w:p w:rsidR="001A4402" w:rsidRDefault="001A4402" w:rsidP="00FC16E1">
      <w:pPr>
        <w:spacing w:line="240" w:lineRule="auto"/>
        <w:jc w:val="both"/>
        <w:rPr>
          <w:rFonts w:cstheme="minorHAnsi"/>
          <w:b/>
          <w:bCs/>
          <w:sz w:val="24"/>
          <w:szCs w:val="24"/>
        </w:rPr>
      </w:pPr>
    </w:p>
    <w:p w:rsidR="001A4402" w:rsidRPr="00EB432A" w:rsidRDefault="00141BEC" w:rsidP="001A4402">
      <w:pPr>
        <w:spacing w:line="480" w:lineRule="auto"/>
        <w:jc w:val="center"/>
        <w:rPr>
          <w:b/>
          <w:sz w:val="24"/>
        </w:rPr>
      </w:pPr>
      <w:r>
        <w:rPr>
          <w:b/>
          <w:sz w:val="24"/>
        </w:rPr>
        <w:t xml:space="preserve">Supplement to: </w:t>
      </w:r>
      <w:r w:rsidR="001A4402" w:rsidRPr="00EB432A">
        <w:rPr>
          <w:b/>
          <w:sz w:val="24"/>
        </w:rPr>
        <w:t>Developing an integrated microsimulation model for the impact of fiscal policies on child health in Europe: the example of childhood obesity in Italy</w:t>
      </w:r>
    </w:p>
    <w:p w:rsidR="001A4402" w:rsidRPr="00EB432A" w:rsidRDefault="001A4402" w:rsidP="001A4402">
      <w:pPr>
        <w:spacing w:line="480" w:lineRule="auto"/>
        <w:rPr>
          <w:sz w:val="24"/>
          <w:vertAlign w:val="superscript"/>
          <w:lang w:val="it-IT"/>
        </w:rPr>
      </w:pPr>
      <w:r w:rsidRPr="00EB432A">
        <w:rPr>
          <w:sz w:val="24"/>
          <w:lang w:val="it-IT"/>
        </w:rPr>
        <w:t xml:space="preserve">Davide Rasella, PhD </w:t>
      </w:r>
      <w:r w:rsidRPr="00EB432A">
        <w:rPr>
          <w:sz w:val="24"/>
          <w:vertAlign w:val="superscript"/>
          <w:lang w:val="it-IT"/>
        </w:rPr>
        <w:t>1,2</w:t>
      </w:r>
      <w:r w:rsidRPr="00EB432A">
        <w:rPr>
          <w:sz w:val="24"/>
          <w:lang w:val="it-IT"/>
        </w:rPr>
        <w:t xml:space="preserve">; Lorenzo Richiardi, PhD </w:t>
      </w:r>
      <w:r w:rsidRPr="00EB432A">
        <w:rPr>
          <w:sz w:val="24"/>
          <w:vertAlign w:val="superscript"/>
          <w:lang w:val="it-IT"/>
        </w:rPr>
        <w:t>2</w:t>
      </w:r>
      <w:r w:rsidRPr="00EB432A">
        <w:rPr>
          <w:sz w:val="24"/>
          <w:lang w:val="it-IT"/>
        </w:rPr>
        <w:t xml:space="preserve">; </w:t>
      </w:r>
      <w:r>
        <w:rPr>
          <w:rFonts w:cstheme="minorHAnsi"/>
          <w:sz w:val="24"/>
          <w:szCs w:val="24"/>
          <w:lang w:val="it-IT"/>
        </w:rPr>
        <w:t xml:space="preserve">Nicolai </w:t>
      </w:r>
      <w:r w:rsidRPr="00817A7D">
        <w:rPr>
          <w:rFonts w:cstheme="minorHAnsi"/>
          <w:sz w:val="24"/>
          <w:szCs w:val="24"/>
          <w:lang w:val="it-IT"/>
        </w:rPr>
        <w:t>Brachowicz</w:t>
      </w:r>
      <w:r>
        <w:rPr>
          <w:rFonts w:cstheme="minorHAnsi"/>
          <w:sz w:val="24"/>
          <w:szCs w:val="24"/>
          <w:lang w:val="it-IT"/>
        </w:rPr>
        <w:t xml:space="preserve">, MSc </w:t>
      </w:r>
      <w:r w:rsidRPr="00E2727D">
        <w:rPr>
          <w:rFonts w:cstheme="minorHAnsi"/>
          <w:sz w:val="24"/>
          <w:szCs w:val="24"/>
          <w:vertAlign w:val="superscript"/>
          <w:lang w:val="it-IT"/>
        </w:rPr>
        <w:t>1</w:t>
      </w:r>
      <w:r>
        <w:rPr>
          <w:rFonts w:cstheme="minorHAnsi"/>
          <w:sz w:val="24"/>
          <w:szCs w:val="24"/>
          <w:lang w:val="it-IT"/>
        </w:rPr>
        <w:t xml:space="preserve">, </w:t>
      </w:r>
      <w:r w:rsidRPr="00817A7D">
        <w:rPr>
          <w:rFonts w:cstheme="minorHAnsi"/>
          <w:sz w:val="24"/>
          <w:szCs w:val="24"/>
          <w:lang w:val="it-IT"/>
        </w:rPr>
        <w:t>H.</w:t>
      </w:r>
      <w:r w:rsidRPr="00EB432A">
        <w:rPr>
          <w:sz w:val="24"/>
          <w:lang w:val="it-IT"/>
        </w:rPr>
        <w:t xml:space="preserve"> Xavier Jara, PhD </w:t>
      </w:r>
      <w:r w:rsidRPr="00EB432A">
        <w:rPr>
          <w:sz w:val="24"/>
          <w:vertAlign w:val="superscript"/>
          <w:lang w:val="it-IT"/>
        </w:rPr>
        <w:t>3</w:t>
      </w:r>
      <w:r w:rsidRPr="00EB432A">
        <w:rPr>
          <w:sz w:val="24"/>
          <w:lang w:val="it-IT"/>
        </w:rPr>
        <w:t xml:space="preserve">; Mark Hanson, PhD </w:t>
      </w:r>
      <w:r w:rsidRPr="00EB432A">
        <w:rPr>
          <w:sz w:val="24"/>
          <w:vertAlign w:val="superscript"/>
          <w:lang w:val="it-IT"/>
        </w:rPr>
        <w:t>4</w:t>
      </w:r>
      <w:r w:rsidRPr="00EB432A">
        <w:rPr>
          <w:sz w:val="24"/>
          <w:lang w:val="it-IT"/>
        </w:rPr>
        <w:t xml:space="preserve">; Delia Boccia, PhD </w:t>
      </w:r>
      <w:r w:rsidRPr="00EB432A">
        <w:rPr>
          <w:sz w:val="24"/>
          <w:vertAlign w:val="superscript"/>
          <w:lang w:val="it-IT"/>
        </w:rPr>
        <w:t>2,5</w:t>
      </w:r>
      <w:r w:rsidRPr="00EB432A">
        <w:rPr>
          <w:sz w:val="24"/>
          <w:lang w:val="it-IT"/>
        </w:rPr>
        <w:t xml:space="preserve">; Matteo G. Richiardi, PhD </w:t>
      </w:r>
      <w:r w:rsidRPr="00EB432A">
        <w:rPr>
          <w:sz w:val="24"/>
          <w:vertAlign w:val="superscript"/>
          <w:lang w:val="it-IT"/>
        </w:rPr>
        <w:t>3</w:t>
      </w:r>
      <w:r w:rsidRPr="00EB432A">
        <w:rPr>
          <w:sz w:val="24"/>
          <w:lang w:val="it-IT"/>
        </w:rPr>
        <w:t xml:space="preserve">; Costanza Pizzi, PhD </w:t>
      </w:r>
      <w:r w:rsidRPr="00EB432A">
        <w:rPr>
          <w:sz w:val="24"/>
          <w:vertAlign w:val="superscript"/>
          <w:lang w:val="it-IT"/>
        </w:rPr>
        <w:t>2</w:t>
      </w:r>
    </w:p>
    <w:p w:rsidR="001A4402" w:rsidRPr="001A4402" w:rsidRDefault="001A4402" w:rsidP="00FC16E1">
      <w:pPr>
        <w:spacing w:line="240" w:lineRule="auto"/>
        <w:jc w:val="both"/>
        <w:rPr>
          <w:rFonts w:cstheme="minorHAnsi"/>
          <w:b/>
          <w:bCs/>
          <w:sz w:val="24"/>
          <w:szCs w:val="24"/>
          <w:lang w:val="it-IT"/>
        </w:rPr>
      </w:pPr>
    </w:p>
    <w:p w:rsidR="001A4402" w:rsidRPr="001A4EFC" w:rsidRDefault="001A4402" w:rsidP="001A4402">
      <w:pPr>
        <w:spacing w:line="480" w:lineRule="auto"/>
        <w:rPr>
          <w:b/>
          <w:sz w:val="24"/>
          <w:vertAlign w:val="superscript"/>
        </w:rPr>
      </w:pPr>
      <w:r w:rsidRPr="001A4EFC">
        <w:rPr>
          <w:sz w:val="24"/>
          <w:vertAlign w:val="superscript"/>
        </w:rPr>
        <w:t xml:space="preserve">1 </w:t>
      </w:r>
      <w:proofErr w:type="spellStart"/>
      <w:r w:rsidRPr="001A4EFC">
        <w:rPr>
          <w:sz w:val="24"/>
        </w:rPr>
        <w:t>ISGlobal</w:t>
      </w:r>
      <w:proofErr w:type="spellEnd"/>
      <w:r w:rsidRPr="001A4EFC">
        <w:rPr>
          <w:sz w:val="24"/>
        </w:rPr>
        <w:t xml:space="preserve">, Hospital </w:t>
      </w:r>
      <w:proofErr w:type="spellStart"/>
      <w:r w:rsidRPr="001A4EFC">
        <w:rPr>
          <w:sz w:val="24"/>
        </w:rPr>
        <w:t>Clínic</w:t>
      </w:r>
      <w:proofErr w:type="spellEnd"/>
      <w:r w:rsidRPr="001A4EFC">
        <w:rPr>
          <w:sz w:val="24"/>
        </w:rPr>
        <w:t xml:space="preserve"> - </w:t>
      </w:r>
      <w:proofErr w:type="spellStart"/>
      <w:r w:rsidRPr="001A4EFC">
        <w:rPr>
          <w:sz w:val="24"/>
        </w:rPr>
        <w:t>Universitat</w:t>
      </w:r>
      <w:proofErr w:type="spellEnd"/>
      <w:r w:rsidRPr="001A4EFC">
        <w:rPr>
          <w:sz w:val="24"/>
        </w:rPr>
        <w:t xml:space="preserve"> de Barcelona, Barcelona, Spain </w:t>
      </w:r>
    </w:p>
    <w:p w:rsidR="001A4402" w:rsidRPr="00EB432A" w:rsidRDefault="001A4402" w:rsidP="001A4402">
      <w:pPr>
        <w:spacing w:line="480" w:lineRule="auto"/>
        <w:rPr>
          <w:sz w:val="24"/>
        </w:rPr>
      </w:pPr>
      <w:r w:rsidRPr="00EB432A">
        <w:rPr>
          <w:sz w:val="24"/>
          <w:vertAlign w:val="superscript"/>
        </w:rPr>
        <w:t>2</w:t>
      </w:r>
      <w:r w:rsidRPr="00EB432A">
        <w:rPr>
          <w:sz w:val="24"/>
        </w:rPr>
        <w:t xml:space="preserve"> Department of Medical Sciences, University of Turin, Turin, Italy</w:t>
      </w:r>
    </w:p>
    <w:p w:rsidR="001A4402" w:rsidRPr="00EB432A" w:rsidRDefault="001A4402" w:rsidP="001A4402">
      <w:pPr>
        <w:spacing w:line="480" w:lineRule="auto"/>
        <w:rPr>
          <w:sz w:val="24"/>
        </w:rPr>
      </w:pPr>
      <w:r w:rsidRPr="00EB432A">
        <w:rPr>
          <w:b/>
          <w:sz w:val="24"/>
          <w:vertAlign w:val="superscript"/>
        </w:rPr>
        <w:t xml:space="preserve">3 </w:t>
      </w:r>
      <w:r w:rsidRPr="00EB432A">
        <w:rPr>
          <w:sz w:val="24"/>
        </w:rPr>
        <w:t>Centre for Microsimulation and Policy Analysis, Institute for Social and Economic Research, University of Essex, Colchester, UK</w:t>
      </w:r>
    </w:p>
    <w:p w:rsidR="001A4402" w:rsidRPr="00EB432A" w:rsidRDefault="001A4402" w:rsidP="001A4402">
      <w:pPr>
        <w:spacing w:line="480" w:lineRule="auto"/>
        <w:rPr>
          <w:sz w:val="24"/>
        </w:rPr>
      </w:pPr>
      <w:r w:rsidRPr="00EB432A">
        <w:rPr>
          <w:sz w:val="24"/>
          <w:vertAlign w:val="superscript"/>
        </w:rPr>
        <w:t>4</w:t>
      </w:r>
      <w:r w:rsidRPr="00EB432A">
        <w:rPr>
          <w:sz w:val="24"/>
        </w:rPr>
        <w:t xml:space="preserve"> Institute of Developmental Sciences and NIHR Biomedical Research Centre, University of Southampton and University Hospital Southampton, UK.</w:t>
      </w:r>
    </w:p>
    <w:p w:rsidR="001A4402" w:rsidRPr="00EB432A" w:rsidRDefault="001A4402" w:rsidP="001A4402">
      <w:pPr>
        <w:spacing w:line="480" w:lineRule="auto"/>
        <w:rPr>
          <w:sz w:val="24"/>
        </w:rPr>
      </w:pPr>
      <w:r w:rsidRPr="00EB432A">
        <w:rPr>
          <w:sz w:val="24"/>
          <w:vertAlign w:val="superscript"/>
        </w:rPr>
        <w:t>5</w:t>
      </w:r>
      <w:r w:rsidRPr="00EB432A">
        <w:rPr>
          <w:sz w:val="24"/>
        </w:rPr>
        <w:t xml:space="preserve"> Faculty of Population and Health Policy, London School of Hygiene and Tropical Medicine, London, United Kingdom</w:t>
      </w: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2F7A61" w:rsidRDefault="002F7A61" w:rsidP="00FC16E1">
      <w:pPr>
        <w:spacing w:line="240" w:lineRule="auto"/>
        <w:jc w:val="both"/>
        <w:rPr>
          <w:rFonts w:cstheme="minorHAnsi"/>
          <w:b/>
          <w:bCs/>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lastRenderedPageBreak/>
        <w:t>DESCRIPTION OF THE MODELLING PROCESS</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The following section provides details of each of these processes in accordance with standard international modelling reporting guidelines (ISPOR-SMDM)</w:t>
      </w:r>
      <w:r>
        <w:rPr>
          <w:rFonts w:cstheme="minorHAnsi"/>
          <w:sz w:val="24"/>
          <w:szCs w:val="24"/>
        </w:rPr>
        <w:t>.</w:t>
      </w:r>
    </w:p>
    <w:p w:rsidR="00B03594" w:rsidRDefault="00B03594"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Purpose of the model and its applications</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The developed model, named Microsimulation for Income and Child Health (</w:t>
      </w:r>
      <w:r w:rsidR="001A4EFC">
        <w:rPr>
          <w:rFonts w:cstheme="minorHAnsi"/>
          <w:sz w:val="24"/>
          <w:szCs w:val="24"/>
        </w:rPr>
        <w:t>MICH</w:t>
      </w:r>
      <w:r w:rsidRPr="003E4D66">
        <w:rPr>
          <w:rFonts w:cstheme="minorHAnsi"/>
          <w:sz w:val="24"/>
          <w:szCs w:val="24"/>
        </w:rPr>
        <w:t>), aims to simulate the effects of fiscal policy reforms using the EUROMOD platform combined with health cohorts - health surveys - with a measure of income associated with the child health outcome of interest.</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In this first pilot study we used </w:t>
      </w:r>
      <w:r w:rsidR="001A4EFC">
        <w:rPr>
          <w:rFonts w:cstheme="minorHAnsi"/>
          <w:sz w:val="24"/>
          <w:szCs w:val="24"/>
        </w:rPr>
        <w:t>MICH</w:t>
      </w:r>
      <w:r w:rsidRPr="003E4D66">
        <w:rPr>
          <w:rFonts w:cstheme="minorHAnsi"/>
          <w:sz w:val="24"/>
          <w:szCs w:val="24"/>
        </w:rPr>
        <w:t xml:space="preserve"> to forecast the effects of a range of fiscal policies on childhood overweight and obesity in Italy, evaluating the efficiency and effectiveness of universal basic income versus more targeted poverty-reduction interventions.</w:t>
      </w:r>
    </w:p>
    <w:p w:rsidR="00B03594" w:rsidRDefault="00B03594"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Theoretical framework of the model</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Household disposable income is among the strongest social determinant of health, because it is a direct measure of material resources, and changes in its levels could have an effect on several health outcomes for the members of the family</w:t>
      </w:r>
      <w:r w:rsidR="00514B0A">
        <w:rPr>
          <w:rFonts w:cstheme="minorHAnsi"/>
          <w:sz w:val="24"/>
          <w:szCs w:val="24"/>
        </w:rPr>
        <w:t xml:space="preserve">. </w:t>
      </w:r>
      <w:r w:rsidRPr="003E4D66">
        <w:rPr>
          <w:rFonts w:cstheme="minorHAnsi"/>
          <w:sz w:val="24"/>
          <w:szCs w:val="24"/>
        </w:rPr>
        <w:t>While the effect of income changes can be different in high and middle and low-income countries, previous studies have shown an association between household income and child obesity</w:t>
      </w:r>
      <w:r>
        <w:rPr>
          <w:rFonts w:cstheme="minorHAnsi"/>
          <w:sz w:val="24"/>
          <w:szCs w:val="24"/>
        </w:rPr>
        <w:t>,</w:t>
      </w:r>
      <w:r w:rsidRPr="003E4D66">
        <w:rPr>
          <w:rFonts w:cstheme="minorHAnsi"/>
          <w:sz w:val="24"/>
          <w:szCs w:val="24"/>
        </w:rPr>
        <w:t xml:space="preserve"> suggesting the implementation of income subsidies to improve the economic restrictions of those individuals with lesser economic means.</w:t>
      </w:r>
    </w:p>
    <w:p w:rsidR="00B03594" w:rsidRDefault="00B03594"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Overall Model Structure</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The modelling strategy involves three integrated modules. The first module (M1 – the tax-benefit microsimulation model) uses EUROMOD to simulate the effects on EU-SILC data of different fiscal reforms on the equalized disposable income of all households with at least one child aged less than 5 years. The second module (M2 – the concatenated regressions model) exploits the information on the EU-SILC equivalised total disposable household income as obtained in M1 and the data of the Italian NINFEA birth cohort study, for which Body Mass Index (BMI) at different ages in childhood and other intermediate outcomes - namely Gestational Age (GA), Birth Weight (BW) and Weight during infancy (WT) - are available, to estimate the effects of the household income on these outcomes. The third module (M3 – the integrated microsimulation model) combines the equivalised total disposable incomes obtained from M1 with the regression model structure</w:t>
      </w:r>
      <w:r>
        <w:rPr>
          <w:rFonts w:cstheme="minorHAnsi"/>
          <w:sz w:val="24"/>
          <w:szCs w:val="24"/>
        </w:rPr>
        <w:t>s</w:t>
      </w:r>
      <w:r w:rsidRPr="003E4D66">
        <w:rPr>
          <w:rFonts w:cstheme="minorHAnsi"/>
          <w:sz w:val="24"/>
          <w:szCs w:val="24"/>
        </w:rPr>
        <w:t xml:space="preserve">, specifications and effect sizes from M2, to simulate the distribution of BMI at different ages in childhood according to the specific fiscal reform implemented. The overall model structure, which we call Microsimulation for Income and Child </w:t>
      </w:r>
      <w:r w:rsidR="001A4EFC">
        <w:rPr>
          <w:rFonts w:cstheme="minorHAnsi"/>
          <w:sz w:val="24"/>
          <w:szCs w:val="24"/>
        </w:rPr>
        <w:t>Health</w:t>
      </w:r>
      <w:r w:rsidRPr="003E4D66">
        <w:rPr>
          <w:rFonts w:cstheme="minorHAnsi"/>
          <w:sz w:val="24"/>
          <w:szCs w:val="24"/>
        </w:rPr>
        <w:t xml:space="preserve"> (</w:t>
      </w:r>
      <w:bookmarkStart w:id="0" w:name="_GoBack"/>
      <w:r w:rsidR="001A4EFC">
        <w:rPr>
          <w:rFonts w:cstheme="minorHAnsi"/>
          <w:sz w:val="24"/>
          <w:szCs w:val="24"/>
        </w:rPr>
        <w:t>MICH</w:t>
      </w:r>
      <w:bookmarkEnd w:id="0"/>
      <w:r w:rsidRPr="003E4D66">
        <w:rPr>
          <w:rFonts w:cstheme="minorHAnsi"/>
          <w:sz w:val="24"/>
          <w:szCs w:val="24"/>
        </w:rPr>
        <w:t xml:space="preserve">), and flow of inputs and outputs for each stage are shown in Figure 1. </w:t>
      </w:r>
    </w:p>
    <w:p w:rsidR="00125AB6" w:rsidRDefault="00125AB6" w:rsidP="00125AB6">
      <w:pPr>
        <w:spacing w:line="240" w:lineRule="auto"/>
        <w:jc w:val="both"/>
        <w:rPr>
          <w:rFonts w:cstheme="minorHAnsi"/>
          <w:b/>
          <w:sz w:val="24"/>
          <w:szCs w:val="24"/>
        </w:rPr>
      </w:pPr>
    </w:p>
    <w:p w:rsidR="00977333" w:rsidRPr="003E4D66" w:rsidRDefault="00977333"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i/>
          <w:sz w:val="24"/>
          <w:szCs w:val="24"/>
        </w:rPr>
      </w:pPr>
      <w:r w:rsidRPr="003E4D66">
        <w:rPr>
          <w:rFonts w:cstheme="minorHAnsi"/>
          <w:i/>
          <w:sz w:val="24"/>
          <w:szCs w:val="24"/>
        </w:rPr>
        <w:lastRenderedPageBreak/>
        <w:t>M1: EUROMOD and the Fiscal Reform Scenarios</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EUROMOD is a tax-benefit microsimulation model for the European Union that enables researchers to calculate, in a comparable manner, the effects of taxes and benefits on household incomes for the population of each country and for the EU as a whole</w:t>
      </w:r>
      <w:r>
        <w:rPr>
          <w:rFonts w:cstheme="minorHAnsi"/>
          <w:sz w:val="24"/>
          <w:szCs w:val="24"/>
        </w:rPr>
        <w:t>.</w:t>
      </w:r>
      <w:r w:rsidRPr="003E4D66">
        <w:rPr>
          <w:rFonts w:cstheme="minorHAnsi"/>
          <w:sz w:val="24"/>
          <w:szCs w:val="24"/>
        </w:rPr>
        <w:t xml:space="preserve"> It is one of the oldest and more consolidated microsimulation models in the EU and its focus is on fiscal policies, having been extensively used in economic and social studies</w:t>
      </w:r>
      <w:r>
        <w:rPr>
          <w:rFonts w:cstheme="minorHAnsi"/>
          <w:sz w:val="24"/>
          <w:szCs w:val="24"/>
        </w:rPr>
        <w:t>.</w:t>
      </w:r>
      <w:r w:rsidRPr="003E4D66">
        <w:rPr>
          <w:rFonts w:cstheme="minorHAnsi"/>
          <w:sz w:val="24"/>
          <w:szCs w:val="24"/>
        </w:rPr>
        <w:t xml:space="preserve"> We use the 2010 wave of EU-SILC-Italy</w:t>
      </w:r>
      <w:r>
        <w:rPr>
          <w:rFonts w:cstheme="minorHAnsi"/>
          <w:sz w:val="24"/>
          <w:szCs w:val="24"/>
        </w:rPr>
        <w:t xml:space="preserve"> </w:t>
      </w:r>
      <w:r w:rsidRPr="003E4D66">
        <w:rPr>
          <w:rFonts w:cstheme="minorHAnsi"/>
          <w:sz w:val="24"/>
          <w:szCs w:val="24"/>
        </w:rPr>
        <w:t>as the input population for the EUROMOD, to be consistent with the income values of the NINFEA cohort of 2011</w:t>
      </w:r>
      <w:r w:rsidR="00F20C3A">
        <w:rPr>
          <w:rFonts w:cstheme="minorHAnsi"/>
          <w:sz w:val="24"/>
          <w:szCs w:val="24"/>
        </w:rPr>
        <w:t xml:space="preserve"> </w:t>
      </w:r>
      <w:r w:rsidR="00F20C3A" w:rsidRPr="003E4D66">
        <w:rPr>
          <w:rFonts w:cstheme="minorHAnsi"/>
          <w:sz w:val="24"/>
          <w:szCs w:val="24"/>
        </w:rPr>
        <w:t>used for the M2 regression models</w:t>
      </w:r>
      <w:r w:rsidR="00F20C3A">
        <w:rPr>
          <w:rFonts w:cstheme="minorHAnsi"/>
          <w:sz w:val="24"/>
          <w:szCs w:val="24"/>
        </w:rPr>
        <w:t>.</w:t>
      </w:r>
      <w:r w:rsidRPr="003E4D66">
        <w:rPr>
          <w:rFonts w:cstheme="minorHAnsi"/>
          <w:sz w:val="24"/>
          <w:szCs w:val="24"/>
        </w:rPr>
        <w:t xml:space="preserve"> </w:t>
      </w:r>
      <w:r w:rsidR="00F20C3A">
        <w:rPr>
          <w:rFonts w:cstheme="minorHAnsi"/>
          <w:sz w:val="24"/>
          <w:szCs w:val="24"/>
        </w:rPr>
        <w:t>N</w:t>
      </w:r>
      <w:r w:rsidRPr="003E4D66">
        <w:rPr>
          <w:rFonts w:cstheme="minorHAnsi"/>
          <w:sz w:val="24"/>
          <w:szCs w:val="24"/>
        </w:rPr>
        <w:t xml:space="preserve">o EU-SILC-Italy as EUROMOD input was available for 2011. As the baseline policy system against which we evaluate the effectiveness of alternative policies, we use the policy rules in place in June 2018, as the </w:t>
      </w:r>
      <w:r w:rsidR="00B16439">
        <w:rPr>
          <w:rFonts w:cstheme="minorHAnsi"/>
          <w:sz w:val="24"/>
          <w:szCs w:val="24"/>
        </w:rPr>
        <w:t>latest</w:t>
      </w:r>
      <w:r w:rsidRPr="003E4D66">
        <w:rPr>
          <w:rFonts w:cstheme="minorHAnsi"/>
          <w:sz w:val="24"/>
          <w:szCs w:val="24"/>
        </w:rPr>
        <w:t xml:space="preserve"> available at the time of this study.</w:t>
      </w:r>
    </w:p>
    <w:p w:rsidR="00125AB6" w:rsidRPr="003E4D66" w:rsidRDefault="00125AB6"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 xml:space="preserve">Figure </w:t>
      </w:r>
      <w:r w:rsidR="00A70CED">
        <w:rPr>
          <w:rFonts w:cstheme="minorHAnsi"/>
          <w:b/>
          <w:sz w:val="24"/>
          <w:szCs w:val="24"/>
        </w:rPr>
        <w:t>S</w:t>
      </w:r>
      <w:r w:rsidRPr="003E4D66">
        <w:rPr>
          <w:rFonts w:cstheme="minorHAnsi"/>
          <w:b/>
          <w:sz w:val="24"/>
          <w:szCs w:val="24"/>
        </w:rPr>
        <w:t xml:space="preserve">1 Structure of the </w:t>
      </w:r>
      <w:r w:rsidR="001A4EFC">
        <w:rPr>
          <w:rFonts w:cstheme="minorHAnsi"/>
          <w:b/>
          <w:sz w:val="24"/>
          <w:szCs w:val="24"/>
        </w:rPr>
        <w:t>MICH</w:t>
      </w:r>
      <w:r w:rsidRPr="003E4D66">
        <w:rPr>
          <w:rFonts w:cstheme="minorHAnsi"/>
          <w:b/>
          <w:sz w:val="24"/>
          <w:szCs w:val="24"/>
        </w:rPr>
        <w:t xml:space="preserve"> Model: flow of inputs and outputs data and parameters between M1, M2 and M3 modules.</w:t>
      </w:r>
    </w:p>
    <w:p w:rsidR="00125AB6" w:rsidRPr="003E4D66" w:rsidRDefault="00125AB6"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noProof/>
          <w:sz w:val="24"/>
          <w:szCs w:val="24"/>
          <w:lang w:eastAsia="en-GB"/>
        </w:rPr>
        <w:drawing>
          <wp:inline distT="0" distB="0" distL="0" distR="0" wp14:anchorId="15938459" wp14:editId="57490766">
            <wp:extent cx="5521656" cy="2796921"/>
            <wp:effectExtent l="0" t="0" r="0" b="381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33941" cy="2803144"/>
                    </a:xfrm>
                    <a:prstGeom prst="rect">
                      <a:avLst/>
                    </a:prstGeom>
                  </pic:spPr>
                </pic:pic>
              </a:graphicData>
            </a:graphic>
          </wp:inline>
        </w:drawing>
      </w:r>
    </w:p>
    <w:p w:rsidR="00767906" w:rsidRDefault="00767906" w:rsidP="00767906">
      <w:pPr>
        <w:spacing w:after="0" w:line="240" w:lineRule="auto"/>
        <w:jc w:val="both"/>
        <w:rPr>
          <w:rFonts w:eastAsia="Times New Roman" w:cstheme="minorHAnsi"/>
          <w:i/>
          <w:color w:val="000000"/>
          <w:sz w:val="20"/>
          <w:szCs w:val="16"/>
          <w:lang w:eastAsia="en-GB"/>
        </w:rPr>
      </w:pPr>
      <w:r w:rsidRPr="003A348F">
        <w:rPr>
          <w:rFonts w:eastAsia="Times New Roman" w:cstheme="minorHAnsi"/>
          <w:i/>
          <w:color w:val="000000"/>
          <w:sz w:val="20"/>
          <w:szCs w:val="16"/>
          <w:lang w:eastAsia="en-GB"/>
        </w:rPr>
        <w:t>Note: For M1: data provided by the Italian EU-SILC 201</w:t>
      </w:r>
      <w:r w:rsidR="000640EB">
        <w:rPr>
          <w:rFonts w:eastAsia="Times New Roman" w:cstheme="minorHAnsi"/>
          <w:i/>
          <w:color w:val="000000"/>
          <w:sz w:val="20"/>
          <w:szCs w:val="16"/>
          <w:lang w:eastAsia="en-GB"/>
        </w:rPr>
        <w:t>0</w:t>
      </w:r>
      <w:r w:rsidRPr="003A348F">
        <w:rPr>
          <w:rFonts w:eastAsia="Times New Roman" w:cstheme="minorHAnsi"/>
          <w:i/>
          <w:color w:val="000000"/>
          <w:sz w:val="20"/>
          <w:szCs w:val="16"/>
          <w:lang w:eastAsia="en-GB"/>
        </w:rPr>
        <w:t xml:space="preserve"> survey. Fiscal Policies simulated using EUROMOD software. For M2: data provided by NINFEA cohort. Concatenated regressions run in Stata. For M3: dynamic microsimulation using R.</w:t>
      </w:r>
    </w:p>
    <w:p w:rsidR="00125AB6" w:rsidRPr="003E4D66" w:rsidRDefault="00125AB6" w:rsidP="00767906">
      <w:pPr>
        <w:tabs>
          <w:tab w:val="left" w:pos="1245"/>
        </w:tabs>
        <w:spacing w:line="240" w:lineRule="auto"/>
        <w:jc w:val="both"/>
        <w:rPr>
          <w:rFonts w:cstheme="minorHAnsi"/>
          <w:sz w:val="24"/>
          <w:szCs w:val="24"/>
        </w:rPr>
      </w:pP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The model produces as output a population that is the same as the EU-SILC sample (46,788 individuals), but with added information on disposable income for each individual, based on the specific policy system (actual or hypothetical) considered. For this project we aggregate individual disposable income at the household level, and then adjust it to account for household size and composition, </w:t>
      </w:r>
      <w:r w:rsidR="002F4D8E" w:rsidRPr="002F4D8E">
        <w:rPr>
          <w:rFonts w:cstheme="minorHAnsi"/>
          <w:sz w:val="24"/>
          <w:szCs w:val="24"/>
        </w:rPr>
        <w:t>using the so-called modified OECD equivalence scale</w:t>
      </w:r>
      <w:r>
        <w:rPr>
          <w:rFonts w:cstheme="minorHAnsi"/>
          <w:sz w:val="24"/>
          <w:szCs w:val="24"/>
        </w:rPr>
        <w:t>.</w:t>
      </w:r>
      <w:r w:rsidRPr="003E4D66">
        <w:rPr>
          <w:rFonts w:cstheme="minorHAnsi"/>
          <w:sz w:val="24"/>
          <w:szCs w:val="24"/>
        </w:rPr>
        <w:t xml:space="preserve"> For reasons of comparability with the NINFEA cohort analyses, we excluded families larger than 7 members and families with no children less than 5 years old.</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EUROMOD also provides the overall cost for the public budget, and therefore, after comparison with the baseline, the cost of the changes implemented in the counterfactual </w:t>
      </w:r>
      <w:r w:rsidRPr="003E4D66">
        <w:rPr>
          <w:rFonts w:cstheme="minorHAnsi"/>
          <w:sz w:val="24"/>
          <w:szCs w:val="24"/>
        </w:rPr>
        <w:lastRenderedPageBreak/>
        <w:t xml:space="preserve">scenarios, which can be used to calculate the marginal benefit (health outcome gain compared with the policy cost) of the reforms. </w:t>
      </w:r>
    </w:p>
    <w:p w:rsidR="00125AB6" w:rsidRPr="003E4D66" w:rsidRDefault="00125AB6" w:rsidP="00125AB6">
      <w:pPr>
        <w:spacing w:line="240" w:lineRule="auto"/>
        <w:jc w:val="both"/>
        <w:rPr>
          <w:rFonts w:cstheme="minorHAnsi"/>
          <w:i/>
          <w:sz w:val="24"/>
          <w:szCs w:val="24"/>
        </w:rPr>
      </w:pPr>
      <w:r w:rsidRPr="003E4D66">
        <w:rPr>
          <w:rFonts w:cstheme="minorHAnsi"/>
          <w:i/>
          <w:sz w:val="24"/>
          <w:szCs w:val="24"/>
        </w:rPr>
        <w:t>M2: The Concatenated Regression Models in the NINFEA birth cohort</w:t>
      </w:r>
    </w:p>
    <w:p w:rsidR="00125AB6" w:rsidRPr="003E4D66" w:rsidRDefault="00125AB6" w:rsidP="00125AB6">
      <w:pPr>
        <w:adjustRightInd w:val="0"/>
        <w:snapToGrid w:val="0"/>
        <w:spacing w:after="120" w:line="240" w:lineRule="auto"/>
        <w:jc w:val="both"/>
        <w:rPr>
          <w:rFonts w:cstheme="minorHAnsi"/>
          <w:sz w:val="24"/>
          <w:szCs w:val="24"/>
        </w:rPr>
      </w:pPr>
      <w:r w:rsidRPr="003E4D66">
        <w:rPr>
          <w:rFonts w:cstheme="minorHAnsi"/>
          <w:sz w:val="24"/>
          <w:szCs w:val="24"/>
        </w:rPr>
        <w:t>NINFEA is and Italian web-based birth cohort study, which recruited pregnant women from 2005 to 2016 and follows up their children via online questionnaires completed by the mothers</w:t>
      </w:r>
      <w:r w:rsidR="007F1E8F">
        <w:rPr>
          <w:rFonts w:cstheme="minorHAnsi"/>
          <w:sz w:val="24"/>
          <w:szCs w:val="24"/>
        </w:rPr>
        <w:t xml:space="preserve"> at</w:t>
      </w:r>
      <w:r w:rsidRPr="003E4D66">
        <w:rPr>
          <w:rFonts w:cstheme="minorHAnsi"/>
          <w:sz w:val="24"/>
          <w:szCs w:val="24"/>
        </w:rPr>
        <w:t xml:space="preserve"> 6 and 18 months after delivery and when children turn 4, 7, 10 and 13 years of age</w:t>
      </w:r>
      <w:r>
        <w:rPr>
          <w:rFonts w:cstheme="minorHAnsi"/>
          <w:sz w:val="24"/>
          <w:szCs w:val="24"/>
        </w:rPr>
        <w:t>.</w:t>
      </w:r>
      <w:r w:rsidRPr="003E4D66">
        <w:rPr>
          <w:rFonts w:cstheme="minorHAnsi"/>
          <w:sz w:val="24"/>
          <w:szCs w:val="24"/>
        </w:rPr>
        <w:t xml:space="preserve"> For this paper we used the NINFEA database version 02.2019 that consists of 6625 mothers and 7423 pregnancies. </w:t>
      </w:r>
    </w:p>
    <w:p w:rsidR="00125AB6" w:rsidRPr="003E4D66" w:rsidRDefault="00125AB6" w:rsidP="00125AB6">
      <w:pPr>
        <w:adjustRightInd w:val="0"/>
        <w:snapToGrid w:val="0"/>
        <w:spacing w:after="120" w:line="240" w:lineRule="auto"/>
        <w:jc w:val="both"/>
        <w:rPr>
          <w:rFonts w:cstheme="minorHAnsi"/>
          <w:sz w:val="24"/>
          <w:szCs w:val="24"/>
        </w:rPr>
      </w:pPr>
      <w:r w:rsidRPr="003E4D66">
        <w:rPr>
          <w:rFonts w:cstheme="minorHAnsi"/>
          <w:sz w:val="24"/>
          <w:szCs w:val="24"/>
        </w:rPr>
        <w:t xml:space="preserve">Data on demographic and socioeconomic factors of the family are collected with the baseline questionnaire completed during pregnancy. Child weight and height data, used to derive the BMI, are collected at each follow-up questionnaire. As described in detail in the paper by </w:t>
      </w:r>
      <w:proofErr w:type="spellStart"/>
      <w:r w:rsidRPr="003E4D66">
        <w:rPr>
          <w:rFonts w:cstheme="minorHAnsi"/>
          <w:sz w:val="24"/>
          <w:szCs w:val="24"/>
        </w:rPr>
        <w:t>Pizzi</w:t>
      </w:r>
      <w:proofErr w:type="spellEnd"/>
      <w:r w:rsidRPr="003E4D66">
        <w:rPr>
          <w:rFonts w:cstheme="minorHAnsi"/>
          <w:sz w:val="24"/>
          <w:szCs w:val="24"/>
        </w:rPr>
        <w:t xml:space="preserve"> et al.,</w:t>
      </w:r>
      <w:r>
        <w:rPr>
          <w:rFonts w:cstheme="minorHAnsi"/>
          <w:sz w:val="24"/>
          <w:szCs w:val="24"/>
        </w:rPr>
        <w:t xml:space="preserve"> </w:t>
      </w:r>
      <w:r w:rsidRPr="003E4D66">
        <w:rPr>
          <w:rFonts w:cstheme="minorHAnsi"/>
          <w:sz w:val="24"/>
          <w:szCs w:val="24"/>
        </w:rPr>
        <w:t>an indicator of the EU-SILC-based equivalised total disposable household income (the Equivalised Household Income Indicator</w:t>
      </w:r>
      <w:r w:rsidR="00486554">
        <w:rPr>
          <w:rFonts w:cstheme="minorHAnsi"/>
          <w:sz w:val="24"/>
          <w:szCs w:val="24"/>
        </w:rPr>
        <w:t xml:space="preserve"> (</w:t>
      </w:r>
      <w:r w:rsidRPr="003E4D66">
        <w:rPr>
          <w:rFonts w:cstheme="minorHAnsi"/>
          <w:sz w:val="24"/>
          <w:szCs w:val="24"/>
        </w:rPr>
        <w:t>EHII</w:t>
      </w:r>
      <w:r w:rsidR="00486554">
        <w:rPr>
          <w:rFonts w:cstheme="minorHAnsi"/>
          <w:sz w:val="24"/>
          <w:szCs w:val="24"/>
        </w:rPr>
        <w:t>)</w:t>
      </w:r>
      <w:r w:rsidRPr="003E4D66">
        <w:rPr>
          <w:rFonts w:cstheme="minorHAnsi"/>
          <w:sz w:val="24"/>
          <w:szCs w:val="24"/>
        </w:rPr>
        <w:t xml:space="preserve">) has been derived for the NINFEA participants within the framework of the H2020 </w:t>
      </w:r>
      <w:proofErr w:type="spellStart"/>
      <w:r w:rsidRPr="003E4D66">
        <w:rPr>
          <w:rFonts w:cstheme="minorHAnsi"/>
          <w:sz w:val="24"/>
          <w:szCs w:val="24"/>
        </w:rPr>
        <w:t>LifeCycle</w:t>
      </w:r>
      <w:proofErr w:type="spellEnd"/>
      <w:r w:rsidRPr="003E4D66">
        <w:rPr>
          <w:rFonts w:cstheme="minorHAnsi"/>
          <w:sz w:val="24"/>
          <w:szCs w:val="24"/>
        </w:rPr>
        <w:t xml:space="preserve"> project</w:t>
      </w:r>
      <w:r>
        <w:rPr>
          <w:rFonts w:cstheme="minorHAnsi"/>
          <w:sz w:val="24"/>
          <w:szCs w:val="24"/>
        </w:rPr>
        <w:t>.</w:t>
      </w:r>
      <w:r w:rsidRPr="003E4D66">
        <w:rPr>
          <w:rFonts w:cstheme="minorHAnsi"/>
          <w:sz w:val="24"/>
          <w:szCs w:val="24"/>
        </w:rPr>
        <w:t xml:space="preserve"> In brief the EHII was derived using external data from the Italian 2011 EU-SILC</w:t>
      </w:r>
      <w:r>
        <w:rPr>
          <w:rFonts w:cstheme="minorHAnsi"/>
          <w:sz w:val="24"/>
          <w:szCs w:val="24"/>
        </w:rPr>
        <w:t xml:space="preserve"> </w:t>
      </w:r>
      <w:r w:rsidRPr="003E4D66">
        <w:rPr>
          <w:rFonts w:cstheme="minorHAnsi"/>
          <w:sz w:val="24"/>
          <w:szCs w:val="24"/>
        </w:rPr>
        <w:t>survey and individual and household characteristics available in the NINFEA cohort (namely parental age, cohabitation status, education, country of birth and occupation, house size and type and family size). The EHII is the log transformation of such equivalised total disposable household income as used in the original paper</w:t>
      </w:r>
      <w:r>
        <w:rPr>
          <w:rFonts w:cstheme="minorHAnsi"/>
          <w:sz w:val="24"/>
          <w:szCs w:val="24"/>
        </w:rPr>
        <w:t>.</w:t>
      </w:r>
      <w:r w:rsidRPr="003E4D66">
        <w:rPr>
          <w:rFonts w:cstheme="minorHAnsi"/>
          <w:sz w:val="24"/>
          <w:szCs w:val="24"/>
        </w:rPr>
        <w:t xml:space="preserve"> </w:t>
      </w:r>
    </w:p>
    <w:p w:rsidR="00125AB6" w:rsidRPr="003E4D66" w:rsidRDefault="00125AB6" w:rsidP="00125AB6">
      <w:pPr>
        <w:spacing w:line="240" w:lineRule="auto"/>
        <w:jc w:val="both"/>
        <w:rPr>
          <w:rFonts w:eastAsia="Times New Roman" w:cstheme="minorHAnsi"/>
          <w:i/>
          <w:sz w:val="24"/>
          <w:szCs w:val="24"/>
          <w:lang w:val="en-US" w:eastAsia="it-IT"/>
        </w:rPr>
      </w:pPr>
    </w:p>
    <w:p w:rsidR="00125AB6" w:rsidRPr="003E4D66" w:rsidRDefault="00125AB6" w:rsidP="00125AB6">
      <w:pPr>
        <w:spacing w:line="240" w:lineRule="auto"/>
        <w:jc w:val="both"/>
        <w:rPr>
          <w:rFonts w:cstheme="minorHAnsi"/>
          <w:i/>
          <w:sz w:val="24"/>
          <w:szCs w:val="24"/>
        </w:rPr>
      </w:pPr>
      <w:r w:rsidRPr="003E4D66">
        <w:rPr>
          <w:rFonts w:eastAsia="Times New Roman" w:cstheme="minorHAnsi"/>
          <w:i/>
          <w:sz w:val="24"/>
          <w:szCs w:val="24"/>
          <w:lang w:val="en-US" w:eastAsia="it-IT"/>
        </w:rPr>
        <w:t>M3: The integrated microsimulation model</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The last module of </w:t>
      </w:r>
      <w:r w:rsidR="001A4EFC">
        <w:rPr>
          <w:rFonts w:cstheme="minorHAnsi"/>
          <w:sz w:val="24"/>
          <w:szCs w:val="24"/>
        </w:rPr>
        <w:t>MICH</w:t>
      </w:r>
      <w:r w:rsidRPr="003E4D66">
        <w:rPr>
          <w:rFonts w:cstheme="minorHAnsi"/>
          <w:sz w:val="24"/>
          <w:szCs w:val="24"/>
        </w:rPr>
        <w:t xml:space="preserve"> applies the effects sizes from M2 to the population from M1. From the EUROMOD output we select the population of children less than 5 years old, and expand it using the EUSILC-Italy survey sample weights, obtaining a study population of 30,910 children.</w:t>
      </w:r>
    </w:p>
    <w:p w:rsidR="00C53895" w:rsidRDefault="00125AB6" w:rsidP="00125AB6">
      <w:pPr>
        <w:spacing w:line="240" w:lineRule="auto"/>
        <w:jc w:val="both"/>
        <w:rPr>
          <w:rFonts w:cstheme="minorHAnsi"/>
          <w:sz w:val="24"/>
          <w:szCs w:val="24"/>
        </w:rPr>
      </w:pPr>
      <w:r w:rsidRPr="003E4D66">
        <w:rPr>
          <w:rFonts w:cstheme="minorHAnsi"/>
          <w:sz w:val="24"/>
          <w:szCs w:val="24"/>
        </w:rPr>
        <w:t xml:space="preserve">Using the same set of concatenated multivariable linear regressions shown above, with the outputs from M1 and M2 used as inputs and the </w:t>
      </w:r>
      <w:r w:rsidR="00A83531">
        <w:rPr>
          <w:rFonts w:cstheme="minorHAnsi"/>
          <w:sz w:val="24"/>
          <w:szCs w:val="24"/>
        </w:rPr>
        <w:t>a</w:t>
      </w:r>
      <w:r w:rsidRPr="003E4D66">
        <w:rPr>
          <w:rFonts w:cstheme="minorHAnsi"/>
          <w:sz w:val="24"/>
          <w:szCs w:val="24"/>
        </w:rPr>
        <w:t xml:space="preserve">lphas, </w:t>
      </w:r>
      <w:r w:rsidR="00A83531">
        <w:rPr>
          <w:rFonts w:cstheme="minorHAnsi"/>
          <w:sz w:val="24"/>
          <w:szCs w:val="24"/>
        </w:rPr>
        <w:t>b</w:t>
      </w:r>
      <w:r w:rsidRPr="003E4D66">
        <w:rPr>
          <w:rFonts w:cstheme="minorHAnsi"/>
          <w:sz w:val="24"/>
          <w:szCs w:val="24"/>
        </w:rPr>
        <w:t xml:space="preserve">etas and </w:t>
      </w:r>
      <w:r w:rsidR="00A83531">
        <w:rPr>
          <w:rFonts w:cstheme="minorHAnsi"/>
          <w:sz w:val="24"/>
          <w:szCs w:val="24"/>
        </w:rPr>
        <w:t>s</w:t>
      </w:r>
      <w:r w:rsidRPr="003E4D66">
        <w:rPr>
          <w:rFonts w:cstheme="minorHAnsi"/>
          <w:sz w:val="24"/>
          <w:szCs w:val="24"/>
        </w:rPr>
        <w:t xml:space="preserve">tandard </w:t>
      </w:r>
      <w:r w:rsidR="00A83531">
        <w:rPr>
          <w:rFonts w:cstheme="minorHAnsi"/>
          <w:sz w:val="24"/>
          <w:szCs w:val="24"/>
        </w:rPr>
        <w:t>e</w:t>
      </w:r>
      <w:r w:rsidRPr="003E4D66">
        <w:rPr>
          <w:rFonts w:cstheme="minorHAnsi"/>
          <w:sz w:val="24"/>
          <w:szCs w:val="24"/>
        </w:rPr>
        <w:t xml:space="preserve">rrors of the regressions from M2, the integrated model estimates the distribution of gestational age for the population of children under 1 year old using regression n.1. </w:t>
      </w:r>
      <w:bookmarkStart w:id="1" w:name="_Hlk82049691"/>
      <w:r w:rsidR="00C53895">
        <w:rPr>
          <w:rFonts w:cstheme="minorHAnsi"/>
          <w:sz w:val="24"/>
          <w:szCs w:val="24"/>
        </w:rPr>
        <w:t xml:space="preserve">It </w:t>
      </w:r>
      <w:r w:rsidR="008A2B2C">
        <w:rPr>
          <w:rFonts w:cstheme="minorHAnsi"/>
          <w:sz w:val="24"/>
          <w:szCs w:val="24"/>
        </w:rPr>
        <w:t>is worthy</w:t>
      </w:r>
      <w:r w:rsidR="00C53895">
        <w:rPr>
          <w:rFonts w:cstheme="minorHAnsi"/>
          <w:sz w:val="24"/>
          <w:szCs w:val="24"/>
        </w:rPr>
        <w:t xml:space="preserve"> to notice that </w:t>
      </w:r>
      <w:r w:rsidR="008A2B2C">
        <w:rPr>
          <w:rFonts w:cstheme="minorHAnsi"/>
          <w:sz w:val="24"/>
          <w:szCs w:val="24"/>
        </w:rPr>
        <w:t xml:space="preserve">the </w:t>
      </w:r>
      <w:r w:rsidR="00A83531">
        <w:rPr>
          <w:rFonts w:cstheme="minorHAnsi"/>
          <w:sz w:val="24"/>
          <w:szCs w:val="24"/>
        </w:rPr>
        <w:t>b</w:t>
      </w:r>
      <w:r w:rsidR="008A2B2C">
        <w:rPr>
          <w:rFonts w:cstheme="minorHAnsi"/>
          <w:sz w:val="24"/>
          <w:szCs w:val="24"/>
        </w:rPr>
        <w:t xml:space="preserve">etas and </w:t>
      </w:r>
      <w:r w:rsidR="00A83531">
        <w:rPr>
          <w:rFonts w:cstheme="minorHAnsi"/>
          <w:sz w:val="24"/>
          <w:szCs w:val="24"/>
        </w:rPr>
        <w:t>a</w:t>
      </w:r>
      <w:r w:rsidR="008A2B2C">
        <w:rPr>
          <w:rFonts w:cstheme="minorHAnsi"/>
          <w:sz w:val="24"/>
          <w:szCs w:val="24"/>
        </w:rPr>
        <w:t xml:space="preserve">lphas have been obtained from the matrix of variance-covariance </w:t>
      </w:r>
      <w:r w:rsidR="00C53895">
        <w:rPr>
          <w:rFonts w:cstheme="minorHAnsi"/>
          <w:sz w:val="24"/>
          <w:szCs w:val="24"/>
        </w:rPr>
        <w:t xml:space="preserve">obtained through the </w:t>
      </w:r>
      <w:r w:rsidR="008A2B2C">
        <w:rPr>
          <w:rFonts w:cstheme="minorHAnsi"/>
          <w:sz w:val="24"/>
          <w:szCs w:val="24"/>
        </w:rPr>
        <w:t xml:space="preserve">R </w:t>
      </w:r>
      <w:r w:rsidR="00C53895">
        <w:rPr>
          <w:rFonts w:cstheme="minorHAnsi"/>
          <w:sz w:val="24"/>
          <w:szCs w:val="24"/>
        </w:rPr>
        <w:t xml:space="preserve">command </w:t>
      </w:r>
      <w:proofErr w:type="spellStart"/>
      <w:r w:rsidR="008A2B2C">
        <w:rPr>
          <w:rFonts w:ascii="Courier New" w:hAnsi="Courier New" w:cs="Courier New"/>
          <w:color w:val="222222"/>
          <w:shd w:val="clear" w:color="auto" w:fill="FFFFFF"/>
        </w:rPr>
        <w:t>vcov</w:t>
      </w:r>
      <w:proofErr w:type="spellEnd"/>
      <w:r w:rsidR="008A2B2C">
        <w:rPr>
          <w:rFonts w:ascii="Courier New" w:hAnsi="Courier New" w:cs="Courier New"/>
          <w:color w:val="222222"/>
          <w:shd w:val="clear" w:color="auto" w:fill="FFFFFF"/>
        </w:rPr>
        <w:t>,</w:t>
      </w:r>
      <w:r w:rsidR="008A2B2C">
        <w:rPr>
          <w:rFonts w:cstheme="minorHAnsi"/>
          <w:sz w:val="24"/>
          <w:szCs w:val="24"/>
        </w:rPr>
        <w:t xml:space="preserve"> and the combination of intercepts and betas for all 1</w:t>
      </w:r>
      <w:r w:rsidR="00993E9F">
        <w:rPr>
          <w:rFonts w:cstheme="minorHAnsi"/>
          <w:sz w:val="24"/>
          <w:szCs w:val="24"/>
        </w:rPr>
        <w:t>0</w:t>
      </w:r>
      <w:r w:rsidR="008A2B2C">
        <w:rPr>
          <w:rFonts w:cstheme="minorHAnsi"/>
          <w:sz w:val="24"/>
          <w:szCs w:val="24"/>
        </w:rPr>
        <w:t xml:space="preserve">00 simulations through the R command </w:t>
      </w:r>
      <w:proofErr w:type="spellStart"/>
      <w:r w:rsidR="008A2B2C">
        <w:rPr>
          <w:rFonts w:ascii="Courier New" w:hAnsi="Courier New" w:cs="Courier New"/>
          <w:color w:val="222222"/>
          <w:shd w:val="clear" w:color="auto" w:fill="FFFFFF"/>
        </w:rPr>
        <w:t>mvrnorm</w:t>
      </w:r>
      <w:proofErr w:type="spellEnd"/>
      <w:r w:rsidR="008A2B2C">
        <w:rPr>
          <w:rFonts w:ascii="Courier New" w:hAnsi="Courier New" w:cs="Courier New"/>
          <w:color w:val="222222"/>
          <w:shd w:val="clear" w:color="auto" w:fill="FFFFFF"/>
        </w:rPr>
        <w:t>.</w:t>
      </w:r>
    </w:p>
    <w:bookmarkEnd w:id="1"/>
    <w:p w:rsidR="00125AB6" w:rsidRPr="003E4D66" w:rsidRDefault="00125AB6" w:rsidP="00125AB6">
      <w:pPr>
        <w:spacing w:line="240" w:lineRule="auto"/>
        <w:jc w:val="both"/>
        <w:rPr>
          <w:rFonts w:cstheme="minorHAnsi"/>
          <w:sz w:val="24"/>
          <w:szCs w:val="24"/>
        </w:rPr>
      </w:pPr>
      <w:r w:rsidRPr="003E4D66">
        <w:rPr>
          <w:rFonts w:cstheme="minorHAnsi"/>
          <w:sz w:val="24"/>
          <w:szCs w:val="24"/>
        </w:rPr>
        <w:t>The obtained distribution of gestational ages is successively introduced in regression n.2 together with the same set of demographic and socioeconomic factors – including the equivalised income – from M1. The regressions from 3 to 7 use the same principle, creating a flow of outputs used as inputs for the following models, and allowing us to simulate the final BMI distributions at 18, 48 and 84 months.</w:t>
      </w:r>
    </w:p>
    <w:p w:rsidR="00125AB6" w:rsidRPr="003E4D66" w:rsidRDefault="00125AB6" w:rsidP="00125AB6">
      <w:pPr>
        <w:spacing w:line="240" w:lineRule="auto"/>
        <w:jc w:val="both"/>
        <w:rPr>
          <w:rFonts w:cstheme="minorHAnsi"/>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Simulation of Fiscal Intervention Scenarios</w:t>
      </w:r>
    </w:p>
    <w:p w:rsidR="00ED3B1B" w:rsidRDefault="00125AB6" w:rsidP="008A7220">
      <w:pPr>
        <w:spacing w:line="240" w:lineRule="auto"/>
        <w:jc w:val="both"/>
        <w:rPr>
          <w:rFonts w:cstheme="minorHAnsi"/>
          <w:sz w:val="24"/>
          <w:szCs w:val="24"/>
        </w:rPr>
      </w:pPr>
      <w:r w:rsidRPr="003E4D66">
        <w:rPr>
          <w:rFonts w:cstheme="minorHAnsi"/>
          <w:sz w:val="24"/>
          <w:szCs w:val="24"/>
        </w:rPr>
        <w:t xml:space="preserve">Fiscal reform scenarios were conceived with an increased degree of focalization to evaluate the effectiveness of targeting the most vulnerable, and each policy was implemented with </w:t>
      </w:r>
      <w:r w:rsidRPr="003E4D66">
        <w:rPr>
          <w:rFonts w:cstheme="minorHAnsi"/>
          <w:sz w:val="24"/>
          <w:szCs w:val="24"/>
        </w:rPr>
        <w:lastRenderedPageBreak/>
        <w:t>two levels of benefit amounts – with the same eligibility rules and the same recipients – to evaluate the dose-response effect. This design therefore allowed us to evaluate different degrees of marginal benefits according to intervention focalization and intensity. The simulated fiscal interventions are shown in Table 1</w:t>
      </w:r>
      <w:r w:rsidR="00020444">
        <w:rPr>
          <w:rFonts w:cstheme="minorHAnsi"/>
          <w:sz w:val="24"/>
          <w:szCs w:val="24"/>
        </w:rPr>
        <w:t>.</w:t>
      </w:r>
      <w:r w:rsidRPr="003E4D66">
        <w:rPr>
          <w:rFonts w:cstheme="minorHAnsi"/>
          <w:sz w:val="24"/>
          <w:szCs w:val="24"/>
        </w:rPr>
        <w:t xml:space="preserve"> </w:t>
      </w:r>
      <w:r w:rsidR="00020444">
        <w:rPr>
          <w:rFonts w:cstheme="minorHAnsi"/>
          <w:sz w:val="24"/>
          <w:szCs w:val="24"/>
        </w:rPr>
        <w:t>W</w:t>
      </w:r>
      <w:r w:rsidRPr="003E4D66">
        <w:rPr>
          <w:rFonts w:cstheme="minorHAnsi"/>
          <w:sz w:val="24"/>
          <w:szCs w:val="24"/>
        </w:rPr>
        <w:t xml:space="preserve">hile the baseline, used for comparison with all the other scenarios, is produced applying the actual 2018 fiscal regime on the EU-SILC survey data, the Basic Income Scenario applies a Basic Income of 100 Euros per year (BI1) or per month (BI2) to all citizens, and the Poverty Reduction scenarios simulate a poverty-relief intervention  of 100 Euros per year (PR1) or per month (PR2) for each member of the households with an equivalised income of less than 500 Euros per month.  The New-Born Benefit is a simulated fiscal intervention of 500 Euros per year (NB1) or per month (NB2) for each child less than one year old in households with an equivalised income of less than 500 Euros per month. The Child Benefit (CB) simulated policy has the same characteristics as the New-born benefits but the recipients are each children of less than 5 years (instead of less than 1 year) of age, reaching a larger number of households than the NB benefits.  It is important to note that these benefit amounts are not chosen as realistic values, nor they can be directly compared across the different policy scenarios, and leading to very different total costs for the public budget. </w:t>
      </w:r>
      <w:r w:rsidR="00136F21">
        <w:rPr>
          <w:rFonts w:cstheme="minorHAnsi"/>
          <w:sz w:val="24"/>
          <w:szCs w:val="24"/>
        </w:rPr>
        <w:t>However, t</w:t>
      </w:r>
      <w:r w:rsidRPr="003E4D66">
        <w:rPr>
          <w:rFonts w:cstheme="minorHAnsi"/>
          <w:sz w:val="24"/>
          <w:szCs w:val="24"/>
        </w:rPr>
        <w:t>h</w:t>
      </w:r>
      <w:r w:rsidR="00136F21">
        <w:rPr>
          <w:rFonts w:cstheme="minorHAnsi"/>
          <w:sz w:val="24"/>
          <w:szCs w:val="24"/>
        </w:rPr>
        <w:t>ese scenarios</w:t>
      </w:r>
      <w:r w:rsidRPr="003E4D66">
        <w:rPr>
          <w:rFonts w:cstheme="minorHAnsi"/>
          <w:sz w:val="24"/>
          <w:szCs w:val="24"/>
        </w:rPr>
        <w:t xml:space="preserve"> allow us to compute marginal benefits, which are a normalised measure of the effectiveness of the different policy instruments, and can be used to compare the health effects of each alternative.</w:t>
      </w:r>
    </w:p>
    <w:p w:rsidR="008A7220" w:rsidRDefault="008A7220" w:rsidP="008A7220">
      <w:pPr>
        <w:spacing w:line="240" w:lineRule="auto"/>
        <w:jc w:val="both"/>
        <w:rPr>
          <w:b/>
          <w:sz w:val="24"/>
        </w:rPr>
      </w:pPr>
    </w:p>
    <w:tbl>
      <w:tblPr>
        <w:tblpPr w:leftFromText="180" w:rightFromText="180" w:vertAnchor="text" w:horzAnchor="margin" w:tblpXSpec="center" w:tblpY="421"/>
        <w:tblW w:w="10236" w:type="dxa"/>
        <w:tblLook w:val="04A0" w:firstRow="1" w:lastRow="0" w:firstColumn="1" w:lastColumn="0" w:noHBand="0" w:noVBand="1"/>
      </w:tblPr>
      <w:tblGrid>
        <w:gridCol w:w="996"/>
        <w:gridCol w:w="897"/>
        <w:gridCol w:w="989"/>
        <w:gridCol w:w="990"/>
        <w:gridCol w:w="1059"/>
        <w:gridCol w:w="1060"/>
        <w:gridCol w:w="1059"/>
        <w:gridCol w:w="1067"/>
        <w:gridCol w:w="1059"/>
        <w:gridCol w:w="1060"/>
      </w:tblGrid>
      <w:tr w:rsidR="00ED3B1B" w:rsidRPr="00400D9F" w:rsidTr="00ED3B1B">
        <w:trPr>
          <w:trHeight w:val="244"/>
        </w:trPr>
        <w:tc>
          <w:tcPr>
            <w:tcW w:w="996" w:type="dxa"/>
            <w:tcBorders>
              <w:top w:val="nil"/>
              <w:left w:val="nil"/>
              <w:bottom w:val="nil"/>
              <w:right w:val="nil"/>
            </w:tcBorders>
            <w:shd w:val="clear" w:color="auto" w:fill="auto"/>
            <w:noWrap/>
            <w:vAlign w:val="center"/>
            <w:hideMark/>
          </w:tcPr>
          <w:p w:rsidR="00ED3B1B" w:rsidRPr="001808EF" w:rsidRDefault="00ED3B1B" w:rsidP="00ED3B1B">
            <w:pPr>
              <w:spacing w:after="0" w:line="240" w:lineRule="auto"/>
              <w:rPr>
                <w:rFonts w:ascii="Calibri" w:eastAsia="Times New Roman" w:hAnsi="Calibri" w:cs="Calibri"/>
                <w:sz w:val="18"/>
                <w:szCs w:val="18"/>
                <w:lang w:eastAsia="en-GB"/>
              </w:rPr>
            </w:pPr>
          </w:p>
        </w:tc>
        <w:tc>
          <w:tcPr>
            <w:tcW w:w="897" w:type="dxa"/>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Baseline (BS)</w:t>
            </w:r>
          </w:p>
        </w:tc>
        <w:tc>
          <w:tcPr>
            <w:tcW w:w="1979" w:type="dxa"/>
            <w:gridSpan w:val="2"/>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Basic Income (BI)</w:t>
            </w:r>
          </w:p>
        </w:tc>
        <w:tc>
          <w:tcPr>
            <w:tcW w:w="2119" w:type="dxa"/>
            <w:gridSpan w:val="2"/>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Poverty Reduction (PR)</w:t>
            </w:r>
          </w:p>
        </w:tc>
        <w:tc>
          <w:tcPr>
            <w:tcW w:w="2126" w:type="dxa"/>
            <w:gridSpan w:val="2"/>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New-borns Benefit (NB)</w:t>
            </w:r>
          </w:p>
        </w:tc>
        <w:tc>
          <w:tcPr>
            <w:tcW w:w="2119" w:type="dxa"/>
            <w:gridSpan w:val="2"/>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Child Benefit (CB)</w:t>
            </w:r>
          </w:p>
        </w:tc>
      </w:tr>
      <w:tr w:rsidR="00ED3B1B" w:rsidRPr="00400D9F" w:rsidTr="00ED3B1B">
        <w:trPr>
          <w:trHeight w:val="244"/>
        </w:trPr>
        <w:tc>
          <w:tcPr>
            <w:tcW w:w="996"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 </w:t>
            </w:r>
          </w:p>
        </w:tc>
        <w:tc>
          <w:tcPr>
            <w:tcW w:w="897"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 </w:t>
            </w:r>
          </w:p>
        </w:tc>
        <w:tc>
          <w:tcPr>
            <w:tcW w:w="989"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 xml:space="preserve"> BI1</w:t>
            </w:r>
          </w:p>
        </w:tc>
        <w:tc>
          <w:tcPr>
            <w:tcW w:w="990"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BI2</w:t>
            </w:r>
          </w:p>
        </w:tc>
        <w:tc>
          <w:tcPr>
            <w:tcW w:w="1059"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PR1</w:t>
            </w:r>
          </w:p>
        </w:tc>
        <w:tc>
          <w:tcPr>
            <w:tcW w:w="1060"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PR2</w:t>
            </w:r>
          </w:p>
        </w:tc>
        <w:tc>
          <w:tcPr>
            <w:tcW w:w="1059"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NB1</w:t>
            </w:r>
          </w:p>
        </w:tc>
        <w:tc>
          <w:tcPr>
            <w:tcW w:w="1067"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NB2</w:t>
            </w:r>
          </w:p>
        </w:tc>
        <w:tc>
          <w:tcPr>
            <w:tcW w:w="1059"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CB1</w:t>
            </w:r>
          </w:p>
        </w:tc>
        <w:tc>
          <w:tcPr>
            <w:tcW w:w="1060" w:type="dxa"/>
            <w:tcBorders>
              <w:top w:val="nil"/>
              <w:left w:val="nil"/>
              <w:bottom w:val="single" w:sz="4" w:space="0" w:color="auto"/>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sz w:val="18"/>
                <w:szCs w:val="18"/>
                <w:lang w:eastAsia="en-GB"/>
              </w:rPr>
            </w:pPr>
            <w:r w:rsidRPr="001808EF">
              <w:rPr>
                <w:rFonts w:ascii="Calibri" w:eastAsia="Times New Roman" w:hAnsi="Calibri" w:cs="Calibri"/>
                <w:sz w:val="18"/>
                <w:szCs w:val="18"/>
                <w:lang w:eastAsia="en-GB"/>
              </w:rPr>
              <w:t>CB2</w:t>
            </w:r>
          </w:p>
        </w:tc>
      </w:tr>
      <w:tr w:rsidR="00ED3B1B" w:rsidRPr="00400D9F" w:rsidTr="00ED3B1B">
        <w:trPr>
          <w:trHeight w:val="450"/>
        </w:trPr>
        <w:tc>
          <w:tcPr>
            <w:tcW w:w="996"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Eligibility</w:t>
            </w:r>
          </w:p>
        </w:tc>
        <w:tc>
          <w:tcPr>
            <w:tcW w:w="897" w:type="dxa"/>
            <w:vMerge w:val="restart"/>
            <w:tcBorders>
              <w:top w:val="single" w:sz="4" w:space="0" w:color="auto"/>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 -</w:t>
            </w:r>
          </w:p>
        </w:tc>
        <w:tc>
          <w:tcPr>
            <w:tcW w:w="989"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all</w:t>
            </w:r>
          </w:p>
        </w:tc>
        <w:tc>
          <w:tcPr>
            <w:tcW w:w="990"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all</w:t>
            </w:r>
          </w:p>
        </w:tc>
        <w:tc>
          <w:tcPr>
            <w:tcW w:w="1059"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households with per capita income </w:t>
            </w: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&lt; €500 month</w:t>
            </w:r>
          </w:p>
        </w:tc>
        <w:tc>
          <w:tcPr>
            <w:tcW w:w="1060"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households with per capita income </w:t>
            </w: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&lt; €500 month</w:t>
            </w:r>
          </w:p>
        </w:tc>
        <w:tc>
          <w:tcPr>
            <w:tcW w:w="1059"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households with per capita income </w:t>
            </w: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&lt; €500 month</w:t>
            </w:r>
          </w:p>
        </w:tc>
        <w:tc>
          <w:tcPr>
            <w:tcW w:w="1067"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households with per capita income </w:t>
            </w: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&lt; €500 month</w:t>
            </w:r>
          </w:p>
        </w:tc>
        <w:tc>
          <w:tcPr>
            <w:tcW w:w="1059"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households with per capita income </w:t>
            </w: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&lt; €500 month</w:t>
            </w:r>
          </w:p>
        </w:tc>
        <w:tc>
          <w:tcPr>
            <w:tcW w:w="1060"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households with per capita income </w:t>
            </w:r>
          </w:p>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&lt; €500 month</w:t>
            </w:r>
          </w:p>
        </w:tc>
      </w:tr>
      <w:tr w:rsidR="00ED3B1B" w:rsidRPr="00400D9F" w:rsidTr="00ED3B1B">
        <w:trPr>
          <w:trHeight w:val="450"/>
        </w:trPr>
        <w:tc>
          <w:tcPr>
            <w:tcW w:w="996"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897" w:type="dxa"/>
            <w:vMerge/>
            <w:tcBorders>
              <w:top w:val="single" w:sz="4" w:space="0" w:color="auto"/>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450"/>
        </w:trPr>
        <w:tc>
          <w:tcPr>
            <w:tcW w:w="996"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897" w:type="dxa"/>
            <w:vMerge/>
            <w:tcBorders>
              <w:top w:val="single" w:sz="4" w:space="0" w:color="auto"/>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450"/>
        </w:trPr>
        <w:tc>
          <w:tcPr>
            <w:tcW w:w="996"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897" w:type="dxa"/>
            <w:vMerge/>
            <w:tcBorders>
              <w:top w:val="single" w:sz="4" w:space="0" w:color="auto"/>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450"/>
        </w:trPr>
        <w:tc>
          <w:tcPr>
            <w:tcW w:w="996"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Benefit Amount</w:t>
            </w:r>
          </w:p>
        </w:tc>
        <w:tc>
          <w:tcPr>
            <w:tcW w:w="897"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 -</w:t>
            </w:r>
          </w:p>
        </w:tc>
        <w:tc>
          <w:tcPr>
            <w:tcW w:w="989"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€ 100</w:t>
            </w:r>
          </w:p>
        </w:tc>
        <w:tc>
          <w:tcPr>
            <w:tcW w:w="990"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€ 100</w:t>
            </w:r>
          </w:p>
        </w:tc>
        <w:tc>
          <w:tcPr>
            <w:tcW w:w="105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€ 100</w:t>
            </w:r>
          </w:p>
        </w:tc>
        <w:tc>
          <w:tcPr>
            <w:tcW w:w="1060"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€ 100</w:t>
            </w:r>
          </w:p>
        </w:tc>
        <w:tc>
          <w:tcPr>
            <w:tcW w:w="105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€ 500</w:t>
            </w:r>
          </w:p>
        </w:tc>
        <w:tc>
          <w:tcPr>
            <w:tcW w:w="1067"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€ 500</w:t>
            </w:r>
          </w:p>
        </w:tc>
        <w:tc>
          <w:tcPr>
            <w:tcW w:w="105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€ 500</w:t>
            </w:r>
          </w:p>
        </w:tc>
        <w:tc>
          <w:tcPr>
            <w:tcW w:w="1060"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€ 500</w:t>
            </w:r>
          </w:p>
        </w:tc>
      </w:tr>
      <w:tr w:rsidR="00ED3B1B" w:rsidRPr="00400D9F" w:rsidTr="00ED3B1B">
        <w:trPr>
          <w:trHeight w:val="450"/>
        </w:trPr>
        <w:tc>
          <w:tcPr>
            <w:tcW w:w="996"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89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450"/>
        </w:trPr>
        <w:tc>
          <w:tcPr>
            <w:tcW w:w="996"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89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244"/>
        </w:trPr>
        <w:tc>
          <w:tcPr>
            <w:tcW w:w="996" w:type="dxa"/>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p>
        </w:tc>
        <w:tc>
          <w:tcPr>
            <w:tcW w:w="897" w:type="dxa"/>
            <w:vMerge w:val="restart"/>
            <w:tcBorders>
              <w:top w:val="nil"/>
              <w:left w:val="nil"/>
              <w:bottom w:val="nil"/>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 -</w:t>
            </w:r>
          </w:p>
        </w:tc>
        <w:tc>
          <w:tcPr>
            <w:tcW w:w="98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yearly</w:t>
            </w:r>
          </w:p>
        </w:tc>
        <w:tc>
          <w:tcPr>
            <w:tcW w:w="990"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monthly</w:t>
            </w:r>
          </w:p>
        </w:tc>
        <w:tc>
          <w:tcPr>
            <w:tcW w:w="105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yearly</w:t>
            </w:r>
          </w:p>
        </w:tc>
        <w:tc>
          <w:tcPr>
            <w:tcW w:w="1060"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monthly</w:t>
            </w:r>
          </w:p>
        </w:tc>
        <w:tc>
          <w:tcPr>
            <w:tcW w:w="105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yearly</w:t>
            </w:r>
          </w:p>
        </w:tc>
        <w:tc>
          <w:tcPr>
            <w:tcW w:w="1067"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monthly</w:t>
            </w:r>
          </w:p>
        </w:tc>
        <w:tc>
          <w:tcPr>
            <w:tcW w:w="1059"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yearly</w:t>
            </w:r>
          </w:p>
        </w:tc>
        <w:tc>
          <w:tcPr>
            <w:tcW w:w="1060" w:type="dxa"/>
            <w:vMerge w:val="restart"/>
            <w:tcBorders>
              <w:top w:val="nil"/>
              <w:left w:val="nil"/>
              <w:bottom w:val="nil"/>
              <w:right w:val="nil"/>
            </w:tcBorders>
            <w:shd w:val="clear" w:color="auto" w:fill="auto"/>
            <w:noWrap/>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monthly</w:t>
            </w:r>
          </w:p>
        </w:tc>
      </w:tr>
      <w:tr w:rsidR="00ED3B1B" w:rsidRPr="00400D9F" w:rsidTr="00ED3B1B">
        <w:trPr>
          <w:trHeight w:val="244"/>
        </w:trPr>
        <w:tc>
          <w:tcPr>
            <w:tcW w:w="996" w:type="dxa"/>
            <w:tcBorders>
              <w:top w:val="nil"/>
              <w:left w:val="nil"/>
              <w:bottom w:val="nil"/>
              <w:right w:val="nil"/>
            </w:tcBorders>
            <w:shd w:val="clear" w:color="auto" w:fill="auto"/>
            <w:noWrap/>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Periodicity</w:t>
            </w:r>
          </w:p>
        </w:tc>
        <w:tc>
          <w:tcPr>
            <w:tcW w:w="89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244"/>
        </w:trPr>
        <w:tc>
          <w:tcPr>
            <w:tcW w:w="996" w:type="dxa"/>
            <w:tcBorders>
              <w:top w:val="nil"/>
              <w:left w:val="nil"/>
              <w:bottom w:val="nil"/>
              <w:right w:val="nil"/>
            </w:tcBorders>
            <w:shd w:val="clear" w:color="auto" w:fill="auto"/>
            <w:noWrap/>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89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8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99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7"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59"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c>
          <w:tcPr>
            <w:tcW w:w="1060" w:type="dxa"/>
            <w:vMerge/>
            <w:tcBorders>
              <w:top w:val="nil"/>
              <w:left w:val="nil"/>
              <w:bottom w:val="nil"/>
              <w:right w:val="nil"/>
            </w:tcBorders>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p>
        </w:tc>
      </w:tr>
      <w:tr w:rsidR="00ED3B1B" w:rsidRPr="00400D9F" w:rsidTr="00ED3B1B">
        <w:trPr>
          <w:trHeight w:val="450"/>
        </w:trPr>
        <w:tc>
          <w:tcPr>
            <w:tcW w:w="996"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Recipients</w:t>
            </w:r>
          </w:p>
        </w:tc>
        <w:tc>
          <w:tcPr>
            <w:tcW w:w="897"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 xml:space="preserve"> - </w:t>
            </w:r>
          </w:p>
        </w:tc>
        <w:tc>
          <w:tcPr>
            <w:tcW w:w="989"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all household members</w:t>
            </w:r>
          </w:p>
        </w:tc>
        <w:tc>
          <w:tcPr>
            <w:tcW w:w="990"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all household members</w:t>
            </w:r>
          </w:p>
        </w:tc>
        <w:tc>
          <w:tcPr>
            <w:tcW w:w="1059"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all household members</w:t>
            </w:r>
          </w:p>
        </w:tc>
        <w:tc>
          <w:tcPr>
            <w:tcW w:w="1060"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all household members</w:t>
            </w:r>
          </w:p>
        </w:tc>
        <w:tc>
          <w:tcPr>
            <w:tcW w:w="1059"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every child &lt; 1 year old</w:t>
            </w:r>
          </w:p>
        </w:tc>
        <w:tc>
          <w:tcPr>
            <w:tcW w:w="1067"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every child &lt; 1 year old</w:t>
            </w:r>
          </w:p>
        </w:tc>
        <w:tc>
          <w:tcPr>
            <w:tcW w:w="1059"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every child &lt; 5 years old</w:t>
            </w:r>
          </w:p>
        </w:tc>
        <w:tc>
          <w:tcPr>
            <w:tcW w:w="1060" w:type="dxa"/>
            <w:vMerge w:val="restart"/>
            <w:tcBorders>
              <w:top w:val="nil"/>
              <w:left w:val="nil"/>
              <w:bottom w:val="single" w:sz="4" w:space="0" w:color="000000"/>
              <w:right w:val="nil"/>
            </w:tcBorders>
            <w:shd w:val="clear" w:color="auto" w:fill="auto"/>
            <w:vAlign w:val="center"/>
            <w:hideMark/>
          </w:tcPr>
          <w:p w:rsidR="00ED3B1B" w:rsidRPr="001808EF" w:rsidRDefault="00ED3B1B" w:rsidP="00ED3B1B">
            <w:pPr>
              <w:spacing w:after="0" w:line="240" w:lineRule="auto"/>
              <w:jc w:val="center"/>
              <w:rPr>
                <w:rFonts w:ascii="Calibri" w:eastAsia="Times New Roman" w:hAnsi="Calibri" w:cs="Calibri"/>
                <w:color w:val="000000"/>
                <w:sz w:val="18"/>
                <w:szCs w:val="18"/>
                <w:lang w:eastAsia="en-GB"/>
              </w:rPr>
            </w:pPr>
            <w:r w:rsidRPr="001808EF">
              <w:rPr>
                <w:rFonts w:ascii="Calibri" w:eastAsia="Times New Roman" w:hAnsi="Calibri" w:cs="Calibri"/>
                <w:color w:val="000000"/>
                <w:sz w:val="18"/>
                <w:szCs w:val="18"/>
                <w:lang w:eastAsia="en-GB"/>
              </w:rPr>
              <w:t>every child &lt; 5 years old</w:t>
            </w:r>
          </w:p>
        </w:tc>
      </w:tr>
      <w:tr w:rsidR="00ED3B1B" w:rsidRPr="00400D9F" w:rsidTr="00ED3B1B">
        <w:trPr>
          <w:trHeight w:val="450"/>
        </w:trPr>
        <w:tc>
          <w:tcPr>
            <w:tcW w:w="996"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897"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98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990"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5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60"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5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67"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5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60"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r>
      <w:tr w:rsidR="00ED3B1B" w:rsidRPr="00400D9F" w:rsidTr="00ED3B1B">
        <w:trPr>
          <w:trHeight w:val="450"/>
        </w:trPr>
        <w:tc>
          <w:tcPr>
            <w:tcW w:w="996"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897"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98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990"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5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60"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5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67"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59"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c>
          <w:tcPr>
            <w:tcW w:w="1060" w:type="dxa"/>
            <w:vMerge/>
            <w:tcBorders>
              <w:top w:val="nil"/>
              <w:left w:val="nil"/>
              <w:bottom w:val="single" w:sz="4" w:space="0" w:color="000000"/>
              <w:right w:val="nil"/>
            </w:tcBorders>
            <w:vAlign w:val="center"/>
            <w:hideMark/>
          </w:tcPr>
          <w:p w:rsidR="00ED3B1B" w:rsidRPr="00400D9F" w:rsidRDefault="00ED3B1B" w:rsidP="00ED3B1B">
            <w:pPr>
              <w:spacing w:after="0" w:line="240" w:lineRule="auto"/>
              <w:rPr>
                <w:rFonts w:ascii="Arial" w:eastAsia="Times New Roman" w:hAnsi="Arial" w:cs="Arial"/>
                <w:color w:val="000000"/>
                <w:sz w:val="18"/>
                <w:szCs w:val="18"/>
                <w:lang w:eastAsia="en-GB"/>
              </w:rPr>
            </w:pPr>
          </w:p>
        </w:tc>
      </w:tr>
    </w:tbl>
    <w:p w:rsidR="00ED3B1B" w:rsidRDefault="00ED3B1B" w:rsidP="00ED3B1B">
      <w:pPr>
        <w:spacing w:line="480" w:lineRule="auto"/>
        <w:rPr>
          <w:rFonts w:cstheme="minorHAnsi"/>
          <w:b/>
          <w:sz w:val="24"/>
          <w:szCs w:val="24"/>
        </w:rPr>
      </w:pPr>
      <w:r w:rsidRPr="00B771EE">
        <w:rPr>
          <w:b/>
          <w:sz w:val="24"/>
        </w:rPr>
        <w:t xml:space="preserve">Table </w:t>
      </w:r>
      <w:r w:rsidR="00A70CED">
        <w:rPr>
          <w:b/>
          <w:sz w:val="24"/>
        </w:rPr>
        <w:t>S</w:t>
      </w:r>
      <w:r w:rsidRPr="00B771EE">
        <w:rPr>
          <w:b/>
          <w:sz w:val="24"/>
        </w:rPr>
        <w:t xml:space="preserve">1 </w:t>
      </w:r>
      <w:r w:rsidRPr="004207B6">
        <w:rPr>
          <w:rFonts w:cstheme="minorHAnsi"/>
          <w:b/>
          <w:sz w:val="24"/>
          <w:szCs w:val="24"/>
        </w:rPr>
        <w:t>Simulated tax-benefit scenarios</w:t>
      </w:r>
    </w:p>
    <w:p w:rsidR="00125AB6" w:rsidRDefault="00ED3B1B" w:rsidP="00125AB6">
      <w:pPr>
        <w:spacing w:line="360" w:lineRule="auto"/>
        <w:jc w:val="both"/>
        <w:rPr>
          <w:rFonts w:eastAsia="Times New Roman" w:cstheme="minorHAnsi"/>
          <w:i/>
          <w:color w:val="000000"/>
          <w:sz w:val="20"/>
          <w:szCs w:val="16"/>
          <w:lang w:eastAsia="en-GB"/>
        </w:rPr>
      </w:pPr>
      <w:r w:rsidRPr="001D44DB">
        <w:rPr>
          <w:rFonts w:eastAsia="Times New Roman" w:cstheme="minorHAnsi"/>
          <w:i/>
          <w:color w:val="000000"/>
          <w:sz w:val="20"/>
          <w:szCs w:val="16"/>
          <w:lang w:eastAsia="en-GB"/>
        </w:rPr>
        <w:t>Note:</w:t>
      </w:r>
      <w:r w:rsidRPr="006D1AD7">
        <w:rPr>
          <w:rFonts w:eastAsia="Times New Roman" w:cstheme="minorHAnsi"/>
          <w:i/>
          <w:color w:val="000000"/>
          <w:sz w:val="20"/>
          <w:szCs w:val="16"/>
          <w:lang w:eastAsia="en-GB"/>
        </w:rPr>
        <w:t xml:space="preserve"> Each simulated fiscal policy has two levels of intensity keeping other features fixed. </w:t>
      </w:r>
      <w:r>
        <w:rPr>
          <w:rFonts w:eastAsia="Times New Roman" w:cstheme="minorHAnsi"/>
          <w:i/>
          <w:color w:val="000000"/>
          <w:sz w:val="20"/>
          <w:szCs w:val="16"/>
          <w:lang w:eastAsia="en-GB"/>
        </w:rPr>
        <w:t>The same benefit amount is given once a year or once a month.</w:t>
      </w:r>
    </w:p>
    <w:p w:rsidR="00C2678F" w:rsidRPr="004207B6" w:rsidRDefault="00C2678F" w:rsidP="00C2678F">
      <w:pPr>
        <w:spacing w:line="480" w:lineRule="auto"/>
        <w:rPr>
          <w:rFonts w:cstheme="minorHAnsi"/>
          <w:b/>
          <w:sz w:val="24"/>
          <w:szCs w:val="24"/>
        </w:rPr>
      </w:pPr>
      <w:r w:rsidRPr="004207B6">
        <w:rPr>
          <w:rFonts w:cstheme="minorHAnsi"/>
          <w:b/>
          <w:sz w:val="24"/>
          <w:szCs w:val="24"/>
        </w:rPr>
        <w:lastRenderedPageBreak/>
        <w:t xml:space="preserve">Figure </w:t>
      </w:r>
      <w:r w:rsidR="00A70CED">
        <w:rPr>
          <w:rFonts w:cstheme="minorHAnsi"/>
          <w:b/>
          <w:sz w:val="24"/>
          <w:szCs w:val="24"/>
        </w:rPr>
        <w:t>S</w:t>
      </w:r>
      <w:r w:rsidRPr="004207B6">
        <w:rPr>
          <w:rFonts w:cstheme="minorHAnsi"/>
          <w:b/>
          <w:sz w:val="24"/>
          <w:szCs w:val="24"/>
        </w:rPr>
        <w:t xml:space="preserve">2 Kernel Density </w:t>
      </w:r>
      <w:r>
        <w:rPr>
          <w:rFonts w:cstheme="minorHAnsi"/>
          <w:b/>
          <w:sz w:val="24"/>
          <w:szCs w:val="24"/>
        </w:rPr>
        <w:t>plots</w:t>
      </w:r>
      <w:r w:rsidRPr="004207B6">
        <w:rPr>
          <w:rFonts w:cstheme="minorHAnsi"/>
          <w:b/>
          <w:sz w:val="24"/>
          <w:szCs w:val="24"/>
        </w:rPr>
        <w:t xml:space="preserve"> of</w:t>
      </w:r>
      <w:r w:rsidRPr="00573BE4">
        <w:rPr>
          <w:b/>
          <w:sz w:val="24"/>
        </w:rPr>
        <w:t xml:space="preserve"> the </w:t>
      </w:r>
      <w:r w:rsidRPr="004207B6">
        <w:rPr>
          <w:rFonts w:cstheme="minorHAnsi"/>
          <w:b/>
          <w:sz w:val="24"/>
          <w:szCs w:val="24"/>
        </w:rPr>
        <w:t xml:space="preserve">distribution of the logarithm of equivalised disposable income, </w:t>
      </w:r>
      <w:r>
        <w:rPr>
          <w:rFonts w:cstheme="minorHAnsi"/>
          <w:b/>
          <w:sz w:val="24"/>
          <w:szCs w:val="24"/>
        </w:rPr>
        <w:t xml:space="preserve">and </w:t>
      </w:r>
      <w:r w:rsidRPr="00573BE4">
        <w:rPr>
          <w:b/>
          <w:sz w:val="24"/>
        </w:rPr>
        <w:t xml:space="preserve">BMI </w:t>
      </w:r>
      <w:r w:rsidRPr="004207B6">
        <w:rPr>
          <w:rFonts w:cstheme="minorHAnsi"/>
          <w:b/>
          <w:sz w:val="24"/>
          <w:szCs w:val="24"/>
        </w:rPr>
        <w:t>at 48, 84, and 120 months of age</w:t>
      </w:r>
    </w:p>
    <w:p w:rsidR="00125AB6" w:rsidRPr="003E4D66" w:rsidRDefault="00125AB6" w:rsidP="00125AB6">
      <w:pPr>
        <w:spacing w:line="360" w:lineRule="auto"/>
        <w:jc w:val="center"/>
        <w:rPr>
          <w:rFonts w:cstheme="minorHAnsi"/>
          <w:b/>
          <w:sz w:val="24"/>
          <w:szCs w:val="24"/>
        </w:rPr>
      </w:pPr>
      <w:r w:rsidRPr="003E4D66">
        <w:rPr>
          <w:rFonts w:cstheme="minorHAnsi"/>
          <w:b/>
          <w:noProof/>
          <w:sz w:val="24"/>
          <w:szCs w:val="24"/>
          <w:lang w:eastAsia="en-GB"/>
        </w:rPr>
        <w:drawing>
          <wp:inline distT="0" distB="0" distL="0" distR="0" wp14:anchorId="27ADAF52" wp14:editId="4D2B9968">
            <wp:extent cx="4768358" cy="479480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1604" cy="4798066"/>
                    </a:xfrm>
                    <a:prstGeom prst="rect">
                      <a:avLst/>
                    </a:prstGeom>
                    <a:noFill/>
                    <a:ln>
                      <a:noFill/>
                    </a:ln>
                  </pic:spPr>
                </pic:pic>
              </a:graphicData>
            </a:graphic>
          </wp:inline>
        </w:drawing>
      </w:r>
    </w:p>
    <w:p w:rsidR="00C2678F" w:rsidRPr="00802113" w:rsidRDefault="00C2678F" w:rsidP="00C2678F">
      <w:pPr>
        <w:spacing w:line="480" w:lineRule="auto"/>
        <w:jc w:val="both"/>
        <w:rPr>
          <w:i/>
          <w:sz w:val="20"/>
          <w:szCs w:val="20"/>
        </w:rPr>
      </w:pPr>
      <w:r w:rsidRPr="00802113">
        <w:rPr>
          <w:rFonts w:cstheme="minorHAnsi"/>
          <w:i/>
          <w:sz w:val="20"/>
          <w:szCs w:val="20"/>
        </w:rPr>
        <w:t>Note: Black curve = distribution at baseline. Red curve= distribution after corresponding benefit policy simulation.</w:t>
      </w:r>
    </w:p>
    <w:p w:rsidR="0001726D" w:rsidRDefault="0001726D"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Data sources, inputs, outputs, and other parameters</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The structure of the concatenated regressions models used in M2 and fitted on the NINFEA data is described in the following equations:  </w:t>
      </w:r>
    </w:p>
    <w:p w:rsidR="00125AB6" w:rsidRPr="003E4D66" w:rsidRDefault="00125AB6" w:rsidP="00125AB6">
      <w:pPr>
        <w:spacing w:after="0" w:line="240" w:lineRule="auto"/>
        <w:rPr>
          <w:rFonts w:eastAsia="Times New Roman" w:cstheme="minorHAnsi"/>
          <w:i/>
          <w:sz w:val="24"/>
          <w:szCs w:val="24"/>
          <w:vertAlign w:val="subscript"/>
          <w:lang w:val="en-US" w:eastAsia="it-IT"/>
        </w:rPr>
      </w:pPr>
      <w:r w:rsidRPr="003E4D66">
        <w:rPr>
          <w:rFonts w:eastAsia="Times New Roman" w:cstheme="minorHAnsi"/>
          <w:i/>
          <w:sz w:val="24"/>
          <w:szCs w:val="24"/>
          <w:lang w:val="en-US" w:eastAsia="it-IT"/>
        </w:rPr>
        <w:t xml:space="preserve">1) GA = α +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r w:rsidRPr="003E4D66">
        <w:rPr>
          <w:rFonts w:eastAsia="Times New Roman" w:cstheme="minorHAnsi"/>
          <w:i/>
          <w:sz w:val="24"/>
          <w:szCs w:val="24"/>
          <w:vertAlign w:val="subscript"/>
          <w:lang w:val="en-US" w:eastAsia="it-IT"/>
        </w:rPr>
        <w:t xml:space="preserve"> </w:t>
      </w:r>
    </w:p>
    <w:p w:rsidR="00125AB6" w:rsidRPr="003E4D66" w:rsidRDefault="00125AB6" w:rsidP="00125AB6">
      <w:pPr>
        <w:spacing w:after="0" w:line="240" w:lineRule="auto"/>
        <w:rPr>
          <w:rFonts w:eastAsia="Times New Roman" w:cstheme="minorHAnsi"/>
          <w:i/>
          <w:sz w:val="24"/>
          <w:szCs w:val="24"/>
          <w:lang w:val="en-US" w:eastAsia="it-IT"/>
        </w:rPr>
      </w:pPr>
      <w:r w:rsidRPr="003E4D66">
        <w:rPr>
          <w:rFonts w:eastAsia="Times New Roman" w:cstheme="minorHAnsi"/>
          <w:i/>
          <w:sz w:val="24"/>
          <w:szCs w:val="24"/>
          <w:lang w:val="en-US" w:eastAsia="it-IT"/>
        </w:rPr>
        <w:t>2) BW=</w:t>
      </w:r>
      <w:r w:rsidRPr="003E4D66">
        <w:rPr>
          <w:rFonts w:cstheme="minorHAnsi"/>
          <w:sz w:val="24"/>
          <w:szCs w:val="24"/>
        </w:rPr>
        <w:t xml:space="preserve"> </w:t>
      </w:r>
      <w:r w:rsidRPr="003E4D66">
        <w:rPr>
          <w:rFonts w:eastAsia="Times New Roman" w:cstheme="minorHAnsi"/>
          <w:i/>
          <w:sz w:val="24"/>
          <w:szCs w:val="24"/>
          <w:lang w:val="en-US" w:eastAsia="it-IT"/>
        </w:rPr>
        <w:t>α + β</w:t>
      </w:r>
      <w:r w:rsidRPr="003E4D66">
        <w:rPr>
          <w:rFonts w:eastAsia="Times New Roman" w:cstheme="minorHAnsi"/>
          <w:i/>
          <w:sz w:val="24"/>
          <w:szCs w:val="24"/>
          <w:vertAlign w:val="subscript"/>
          <w:lang w:val="en-US" w:eastAsia="it-IT"/>
        </w:rPr>
        <w:t>1</w:t>
      </w:r>
      <w:r w:rsidRPr="003E4D66">
        <w:rPr>
          <w:rFonts w:eastAsia="Times New Roman" w:cstheme="minorHAnsi"/>
          <w:i/>
          <w:sz w:val="24"/>
          <w:szCs w:val="24"/>
          <w:lang w:val="en-US" w:eastAsia="it-IT"/>
        </w:rPr>
        <w:t xml:space="preserve">GA +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p>
    <w:p w:rsidR="00125AB6" w:rsidRPr="003E4D66" w:rsidRDefault="00125AB6" w:rsidP="00125AB6">
      <w:pPr>
        <w:spacing w:after="0" w:line="240" w:lineRule="auto"/>
        <w:rPr>
          <w:rFonts w:eastAsia="Times New Roman" w:cstheme="minorHAnsi"/>
          <w:i/>
          <w:sz w:val="24"/>
          <w:szCs w:val="24"/>
          <w:lang w:val="en-US" w:eastAsia="it-IT"/>
        </w:rPr>
      </w:pPr>
      <w:r w:rsidRPr="003E4D66">
        <w:rPr>
          <w:rFonts w:eastAsia="Times New Roman" w:cstheme="minorHAnsi"/>
          <w:i/>
          <w:sz w:val="24"/>
          <w:szCs w:val="24"/>
          <w:lang w:val="en-US" w:eastAsia="it-IT"/>
        </w:rPr>
        <w:t>3) WT</w:t>
      </w:r>
      <w:r w:rsidRPr="003E4D66">
        <w:rPr>
          <w:rFonts w:eastAsia="Times New Roman" w:cstheme="minorHAnsi"/>
          <w:i/>
          <w:sz w:val="24"/>
          <w:szCs w:val="24"/>
          <w:vertAlign w:val="subscript"/>
          <w:lang w:val="en-US" w:eastAsia="it-IT"/>
        </w:rPr>
        <w:t>6m</w:t>
      </w:r>
      <w:r w:rsidRPr="003E4D66">
        <w:rPr>
          <w:rFonts w:eastAsia="Times New Roman" w:cstheme="minorHAnsi"/>
          <w:i/>
          <w:sz w:val="24"/>
          <w:szCs w:val="24"/>
          <w:lang w:val="en-US" w:eastAsia="it-IT"/>
        </w:rPr>
        <w:t>= α + β</w:t>
      </w:r>
      <w:r w:rsidRPr="003E4D66">
        <w:rPr>
          <w:rFonts w:eastAsia="Times New Roman" w:cstheme="minorHAnsi"/>
          <w:i/>
          <w:sz w:val="24"/>
          <w:szCs w:val="24"/>
          <w:vertAlign w:val="subscript"/>
          <w:lang w:val="en-US" w:eastAsia="it-IT"/>
        </w:rPr>
        <w:t>1</w:t>
      </w:r>
      <w:r w:rsidRPr="003E4D66">
        <w:rPr>
          <w:rFonts w:eastAsia="Times New Roman" w:cstheme="minorHAnsi"/>
          <w:i/>
          <w:sz w:val="24"/>
          <w:szCs w:val="24"/>
          <w:lang w:val="en-US" w:eastAsia="it-IT"/>
        </w:rPr>
        <w:t>BW + β</w:t>
      </w:r>
      <w:r w:rsidRPr="003E4D66">
        <w:rPr>
          <w:rFonts w:eastAsia="Times New Roman" w:cstheme="minorHAnsi"/>
          <w:i/>
          <w:sz w:val="24"/>
          <w:szCs w:val="24"/>
          <w:vertAlign w:val="subscript"/>
          <w:lang w:val="en-US" w:eastAsia="it-IT"/>
        </w:rPr>
        <w:t>2</w:t>
      </w:r>
      <w:r w:rsidRPr="003E4D66">
        <w:rPr>
          <w:rFonts w:eastAsia="Times New Roman" w:cstheme="minorHAnsi"/>
          <w:i/>
          <w:sz w:val="24"/>
          <w:szCs w:val="24"/>
          <w:lang w:val="en-US" w:eastAsia="it-IT"/>
        </w:rPr>
        <w:t xml:space="preserve">GA +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p>
    <w:p w:rsidR="00125AB6" w:rsidRPr="003E4D66" w:rsidRDefault="00125AB6" w:rsidP="00125AB6">
      <w:pPr>
        <w:spacing w:after="0" w:line="240" w:lineRule="auto"/>
        <w:rPr>
          <w:rFonts w:eastAsia="Times New Roman" w:cstheme="minorHAnsi"/>
          <w:i/>
          <w:sz w:val="24"/>
          <w:szCs w:val="24"/>
          <w:lang w:val="en-US" w:eastAsia="it-IT"/>
        </w:rPr>
      </w:pPr>
      <w:r w:rsidRPr="003E4D66">
        <w:rPr>
          <w:rFonts w:eastAsia="Times New Roman" w:cstheme="minorHAnsi"/>
          <w:i/>
          <w:sz w:val="24"/>
          <w:szCs w:val="24"/>
          <w:lang w:val="en-US" w:eastAsia="it-IT"/>
        </w:rPr>
        <w:t>4) WT</w:t>
      </w:r>
      <w:r w:rsidRPr="003E4D66">
        <w:rPr>
          <w:rFonts w:eastAsia="Times New Roman" w:cstheme="minorHAnsi"/>
          <w:i/>
          <w:sz w:val="24"/>
          <w:szCs w:val="24"/>
          <w:vertAlign w:val="subscript"/>
          <w:lang w:val="en-US" w:eastAsia="it-IT"/>
        </w:rPr>
        <w:t>18m</w:t>
      </w:r>
      <w:r w:rsidRPr="003E4D66">
        <w:rPr>
          <w:rFonts w:eastAsia="Times New Roman" w:cstheme="minorHAnsi"/>
          <w:i/>
          <w:sz w:val="24"/>
          <w:szCs w:val="24"/>
          <w:lang w:val="en-US" w:eastAsia="it-IT"/>
        </w:rPr>
        <w:t>= α + β</w:t>
      </w:r>
      <w:r w:rsidRPr="003E4D66">
        <w:rPr>
          <w:rFonts w:eastAsia="Times New Roman" w:cstheme="minorHAnsi"/>
          <w:i/>
          <w:sz w:val="24"/>
          <w:szCs w:val="24"/>
          <w:vertAlign w:val="subscript"/>
          <w:lang w:val="en-US" w:eastAsia="it-IT"/>
        </w:rPr>
        <w:t>1</w:t>
      </w:r>
      <w:r w:rsidRPr="003E4D66">
        <w:rPr>
          <w:rFonts w:eastAsia="Times New Roman" w:cstheme="minorHAnsi"/>
          <w:i/>
          <w:sz w:val="24"/>
          <w:szCs w:val="24"/>
          <w:lang w:val="en-US" w:eastAsia="it-IT"/>
        </w:rPr>
        <w:t>WT</w:t>
      </w:r>
      <w:r w:rsidRPr="003E4D66">
        <w:rPr>
          <w:rFonts w:eastAsia="Times New Roman" w:cstheme="minorHAnsi"/>
          <w:i/>
          <w:sz w:val="24"/>
          <w:szCs w:val="24"/>
          <w:vertAlign w:val="subscript"/>
          <w:lang w:val="en-US" w:eastAsia="it-IT"/>
        </w:rPr>
        <w:t>6m</w:t>
      </w:r>
      <w:r w:rsidRPr="003E4D66">
        <w:rPr>
          <w:rFonts w:eastAsia="Times New Roman" w:cstheme="minorHAnsi"/>
          <w:i/>
          <w:sz w:val="24"/>
          <w:szCs w:val="24"/>
          <w:lang w:val="en-US" w:eastAsia="it-IT"/>
        </w:rPr>
        <w:t xml:space="preserve"> + β</w:t>
      </w:r>
      <w:r w:rsidRPr="003E4D66">
        <w:rPr>
          <w:rFonts w:eastAsia="Times New Roman" w:cstheme="minorHAnsi"/>
          <w:i/>
          <w:sz w:val="24"/>
          <w:szCs w:val="24"/>
          <w:vertAlign w:val="subscript"/>
          <w:lang w:val="en-US" w:eastAsia="it-IT"/>
        </w:rPr>
        <w:t>2</w:t>
      </w:r>
      <w:r w:rsidRPr="003E4D66">
        <w:rPr>
          <w:rFonts w:eastAsia="Times New Roman" w:cstheme="minorHAnsi"/>
          <w:i/>
          <w:sz w:val="24"/>
          <w:szCs w:val="24"/>
          <w:lang w:val="en-US" w:eastAsia="it-IT"/>
        </w:rPr>
        <w:t xml:space="preserve">BW +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p>
    <w:p w:rsidR="00125AB6" w:rsidRPr="003E4D66" w:rsidRDefault="00125AB6" w:rsidP="00125AB6">
      <w:pPr>
        <w:spacing w:after="0" w:line="240" w:lineRule="auto"/>
        <w:rPr>
          <w:rFonts w:eastAsia="Times New Roman" w:cstheme="minorHAnsi"/>
          <w:i/>
          <w:sz w:val="24"/>
          <w:szCs w:val="24"/>
          <w:lang w:val="en-US" w:eastAsia="it-IT"/>
        </w:rPr>
      </w:pPr>
      <w:r w:rsidRPr="003E4D66">
        <w:rPr>
          <w:rFonts w:eastAsia="Times New Roman" w:cstheme="minorHAnsi"/>
          <w:i/>
          <w:sz w:val="24"/>
          <w:szCs w:val="24"/>
          <w:lang w:val="en-US" w:eastAsia="it-IT"/>
        </w:rPr>
        <w:t>5) BMI</w:t>
      </w:r>
      <w:r w:rsidRPr="003E4D66">
        <w:rPr>
          <w:rFonts w:eastAsia="Times New Roman" w:cstheme="minorHAnsi"/>
          <w:i/>
          <w:sz w:val="24"/>
          <w:szCs w:val="24"/>
          <w:vertAlign w:val="subscript"/>
          <w:lang w:val="en-US" w:eastAsia="it-IT"/>
        </w:rPr>
        <w:t>48m</w:t>
      </w:r>
      <w:r w:rsidRPr="003E4D66">
        <w:rPr>
          <w:rFonts w:eastAsia="Times New Roman" w:cstheme="minorHAnsi"/>
          <w:i/>
          <w:sz w:val="24"/>
          <w:szCs w:val="24"/>
          <w:lang w:val="en-US" w:eastAsia="it-IT"/>
        </w:rPr>
        <w:t>= α + β</w:t>
      </w:r>
      <w:r w:rsidRPr="003E4D66">
        <w:rPr>
          <w:rFonts w:eastAsia="Times New Roman" w:cstheme="minorHAnsi"/>
          <w:i/>
          <w:sz w:val="24"/>
          <w:szCs w:val="24"/>
          <w:vertAlign w:val="subscript"/>
          <w:lang w:val="en-US" w:eastAsia="it-IT"/>
        </w:rPr>
        <w:t>1</w:t>
      </w:r>
      <w:r w:rsidRPr="003E4D66">
        <w:rPr>
          <w:rFonts w:eastAsia="Times New Roman" w:cstheme="minorHAnsi"/>
          <w:i/>
          <w:sz w:val="24"/>
          <w:szCs w:val="24"/>
          <w:lang w:val="en-US" w:eastAsia="it-IT"/>
        </w:rPr>
        <w:t>WT</w:t>
      </w:r>
      <w:r w:rsidRPr="003E4D66">
        <w:rPr>
          <w:rFonts w:eastAsia="Times New Roman" w:cstheme="minorHAnsi"/>
          <w:i/>
          <w:sz w:val="24"/>
          <w:szCs w:val="24"/>
          <w:vertAlign w:val="subscript"/>
          <w:lang w:val="en-US" w:eastAsia="it-IT"/>
        </w:rPr>
        <w:t xml:space="preserve">18m </w:t>
      </w:r>
      <w:r w:rsidRPr="003E4D66">
        <w:rPr>
          <w:rFonts w:eastAsia="Times New Roman" w:cstheme="minorHAnsi"/>
          <w:sz w:val="24"/>
          <w:szCs w:val="24"/>
          <w:lang w:val="en-US" w:eastAsia="it-IT"/>
        </w:rPr>
        <w:t>+</w:t>
      </w:r>
      <w:r w:rsidRPr="003E4D66">
        <w:rPr>
          <w:rFonts w:eastAsia="Times New Roman" w:cstheme="minorHAnsi"/>
          <w:i/>
          <w:sz w:val="24"/>
          <w:szCs w:val="24"/>
          <w:lang w:val="en-US" w:eastAsia="it-IT"/>
        </w:rPr>
        <w:t xml:space="preserve"> β</w:t>
      </w:r>
      <w:r w:rsidRPr="003E4D66">
        <w:rPr>
          <w:rFonts w:eastAsia="Times New Roman" w:cstheme="minorHAnsi"/>
          <w:i/>
          <w:sz w:val="24"/>
          <w:szCs w:val="24"/>
          <w:vertAlign w:val="subscript"/>
          <w:lang w:val="en-US" w:eastAsia="it-IT"/>
        </w:rPr>
        <w:t>2</w:t>
      </w:r>
      <w:r w:rsidRPr="003E4D66">
        <w:rPr>
          <w:rFonts w:eastAsia="Times New Roman" w:cstheme="minorHAnsi"/>
          <w:i/>
          <w:sz w:val="24"/>
          <w:szCs w:val="24"/>
          <w:lang w:val="en-US" w:eastAsia="it-IT"/>
        </w:rPr>
        <w:t>WT</w:t>
      </w:r>
      <w:r w:rsidRPr="003E4D66">
        <w:rPr>
          <w:rFonts w:eastAsia="Times New Roman" w:cstheme="minorHAnsi"/>
          <w:i/>
          <w:sz w:val="24"/>
          <w:szCs w:val="24"/>
          <w:vertAlign w:val="subscript"/>
          <w:lang w:val="en-US" w:eastAsia="it-IT"/>
        </w:rPr>
        <w:t>6m</w:t>
      </w:r>
      <w:r w:rsidRPr="003E4D66">
        <w:rPr>
          <w:rFonts w:eastAsia="Times New Roman" w:cstheme="minorHAnsi"/>
          <w:i/>
          <w:sz w:val="24"/>
          <w:szCs w:val="24"/>
          <w:lang w:val="en-US" w:eastAsia="it-IT"/>
        </w:rPr>
        <w:t xml:space="preserve"> +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p>
    <w:p w:rsidR="00125AB6" w:rsidRPr="003E4D66" w:rsidRDefault="00125AB6" w:rsidP="00125AB6">
      <w:pPr>
        <w:spacing w:after="0" w:line="240" w:lineRule="auto"/>
        <w:rPr>
          <w:rFonts w:eastAsia="Times New Roman" w:cstheme="minorHAnsi"/>
          <w:i/>
          <w:sz w:val="24"/>
          <w:szCs w:val="24"/>
          <w:lang w:val="en-US" w:eastAsia="it-IT"/>
        </w:rPr>
      </w:pPr>
      <w:r w:rsidRPr="003E4D66">
        <w:rPr>
          <w:rFonts w:eastAsia="Times New Roman" w:cstheme="minorHAnsi"/>
          <w:i/>
          <w:sz w:val="24"/>
          <w:szCs w:val="24"/>
          <w:lang w:val="en-US" w:eastAsia="it-IT"/>
        </w:rPr>
        <w:t>6) BMI</w:t>
      </w:r>
      <w:r w:rsidRPr="003E4D66">
        <w:rPr>
          <w:rFonts w:eastAsia="Times New Roman" w:cstheme="minorHAnsi"/>
          <w:i/>
          <w:sz w:val="24"/>
          <w:szCs w:val="24"/>
          <w:vertAlign w:val="subscript"/>
          <w:lang w:val="en-US" w:eastAsia="it-IT"/>
        </w:rPr>
        <w:t>84m</w:t>
      </w:r>
      <w:r w:rsidRPr="003E4D66">
        <w:rPr>
          <w:rFonts w:eastAsia="Times New Roman" w:cstheme="minorHAnsi"/>
          <w:i/>
          <w:sz w:val="24"/>
          <w:szCs w:val="24"/>
          <w:lang w:val="en-US" w:eastAsia="it-IT"/>
        </w:rPr>
        <w:t>= α + β</w:t>
      </w:r>
      <w:r w:rsidRPr="003E4D66">
        <w:rPr>
          <w:rFonts w:eastAsia="Times New Roman" w:cstheme="minorHAnsi"/>
          <w:i/>
          <w:sz w:val="24"/>
          <w:szCs w:val="24"/>
          <w:vertAlign w:val="subscript"/>
          <w:lang w:val="en-US" w:eastAsia="it-IT"/>
        </w:rPr>
        <w:t>1</w:t>
      </w:r>
      <w:r w:rsidRPr="003E4D66">
        <w:rPr>
          <w:rFonts w:eastAsia="Times New Roman" w:cstheme="minorHAnsi"/>
          <w:i/>
          <w:sz w:val="24"/>
          <w:szCs w:val="24"/>
          <w:lang w:val="en-US" w:eastAsia="it-IT"/>
        </w:rPr>
        <w:t>BMI</w:t>
      </w:r>
      <w:r w:rsidRPr="003E4D66">
        <w:rPr>
          <w:rFonts w:eastAsia="Times New Roman" w:cstheme="minorHAnsi"/>
          <w:i/>
          <w:sz w:val="24"/>
          <w:szCs w:val="24"/>
          <w:vertAlign w:val="subscript"/>
          <w:lang w:val="en-US" w:eastAsia="it-IT"/>
        </w:rPr>
        <w:t>48m</w:t>
      </w:r>
      <w:r w:rsidRPr="003E4D66">
        <w:rPr>
          <w:rFonts w:eastAsia="Times New Roman" w:cstheme="minorHAnsi"/>
          <w:i/>
          <w:sz w:val="24"/>
          <w:szCs w:val="24"/>
          <w:lang w:val="en-US" w:eastAsia="it-IT"/>
        </w:rPr>
        <w:t xml:space="preserve"> + β</w:t>
      </w:r>
      <w:r w:rsidRPr="003E4D66">
        <w:rPr>
          <w:rFonts w:eastAsia="Times New Roman" w:cstheme="minorHAnsi"/>
          <w:i/>
          <w:sz w:val="24"/>
          <w:szCs w:val="24"/>
          <w:vertAlign w:val="subscript"/>
          <w:lang w:val="en-US" w:eastAsia="it-IT"/>
        </w:rPr>
        <w:t>2</w:t>
      </w:r>
      <w:r w:rsidRPr="003E4D66">
        <w:rPr>
          <w:rFonts w:eastAsia="Times New Roman" w:cstheme="minorHAnsi"/>
          <w:i/>
          <w:sz w:val="24"/>
          <w:szCs w:val="24"/>
          <w:lang w:val="en-US" w:eastAsia="it-IT"/>
        </w:rPr>
        <w:t>WT</w:t>
      </w:r>
      <w:r w:rsidRPr="003E4D66">
        <w:rPr>
          <w:rFonts w:eastAsia="Times New Roman" w:cstheme="minorHAnsi"/>
          <w:i/>
          <w:sz w:val="24"/>
          <w:szCs w:val="24"/>
          <w:vertAlign w:val="subscript"/>
          <w:lang w:val="en-US" w:eastAsia="it-IT"/>
        </w:rPr>
        <w:t xml:space="preserve">18m </w:t>
      </w:r>
      <w:r w:rsidRPr="003E4D66">
        <w:rPr>
          <w:rFonts w:eastAsia="Times New Roman" w:cstheme="minorHAnsi"/>
          <w:i/>
          <w:sz w:val="24"/>
          <w:szCs w:val="24"/>
          <w:lang w:val="en-US" w:eastAsia="it-IT"/>
        </w:rPr>
        <w:t xml:space="preserve">+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p>
    <w:p w:rsidR="00125AB6" w:rsidRPr="003E4D66" w:rsidRDefault="00125AB6" w:rsidP="00125AB6">
      <w:pPr>
        <w:spacing w:after="0" w:line="240" w:lineRule="auto"/>
        <w:rPr>
          <w:rFonts w:eastAsia="Times New Roman" w:cstheme="minorHAnsi"/>
          <w:i/>
          <w:sz w:val="24"/>
          <w:szCs w:val="24"/>
          <w:lang w:val="en-US" w:eastAsia="it-IT"/>
        </w:rPr>
      </w:pPr>
      <w:r w:rsidRPr="003E4D66">
        <w:rPr>
          <w:rFonts w:eastAsia="Times New Roman" w:cstheme="minorHAnsi"/>
          <w:i/>
          <w:sz w:val="24"/>
          <w:szCs w:val="24"/>
          <w:lang w:val="en-US" w:eastAsia="it-IT"/>
        </w:rPr>
        <w:t>7) BMI</w:t>
      </w:r>
      <w:r w:rsidRPr="003E4D66">
        <w:rPr>
          <w:rFonts w:eastAsia="Times New Roman" w:cstheme="minorHAnsi"/>
          <w:i/>
          <w:sz w:val="24"/>
          <w:szCs w:val="24"/>
          <w:vertAlign w:val="subscript"/>
          <w:lang w:val="en-US" w:eastAsia="it-IT"/>
        </w:rPr>
        <w:t>120m</w:t>
      </w:r>
      <w:r w:rsidRPr="003E4D66">
        <w:rPr>
          <w:rFonts w:eastAsia="Times New Roman" w:cstheme="minorHAnsi"/>
          <w:i/>
          <w:sz w:val="24"/>
          <w:szCs w:val="24"/>
          <w:lang w:val="en-US" w:eastAsia="it-IT"/>
        </w:rPr>
        <w:t>= α + β</w:t>
      </w:r>
      <w:r w:rsidRPr="003E4D66">
        <w:rPr>
          <w:rFonts w:eastAsia="Times New Roman" w:cstheme="minorHAnsi"/>
          <w:i/>
          <w:sz w:val="24"/>
          <w:szCs w:val="24"/>
          <w:vertAlign w:val="subscript"/>
          <w:lang w:val="en-US" w:eastAsia="it-IT"/>
        </w:rPr>
        <w:t>1</w:t>
      </w:r>
      <w:r w:rsidRPr="003E4D66">
        <w:rPr>
          <w:rFonts w:eastAsia="Times New Roman" w:cstheme="minorHAnsi"/>
          <w:i/>
          <w:sz w:val="24"/>
          <w:szCs w:val="24"/>
          <w:lang w:val="en-US" w:eastAsia="it-IT"/>
        </w:rPr>
        <w:t>BMI</w:t>
      </w:r>
      <w:r w:rsidRPr="003E4D66">
        <w:rPr>
          <w:rFonts w:eastAsia="Times New Roman" w:cstheme="minorHAnsi"/>
          <w:i/>
          <w:sz w:val="24"/>
          <w:szCs w:val="24"/>
          <w:vertAlign w:val="subscript"/>
          <w:lang w:val="en-US" w:eastAsia="it-IT"/>
        </w:rPr>
        <w:t>84m</w:t>
      </w:r>
      <w:r w:rsidRPr="003E4D66">
        <w:rPr>
          <w:rFonts w:eastAsia="Times New Roman" w:cstheme="minorHAnsi"/>
          <w:i/>
          <w:sz w:val="24"/>
          <w:szCs w:val="24"/>
          <w:lang w:val="en-US" w:eastAsia="it-IT"/>
        </w:rPr>
        <w:t xml:space="preserve"> + β</w:t>
      </w:r>
      <w:r w:rsidRPr="003E4D66">
        <w:rPr>
          <w:rFonts w:eastAsia="Times New Roman" w:cstheme="minorHAnsi"/>
          <w:i/>
          <w:sz w:val="24"/>
          <w:szCs w:val="24"/>
          <w:vertAlign w:val="subscript"/>
          <w:lang w:val="en-US" w:eastAsia="it-IT"/>
        </w:rPr>
        <w:t>2</w:t>
      </w:r>
      <w:r w:rsidRPr="003E4D66">
        <w:rPr>
          <w:rFonts w:eastAsia="Times New Roman" w:cstheme="minorHAnsi"/>
          <w:i/>
          <w:sz w:val="24"/>
          <w:szCs w:val="24"/>
          <w:lang w:val="en-US" w:eastAsia="it-IT"/>
        </w:rPr>
        <w:t>BMI</w:t>
      </w:r>
      <w:r w:rsidRPr="003E4D66">
        <w:rPr>
          <w:rFonts w:eastAsia="Times New Roman" w:cstheme="minorHAnsi"/>
          <w:i/>
          <w:sz w:val="24"/>
          <w:szCs w:val="24"/>
          <w:vertAlign w:val="subscript"/>
          <w:lang w:val="en-US" w:eastAsia="it-IT"/>
        </w:rPr>
        <w:t>48m</w:t>
      </w:r>
      <w:r w:rsidRPr="003E4D66">
        <w:rPr>
          <w:rFonts w:eastAsia="Times New Roman" w:cstheme="minorHAnsi"/>
          <w:i/>
          <w:sz w:val="24"/>
          <w:szCs w:val="24"/>
          <w:lang w:val="en-US" w:eastAsia="it-IT"/>
        </w:rPr>
        <w:t xml:space="preserve"> + </w:t>
      </w:r>
      <w:proofErr w:type="spellStart"/>
      <w:r w:rsidRPr="003E4D66">
        <w:rPr>
          <w:rFonts w:eastAsia="Times New Roman" w:cstheme="minorHAnsi"/>
          <w:i/>
          <w:sz w:val="24"/>
          <w:szCs w:val="24"/>
          <w:lang w:val="en-US" w:eastAsia="it-IT"/>
        </w:rPr>
        <w:t>δEHII</w:t>
      </w:r>
      <w:proofErr w:type="spellEnd"/>
      <w:r w:rsidRPr="003E4D66">
        <w:rPr>
          <w:rFonts w:eastAsia="Times New Roman" w:cstheme="minorHAnsi"/>
          <w:i/>
          <w:sz w:val="24"/>
          <w:szCs w:val="24"/>
          <w:lang w:val="en-US" w:eastAsia="it-IT"/>
        </w:rPr>
        <w:t xml:space="preserve"> + 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eastAsia="Times New Roman" w:cstheme="minorHAnsi"/>
          <w:i/>
          <w:sz w:val="24"/>
          <w:szCs w:val="24"/>
          <w:lang w:val="en-US" w:eastAsia="it-IT"/>
        </w:rPr>
        <w:t>+ ε</w:t>
      </w:r>
    </w:p>
    <w:p w:rsidR="00125AB6" w:rsidRPr="003E4D66" w:rsidRDefault="00125AB6" w:rsidP="00125AB6">
      <w:pPr>
        <w:spacing w:after="0" w:line="240" w:lineRule="auto"/>
        <w:rPr>
          <w:rFonts w:eastAsia="Times New Roman" w:cstheme="minorHAnsi"/>
          <w:i/>
          <w:sz w:val="24"/>
          <w:szCs w:val="24"/>
          <w:lang w:val="en-US" w:eastAsia="it-IT"/>
        </w:rPr>
      </w:pPr>
    </w:p>
    <w:p w:rsidR="00125AB6" w:rsidRPr="003E4D66" w:rsidRDefault="00125AB6" w:rsidP="00125AB6">
      <w:pPr>
        <w:spacing w:line="240" w:lineRule="auto"/>
        <w:jc w:val="both"/>
        <w:rPr>
          <w:rFonts w:cstheme="minorHAnsi"/>
          <w:sz w:val="24"/>
          <w:szCs w:val="24"/>
        </w:rPr>
      </w:pPr>
      <w:r w:rsidRPr="003E4D66">
        <w:rPr>
          <w:rFonts w:cstheme="minorHAnsi"/>
          <w:sz w:val="24"/>
          <w:szCs w:val="24"/>
        </w:rPr>
        <w:lastRenderedPageBreak/>
        <w:t xml:space="preserve">with GA (gestational age) as the first intermediate outcome analysed, followed by BW (birth weight), WT (weight) at 6 and 18 months, and then by the final outcomes: BMI at 4, 7 and 10 years of age.  In all equations EHII is the income indicator (log-transformed), with δ being the coefficient of interest for the income indicator. Moreover, α is the intercept – different for each regression - </w:t>
      </w:r>
      <w:r w:rsidRPr="003E4D66">
        <w:rPr>
          <w:rFonts w:eastAsia="Times New Roman" w:cstheme="minorHAnsi"/>
          <w:i/>
          <w:sz w:val="24"/>
          <w:szCs w:val="24"/>
          <w:lang w:val="en-US" w:eastAsia="it-IT"/>
        </w:rPr>
        <w:t>Σ β</w:t>
      </w:r>
      <w:r w:rsidRPr="003E4D66">
        <w:rPr>
          <w:rFonts w:eastAsia="Times New Roman" w:cstheme="minorHAnsi"/>
          <w:i/>
          <w:sz w:val="24"/>
          <w:szCs w:val="24"/>
          <w:vertAlign w:val="subscript"/>
          <w:lang w:val="en-US" w:eastAsia="it-IT"/>
        </w:rPr>
        <w:t xml:space="preserve">s </w:t>
      </w:r>
      <w:proofErr w:type="spellStart"/>
      <w:r w:rsidRPr="003E4D66">
        <w:rPr>
          <w:rFonts w:eastAsia="Times New Roman" w:cstheme="minorHAnsi"/>
          <w:i/>
          <w:sz w:val="24"/>
          <w:szCs w:val="24"/>
          <w:lang w:val="en-US" w:eastAsia="it-IT"/>
        </w:rPr>
        <w:t>X</w:t>
      </w:r>
      <w:r w:rsidRPr="003E4D66">
        <w:rPr>
          <w:rFonts w:eastAsia="Times New Roman" w:cstheme="minorHAnsi"/>
          <w:i/>
          <w:sz w:val="24"/>
          <w:szCs w:val="24"/>
          <w:vertAlign w:val="subscript"/>
          <w:lang w:val="en-US" w:eastAsia="it-IT"/>
        </w:rPr>
        <w:t>s</w:t>
      </w:r>
      <w:proofErr w:type="spellEnd"/>
      <w:r w:rsidRPr="003E4D66">
        <w:rPr>
          <w:rFonts w:eastAsia="Times New Roman" w:cstheme="minorHAnsi"/>
          <w:i/>
          <w:sz w:val="24"/>
          <w:szCs w:val="24"/>
          <w:vertAlign w:val="subscript"/>
          <w:lang w:val="en-US" w:eastAsia="it-IT"/>
        </w:rPr>
        <w:t xml:space="preserve"> </w:t>
      </w:r>
      <w:r w:rsidRPr="003E4D66">
        <w:rPr>
          <w:rFonts w:cstheme="minorHAnsi"/>
          <w:sz w:val="24"/>
          <w:szCs w:val="24"/>
        </w:rPr>
        <w:t xml:space="preserve">is the sum of the other demographic considered, namely the sex of child, and the maternal country of birth and age at delivery, and </w:t>
      </w:r>
      <w:r w:rsidRPr="003E4D66">
        <w:rPr>
          <w:rFonts w:eastAsia="Times New Roman" w:cstheme="minorHAnsi"/>
          <w:i/>
          <w:sz w:val="24"/>
          <w:szCs w:val="24"/>
          <w:lang w:val="en-US" w:eastAsia="it-IT"/>
        </w:rPr>
        <w:t xml:space="preserve">ε </w:t>
      </w:r>
      <w:r w:rsidRPr="003E4D66">
        <w:rPr>
          <w:rFonts w:cstheme="minorHAnsi"/>
          <w:sz w:val="24"/>
          <w:szCs w:val="24"/>
        </w:rPr>
        <w:t>is the error component</w:t>
      </w:r>
      <w:r w:rsidRPr="003E4D66">
        <w:rPr>
          <w:rFonts w:eastAsia="Times New Roman" w:cstheme="minorHAnsi"/>
          <w:sz w:val="24"/>
          <w:szCs w:val="24"/>
          <w:lang w:val="en-US" w:eastAsia="it-IT"/>
        </w:rPr>
        <w:t xml:space="preserve">. </w:t>
      </w:r>
      <w:r w:rsidRPr="003E4D66">
        <w:rPr>
          <w:rFonts w:cstheme="minorHAnsi"/>
          <w:sz w:val="24"/>
          <w:szCs w:val="24"/>
        </w:rPr>
        <w:t xml:space="preserve">The underlying assumption is that all outcomes analysed are influenced by the two previous ones and by the other factors cited above. These models provide for each independent variable the effect sizes, with their corresponding confidence intervals and covariance matrixes, to be used in the microsimulation model M3. </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Figure 3 shows the comparison between the distribution of equivalised income, age and citizenship of the mother, and sex of the children in the EU-SILC dataset of children less than 5 years and the children </w:t>
      </w:r>
      <w:r w:rsidR="00470173">
        <w:rPr>
          <w:rFonts w:cstheme="minorHAnsi"/>
          <w:sz w:val="24"/>
          <w:szCs w:val="24"/>
        </w:rPr>
        <w:t xml:space="preserve">in </w:t>
      </w:r>
      <w:r w:rsidRPr="003E4D66">
        <w:rPr>
          <w:rFonts w:cstheme="minorHAnsi"/>
          <w:sz w:val="24"/>
          <w:szCs w:val="24"/>
        </w:rPr>
        <w:t>NINFEA cohort.</w:t>
      </w:r>
    </w:p>
    <w:p w:rsidR="00125AB6" w:rsidRDefault="00125AB6" w:rsidP="00125AB6">
      <w:pPr>
        <w:spacing w:line="240" w:lineRule="auto"/>
        <w:jc w:val="both"/>
        <w:rPr>
          <w:rFonts w:cstheme="minorHAnsi"/>
          <w:sz w:val="24"/>
          <w:szCs w:val="24"/>
        </w:rPr>
      </w:pPr>
      <w:r w:rsidRPr="003E4D66">
        <w:rPr>
          <w:rFonts w:cstheme="minorHAnsi"/>
          <w:sz w:val="24"/>
          <w:szCs w:val="24"/>
        </w:rPr>
        <w:t xml:space="preserve">The simulated baseline demographic and socioeconomic variables derived from </w:t>
      </w:r>
      <w:r w:rsidR="001A4EFC">
        <w:rPr>
          <w:rFonts w:cstheme="minorHAnsi"/>
          <w:sz w:val="24"/>
          <w:szCs w:val="24"/>
        </w:rPr>
        <w:t>MICH</w:t>
      </w:r>
      <w:r w:rsidRPr="003E4D66">
        <w:rPr>
          <w:rFonts w:cstheme="minorHAnsi"/>
          <w:sz w:val="24"/>
          <w:szCs w:val="24"/>
        </w:rPr>
        <w:t xml:space="preserve"> are shown in Table 2, as well as the health outcomes and all variables and parameters used to obtain them in M1 and M2. The log of the household equivalised income at the baseline is lower in the EU-SILC population than in the NINFEA cohort (the mean is 7.02 vs 7.38), while the percentage of mothers not born in Italy are higher in EU-SILC (16.8%) than in NINFEA (5.1%). The other demographic and socioeconomic variables have similar values.</w:t>
      </w:r>
    </w:p>
    <w:p w:rsidR="00DC0A52" w:rsidRPr="003E4D66" w:rsidRDefault="00DC0A52" w:rsidP="00125AB6">
      <w:pPr>
        <w:spacing w:line="240" w:lineRule="auto"/>
        <w:jc w:val="both"/>
        <w:rPr>
          <w:rFonts w:cstheme="minorHAnsi"/>
          <w:sz w:val="24"/>
          <w:szCs w:val="24"/>
        </w:rPr>
      </w:pPr>
    </w:p>
    <w:tbl>
      <w:tblPr>
        <w:tblW w:w="10474" w:type="dxa"/>
        <w:jc w:val="center"/>
        <w:tblLook w:val="04A0" w:firstRow="1" w:lastRow="0" w:firstColumn="1" w:lastColumn="0" w:noHBand="0" w:noVBand="1"/>
      </w:tblPr>
      <w:tblGrid>
        <w:gridCol w:w="3418"/>
        <w:gridCol w:w="2488"/>
        <w:gridCol w:w="1707"/>
        <w:gridCol w:w="2861"/>
      </w:tblGrid>
      <w:tr w:rsidR="00125AB6" w:rsidRPr="001808EF" w:rsidTr="00951F75">
        <w:trPr>
          <w:trHeight w:val="278"/>
          <w:jc w:val="center"/>
        </w:trPr>
        <w:tc>
          <w:tcPr>
            <w:tcW w:w="10474" w:type="dxa"/>
            <w:gridSpan w:val="4"/>
            <w:tcBorders>
              <w:top w:val="nil"/>
              <w:left w:val="nil"/>
              <w:bottom w:val="nil"/>
              <w:right w:val="nil"/>
            </w:tcBorders>
            <w:shd w:val="clear" w:color="auto" w:fill="auto"/>
            <w:noWrap/>
            <w:vAlign w:val="center"/>
            <w:hideMark/>
          </w:tcPr>
          <w:p w:rsidR="00125AB6" w:rsidRPr="001808EF" w:rsidRDefault="00125AB6" w:rsidP="00951F75">
            <w:pPr>
              <w:spacing w:after="0" w:line="240" w:lineRule="auto"/>
              <w:rPr>
                <w:rFonts w:eastAsia="Times New Roman" w:cstheme="minorHAnsi"/>
                <w:color w:val="000000"/>
                <w:sz w:val="24"/>
                <w:szCs w:val="24"/>
                <w:lang w:eastAsia="en-GB"/>
              </w:rPr>
            </w:pPr>
            <w:r w:rsidRPr="001808EF">
              <w:rPr>
                <w:rFonts w:eastAsia="Times New Roman" w:cstheme="minorHAnsi"/>
                <w:b/>
                <w:color w:val="000000"/>
                <w:sz w:val="24"/>
                <w:szCs w:val="24"/>
                <w:lang w:eastAsia="en-GB"/>
              </w:rPr>
              <w:t xml:space="preserve">Table </w:t>
            </w:r>
            <w:r w:rsidR="00A70CED">
              <w:rPr>
                <w:rFonts w:eastAsia="Times New Roman" w:cstheme="minorHAnsi"/>
                <w:b/>
                <w:color w:val="000000"/>
                <w:sz w:val="24"/>
                <w:szCs w:val="24"/>
                <w:lang w:eastAsia="en-GB"/>
              </w:rPr>
              <w:t>S</w:t>
            </w:r>
            <w:r w:rsidRPr="001808EF">
              <w:rPr>
                <w:rFonts w:eastAsia="Times New Roman" w:cstheme="minorHAnsi"/>
                <w:b/>
                <w:color w:val="000000"/>
                <w:sz w:val="24"/>
                <w:szCs w:val="24"/>
                <w:lang w:eastAsia="en-GB"/>
              </w:rPr>
              <w:t xml:space="preserve">2 Estimated means, percentages and parameters used in the M1, M2 and M3 modules of the </w:t>
            </w:r>
            <w:r w:rsidR="001A4EFC">
              <w:rPr>
                <w:rFonts w:eastAsia="Times New Roman" w:cstheme="minorHAnsi"/>
                <w:b/>
                <w:color w:val="000000"/>
                <w:sz w:val="24"/>
                <w:szCs w:val="24"/>
                <w:lang w:eastAsia="en-GB"/>
              </w:rPr>
              <w:t>MICH</w:t>
            </w:r>
            <w:r w:rsidRPr="001808EF">
              <w:rPr>
                <w:rFonts w:eastAsia="Times New Roman" w:cstheme="minorHAnsi"/>
                <w:color w:val="000000"/>
                <w:sz w:val="24"/>
                <w:szCs w:val="24"/>
                <w:lang w:eastAsia="en-GB"/>
              </w:rPr>
              <w:t xml:space="preserve"> </w:t>
            </w:r>
            <w:r w:rsidRPr="001808EF">
              <w:rPr>
                <w:rFonts w:eastAsia="Times New Roman" w:cstheme="minorHAnsi"/>
                <w:b/>
                <w:color w:val="000000"/>
                <w:sz w:val="24"/>
                <w:szCs w:val="24"/>
                <w:lang w:eastAsia="en-GB"/>
              </w:rPr>
              <w:t>model</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color w:val="000000"/>
                <w:sz w:val="24"/>
                <w:szCs w:val="24"/>
                <w:lang w:eastAsia="en-GB"/>
              </w:rPr>
            </w:pPr>
          </w:p>
        </w:tc>
        <w:tc>
          <w:tcPr>
            <w:tcW w:w="248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sz w:val="24"/>
                <w:szCs w:val="24"/>
                <w:lang w:eastAsia="en-GB"/>
              </w:rPr>
            </w:pPr>
          </w:p>
        </w:tc>
        <w:tc>
          <w:tcPr>
            <w:tcW w:w="1707"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sz w:val="24"/>
                <w:szCs w:val="24"/>
                <w:lang w:eastAsia="en-GB"/>
              </w:rPr>
            </w:pPr>
          </w:p>
        </w:tc>
        <w:tc>
          <w:tcPr>
            <w:tcW w:w="2861"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sz w:val="24"/>
                <w:szCs w:val="24"/>
                <w:lang w:eastAsia="en-GB"/>
              </w:rPr>
            </w:pP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sz w:val="18"/>
                <w:szCs w:val="18"/>
                <w:lang w:eastAsia="en-GB"/>
              </w:rPr>
            </w:pP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r w:rsidRPr="001808EF">
              <w:rPr>
                <w:rFonts w:eastAsia="Times New Roman" w:cstheme="minorHAnsi"/>
                <w:sz w:val="18"/>
                <w:szCs w:val="18"/>
                <w:lang w:eastAsia="en-GB"/>
              </w:rPr>
              <w:t>M1</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r w:rsidRPr="001808EF">
              <w:rPr>
                <w:rFonts w:eastAsia="Times New Roman" w:cstheme="minorHAnsi"/>
                <w:sz w:val="18"/>
                <w:szCs w:val="18"/>
                <w:lang w:eastAsia="en-GB"/>
              </w:rPr>
              <w:t>M2</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r w:rsidRPr="001808EF">
              <w:rPr>
                <w:rFonts w:eastAsia="Times New Roman" w:cstheme="minorHAnsi"/>
                <w:sz w:val="18"/>
                <w:szCs w:val="18"/>
                <w:lang w:eastAsia="en-GB"/>
              </w:rPr>
              <w:t>M3</w:t>
            </w:r>
          </w:p>
        </w:tc>
      </w:tr>
      <w:tr w:rsidR="00125AB6" w:rsidRPr="001808EF" w:rsidTr="00951F75">
        <w:trPr>
          <w:trHeight w:val="293"/>
          <w:jc w:val="center"/>
        </w:trPr>
        <w:tc>
          <w:tcPr>
            <w:tcW w:w="3418" w:type="dxa"/>
            <w:tcBorders>
              <w:top w:val="nil"/>
              <w:left w:val="nil"/>
              <w:bottom w:val="single" w:sz="4" w:space="0" w:color="auto"/>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c>
          <w:tcPr>
            <w:tcW w:w="2488" w:type="dxa"/>
            <w:tcBorders>
              <w:top w:val="nil"/>
              <w:left w:val="nil"/>
              <w:bottom w:val="single" w:sz="4" w:space="0" w:color="auto"/>
              <w:right w:val="nil"/>
            </w:tcBorders>
            <w:shd w:val="clear" w:color="000000" w:fill="FFFFFF"/>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r w:rsidRPr="001808EF">
              <w:rPr>
                <w:rFonts w:eastAsia="Times New Roman" w:cstheme="minorHAnsi"/>
                <w:sz w:val="18"/>
                <w:szCs w:val="18"/>
                <w:lang w:eastAsia="en-GB"/>
              </w:rPr>
              <w:t xml:space="preserve">EUROMOD (EU-SILC) </w:t>
            </w:r>
          </w:p>
        </w:tc>
        <w:tc>
          <w:tcPr>
            <w:tcW w:w="1707" w:type="dxa"/>
            <w:tcBorders>
              <w:top w:val="nil"/>
              <w:left w:val="nil"/>
              <w:bottom w:val="single" w:sz="4" w:space="0" w:color="auto"/>
              <w:right w:val="nil"/>
            </w:tcBorders>
            <w:shd w:val="clear" w:color="000000" w:fill="FFFFFF"/>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r w:rsidRPr="001808EF">
              <w:rPr>
                <w:rFonts w:eastAsia="Times New Roman" w:cstheme="minorHAnsi"/>
                <w:sz w:val="18"/>
                <w:szCs w:val="18"/>
                <w:lang w:eastAsia="en-GB"/>
              </w:rPr>
              <w:t xml:space="preserve">NINFEA Cohort </w:t>
            </w:r>
          </w:p>
        </w:tc>
        <w:tc>
          <w:tcPr>
            <w:tcW w:w="2861" w:type="dxa"/>
            <w:tcBorders>
              <w:top w:val="nil"/>
              <w:left w:val="nil"/>
              <w:bottom w:val="single" w:sz="4" w:space="0" w:color="auto"/>
              <w:right w:val="nil"/>
            </w:tcBorders>
            <w:shd w:val="clear" w:color="000000" w:fill="FFFFFF"/>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r w:rsidRPr="001808EF">
              <w:rPr>
                <w:rFonts w:eastAsia="Times New Roman" w:cstheme="minorHAnsi"/>
                <w:sz w:val="18"/>
                <w:szCs w:val="18"/>
                <w:lang w:eastAsia="en-GB"/>
              </w:rPr>
              <w:t>Baseline Simulated Values*</w:t>
            </w:r>
          </w:p>
        </w:tc>
      </w:tr>
      <w:tr w:rsidR="00125AB6" w:rsidRPr="001808EF" w:rsidTr="00951F75">
        <w:trPr>
          <w:trHeight w:hRule="exac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color w:val="000000"/>
                <w:sz w:val="18"/>
                <w:szCs w:val="18"/>
                <w:lang w:eastAsia="en-GB"/>
              </w:rPr>
            </w:pPr>
            <w:r w:rsidRPr="001808EF">
              <w:rPr>
                <w:rFonts w:eastAsia="Times New Roman" w:cstheme="minorHAnsi"/>
                <w:color w:val="000000"/>
                <w:sz w:val="18"/>
                <w:szCs w:val="18"/>
                <w:lang w:eastAsia="en-GB"/>
              </w:rPr>
              <w:t>Health Outcomes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rPr>
                <w:rFonts w:eastAsia="Times New Roman" w:cstheme="minorHAnsi"/>
                <w:color w:val="000000"/>
                <w:sz w:val="18"/>
                <w:szCs w:val="18"/>
                <w:lang w:eastAsia="en-GB"/>
              </w:rPr>
            </w:pP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Gestational Age</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39.5[1.8]</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39.6[0.28]</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cstheme="minorHAnsi"/>
                <w:color w:val="000000"/>
                <w:sz w:val="18"/>
                <w:szCs w:val="18"/>
              </w:rPr>
            </w:pPr>
            <w:r w:rsidRPr="001808EF">
              <w:rPr>
                <w:rFonts w:cstheme="minorHAnsi"/>
                <w:color w:val="000000"/>
                <w:sz w:val="18"/>
                <w:szCs w:val="18"/>
              </w:rPr>
              <w:t>Birth Weight</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cstheme="minorHAnsi"/>
                <w:color w:val="000000"/>
                <w:sz w:val="18"/>
                <w:szCs w:val="18"/>
              </w:rPr>
            </w:pPr>
            <w:r w:rsidRPr="001808EF">
              <w:rPr>
                <w:rFonts w:cstheme="minorHAnsi"/>
                <w:color w:val="000000"/>
                <w:sz w:val="18"/>
                <w:szCs w:val="18"/>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cstheme="minorHAnsi"/>
                <w:color w:val="000000"/>
                <w:sz w:val="18"/>
                <w:szCs w:val="18"/>
              </w:rPr>
            </w:pPr>
            <w:r w:rsidRPr="001808EF">
              <w:rPr>
                <w:rFonts w:cstheme="minorHAnsi"/>
                <w:color w:val="000000"/>
                <w:sz w:val="18"/>
                <w:szCs w:val="18"/>
              </w:rPr>
              <w:t>3,237[499]</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cstheme="minorHAnsi"/>
                <w:color w:val="000000"/>
                <w:sz w:val="18"/>
                <w:szCs w:val="18"/>
              </w:rPr>
            </w:pPr>
            <w:r w:rsidRPr="001808EF">
              <w:rPr>
                <w:rFonts w:cstheme="minorHAnsi"/>
                <w:color w:val="000000"/>
                <w:sz w:val="18"/>
                <w:szCs w:val="18"/>
              </w:rPr>
              <w:t>3,218[66]</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cstheme="minorHAnsi"/>
                <w:color w:val="000000"/>
                <w:sz w:val="18"/>
                <w:szCs w:val="18"/>
              </w:rPr>
            </w:pPr>
            <w:r w:rsidRPr="001808EF">
              <w:rPr>
                <w:rFonts w:cstheme="minorHAnsi"/>
                <w:color w:val="000000"/>
                <w:sz w:val="18"/>
                <w:szCs w:val="18"/>
              </w:rPr>
              <w:t>Weight at 6 months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cstheme="minorHAnsi"/>
                <w:color w:val="000000"/>
                <w:sz w:val="18"/>
                <w:szCs w:val="18"/>
              </w:rPr>
            </w:pPr>
            <w:r w:rsidRPr="001808EF">
              <w:rPr>
                <w:rFonts w:cstheme="minorHAnsi"/>
                <w:color w:val="000000"/>
                <w:sz w:val="18"/>
                <w:szCs w:val="18"/>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cstheme="minorHAnsi"/>
                <w:color w:val="000000"/>
                <w:sz w:val="18"/>
                <w:szCs w:val="18"/>
              </w:rPr>
            </w:pPr>
            <w:r w:rsidRPr="001808EF">
              <w:rPr>
                <w:rFonts w:cstheme="minorHAnsi"/>
                <w:color w:val="000000"/>
                <w:sz w:val="18"/>
                <w:szCs w:val="18"/>
              </w:rPr>
              <w:t>7,539[942]</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cstheme="minorHAnsi"/>
                <w:color w:val="000000"/>
                <w:sz w:val="18"/>
                <w:szCs w:val="18"/>
              </w:rPr>
            </w:pPr>
            <w:r w:rsidRPr="001808EF">
              <w:rPr>
                <w:rFonts w:cstheme="minorHAnsi"/>
                <w:color w:val="000000"/>
                <w:sz w:val="18"/>
                <w:szCs w:val="18"/>
              </w:rPr>
              <w:t>7,774[241]</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Weight at 18 months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11,162[1,285]</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11,286[256]</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BMI at 48 months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15.6[1.7]</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15.5[0.2]</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BMI at 84 months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15.9[2.1]</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16.0[0.5]</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BMI at 120 months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17.3[2.6]</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17.9[1.0]</w:t>
            </w:r>
          </w:p>
        </w:tc>
      </w:tr>
      <w:tr w:rsidR="00125AB6" w:rsidRPr="001808EF" w:rsidTr="00951F75">
        <w:trPr>
          <w:trHeight w:val="278"/>
          <w:jc w:val="center"/>
        </w:trPr>
        <w:tc>
          <w:tcPr>
            <w:tcW w:w="3418" w:type="dxa"/>
            <w:vMerge w:val="restart"/>
            <w:tcBorders>
              <w:top w:val="nil"/>
              <w:left w:val="nil"/>
              <w:bottom w:val="nil"/>
              <w:right w:val="nil"/>
            </w:tcBorders>
            <w:shd w:val="clear" w:color="auto" w:fill="auto"/>
            <w:vAlign w:val="bottom"/>
            <w:hideMark/>
          </w:tcPr>
          <w:p w:rsidR="00125AB6" w:rsidRPr="001808EF" w:rsidRDefault="00125AB6" w:rsidP="00951F75">
            <w:pPr>
              <w:spacing w:after="0" w:line="240" w:lineRule="auto"/>
              <w:rPr>
                <w:rFonts w:eastAsia="Times New Roman" w:cstheme="minorHAnsi"/>
                <w:color w:val="000000"/>
                <w:sz w:val="18"/>
                <w:szCs w:val="18"/>
                <w:lang w:eastAsia="en-GB"/>
              </w:rPr>
            </w:pPr>
            <w:r w:rsidRPr="001808EF">
              <w:rPr>
                <w:rFonts w:eastAsia="Times New Roman" w:cstheme="minorHAnsi"/>
                <w:color w:val="000000"/>
                <w:sz w:val="18"/>
                <w:szCs w:val="18"/>
                <w:lang w:eastAsia="en-GB"/>
              </w:rPr>
              <w:t>Demographic and Socioeconomic Predictors</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rPr>
                <w:rFonts w:eastAsia="Times New Roman" w:cstheme="minorHAnsi"/>
                <w:color w:val="000000"/>
                <w:sz w:val="18"/>
                <w:szCs w:val="18"/>
                <w:lang w:eastAsia="en-GB"/>
              </w:rPr>
            </w:pP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r>
      <w:tr w:rsidR="00125AB6" w:rsidRPr="001808EF" w:rsidTr="00951F75">
        <w:trPr>
          <w:trHeight w:val="293"/>
          <w:jc w:val="center"/>
        </w:trPr>
        <w:tc>
          <w:tcPr>
            <w:tcW w:w="3418" w:type="dxa"/>
            <w:vMerge/>
            <w:tcBorders>
              <w:top w:val="nil"/>
              <w:left w:val="nil"/>
              <w:bottom w:val="nil"/>
              <w:right w:val="nil"/>
            </w:tcBorders>
            <w:vAlign w:val="center"/>
            <w:hideMark/>
          </w:tcPr>
          <w:p w:rsidR="00125AB6" w:rsidRPr="001808EF" w:rsidRDefault="00125AB6" w:rsidP="00951F75">
            <w:pPr>
              <w:spacing w:after="0" w:line="240" w:lineRule="auto"/>
              <w:rPr>
                <w:rFonts w:eastAsia="Times New Roman" w:cstheme="minorHAnsi"/>
                <w:color w:val="000000"/>
                <w:sz w:val="18"/>
                <w:szCs w:val="18"/>
                <w:lang w:eastAsia="en-GB"/>
              </w:rPr>
            </w:pP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sz w:val="18"/>
                <w:szCs w:val="18"/>
                <w:lang w:eastAsia="en-GB"/>
              </w:rPr>
            </w:pP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Female gender </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51.60%</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49.30%</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Log of Equivalised income</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7.02 [0.67]</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7.38 [0.26]</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r>
      <w:tr w:rsidR="00125AB6" w:rsidRPr="001808EF" w:rsidTr="00951F75">
        <w:trPr>
          <w:trHeight w:val="293"/>
          <w:jc w:val="center"/>
        </w:trPr>
        <w:tc>
          <w:tcPr>
            <w:tcW w:w="3418" w:type="dxa"/>
            <w:tcBorders>
              <w:top w:val="nil"/>
              <w:left w:val="nil"/>
              <w:bottom w:val="nil"/>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Foreign citizenship of the mother</w:t>
            </w:r>
          </w:p>
        </w:tc>
        <w:tc>
          <w:tcPr>
            <w:tcW w:w="2488"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16.80%</w:t>
            </w:r>
          </w:p>
        </w:tc>
        <w:tc>
          <w:tcPr>
            <w:tcW w:w="1707"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4.20%</w:t>
            </w:r>
          </w:p>
        </w:tc>
        <w:tc>
          <w:tcPr>
            <w:tcW w:w="2861" w:type="dxa"/>
            <w:tcBorders>
              <w:top w:val="nil"/>
              <w:left w:val="nil"/>
              <w:bottom w:val="nil"/>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r>
      <w:tr w:rsidR="00125AB6" w:rsidRPr="001808EF" w:rsidTr="00951F75">
        <w:trPr>
          <w:trHeight w:hRule="exact" w:val="293"/>
          <w:jc w:val="center"/>
        </w:trPr>
        <w:tc>
          <w:tcPr>
            <w:tcW w:w="3418" w:type="dxa"/>
            <w:tcBorders>
              <w:top w:val="nil"/>
              <w:left w:val="nil"/>
              <w:bottom w:val="single" w:sz="4" w:space="0" w:color="auto"/>
              <w:right w:val="nil"/>
            </w:tcBorders>
            <w:shd w:val="clear" w:color="auto" w:fill="auto"/>
            <w:noWrap/>
            <w:vAlign w:val="bottom"/>
            <w:hideMark/>
          </w:tcPr>
          <w:p w:rsidR="00125AB6" w:rsidRPr="001808EF" w:rsidRDefault="00125AB6" w:rsidP="00951F75">
            <w:pPr>
              <w:spacing w:after="0" w:line="240" w:lineRule="auto"/>
              <w:jc w:val="right"/>
              <w:rPr>
                <w:rFonts w:eastAsia="Times New Roman" w:cstheme="minorHAnsi"/>
                <w:color w:val="000000"/>
                <w:sz w:val="18"/>
                <w:szCs w:val="18"/>
                <w:lang w:eastAsia="en-GB"/>
              </w:rPr>
            </w:pPr>
            <w:r w:rsidRPr="001808EF">
              <w:rPr>
                <w:rFonts w:eastAsia="Times New Roman" w:cstheme="minorHAnsi"/>
                <w:color w:val="000000"/>
                <w:sz w:val="18"/>
                <w:szCs w:val="18"/>
                <w:lang w:eastAsia="en-GB"/>
              </w:rPr>
              <w:t>Age of the mother</w:t>
            </w:r>
          </w:p>
        </w:tc>
        <w:tc>
          <w:tcPr>
            <w:tcW w:w="2488" w:type="dxa"/>
            <w:tcBorders>
              <w:top w:val="nil"/>
              <w:left w:val="nil"/>
              <w:bottom w:val="single" w:sz="4" w:space="0" w:color="auto"/>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33.6 [5.2] </w:t>
            </w:r>
          </w:p>
        </w:tc>
        <w:tc>
          <w:tcPr>
            <w:tcW w:w="1707" w:type="dxa"/>
            <w:tcBorders>
              <w:top w:val="nil"/>
              <w:left w:val="nil"/>
              <w:bottom w:val="single" w:sz="4" w:space="0" w:color="auto"/>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33.3[4.4]</w:t>
            </w:r>
          </w:p>
        </w:tc>
        <w:tc>
          <w:tcPr>
            <w:tcW w:w="2861" w:type="dxa"/>
            <w:tcBorders>
              <w:top w:val="nil"/>
              <w:left w:val="nil"/>
              <w:bottom w:val="single" w:sz="4" w:space="0" w:color="auto"/>
              <w:right w:val="nil"/>
            </w:tcBorders>
            <w:shd w:val="clear" w:color="auto" w:fill="auto"/>
            <w:noWrap/>
            <w:vAlign w:val="center"/>
            <w:hideMark/>
          </w:tcPr>
          <w:p w:rsidR="00125AB6" w:rsidRPr="001808EF" w:rsidRDefault="00125AB6" w:rsidP="00951F75">
            <w:pPr>
              <w:spacing w:after="0" w:line="240" w:lineRule="auto"/>
              <w:jc w:val="center"/>
              <w:rPr>
                <w:rFonts w:eastAsia="Times New Roman" w:cstheme="minorHAnsi"/>
                <w:color w:val="000000"/>
                <w:sz w:val="18"/>
                <w:szCs w:val="18"/>
                <w:lang w:eastAsia="en-GB"/>
              </w:rPr>
            </w:pPr>
            <w:r w:rsidRPr="001808EF">
              <w:rPr>
                <w:rFonts w:eastAsia="Times New Roman" w:cstheme="minorHAnsi"/>
                <w:color w:val="000000"/>
                <w:sz w:val="18"/>
                <w:szCs w:val="18"/>
                <w:lang w:eastAsia="en-GB"/>
              </w:rPr>
              <w:t xml:space="preserve"> -</w:t>
            </w:r>
          </w:p>
        </w:tc>
      </w:tr>
      <w:tr w:rsidR="00125AB6" w:rsidRPr="001808EF" w:rsidTr="00951F75">
        <w:trPr>
          <w:trHeight w:val="293"/>
          <w:jc w:val="center"/>
        </w:trPr>
        <w:tc>
          <w:tcPr>
            <w:tcW w:w="10474" w:type="dxa"/>
            <w:gridSpan w:val="4"/>
            <w:tcBorders>
              <w:top w:val="single" w:sz="4" w:space="0" w:color="auto"/>
              <w:left w:val="nil"/>
              <w:bottom w:val="nil"/>
              <w:right w:val="nil"/>
            </w:tcBorders>
            <w:shd w:val="clear" w:color="auto" w:fill="auto"/>
            <w:noWrap/>
            <w:vAlign w:val="bottom"/>
            <w:hideMark/>
          </w:tcPr>
          <w:p w:rsidR="00125AB6" w:rsidRPr="00366E64" w:rsidRDefault="00125AB6" w:rsidP="00C73047">
            <w:pPr>
              <w:spacing w:after="0" w:line="240" w:lineRule="auto"/>
              <w:jc w:val="both"/>
              <w:rPr>
                <w:rFonts w:eastAsia="Times New Roman" w:cstheme="minorHAnsi"/>
                <w:i/>
                <w:color w:val="000000"/>
                <w:sz w:val="20"/>
                <w:szCs w:val="16"/>
                <w:lang w:eastAsia="en-GB"/>
              </w:rPr>
            </w:pPr>
            <w:r w:rsidRPr="00366E64">
              <w:rPr>
                <w:rFonts w:eastAsia="Times New Roman" w:cstheme="minorHAnsi"/>
                <w:i/>
                <w:color w:val="000000"/>
                <w:sz w:val="20"/>
                <w:szCs w:val="16"/>
                <w:lang w:eastAsia="en-GB"/>
              </w:rPr>
              <w:t>Note: Weights in kg. Estimated mean values (with standard deviations in brackets), or percentages. *Distribution of the means of the total runs.</w:t>
            </w:r>
          </w:p>
        </w:tc>
      </w:tr>
      <w:tr w:rsidR="00125AB6" w:rsidRPr="001808EF" w:rsidTr="00951F75">
        <w:trPr>
          <w:trHeight w:val="293"/>
          <w:jc w:val="center"/>
        </w:trPr>
        <w:tc>
          <w:tcPr>
            <w:tcW w:w="10474" w:type="dxa"/>
            <w:gridSpan w:val="4"/>
            <w:tcBorders>
              <w:top w:val="nil"/>
              <w:left w:val="nil"/>
              <w:bottom w:val="nil"/>
              <w:right w:val="nil"/>
            </w:tcBorders>
            <w:shd w:val="clear" w:color="auto" w:fill="auto"/>
            <w:noWrap/>
            <w:vAlign w:val="bottom"/>
            <w:hideMark/>
          </w:tcPr>
          <w:p w:rsidR="00125AB6" w:rsidRPr="001808EF" w:rsidRDefault="00125AB6" w:rsidP="00951F75">
            <w:pPr>
              <w:spacing w:after="0" w:line="240" w:lineRule="auto"/>
              <w:rPr>
                <w:rFonts w:eastAsia="Times New Roman" w:cstheme="minorHAnsi"/>
                <w:color w:val="000000"/>
                <w:sz w:val="20"/>
                <w:szCs w:val="20"/>
                <w:lang w:eastAsia="en-GB"/>
              </w:rPr>
            </w:pPr>
          </w:p>
        </w:tc>
      </w:tr>
    </w:tbl>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Scenarios were compared in terms of prevalence ratios (using the real fiscal scenario as denominator) and marginal benefits were obtained by dividing the cost of the fiscal </w:t>
      </w:r>
      <w:r w:rsidRPr="003E4D66">
        <w:rPr>
          <w:rFonts w:cstheme="minorHAnsi"/>
          <w:sz w:val="24"/>
          <w:szCs w:val="24"/>
        </w:rPr>
        <w:lastRenderedPageBreak/>
        <w:t>intervention - provided by the EUROMOD module - by the prevalence difference between scenarios.</w:t>
      </w: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 xml:space="preserve">Figure </w:t>
      </w:r>
      <w:r w:rsidR="00A70CED">
        <w:rPr>
          <w:rFonts w:cstheme="minorHAnsi"/>
          <w:b/>
          <w:sz w:val="24"/>
          <w:szCs w:val="24"/>
        </w:rPr>
        <w:t>S</w:t>
      </w:r>
      <w:r w:rsidRPr="003E4D66">
        <w:rPr>
          <w:rFonts w:cstheme="minorHAnsi"/>
          <w:b/>
          <w:sz w:val="24"/>
          <w:szCs w:val="24"/>
        </w:rPr>
        <w:t>3 Kernel Density of the distribution of demographic and socioeconomic covariates between the EU-SILC population of children with less than 5 years (Blue) and the NIFEA children cohort (red).</w:t>
      </w:r>
    </w:p>
    <w:p w:rsidR="00125AB6" w:rsidRPr="003E4D66" w:rsidRDefault="00125AB6" w:rsidP="00125AB6">
      <w:pPr>
        <w:spacing w:line="240" w:lineRule="auto"/>
        <w:jc w:val="center"/>
        <w:rPr>
          <w:rFonts w:cstheme="minorHAnsi"/>
          <w:sz w:val="24"/>
          <w:szCs w:val="24"/>
        </w:rPr>
      </w:pPr>
      <w:r w:rsidRPr="003E4D66">
        <w:rPr>
          <w:rFonts w:cstheme="minorHAnsi"/>
          <w:noProof/>
          <w:sz w:val="24"/>
          <w:szCs w:val="24"/>
          <w:lang w:eastAsia="en-GB"/>
        </w:rPr>
        <w:drawing>
          <wp:inline distT="0" distB="0" distL="0" distR="0" wp14:anchorId="1CA9029A" wp14:editId="1AD57CEE">
            <wp:extent cx="4881246" cy="49218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5661" cy="4936392"/>
                    </a:xfrm>
                    <a:prstGeom prst="rect">
                      <a:avLst/>
                    </a:prstGeom>
                    <a:noFill/>
                    <a:ln>
                      <a:noFill/>
                    </a:ln>
                  </pic:spPr>
                </pic:pic>
              </a:graphicData>
            </a:graphic>
          </wp:inline>
        </w:drawing>
      </w:r>
    </w:p>
    <w:p w:rsidR="00125AB6" w:rsidRPr="00F218A1" w:rsidRDefault="00F96424" w:rsidP="00125AB6">
      <w:pPr>
        <w:spacing w:line="240" w:lineRule="auto"/>
        <w:jc w:val="both"/>
        <w:rPr>
          <w:rFonts w:cstheme="minorHAnsi"/>
          <w:i/>
          <w:sz w:val="20"/>
          <w:szCs w:val="24"/>
        </w:rPr>
      </w:pPr>
      <w:r w:rsidRPr="00F218A1">
        <w:rPr>
          <w:rFonts w:cstheme="minorHAnsi"/>
          <w:i/>
          <w:sz w:val="20"/>
          <w:szCs w:val="24"/>
        </w:rPr>
        <w:t>Source: Author’s.</w:t>
      </w:r>
    </w:p>
    <w:p w:rsidR="00DC0A52" w:rsidRPr="003E4D66" w:rsidRDefault="00DC0A52" w:rsidP="00125AB6">
      <w:pPr>
        <w:spacing w:line="240" w:lineRule="auto"/>
        <w:jc w:val="both"/>
        <w:rPr>
          <w:rFonts w:cstheme="minorHAnsi"/>
          <w:sz w:val="24"/>
          <w:szCs w:val="24"/>
        </w:rPr>
      </w:pPr>
    </w:p>
    <w:p w:rsidR="00125AB6" w:rsidRDefault="00125AB6" w:rsidP="00125AB6">
      <w:pPr>
        <w:spacing w:line="240" w:lineRule="auto"/>
        <w:jc w:val="both"/>
        <w:rPr>
          <w:rFonts w:cstheme="minorHAnsi"/>
          <w:b/>
          <w:sz w:val="24"/>
          <w:szCs w:val="24"/>
        </w:rPr>
      </w:pPr>
      <w:r w:rsidRPr="003E4D66">
        <w:rPr>
          <w:rFonts w:cstheme="minorHAnsi"/>
          <w:b/>
          <w:sz w:val="24"/>
          <w:szCs w:val="24"/>
        </w:rPr>
        <w:t>Summary of Results (more broadly explained in the manuscript)</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Table </w:t>
      </w:r>
      <w:r w:rsidR="0021061E">
        <w:rPr>
          <w:rFonts w:cstheme="minorHAnsi"/>
          <w:sz w:val="24"/>
          <w:szCs w:val="24"/>
        </w:rPr>
        <w:t xml:space="preserve">3 </w:t>
      </w:r>
      <w:r w:rsidR="00697CA8">
        <w:rPr>
          <w:rFonts w:cstheme="minorHAnsi"/>
          <w:sz w:val="24"/>
          <w:szCs w:val="24"/>
        </w:rPr>
        <w:t>shows</w:t>
      </w:r>
      <w:r w:rsidR="00015361">
        <w:rPr>
          <w:rFonts w:cstheme="minorHAnsi"/>
          <w:sz w:val="24"/>
          <w:szCs w:val="24"/>
        </w:rPr>
        <w:t xml:space="preserve"> p</w:t>
      </w:r>
      <w:r w:rsidR="00015361" w:rsidRPr="00015361">
        <w:rPr>
          <w:rFonts w:cstheme="minorHAnsi"/>
          <w:sz w:val="24"/>
          <w:szCs w:val="24"/>
        </w:rPr>
        <w:t>revalence of children’s overweight and obesity for baseline and each simulated policy scenario at 48, 84, and 120 months after birth</w:t>
      </w:r>
      <w:r w:rsidR="00697CA8">
        <w:rPr>
          <w:rFonts w:cstheme="minorHAnsi"/>
          <w:sz w:val="24"/>
          <w:szCs w:val="24"/>
        </w:rPr>
        <w:t xml:space="preserve">. </w:t>
      </w:r>
      <w:r w:rsidR="0021061E">
        <w:rPr>
          <w:rFonts w:cstheme="minorHAnsi"/>
          <w:sz w:val="24"/>
          <w:szCs w:val="24"/>
        </w:rPr>
        <w:t xml:space="preserve">Table 4 </w:t>
      </w:r>
      <w:r w:rsidRPr="003E4D66">
        <w:rPr>
          <w:rFonts w:cstheme="minorHAnsi"/>
          <w:sz w:val="24"/>
          <w:szCs w:val="24"/>
        </w:rPr>
        <w:t>shows prevalence ratios of obesity (PR) between the baseline scenario and the eight combinations of fiscal interventions coded according to Table 1</w:t>
      </w:r>
      <w:r w:rsidR="00A04276">
        <w:rPr>
          <w:rFonts w:cstheme="minorHAnsi"/>
          <w:sz w:val="24"/>
          <w:szCs w:val="24"/>
        </w:rPr>
        <w:t>.</w:t>
      </w:r>
      <w:r w:rsidRPr="003E4D66">
        <w:rPr>
          <w:rFonts w:cstheme="minorHAnsi"/>
          <w:sz w:val="24"/>
          <w:szCs w:val="24"/>
        </w:rPr>
        <w:t xml:space="preserve"> </w:t>
      </w:r>
      <w:r w:rsidR="00A04276">
        <w:rPr>
          <w:rFonts w:cstheme="minorHAnsi"/>
          <w:sz w:val="24"/>
          <w:szCs w:val="24"/>
        </w:rPr>
        <w:t>These results</w:t>
      </w:r>
      <w:r w:rsidRPr="003E4D66">
        <w:rPr>
          <w:rFonts w:cstheme="minorHAnsi"/>
          <w:sz w:val="24"/>
          <w:szCs w:val="24"/>
        </w:rPr>
        <w:t xml:space="preserve"> indicate that the strongest effects on obesity are found at 120 months in case of the targeted intervention of Child benefits of 500 Euro </w:t>
      </w:r>
      <w:r w:rsidR="00504543">
        <w:rPr>
          <w:rFonts w:cstheme="minorHAnsi"/>
          <w:sz w:val="24"/>
          <w:szCs w:val="24"/>
        </w:rPr>
        <w:t xml:space="preserve">per </w:t>
      </w:r>
      <w:r w:rsidRPr="003E4D66">
        <w:rPr>
          <w:rFonts w:cstheme="minorHAnsi"/>
          <w:sz w:val="24"/>
          <w:szCs w:val="24"/>
        </w:rPr>
        <w:t>each month for each child younger than 5 years in families with household equivalised income lower than 500 Euro - CB2, with a PR of 0.64 (95%CI: 0.44-0.84)</w:t>
      </w:r>
      <w:r w:rsidR="00504543">
        <w:rPr>
          <w:rFonts w:cstheme="minorHAnsi"/>
          <w:sz w:val="24"/>
          <w:szCs w:val="24"/>
        </w:rPr>
        <w:t>;</w:t>
      </w:r>
      <w:r w:rsidRPr="003E4D66">
        <w:rPr>
          <w:rFonts w:cstheme="minorHAnsi"/>
          <w:sz w:val="24"/>
          <w:szCs w:val="24"/>
        </w:rPr>
        <w:t xml:space="preserve"> and with the Basic Income of 100 Euro per month for each member of the family - BI2 (PR 0.67; 95%CI: 0.50-0.83). The strongest effects on overweight and obesity are also found in CB2 (PR 0.89; 95%CI: 0.83-0.94) and BI2 (PR 0.88; 95%CI: 0.82-0.93). </w:t>
      </w:r>
    </w:p>
    <w:p w:rsidR="0021061E" w:rsidRDefault="0021061E" w:rsidP="00125AB6">
      <w:pPr>
        <w:spacing w:line="480" w:lineRule="auto"/>
        <w:jc w:val="both"/>
        <w:rPr>
          <w:rFonts w:cstheme="minorHAnsi"/>
          <w:sz w:val="24"/>
          <w:szCs w:val="24"/>
        </w:rPr>
        <w:sectPr w:rsidR="0021061E" w:rsidSect="002F7A61">
          <w:footerReference w:type="default" r:id="rId10"/>
          <w:type w:val="continuous"/>
          <w:pgSz w:w="11906" w:h="16838"/>
          <w:pgMar w:top="1440" w:right="1440" w:bottom="1440" w:left="1440" w:header="0" w:footer="0" w:gutter="0"/>
          <w:cols w:space="720"/>
          <w:formProt w:val="0"/>
          <w:docGrid w:linePitch="360" w:charSpace="4096"/>
        </w:sectPr>
      </w:pPr>
    </w:p>
    <w:p w:rsidR="0021061E" w:rsidRPr="00015361" w:rsidRDefault="0021061E" w:rsidP="00125AB6">
      <w:pPr>
        <w:spacing w:line="480" w:lineRule="auto"/>
        <w:rPr>
          <w:rFonts w:cstheme="minorHAnsi"/>
          <w:b/>
        </w:rPr>
      </w:pPr>
      <w:r w:rsidRPr="00015361">
        <w:rPr>
          <w:rFonts w:cstheme="minorHAnsi"/>
          <w:b/>
        </w:rPr>
        <w:lastRenderedPageBreak/>
        <w:t xml:space="preserve">Table </w:t>
      </w:r>
      <w:r w:rsidR="00A70CED">
        <w:rPr>
          <w:rFonts w:cstheme="minorHAnsi"/>
          <w:b/>
        </w:rPr>
        <w:t>S</w:t>
      </w:r>
      <w:r w:rsidRPr="00015361">
        <w:rPr>
          <w:rFonts w:cstheme="minorHAnsi"/>
          <w:b/>
        </w:rPr>
        <w:t>3 Prevalence of</w:t>
      </w:r>
      <w:r w:rsidR="00015361" w:rsidRPr="00015361">
        <w:rPr>
          <w:rFonts w:cstheme="minorHAnsi"/>
          <w:b/>
        </w:rPr>
        <w:t xml:space="preserve"> children’s overweight and obesity for</w:t>
      </w:r>
      <w:r w:rsidRPr="00015361">
        <w:rPr>
          <w:rFonts w:cstheme="minorHAnsi"/>
          <w:b/>
        </w:rPr>
        <w:t xml:space="preserve"> baseline and each simulated policy scenario</w:t>
      </w:r>
      <w:r w:rsidR="00015361" w:rsidRPr="00015361">
        <w:rPr>
          <w:rFonts w:cstheme="minorHAnsi"/>
          <w:b/>
        </w:rPr>
        <w:t xml:space="preserve"> at 48, 84, and 120 months after birth</w:t>
      </w:r>
    </w:p>
    <w:tbl>
      <w:tblPr>
        <w:tblW w:w="13610" w:type="dxa"/>
        <w:tblLook w:val="04A0" w:firstRow="1" w:lastRow="0" w:firstColumn="1" w:lastColumn="0" w:noHBand="0" w:noVBand="1"/>
      </w:tblPr>
      <w:tblGrid>
        <w:gridCol w:w="1924"/>
        <w:gridCol w:w="1298"/>
        <w:gridCol w:w="1298"/>
        <w:gridCol w:w="1299"/>
        <w:gridCol w:w="1298"/>
        <w:gridCol w:w="1299"/>
        <w:gridCol w:w="1298"/>
        <w:gridCol w:w="1299"/>
        <w:gridCol w:w="1298"/>
        <w:gridCol w:w="1299"/>
      </w:tblGrid>
      <w:tr w:rsidR="0021061E" w:rsidRPr="0021061E" w:rsidTr="0021061E">
        <w:trPr>
          <w:trHeight w:val="428"/>
        </w:trPr>
        <w:tc>
          <w:tcPr>
            <w:tcW w:w="1924" w:type="dxa"/>
            <w:tcBorders>
              <w:top w:val="single" w:sz="4" w:space="0" w:color="auto"/>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 </w:t>
            </w:r>
          </w:p>
        </w:tc>
        <w:tc>
          <w:tcPr>
            <w:tcW w:w="1298" w:type="dxa"/>
            <w:vMerge w:val="restart"/>
            <w:tcBorders>
              <w:top w:val="single" w:sz="4" w:space="0" w:color="auto"/>
              <w:left w:val="nil"/>
              <w:bottom w:val="single" w:sz="4" w:space="0" w:color="000000"/>
              <w:right w:val="nil"/>
            </w:tcBorders>
            <w:shd w:val="clear" w:color="auto" w:fill="auto"/>
            <w:vAlign w:val="center"/>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Baseline</w:t>
            </w:r>
          </w:p>
        </w:tc>
        <w:tc>
          <w:tcPr>
            <w:tcW w:w="2597" w:type="dxa"/>
            <w:gridSpan w:val="2"/>
            <w:tcBorders>
              <w:top w:val="single" w:sz="4" w:space="0" w:color="auto"/>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Base Income</w:t>
            </w:r>
          </w:p>
        </w:tc>
        <w:tc>
          <w:tcPr>
            <w:tcW w:w="2597" w:type="dxa"/>
            <w:gridSpan w:val="2"/>
            <w:tcBorders>
              <w:top w:val="single" w:sz="4" w:space="0" w:color="auto"/>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Poverty Reduction</w:t>
            </w:r>
          </w:p>
        </w:tc>
        <w:tc>
          <w:tcPr>
            <w:tcW w:w="2597" w:type="dxa"/>
            <w:gridSpan w:val="2"/>
            <w:tcBorders>
              <w:top w:val="single" w:sz="4" w:space="0" w:color="auto"/>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New-borns Benefit</w:t>
            </w:r>
          </w:p>
        </w:tc>
        <w:tc>
          <w:tcPr>
            <w:tcW w:w="2597" w:type="dxa"/>
            <w:gridSpan w:val="2"/>
            <w:tcBorders>
              <w:top w:val="single" w:sz="4" w:space="0" w:color="auto"/>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Child Benefit</w:t>
            </w:r>
          </w:p>
        </w:tc>
      </w:tr>
      <w:tr w:rsidR="0021061E" w:rsidRPr="0021061E" w:rsidTr="00046A03">
        <w:trPr>
          <w:trHeight w:val="428"/>
        </w:trPr>
        <w:tc>
          <w:tcPr>
            <w:tcW w:w="1924"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 </w:t>
            </w:r>
          </w:p>
        </w:tc>
        <w:tc>
          <w:tcPr>
            <w:tcW w:w="1298" w:type="dxa"/>
            <w:vMerge/>
            <w:tcBorders>
              <w:top w:val="single" w:sz="4" w:space="0" w:color="auto"/>
              <w:left w:val="nil"/>
              <w:bottom w:val="single" w:sz="4" w:space="0" w:color="000000"/>
              <w:right w:val="nil"/>
            </w:tcBorders>
            <w:vAlign w:val="center"/>
            <w:hideMark/>
          </w:tcPr>
          <w:p w:rsidR="0021061E" w:rsidRPr="0021061E" w:rsidRDefault="0021061E" w:rsidP="0021061E">
            <w:pPr>
              <w:spacing w:after="0" w:line="240" w:lineRule="auto"/>
              <w:rPr>
                <w:rFonts w:ascii="Calibri" w:eastAsia="Times New Roman" w:hAnsi="Calibri" w:cs="Calibri"/>
                <w:color w:val="000000"/>
                <w:lang w:eastAsia="en-GB"/>
              </w:rPr>
            </w:pP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BI1</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BI2</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PR1</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PR2</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NB1</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NB1</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CB1</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CB2</w:t>
            </w: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rPr>
                <w:rFonts w:ascii="Calibri" w:eastAsia="Times New Roman" w:hAnsi="Calibri" w:cs="Calibri"/>
                <w:color w:val="000000"/>
                <w:lang w:eastAsia="en-GB"/>
              </w:rPr>
            </w:pPr>
            <w:r w:rsidRPr="0021061E">
              <w:rPr>
                <w:rFonts w:ascii="Calibri" w:eastAsia="Times New Roman" w:hAnsi="Calibri" w:cs="Calibri"/>
                <w:color w:val="000000"/>
                <w:lang w:eastAsia="en-GB"/>
              </w:rPr>
              <w:t>At 48 months</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rPr>
                <w:rFonts w:ascii="Calibri" w:eastAsia="Times New Roman" w:hAnsi="Calibri" w:cs="Calibri"/>
                <w:color w:val="00000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overweight</w:t>
            </w:r>
          </w:p>
        </w:tc>
        <w:tc>
          <w:tcPr>
            <w:tcW w:w="1298" w:type="dxa"/>
            <w:tcBorders>
              <w:top w:val="nil"/>
              <w:left w:val="nil"/>
              <w:bottom w:val="nil"/>
              <w:right w:val="nil"/>
            </w:tcBorders>
            <w:shd w:val="clear" w:color="auto" w:fill="auto"/>
            <w:noWrap/>
            <w:vAlign w:val="bottom"/>
            <w:hideMark/>
          </w:tcPr>
          <w:p w:rsidR="00AB6876" w:rsidRPr="0021061E" w:rsidRDefault="0021061E" w:rsidP="00AB6876">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11.980</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11.905</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11.325</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11.928</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11.580</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11.970</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11.890</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11.893</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11.394</w:t>
            </w: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obesity</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1.463</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1.441</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1.321</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1.445</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1.365</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1.461</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1.444</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1.436</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1.328</w:t>
            </w: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rPr>
                <w:rFonts w:ascii="Calibri" w:eastAsia="Times New Roman" w:hAnsi="Calibri" w:cs="Calibri"/>
                <w:color w:val="000000"/>
                <w:lang w:eastAsia="en-GB"/>
              </w:rPr>
            </w:pPr>
            <w:r w:rsidRPr="0021061E">
              <w:rPr>
                <w:rFonts w:ascii="Calibri" w:eastAsia="Times New Roman" w:hAnsi="Calibri" w:cs="Calibri"/>
                <w:color w:val="000000"/>
                <w:lang w:eastAsia="en-GB"/>
              </w:rPr>
              <w:t>At 84 months</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rPr>
                <w:rFonts w:ascii="Calibri" w:eastAsia="Times New Roman" w:hAnsi="Calibri" w:cs="Calibri"/>
                <w:color w:val="00000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overweight</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18.897</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18.719</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17.227</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18.777</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17.873</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18.870</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18.659</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18.690</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17.390</w:t>
            </w: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obesity</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1.643</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1.588</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1.311</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1.595</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1.390</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1.637</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1.597</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1.568</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1.306</w:t>
            </w: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rPr>
                <w:rFonts w:ascii="Calibri" w:eastAsia="Times New Roman" w:hAnsi="Calibri" w:cs="Calibri"/>
                <w:color w:val="000000"/>
                <w:lang w:eastAsia="en-GB"/>
              </w:rPr>
            </w:pPr>
            <w:r w:rsidRPr="0021061E">
              <w:rPr>
                <w:rFonts w:ascii="Calibri" w:eastAsia="Times New Roman" w:hAnsi="Calibri" w:cs="Calibri"/>
                <w:color w:val="000000"/>
                <w:lang w:eastAsia="en-GB"/>
              </w:rPr>
              <w:t>At 120 months</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rPr>
                <w:rFonts w:ascii="Calibri" w:eastAsia="Times New Roman" w:hAnsi="Calibri" w:cs="Calibri"/>
                <w:color w:val="00000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Times New Roman" w:eastAsia="Times New Roman" w:hAnsi="Times New Roman" w:cs="Times New Roman"/>
                <w:sz w:val="20"/>
                <w:szCs w:val="20"/>
                <w:lang w:eastAsia="en-GB"/>
              </w:rPr>
            </w:pPr>
          </w:p>
        </w:tc>
      </w:tr>
      <w:tr w:rsidR="0021061E" w:rsidRPr="0021061E" w:rsidTr="00046A03">
        <w:trPr>
          <w:trHeight w:val="428"/>
        </w:trPr>
        <w:tc>
          <w:tcPr>
            <w:tcW w:w="1924"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overweight</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24.728</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24.424</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21.642</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24.535</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22.859</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24.680</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24.278</w:t>
            </w:r>
          </w:p>
        </w:tc>
        <w:tc>
          <w:tcPr>
            <w:tcW w:w="1298"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24.389</w:t>
            </w:r>
          </w:p>
        </w:tc>
        <w:tc>
          <w:tcPr>
            <w:tcW w:w="1299" w:type="dxa"/>
            <w:tcBorders>
              <w:top w:val="nil"/>
              <w:left w:val="nil"/>
              <w:bottom w:val="nil"/>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21.922</w:t>
            </w:r>
          </w:p>
        </w:tc>
      </w:tr>
      <w:tr w:rsidR="0021061E" w:rsidRPr="0021061E" w:rsidTr="00046A03">
        <w:trPr>
          <w:trHeight w:val="428"/>
        </w:trPr>
        <w:tc>
          <w:tcPr>
            <w:tcW w:w="1924"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obesity</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1.879</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1.778</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1.225</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1.788</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1.331</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1.865</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1.779</w:t>
            </w:r>
          </w:p>
        </w:tc>
        <w:tc>
          <w:tcPr>
            <w:tcW w:w="1298"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1.727</w:t>
            </w:r>
          </w:p>
        </w:tc>
        <w:tc>
          <w:tcPr>
            <w:tcW w:w="1299" w:type="dxa"/>
            <w:tcBorders>
              <w:top w:val="nil"/>
              <w:left w:val="nil"/>
              <w:bottom w:val="single" w:sz="4" w:space="0" w:color="auto"/>
              <w:right w:val="nil"/>
            </w:tcBorders>
            <w:shd w:val="clear" w:color="auto" w:fill="auto"/>
            <w:noWrap/>
            <w:vAlign w:val="bottom"/>
            <w:hideMark/>
          </w:tcPr>
          <w:p w:rsidR="0021061E" w:rsidRPr="0021061E" w:rsidRDefault="0021061E" w:rsidP="0021061E">
            <w:pPr>
              <w:spacing w:after="0" w:line="240" w:lineRule="auto"/>
              <w:jc w:val="center"/>
              <w:rPr>
                <w:rFonts w:ascii="Calibri" w:eastAsia="Times New Roman" w:hAnsi="Calibri" w:cs="Calibri"/>
                <w:color w:val="000000"/>
                <w:lang w:eastAsia="en-GB"/>
              </w:rPr>
            </w:pPr>
            <w:r w:rsidRPr="0021061E">
              <w:rPr>
                <w:rFonts w:ascii="Calibri" w:eastAsia="Times New Roman" w:hAnsi="Calibri" w:cs="Calibri"/>
                <w:color w:val="000000"/>
                <w:lang w:eastAsia="en-GB"/>
              </w:rPr>
              <w:t>1.168</w:t>
            </w:r>
          </w:p>
        </w:tc>
      </w:tr>
    </w:tbl>
    <w:p w:rsidR="0021061E" w:rsidRPr="00A14B68" w:rsidRDefault="00046A03" w:rsidP="00125AB6">
      <w:pPr>
        <w:spacing w:line="480" w:lineRule="auto"/>
        <w:rPr>
          <w:rFonts w:cstheme="minorHAnsi"/>
          <w:b/>
          <w:sz w:val="32"/>
          <w:szCs w:val="24"/>
        </w:rPr>
      </w:pPr>
      <w:r w:rsidRPr="00A14B68">
        <w:rPr>
          <w:rFonts w:ascii="Calibri" w:hAnsi="Calibri" w:cs="Calibri"/>
          <w:i/>
          <w:color w:val="000000"/>
          <w:sz w:val="20"/>
        </w:rPr>
        <w:t>Source: Author’s.</w:t>
      </w:r>
    </w:p>
    <w:p w:rsidR="0021061E" w:rsidRDefault="0021061E" w:rsidP="00125AB6">
      <w:pPr>
        <w:spacing w:line="480" w:lineRule="auto"/>
        <w:rPr>
          <w:rFonts w:cstheme="minorHAnsi"/>
          <w:b/>
          <w:sz w:val="24"/>
          <w:szCs w:val="24"/>
        </w:rPr>
      </w:pPr>
    </w:p>
    <w:p w:rsidR="0021061E" w:rsidRDefault="0021061E" w:rsidP="00125AB6">
      <w:pPr>
        <w:spacing w:line="480" w:lineRule="auto"/>
        <w:rPr>
          <w:rFonts w:cstheme="minorHAnsi"/>
          <w:b/>
          <w:sz w:val="24"/>
          <w:szCs w:val="24"/>
        </w:rPr>
      </w:pPr>
    </w:p>
    <w:p w:rsidR="0021061E" w:rsidRDefault="0021061E" w:rsidP="00125AB6">
      <w:pPr>
        <w:spacing w:line="480" w:lineRule="auto"/>
        <w:rPr>
          <w:rFonts w:cstheme="minorHAnsi"/>
          <w:b/>
          <w:sz w:val="24"/>
          <w:szCs w:val="24"/>
        </w:rPr>
      </w:pPr>
    </w:p>
    <w:p w:rsidR="0021061E" w:rsidRDefault="0021061E" w:rsidP="00125AB6">
      <w:pPr>
        <w:spacing w:line="480" w:lineRule="auto"/>
        <w:rPr>
          <w:rFonts w:cstheme="minorHAnsi"/>
          <w:b/>
          <w:sz w:val="24"/>
          <w:szCs w:val="24"/>
        </w:rPr>
      </w:pPr>
    </w:p>
    <w:p w:rsidR="00125AB6" w:rsidRDefault="00125AB6" w:rsidP="00125AB6">
      <w:pPr>
        <w:spacing w:line="480" w:lineRule="auto"/>
        <w:rPr>
          <w:rFonts w:cstheme="minorHAnsi"/>
          <w:b/>
          <w:sz w:val="24"/>
          <w:szCs w:val="24"/>
        </w:rPr>
      </w:pPr>
      <w:r w:rsidRPr="008B4FC0">
        <w:rPr>
          <w:rFonts w:cstheme="minorHAnsi"/>
          <w:b/>
          <w:sz w:val="24"/>
          <w:szCs w:val="24"/>
        </w:rPr>
        <w:lastRenderedPageBreak/>
        <w:t xml:space="preserve">Table </w:t>
      </w:r>
      <w:r w:rsidR="00A70CED">
        <w:rPr>
          <w:rFonts w:cstheme="minorHAnsi"/>
          <w:b/>
          <w:sz w:val="24"/>
          <w:szCs w:val="24"/>
        </w:rPr>
        <w:t>S</w:t>
      </w:r>
      <w:r w:rsidR="0021061E">
        <w:rPr>
          <w:rFonts w:cstheme="minorHAnsi"/>
          <w:b/>
          <w:sz w:val="24"/>
          <w:szCs w:val="24"/>
        </w:rPr>
        <w:t>4</w:t>
      </w:r>
      <w:r w:rsidRPr="008B4FC0">
        <w:rPr>
          <w:rFonts w:cstheme="minorHAnsi"/>
          <w:b/>
          <w:sz w:val="24"/>
          <w:szCs w:val="24"/>
        </w:rPr>
        <w:t xml:space="preserve"> Estimated coefficients </w:t>
      </w:r>
      <w:r>
        <w:rPr>
          <w:rFonts w:cstheme="minorHAnsi"/>
          <w:b/>
          <w:sz w:val="24"/>
          <w:szCs w:val="24"/>
        </w:rPr>
        <w:t xml:space="preserve">of the concatenated multivariable regressions </w:t>
      </w:r>
      <w:r w:rsidRPr="008B4FC0">
        <w:rPr>
          <w:rFonts w:cstheme="minorHAnsi"/>
          <w:b/>
          <w:sz w:val="24"/>
          <w:szCs w:val="24"/>
        </w:rPr>
        <w:t>from Module 2 (M2)</w:t>
      </w:r>
    </w:p>
    <w:tbl>
      <w:tblPr>
        <w:tblW w:w="14647" w:type="dxa"/>
        <w:jc w:val="center"/>
        <w:tblLayout w:type="fixed"/>
        <w:tblCellMar>
          <w:left w:w="75" w:type="dxa"/>
          <w:right w:w="75" w:type="dxa"/>
        </w:tblCellMar>
        <w:tblLook w:val="0000" w:firstRow="0" w:lastRow="0" w:firstColumn="0" w:lastColumn="0" w:noHBand="0" w:noVBand="0"/>
      </w:tblPr>
      <w:tblGrid>
        <w:gridCol w:w="3186"/>
        <w:gridCol w:w="1567"/>
        <w:gridCol w:w="1764"/>
        <w:gridCol w:w="1665"/>
        <w:gridCol w:w="1764"/>
        <w:gridCol w:w="1567"/>
        <w:gridCol w:w="1567"/>
        <w:gridCol w:w="1567"/>
      </w:tblGrid>
      <w:tr w:rsidR="00125AB6" w:rsidRPr="001808EF" w:rsidTr="00951F75">
        <w:trPr>
          <w:trHeight w:val="265"/>
          <w:jc w:val="center"/>
        </w:trPr>
        <w:tc>
          <w:tcPr>
            <w:tcW w:w="3186"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w:t>
            </w:r>
          </w:p>
        </w:tc>
        <w:tc>
          <w:tcPr>
            <w:tcW w:w="1764"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(2)</w:t>
            </w:r>
          </w:p>
        </w:tc>
        <w:tc>
          <w:tcPr>
            <w:tcW w:w="1665"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(3)</w:t>
            </w:r>
          </w:p>
        </w:tc>
        <w:tc>
          <w:tcPr>
            <w:tcW w:w="1764"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(4)</w:t>
            </w:r>
          </w:p>
        </w:tc>
        <w:tc>
          <w:tcPr>
            <w:tcW w:w="1567"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(5)</w:t>
            </w:r>
          </w:p>
        </w:tc>
        <w:tc>
          <w:tcPr>
            <w:tcW w:w="1567"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(6)</w:t>
            </w:r>
          </w:p>
        </w:tc>
        <w:tc>
          <w:tcPr>
            <w:tcW w:w="1567" w:type="dxa"/>
            <w:tcBorders>
              <w:top w:val="single" w:sz="6" w:space="0" w:color="auto"/>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(7)</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Gestational age</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Birth</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Weight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Weight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BMI</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BMI</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BMI</w:t>
            </w:r>
          </w:p>
        </w:tc>
      </w:tr>
      <w:tr w:rsidR="00125AB6" w:rsidRPr="001808EF" w:rsidTr="00951F75">
        <w:trPr>
          <w:trHeight w:val="288"/>
          <w:jc w:val="center"/>
        </w:trPr>
        <w:tc>
          <w:tcPr>
            <w:tcW w:w="3186"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VARIABLES</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at birth</w:t>
            </w:r>
          </w:p>
        </w:tc>
        <w:tc>
          <w:tcPr>
            <w:tcW w:w="1764"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weight (kg)</w:t>
            </w:r>
          </w:p>
        </w:tc>
        <w:tc>
          <w:tcPr>
            <w:tcW w:w="1665"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at 6 months (kg)</w:t>
            </w:r>
          </w:p>
        </w:tc>
        <w:tc>
          <w:tcPr>
            <w:tcW w:w="1764"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at 18 months (kg)</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at 48 months</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at 84 months</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at 120 months</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EHII</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0.31</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-0.55</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-0.60</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1.36</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-0.31</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-0.52</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-0.85</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0.11 - 0.51</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-0.99 - -0.10</w:t>
            </w:r>
            <w:r>
              <w:rPr>
                <w:rFonts w:cstheme="minorHAnsi"/>
                <w:sz w:val="20"/>
                <w:szCs w:val="24"/>
              </w:rPr>
              <w:t>]</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-1.58 - 0.39</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0.07 - 2.65</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-0.57 - -0.05</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-0.93 - -0.10</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-1.58 - -0.12</w:t>
            </w:r>
            <w:r>
              <w:rPr>
                <w:rFonts w:cstheme="minorHAnsi"/>
                <w:sz w:val="20"/>
                <w:szCs w:val="24"/>
              </w:rPr>
              <w:t>]</w:t>
            </w: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Mother's age</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-0.05</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0.03</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-0.05</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-0.02</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-0.00</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0.00</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-0.01</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-0.06 - -0.04</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0.01 - 0.06</w:t>
            </w:r>
            <w:r>
              <w:rPr>
                <w:rFonts w:cstheme="minorHAnsi"/>
                <w:sz w:val="20"/>
                <w:szCs w:val="24"/>
              </w:rPr>
              <w:t>]</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-0.11 - -0.00</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-0.09 - 0.05</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-0.02 - 0.01</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-0.02 - 0.03</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-0.05 - 0.03</w:t>
            </w:r>
            <w:r>
              <w:rPr>
                <w:rFonts w:cstheme="minorHAnsi"/>
                <w:sz w:val="20"/>
                <w:szCs w:val="24"/>
              </w:rPr>
              <w:t>]</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Mother's country of birth</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0.02</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0.65</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1.88</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-1.30</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-0.20</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-0.01</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0.17</w:t>
            </w: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-0.19 - 0.22</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0.11 - 1.19</w:t>
            </w:r>
            <w:r>
              <w:rPr>
                <w:rFonts w:cstheme="minorHAnsi"/>
                <w:sz w:val="20"/>
                <w:szCs w:val="24"/>
              </w:rPr>
              <w:t>]</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0.66 - 3.09</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-2.82 - 0.23</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-0.54 - 0.14</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-0.62 - 0.61</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-0.87 - 1.22</w:t>
            </w:r>
            <w:r>
              <w:rPr>
                <w:rFonts w:cstheme="minorHAnsi"/>
                <w:sz w:val="20"/>
                <w:szCs w:val="24"/>
              </w:rPr>
              <w:t>]</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Sex</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-0.05</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-1.39</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-4.46</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-1.47</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0.29</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0.16*</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-0.12</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-0.13 - 0.04</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-1.58 - -1.19</w:t>
            </w:r>
            <w:r>
              <w:rPr>
                <w:rFonts w:cstheme="minorHAnsi"/>
                <w:sz w:val="20"/>
                <w:szCs w:val="24"/>
              </w:rPr>
              <w:t>]</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-4.90 - -4.02</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-2.07 - -0.86</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0.18 - 0.41</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-0.01 - 0.34</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-0.40 - 0.17</w:t>
            </w:r>
            <w:r>
              <w:rPr>
                <w:rFonts w:cstheme="minorHAnsi"/>
                <w:sz w:val="20"/>
                <w:szCs w:val="24"/>
              </w:rPr>
              <w:t>]</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Gestational age at birth (weeks)</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1.70</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-0.46</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1.63 - 1.76</w:t>
            </w:r>
            <w:r>
              <w:rPr>
                <w:rFonts w:cstheme="minorHAnsi"/>
                <w:sz w:val="20"/>
                <w:szCs w:val="24"/>
              </w:rPr>
              <w:t>]</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-0.62 - -0.29</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Birth weight (kg)</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0.89</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0.23</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0.83 - 0.94</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0.16 - 0.30</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Weight at 6 months (kg)</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0.83</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0.01</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0.79 - 0.87</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0.00 - 0.02</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Weight at 18 months (kg)</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0.05</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0.02</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0.05 - 0.06</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0.01 - 0.03</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Body Mass Index at 48 months</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0.55</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0.27</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0.48 - 0.63</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0.15 - 0.39</w:t>
            </w:r>
            <w:r>
              <w:rPr>
                <w:rFonts w:cstheme="minorHAnsi"/>
                <w:sz w:val="20"/>
                <w:szCs w:val="24"/>
              </w:rPr>
              <w:t>]</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Body Mass Index at 84 months</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0.77</w:t>
            </w: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0.67 - 0.88</w:t>
            </w:r>
            <w:r>
              <w:rPr>
                <w:rFonts w:cstheme="minorHAnsi"/>
                <w:sz w:val="20"/>
                <w:szCs w:val="24"/>
              </w:rPr>
              <w:t>]</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Constant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38.83</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-31.01</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73.19</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32.69</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10.70</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8.73</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7.62</w:t>
            </w: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37.39 - 40.27</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-34.98 - -27.03</w:t>
            </w:r>
            <w:r>
              <w:rPr>
                <w:rFonts w:cstheme="minorHAnsi"/>
                <w:sz w:val="20"/>
                <w:szCs w:val="24"/>
              </w:rPr>
              <w:t>]</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64.52 - 81.86</w:t>
            </w:r>
            <w:r>
              <w:rPr>
                <w:rFonts w:cstheme="minorHAnsi"/>
                <w:sz w:val="20"/>
                <w:szCs w:val="24"/>
              </w:rPr>
              <w:t>]</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22.92 - 42.47</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8.75 - 12.66</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5.55 - 11.92</w:t>
            </w:r>
            <w:r>
              <w:rPr>
                <w:rFonts w:cstheme="minorHAnsi"/>
                <w:sz w:val="20"/>
                <w:szCs w:val="24"/>
              </w:rPr>
              <w:t>]</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Pr>
                <w:rFonts w:cstheme="minorHAnsi"/>
                <w:sz w:val="20"/>
                <w:szCs w:val="24"/>
              </w:rPr>
              <w:t>[</w:t>
            </w:r>
            <w:r w:rsidRPr="001808EF">
              <w:rPr>
                <w:rFonts w:cstheme="minorHAnsi"/>
                <w:sz w:val="20"/>
                <w:szCs w:val="24"/>
              </w:rPr>
              <w:t>2.03 - 13.22</w:t>
            </w:r>
            <w:r>
              <w:rPr>
                <w:rFonts w:cstheme="minorHAnsi"/>
                <w:sz w:val="20"/>
                <w:szCs w:val="24"/>
              </w:rPr>
              <w:t>]</w:t>
            </w:r>
          </w:p>
        </w:tc>
      </w:tr>
      <w:tr w:rsidR="00125AB6" w:rsidRPr="001808EF" w:rsidTr="00951F75">
        <w:trPr>
          <w:trHeight w:val="288"/>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p>
        </w:tc>
      </w:tr>
      <w:tr w:rsidR="00125AB6" w:rsidRPr="001808EF" w:rsidTr="00951F75">
        <w:trPr>
          <w:trHeight w:val="265"/>
          <w:jc w:val="center"/>
        </w:trPr>
        <w:tc>
          <w:tcPr>
            <w:tcW w:w="3186"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Observations</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6,387</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6,202</w:t>
            </w:r>
          </w:p>
        </w:tc>
        <w:tc>
          <w:tcPr>
            <w:tcW w:w="1665"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5,173</w:t>
            </w:r>
          </w:p>
        </w:tc>
        <w:tc>
          <w:tcPr>
            <w:tcW w:w="1764"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4,141</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2,923</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1,621</w:t>
            </w:r>
          </w:p>
        </w:tc>
        <w:tc>
          <w:tcPr>
            <w:tcW w:w="1567" w:type="dxa"/>
            <w:tcBorders>
              <w:top w:val="nil"/>
              <w:left w:val="nil"/>
              <w:bottom w:val="nil"/>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658</w:t>
            </w:r>
          </w:p>
        </w:tc>
      </w:tr>
      <w:tr w:rsidR="00125AB6" w:rsidRPr="001808EF" w:rsidTr="00951F75">
        <w:tblPrEx>
          <w:tblBorders>
            <w:bottom w:val="single" w:sz="6" w:space="0" w:color="auto"/>
          </w:tblBorders>
        </w:tblPrEx>
        <w:trPr>
          <w:trHeight w:val="265"/>
          <w:jc w:val="center"/>
        </w:trPr>
        <w:tc>
          <w:tcPr>
            <w:tcW w:w="3186"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rPr>
                <w:rFonts w:cstheme="minorHAnsi"/>
                <w:sz w:val="20"/>
                <w:szCs w:val="24"/>
              </w:rPr>
            </w:pPr>
            <w:r w:rsidRPr="001808EF">
              <w:rPr>
                <w:rFonts w:cstheme="minorHAnsi"/>
                <w:sz w:val="20"/>
                <w:szCs w:val="24"/>
              </w:rPr>
              <w:t>R-squared</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0.01</w:t>
            </w:r>
          </w:p>
        </w:tc>
        <w:tc>
          <w:tcPr>
            <w:tcW w:w="1764"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0.37</w:t>
            </w:r>
          </w:p>
        </w:tc>
        <w:tc>
          <w:tcPr>
            <w:tcW w:w="1665"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0.28</w:t>
            </w:r>
          </w:p>
        </w:tc>
        <w:tc>
          <w:tcPr>
            <w:tcW w:w="1764"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0.46</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0.20</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0.26</w:t>
            </w:r>
          </w:p>
        </w:tc>
        <w:tc>
          <w:tcPr>
            <w:tcW w:w="1567" w:type="dxa"/>
            <w:tcBorders>
              <w:top w:val="nil"/>
              <w:left w:val="nil"/>
              <w:bottom w:val="single" w:sz="6" w:space="0" w:color="auto"/>
              <w:right w:val="nil"/>
            </w:tcBorders>
          </w:tcPr>
          <w:p w:rsidR="00125AB6" w:rsidRPr="001808EF" w:rsidRDefault="00125AB6" w:rsidP="00951F75">
            <w:pPr>
              <w:widowControl w:val="0"/>
              <w:autoSpaceDE w:val="0"/>
              <w:autoSpaceDN w:val="0"/>
              <w:adjustRightInd w:val="0"/>
              <w:spacing w:after="0" w:line="240" w:lineRule="auto"/>
              <w:jc w:val="center"/>
              <w:rPr>
                <w:rFonts w:cstheme="minorHAnsi"/>
                <w:sz w:val="20"/>
                <w:szCs w:val="24"/>
              </w:rPr>
            </w:pPr>
            <w:r w:rsidRPr="001808EF">
              <w:rPr>
                <w:rFonts w:cstheme="minorHAnsi"/>
                <w:sz w:val="20"/>
                <w:szCs w:val="24"/>
              </w:rPr>
              <w:t>0.49</w:t>
            </w:r>
          </w:p>
        </w:tc>
      </w:tr>
    </w:tbl>
    <w:p w:rsidR="00125AB6" w:rsidRPr="00A14B68" w:rsidRDefault="00125AB6" w:rsidP="00A14B68">
      <w:pPr>
        <w:spacing w:line="480" w:lineRule="auto"/>
        <w:jc w:val="both"/>
        <w:rPr>
          <w:rFonts w:ascii="Calibri" w:hAnsi="Calibri" w:cs="Calibri"/>
          <w:b/>
          <w:i/>
          <w:szCs w:val="24"/>
        </w:rPr>
        <w:sectPr w:rsidR="00125AB6" w:rsidRPr="00A14B68" w:rsidSect="002F7A61">
          <w:type w:val="continuous"/>
          <w:pgSz w:w="16838" w:h="11906" w:orient="landscape"/>
          <w:pgMar w:top="1440" w:right="1440" w:bottom="1440" w:left="1440" w:header="0" w:footer="0" w:gutter="0"/>
          <w:cols w:space="720"/>
          <w:formProt w:val="0"/>
          <w:docGrid w:linePitch="360" w:charSpace="4096"/>
        </w:sectPr>
      </w:pPr>
      <w:r w:rsidRPr="00A14B68">
        <w:rPr>
          <w:rFonts w:ascii="Calibri" w:hAnsi="Calibri" w:cs="Calibri"/>
          <w:i/>
          <w:color w:val="000000"/>
          <w:sz w:val="20"/>
        </w:rPr>
        <w:t>Note: 95% Confidence Intervals in brackets.  EHII stands for Equivalised Household Income Indicator. Sex (0=Male; 1 Female).  Mother’s country of birth (0=Italy; 1= others)</w:t>
      </w:r>
    </w:p>
    <w:p w:rsidR="00125AB6" w:rsidRPr="003E4D66" w:rsidRDefault="0036292A" w:rsidP="00125AB6">
      <w:pPr>
        <w:spacing w:line="240" w:lineRule="auto"/>
        <w:jc w:val="both"/>
        <w:rPr>
          <w:rFonts w:cstheme="minorHAnsi"/>
          <w:sz w:val="24"/>
          <w:szCs w:val="24"/>
        </w:rPr>
      </w:pPr>
      <w:r>
        <w:rPr>
          <w:rFonts w:cstheme="minorHAnsi"/>
          <w:sz w:val="24"/>
          <w:szCs w:val="24"/>
        </w:rPr>
        <w:lastRenderedPageBreak/>
        <w:t>D</w:t>
      </w:r>
      <w:r w:rsidRPr="003E4D66">
        <w:rPr>
          <w:rFonts w:cstheme="minorHAnsi"/>
          <w:sz w:val="24"/>
          <w:szCs w:val="24"/>
        </w:rPr>
        <w:t xml:space="preserve">istribution </w:t>
      </w:r>
      <w:r>
        <w:rPr>
          <w:rFonts w:cstheme="minorHAnsi"/>
          <w:sz w:val="24"/>
          <w:szCs w:val="24"/>
        </w:rPr>
        <w:t>of e</w:t>
      </w:r>
      <w:r w:rsidR="00125AB6" w:rsidRPr="003E4D66">
        <w:rPr>
          <w:rFonts w:cstheme="minorHAnsi"/>
          <w:sz w:val="24"/>
          <w:szCs w:val="24"/>
        </w:rPr>
        <w:t>ach dependent variable produced by M3 microsimulation models changed between baseline and fiscal intervention scenarios (Figure 4).</w:t>
      </w:r>
    </w:p>
    <w:p w:rsidR="00125AB6" w:rsidRPr="003E4D66" w:rsidRDefault="00125AB6" w:rsidP="00125AB6">
      <w:pPr>
        <w:spacing w:line="240" w:lineRule="auto"/>
        <w:jc w:val="both"/>
        <w:rPr>
          <w:rFonts w:cstheme="minorHAnsi"/>
          <w:sz w:val="24"/>
          <w:szCs w:val="24"/>
        </w:rPr>
      </w:pPr>
    </w:p>
    <w:p w:rsidR="00125AB6" w:rsidRPr="003E4D66" w:rsidRDefault="00125AB6" w:rsidP="00125AB6">
      <w:pPr>
        <w:spacing w:line="240" w:lineRule="auto"/>
        <w:rPr>
          <w:rFonts w:cstheme="minorHAnsi"/>
          <w:b/>
          <w:sz w:val="24"/>
          <w:szCs w:val="24"/>
        </w:rPr>
      </w:pPr>
      <w:r w:rsidRPr="003E4D66">
        <w:rPr>
          <w:rFonts w:cstheme="minorHAnsi"/>
          <w:b/>
          <w:sz w:val="24"/>
          <w:szCs w:val="24"/>
        </w:rPr>
        <w:t>Calibration</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Because the intercepts (Alphas) are obtained from the regression models applied to the NINFEA cohort, which is not representative of the Italian population, for the microsimulation model M2 we needed to calibrate their values. The calibration was achieved by varying the Alpha of the regression n.1 described above, in order to obtain the lower sum of squared errors (SSE) in comparison with the Italian national prevalence of premature births, and for regression n.2 with the average birth weight, both from the Italian birth registry “</w:t>
      </w:r>
      <w:proofErr w:type="spellStart"/>
      <w:r w:rsidRPr="003E4D66">
        <w:rPr>
          <w:rFonts w:cstheme="minorHAnsi"/>
          <w:sz w:val="24"/>
          <w:szCs w:val="24"/>
        </w:rPr>
        <w:t>Certificato</w:t>
      </w:r>
      <w:proofErr w:type="spellEnd"/>
      <w:r w:rsidRPr="003E4D66">
        <w:rPr>
          <w:rFonts w:cstheme="minorHAnsi"/>
          <w:sz w:val="24"/>
          <w:szCs w:val="24"/>
        </w:rPr>
        <w:t xml:space="preserve"> di </w:t>
      </w:r>
      <w:proofErr w:type="spellStart"/>
      <w:r w:rsidRPr="003E4D66">
        <w:rPr>
          <w:rFonts w:cstheme="minorHAnsi"/>
          <w:sz w:val="24"/>
          <w:szCs w:val="24"/>
        </w:rPr>
        <w:t>Assistenza</w:t>
      </w:r>
      <w:proofErr w:type="spellEnd"/>
      <w:r w:rsidRPr="003E4D66">
        <w:rPr>
          <w:rFonts w:cstheme="minorHAnsi"/>
          <w:sz w:val="24"/>
          <w:szCs w:val="24"/>
        </w:rPr>
        <w:t xml:space="preserve"> al </w:t>
      </w:r>
      <w:proofErr w:type="spellStart"/>
      <w:r w:rsidRPr="003E4D66">
        <w:rPr>
          <w:rFonts w:cstheme="minorHAnsi"/>
          <w:sz w:val="24"/>
          <w:szCs w:val="24"/>
        </w:rPr>
        <w:t>Parto</w:t>
      </w:r>
      <w:proofErr w:type="spellEnd"/>
      <w:r w:rsidRPr="003E4D66">
        <w:rPr>
          <w:rFonts w:cstheme="minorHAnsi"/>
          <w:sz w:val="24"/>
          <w:szCs w:val="24"/>
        </w:rPr>
        <w:t>” (CEDAP) of the year 2011</w:t>
      </w:r>
      <w:r>
        <w:rPr>
          <w:rFonts w:cstheme="minorHAnsi"/>
          <w:sz w:val="24"/>
          <w:szCs w:val="24"/>
        </w:rPr>
        <w:t>.</w:t>
      </w:r>
      <w:r w:rsidRPr="003E4D66">
        <w:rPr>
          <w:rFonts w:cstheme="minorHAnsi"/>
          <w:sz w:val="24"/>
          <w:szCs w:val="24"/>
        </w:rPr>
        <w:t xml:space="preserve"> </w:t>
      </w:r>
    </w:p>
    <w:p w:rsidR="001D0ED9" w:rsidRPr="003E4D66" w:rsidRDefault="001D0ED9" w:rsidP="00125AB6">
      <w:pPr>
        <w:spacing w:line="240" w:lineRule="auto"/>
        <w:jc w:val="both"/>
        <w:rPr>
          <w:rFonts w:cstheme="minorHAnsi"/>
          <w:sz w:val="24"/>
          <w:szCs w:val="24"/>
        </w:rPr>
      </w:pPr>
    </w:p>
    <w:p w:rsidR="00125AB6" w:rsidRPr="003E4D66" w:rsidRDefault="00125AB6" w:rsidP="00125AB6">
      <w:pPr>
        <w:spacing w:line="240" w:lineRule="auto"/>
        <w:rPr>
          <w:rFonts w:cstheme="minorHAnsi"/>
          <w:b/>
          <w:sz w:val="24"/>
          <w:szCs w:val="24"/>
        </w:rPr>
      </w:pPr>
      <w:r w:rsidRPr="003E4D66">
        <w:rPr>
          <w:rFonts w:cstheme="minorHAnsi"/>
          <w:b/>
          <w:sz w:val="24"/>
          <w:szCs w:val="24"/>
        </w:rPr>
        <w:t>Uncertainty Measures</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For each outcome and each scenario, 1,000 simulations were performed using the Monte Carlo sampling method. This allows the main parameter values, in our case the Alphas and Betas of the regression equations, to vary in each simulation cycle according to their assumed underlying distributions and their matrix of variance-covariance. The number of simulations was chosen after evaluating when estimates were stabilizing and further runs were not improving the point estimates, their standard errors and any other aspect of the simulation.</w:t>
      </w:r>
    </w:p>
    <w:p w:rsidR="00125AB6" w:rsidRPr="003E4D66" w:rsidRDefault="00125AB6" w:rsidP="00125AB6">
      <w:pPr>
        <w:spacing w:line="240" w:lineRule="auto"/>
        <w:jc w:val="both"/>
        <w:rPr>
          <w:rFonts w:cstheme="minorHAnsi"/>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Default="00125AB6" w:rsidP="00125AB6">
      <w:pPr>
        <w:spacing w:line="240" w:lineRule="auto"/>
        <w:jc w:val="both"/>
        <w:rPr>
          <w:rFonts w:cstheme="minorHAnsi"/>
          <w:b/>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lastRenderedPageBreak/>
        <w:t xml:space="preserve">Figure </w:t>
      </w:r>
      <w:r w:rsidR="00A70CED">
        <w:rPr>
          <w:rFonts w:cstheme="minorHAnsi"/>
          <w:b/>
          <w:sz w:val="24"/>
          <w:szCs w:val="24"/>
        </w:rPr>
        <w:t>S</w:t>
      </w:r>
      <w:r w:rsidRPr="003E4D66">
        <w:rPr>
          <w:rFonts w:cstheme="minorHAnsi"/>
          <w:b/>
          <w:sz w:val="24"/>
          <w:szCs w:val="24"/>
        </w:rPr>
        <w:t xml:space="preserve">4 Kernel Density of the distribution of child health outcomes from the M3 regression model for the Baseline (black) and Basic Income of 100 Euro per month (red). </w:t>
      </w:r>
    </w:p>
    <w:p w:rsidR="00125AB6" w:rsidRPr="003E4D66" w:rsidRDefault="00125AB6" w:rsidP="00125AB6">
      <w:pPr>
        <w:spacing w:line="240" w:lineRule="auto"/>
        <w:jc w:val="center"/>
        <w:rPr>
          <w:rFonts w:cstheme="minorHAnsi"/>
          <w:b/>
          <w:sz w:val="24"/>
          <w:szCs w:val="24"/>
        </w:rPr>
      </w:pPr>
      <w:r w:rsidRPr="003E4D66">
        <w:rPr>
          <w:rFonts w:cstheme="minorHAnsi"/>
          <w:b/>
          <w:noProof/>
          <w:sz w:val="24"/>
          <w:szCs w:val="24"/>
          <w:lang w:eastAsia="en-GB"/>
        </w:rPr>
        <w:drawing>
          <wp:inline distT="0" distB="0" distL="0" distR="0" wp14:anchorId="0B2665AB" wp14:editId="5B17153B">
            <wp:extent cx="5133975" cy="78717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38741" cy="7879099"/>
                    </a:xfrm>
                    <a:prstGeom prst="rect">
                      <a:avLst/>
                    </a:prstGeom>
                    <a:noFill/>
                    <a:ln>
                      <a:noFill/>
                    </a:ln>
                  </pic:spPr>
                </pic:pic>
              </a:graphicData>
            </a:graphic>
          </wp:inline>
        </w:drawing>
      </w:r>
    </w:p>
    <w:p w:rsidR="00125AB6" w:rsidRPr="00FF4BA0" w:rsidRDefault="00FF4BA0" w:rsidP="00FF4BA0">
      <w:pPr>
        <w:spacing w:line="240" w:lineRule="auto"/>
        <w:jc w:val="both"/>
        <w:rPr>
          <w:rFonts w:cstheme="minorHAnsi"/>
          <w:i/>
          <w:sz w:val="20"/>
          <w:szCs w:val="24"/>
        </w:rPr>
      </w:pPr>
      <w:r w:rsidRPr="00FF4BA0">
        <w:rPr>
          <w:rFonts w:cstheme="minorHAnsi"/>
          <w:i/>
          <w:sz w:val="20"/>
          <w:szCs w:val="24"/>
        </w:rPr>
        <w:t>Source: Author’s.</w:t>
      </w: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lastRenderedPageBreak/>
        <w:t>Limitations</w:t>
      </w:r>
    </w:p>
    <w:p w:rsidR="00125AB6" w:rsidRPr="003E4D66" w:rsidRDefault="00125AB6" w:rsidP="00125AB6">
      <w:pPr>
        <w:spacing w:line="240" w:lineRule="auto"/>
        <w:jc w:val="both"/>
        <w:rPr>
          <w:rFonts w:cstheme="minorHAnsi"/>
          <w:sz w:val="24"/>
          <w:szCs w:val="24"/>
        </w:rPr>
      </w:pPr>
      <w:r w:rsidRPr="003E4D66">
        <w:rPr>
          <w:rFonts w:cstheme="minorHAnsi"/>
          <w:sz w:val="24"/>
          <w:szCs w:val="24"/>
        </w:rPr>
        <w:t xml:space="preserve">One of the main limitations of the study </w:t>
      </w:r>
      <w:r w:rsidR="00970AF7">
        <w:rPr>
          <w:rFonts w:cstheme="minorHAnsi"/>
          <w:sz w:val="24"/>
          <w:szCs w:val="24"/>
        </w:rPr>
        <w:t>is related to</w:t>
      </w:r>
      <w:r w:rsidRPr="003E4D66">
        <w:rPr>
          <w:rFonts w:cstheme="minorHAnsi"/>
          <w:sz w:val="24"/>
          <w:szCs w:val="24"/>
        </w:rPr>
        <w:t xml:space="preserve"> the estimated marginal effects: fiscal reforms have a wide range of effects, spanning from socioeconomic to health outcomes, and the objective of our study is to show their - mostly unintended - impact only on a specific health outcome, child overweight and obesity. As a consequence, the exercise of evaluating the marginal benefits cannot be interpreted as a cost-effectiveness evaluation.</w:t>
      </w:r>
    </w:p>
    <w:p w:rsidR="00125AB6" w:rsidRDefault="00125AB6" w:rsidP="00125AB6">
      <w:pPr>
        <w:spacing w:line="240" w:lineRule="auto"/>
        <w:jc w:val="both"/>
        <w:rPr>
          <w:rFonts w:cstheme="minorHAnsi"/>
          <w:sz w:val="24"/>
          <w:szCs w:val="24"/>
        </w:rPr>
      </w:pPr>
      <w:r w:rsidRPr="003E4D66">
        <w:rPr>
          <w:rFonts w:cstheme="minorHAnsi"/>
          <w:sz w:val="24"/>
          <w:szCs w:val="24"/>
        </w:rPr>
        <w:t xml:space="preserve">Another limitation is the absence of behavioural and physical activity variables, that could be related with changes in income or socioeconomic position, for the modelling of childhood BMIs. While this has not be introduced in the microsimulation models, we assume that the relationship between income and weight and height measured in the NINFEA cohort is also able to </w:t>
      </w:r>
      <w:r>
        <w:rPr>
          <w:rFonts w:cstheme="minorHAnsi"/>
          <w:sz w:val="24"/>
          <w:szCs w:val="24"/>
        </w:rPr>
        <w:t>include</w:t>
      </w:r>
      <w:r w:rsidRPr="003E4D66">
        <w:rPr>
          <w:rFonts w:cstheme="minorHAnsi"/>
          <w:sz w:val="24"/>
          <w:szCs w:val="24"/>
        </w:rPr>
        <w:t xml:space="preserve"> such more proximal determinants of overweight and obesity.</w:t>
      </w:r>
    </w:p>
    <w:p w:rsidR="00DE3309" w:rsidRPr="003E4D66" w:rsidRDefault="00DE3309" w:rsidP="00125AB6">
      <w:pPr>
        <w:spacing w:line="240" w:lineRule="auto"/>
        <w:jc w:val="both"/>
        <w:rPr>
          <w:rFonts w:cstheme="minorHAnsi"/>
          <w:sz w:val="24"/>
          <w:szCs w:val="24"/>
        </w:rPr>
      </w:pPr>
    </w:p>
    <w:p w:rsidR="00125AB6" w:rsidRPr="003E4D66" w:rsidRDefault="00125AB6" w:rsidP="00125AB6">
      <w:pPr>
        <w:spacing w:line="240" w:lineRule="auto"/>
        <w:jc w:val="both"/>
        <w:rPr>
          <w:rFonts w:cstheme="minorHAnsi"/>
          <w:b/>
          <w:sz w:val="24"/>
          <w:szCs w:val="24"/>
        </w:rPr>
      </w:pPr>
      <w:r w:rsidRPr="003E4D66">
        <w:rPr>
          <w:rFonts w:cstheme="minorHAnsi"/>
          <w:b/>
          <w:sz w:val="24"/>
          <w:szCs w:val="24"/>
        </w:rPr>
        <w:t>Coding Software</w:t>
      </w:r>
    </w:p>
    <w:p w:rsidR="00125AB6" w:rsidRDefault="00125AB6" w:rsidP="00125AB6">
      <w:pPr>
        <w:spacing w:line="240" w:lineRule="auto"/>
        <w:jc w:val="both"/>
        <w:rPr>
          <w:rFonts w:cstheme="minorHAnsi"/>
          <w:sz w:val="24"/>
          <w:szCs w:val="24"/>
        </w:rPr>
      </w:pPr>
      <w:r w:rsidRPr="003E4D66">
        <w:rPr>
          <w:rFonts w:cstheme="minorHAnsi"/>
          <w:sz w:val="24"/>
          <w:szCs w:val="24"/>
        </w:rPr>
        <w:t>The M1 module was executed in EUROMOD</w:t>
      </w:r>
      <w:r w:rsidR="00C91753">
        <w:rPr>
          <w:rFonts w:cstheme="minorHAnsi"/>
          <w:sz w:val="24"/>
          <w:szCs w:val="24"/>
        </w:rPr>
        <w:t xml:space="preserve"> </w:t>
      </w:r>
      <w:r w:rsidR="00C91753" w:rsidRPr="003E4D66">
        <w:rPr>
          <w:rFonts w:cstheme="minorHAnsi"/>
          <w:sz w:val="24"/>
          <w:szCs w:val="24"/>
        </w:rPr>
        <w:t>v</w:t>
      </w:r>
      <w:r w:rsidR="00C91753">
        <w:rPr>
          <w:rFonts w:cstheme="minorHAnsi"/>
          <w:sz w:val="24"/>
          <w:szCs w:val="24"/>
        </w:rPr>
        <w:t>ersion 3.0.0</w:t>
      </w:r>
      <w:r w:rsidRPr="003E4D66">
        <w:rPr>
          <w:rFonts w:cstheme="minorHAnsi"/>
          <w:sz w:val="24"/>
          <w:szCs w:val="24"/>
        </w:rPr>
        <w:t xml:space="preserve">, its outputs processed in STATA </w:t>
      </w:r>
      <w:r w:rsidR="00C91753" w:rsidRPr="003E4D66">
        <w:rPr>
          <w:rFonts w:cstheme="minorHAnsi"/>
          <w:sz w:val="24"/>
          <w:szCs w:val="24"/>
        </w:rPr>
        <w:t>v</w:t>
      </w:r>
      <w:r w:rsidR="00C91753">
        <w:rPr>
          <w:rFonts w:cstheme="minorHAnsi"/>
          <w:sz w:val="24"/>
          <w:szCs w:val="24"/>
        </w:rPr>
        <w:t>ersion</w:t>
      </w:r>
      <w:r w:rsidR="00C91753" w:rsidRPr="003E4D66">
        <w:rPr>
          <w:rFonts w:cstheme="minorHAnsi"/>
          <w:sz w:val="24"/>
          <w:szCs w:val="24"/>
        </w:rPr>
        <w:t xml:space="preserve"> </w:t>
      </w:r>
      <w:r w:rsidRPr="003E4D66">
        <w:rPr>
          <w:rFonts w:cstheme="minorHAnsi"/>
          <w:sz w:val="24"/>
          <w:szCs w:val="24"/>
        </w:rPr>
        <w:t>14, and M2 and M3 were coded and implemented in R v</w:t>
      </w:r>
      <w:r w:rsidR="00C91753">
        <w:rPr>
          <w:rFonts w:cstheme="minorHAnsi"/>
          <w:sz w:val="24"/>
          <w:szCs w:val="24"/>
        </w:rPr>
        <w:t xml:space="preserve">ersion </w:t>
      </w:r>
      <w:r w:rsidRPr="003E4D66">
        <w:rPr>
          <w:rFonts w:cstheme="minorHAnsi"/>
          <w:sz w:val="24"/>
          <w:szCs w:val="24"/>
        </w:rPr>
        <w:t>3.6.3.</w:t>
      </w:r>
    </w:p>
    <w:p w:rsidR="002F1537" w:rsidRPr="00C91753" w:rsidRDefault="002F1537" w:rsidP="004C1D87">
      <w:pPr>
        <w:jc w:val="both"/>
      </w:pPr>
    </w:p>
    <w:sectPr w:rsidR="002F1537" w:rsidRPr="00C91753" w:rsidSect="002F7A61">
      <w:footerReference w:type="default" r:id="rId1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D25" w:rsidRDefault="00332D25" w:rsidP="00AD1129">
      <w:pPr>
        <w:spacing w:after="0" w:line="240" w:lineRule="auto"/>
      </w:pPr>
      <w:r>
        <w:separator/>
      </w:r>
    </w:p>
  </w:endnote>
  <w:endnote w:type="continuationSeparator" w:id="0">
    <w:p w:rsidR="00332D25" w:rsidRDefault="00332D25" w:rsidP="00AD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8494048"/>
      <w:docPartObj>
        <w:docPartGallery w:val="Page Numbers (Bottom of Page)"/>
        <w:docPartUnique/>
      </w:docPartObj>
    </w:sdtPr>
    <w:sdtEndPr>
      <w:rPr>
        <w:noProof/>
      </w:rPr>
    </w:sdtEndPr>
    <w:sdtContent>
      <w:p w:rsidR="006B4F63" w:rsidRDefault="006B4F63">
        <w:pPr>
          <w:pStyle w:val="Footer"/>
          <w:jc w:val="right"/>
        </w:pPr>
        <w:r>
          <w:fldChar w:fldCharType="begin"/>
        </w:r>
        <w:r>
          <w:instrText xml:space="preserve"> PAGE   \* MERGEFORMAT </w:instrText>
        </w:r>
        <w:r>
          <w:fldChar w:fldCharType="separate"/>
        </w:r>
        <w:r>
          <w:rPr>
            <w:noProof/>
          </w:rPr>
          <w:t>23</w:t>
        </w:r>
        <w:r>
          <w:rPr>
            <w:noProof/>
          </w:rPr>
          <w:fldChar w:fldCharType="end"/>
        </w:r>
      </w:p>
    </w:sdtContent>
  </w:sdt>
  <w:p w:rsidR="006B4F63" w:rsidRDefault="006B4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0749793"/>
      <w:docPartObj>
        <w:docPartGallery w:val="Page Numbers (Bottom of Page)"/>
        <w:docPartUnique/>
      </w:docPartObj>
    </w:sdtPr>
    <w:sdtEndPr>
      <w:rPr>
        <w:noProof/>
      </w:rPr>
    </w:sdtEndPr>
    <w:sdtContent>
      <w:p w:rsidR="006B4F63" w:rsidRDefault="006B4F63">
        <w:pPr>
          <w:pStyle w:val="Footer"/>
          <w:jc w:val="right"/>
        </w:pPr>
        <w:r>
          <w:fldChar w:fldCharType="begin"/>
        </w:r>
        <w:r>
          <w:instrText xml:space="preserve"> PAGE   \* MERGEFORMAT </w:instrText>
        </w:r>
        <w:r>
          <w:fldChar w:fldCharType="separate"/>
        </w:r>
        <w:r>
          <w:rPr>
            <w:noProof/>
          </w:rPr>
          <w:t>14</w:t>
        </w:r>
        <w:r>
          <w:rPr>
            <w:noProof/>
          </w:rPr>
          <w:fldChar w:fldCharType="end"/>
        </w:r>
      </w:p>
    </w:sdtContent>
  </w:sdt>
  <w:p w:rsidR="006B4F63" w:rsidRDefault="006B4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D25" w:rsidRDefault="00332D25" w:rsidP="00AD1129">
      <w:pPr>
        <w:spacing w:after="0" w:line="240" w:lineRule="auto"/>
      </w:pPr>
      <w:r>
        <w:separator/>
      </w:r>
    </w:p>
  </w:footnote>
  <w:footnote w:type="continuationSeparator" w:id="0">
    <w:p w:rsidR="00332D25" w:rsidRDefault="00332D25" w:rsidP="00AD1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16A50"/>
    <w:multiLevelType w:val="hybridMultilevel"/>
    <w:tmpl w:val="A0A69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ABB"/>
    <w:rsid w:val="00007BB1"/>
    <w:rsid w:val="000111F8"/>
    <w:rsid w:val="00015361"/>
    <w:rsid w:val="0001726D"/>
    <w:rsid w:val="00020328"/>
    <w:rsid w:val="00020444"/>
    <w:rsid w:val="00027E75"/>
    <w:rsid w:val="00046A03"/>
    <w:rsid w:val="000640EB"/>
    <w:rsid w:val="000C04BC"/>
    <w:rsid w:val="000C19CD"/>
    <w:rsid w:val="000F771F"/>
    <w:rsid w:val="001257BD"/>
    <w:rsid w:val="00125AB6"/>
    <w:rsid w:val="00136876"/>
    <w:rsid w:val="00136F21"/>
    <w:rsid w:val="00141BEC"/>
    <w:rsid w:val="00150825"/>
    <w:rsid w:val="001575B9"/>
    <w:rsid w:val="00183171"/>
    <w:rsid w:val="001A4402"/>
    <w:rsid w:val="001A4EFC"/>
    <w:rsid w:val="001A534E"/>
    <w:rsid w:val="001B1320"/>
    <w:rsid w:val="001B4C75"/>
    <w:rsid w:val="001C71EA"/>
    <w:rsid w:val="001D0ED9"/>
    <w:rsid w:val="0021061E"/>
    <w:rsid w:val="0025294F"/>
    <w:rsid w:val="00264308"/>
    <w:rsid w:val="00265804"/>
    <w:rsid w:val="002C1FC6"/>
    <w:rsid w:val="002C22C7"/>
    <w:rsid w:val="002D2F1B"/>
    <w:rsid w:val="002D74C0"/>
    <w:rsid w:val="002F1537"/>
    <w:rsid w:val="002F4D8E"/>
    <w:rsid w:val="002F7A61"/>
    <w:rsid w:val="00306CA5"/>
    <w:rsid w:val="00332D25"/>
    <w:rsid w:val="003401CB"/>
    <w:rsid w:val="0034548E"/>
    <w:rsid w:val="003463AB"/>
    <w:rsid w:val="0036292A"/>
    <w:rsid w:val="00366E64"/>
    <w:rsid w:val="003833BF"/>
    <w:rsid w:val="003B5D5E"/>
    <w:rsid w:val="003B622E"/>
    <w:rsid w:val="003D2943"/>
    <w:rsid w:val="003E4D66"/>
    <w:rsid w:val="003F2135"/>
    <w:rsid w:val="003F63D7"/>
    <w:rsid w:val="00404357"/>
    <w:rsid w:val="00417613"/>
    <w:rsid w:val="00431DF4"/>
    <w:rsid w:val="00470173"/>
    <w:rsid w:val="00485D6A"/>
    <w:rsid w:val="00486554"/>
    <w:rsid w:val="004B109B"/>
    <w:rsid w:val="004C1D87"/>
    <w:rsid w:val="004E5869"/>
    <w:rsid w:val="004F1529"/>
    <w:rsid w:val="004F551F"/>
    <w:rsid w:val="00504543"/>
    <w:rsid w:val="00514B0A"/>
    <w:rsid w:val="00516CFF"/>
    <w:rsid w:val="005261FF"/>
    <w:rsid w:val="00534531"/>
    <w:rsid w:val="005619F8"/>
    <w:rsid w:val="00571006"/>
    <w:rsid w:val="00582F10"/>
    <w:rsid w:val="005913A7"/>
    <w:rsid w:val="005D29E8"/>
    <w:rsid w:val="006135D5"/>
    <w:rsid w:val="00617362"/>
    <w:rsid w:val="0063149E"/>
    <w:rsid w:val="00642641"/>
    <w:rsid w:val="006566BC"/>
    <w:rsid w:val="00690E70"/>
    <w:rsid w:val="00697CA8"/>
    <w:rsid w:val="006B4F63"/>
    <w:rsid w:val="006D215F"/>
    <w:rsid w:val="0076348E"/>
    <w:rsid w:val="00767906"/>
    <w:rsid w:val="007735D8"/>
    <w:rsid w:val="00775D2A"/>
    <w:rsid w:val="00777E96"/>
    <w:rsid w:val="007A51AC"/>
    <w:rsid w:val="007B73C2"/>
    <w:rsid w:val="007C289D"/>
    <w:rsid w:val="007E43C7"/>
    <w:rsid w:val="007F1E8F"/>
    <w:rsid w:val="0082237A"/>
    <w:rsid w:val="008679DC"/>
    <w:rsid w:val="0087015E"/>
    <w:rsid w:val="00872358"/>
    <w:rsid w:val="008907BC"/>
    <w:rsid w:val="00890AC3"/>
    <w:rsid w:val="00895542"/>
    <w:rsid w:val="008A2B2C"/>
    <w:rsid w:val="008A7220"/>
    <w:rsid w:val="008D2A63"/>
    <w:rsid w:val="008E21B7"/>
    <w:rsid w:val="008E2552"/>
    <w:rsid w:val="00912D09"/>
    <w:rsid w:val="0092014C"/>
    <w:rsid w:val="009365D0"/>
    <w:rsid w:val="00951F75"/>
    <w:rsid w:val="00957065"/>
    <w:rsid w:val="00962B41"/>
    <w:rsid w:val="00970AF7"/>
    <w:rsid w:val="00977333"/>
    <w:rsid w:val="009857C9"/>
    <w:rsid w:val="009913E0"/>
    <w:rsid w:val="00993E9F"/>
    <w:rsid w:val="0099402F"/>
    <w:rsid w:val="009B0ABB"/>
    <w:rsid w:val="009B3EE1"/>
    <w:rsid w:val="009C0A34"/>
    <w:rsid w:val="00A04276"/>
    <w:rsid w:val="00A1044D"/>
    <w:rsid w:val="00A14B68"/>
    <w:rsid w:val="00A2166F"/>
    <w:rsid w:val="00A5730C"/>
    <w:rsid w:val="00A70CED"/>
    <w:rsid w:val="00A83531"/>
    <w:rsid w:val="00AB59F9"/>
    <w:rsid w:val="00AB6876"/>
    <w:rsid w:val="00AD1129"/>
    <w:rsid w:val="00B03594"/>
    <w:rsid w:val="00B16439"/>
    <w:rsid w:val="00B2000F"/>
    <w:rsid w:val="00B33F76"/>
    <w:rsid w:val="00B371D6"/>
    <w:rsid w:val="00B47316"/>
    <w:rsid w:val="00B61826"/>
    <w:rsid w:val="00B67A72"/>
    <w:rsid w:val="00B70327"/>
    <w:rsid w:val="00B76FC5"/>
    <w:rsid w:val="00B90087"/>
    <w:rsid w:val="00BD0A96"/>
    <w:rsid w:val="00BE031D"/>
    <w:rsid w:val="00BE2929"/>
    <w:rsid w:val="00BF37C1"/>
    <w:rsid w:val="00C07FD2"/>
    <w:rsid w:val="00C143E4"/>
    <w:rsid w:val="00C2678F"/>
    <w:rsid w:val="00C3259A"/>
    <w:rsid w:val="00C53895"/>
    <w:rsid w:val="00C63FA6"/>
    <w:rsid w:val="00C73047"/>
    <w:rsid w:val="00C849A5"/>
    <w:rsid w:val="00C91753"/>
    <w:rsid w:val="00CC5B94"/>
    <w:rsid w:val="00CF737E"/>
    <w:rsid w:val="00CF7671"/>
    <w:rsid w:val="00D0151B"/>
    <w:rsid w:val="00D05BC8"/>
    <w:rsid w:val="00D07798"/>
    <w:rsid w:val="00D17A7E"/>
    <w:rsid w:val="00D53DD7"/>
    <w:rsid w:val="00D871E3"/>
    <w:rsid w:val="00DA1984"/>
    <w:rsid w:val="00DB44DD"/>
    <w:rsid w:val="00DC0A52"/>
    <w:rsid w:val="00DC2DC1"/>
    <w:rsid w:val="00DD3EA2"/>
    <w:rsid w:val="00DD680C"/>
    <w:rsid w:val="00DE2201"/>
    <w:rsid w:val="00DE3309"/>
    <w:rsid w:val="00E1016E"/>
    <w:rsid w:val="00E16885"/>
    <w:rsid w:val="00E26308"/>
    <w:rsid w:val="00E42D8C"/>
    <w:rsid w:val="00E63216"/>
    <w:rsid w:val="00E74FA1"/>
    <w:rsid w:val="00EB4A8F"/>
    <w:rsid w:val="00EC3784"/>
    <w:rsid w:val="00ED3B1B"/>
    <w:rsid w:val="00F101DA"/>
    <w:rsid w:val="00F20C3A"/>
    <w:rsid w:val="00F218A1"/>
    <w:rsid w:val="00F31B14"/>
    <w:rsid w:val="00F53CE0"/>
    <w:rsid w:val="00F53F64"/>
    <w:rsid w:val="00F74510"/>
    <w:rsid w:val="00F84B6A"/>
    <w:rsid w:val="00F96424"/>
    <w:rsid w:val="00FC0283"/>
    <w:rsid w:val="00FC16E1"/>
    <w:rsid w:val="00FD4819"/>
    <w:rsid w:val="00FE4BB0"/>
    <w:rsid w:val="00FF4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15F0"/>
  <w15:chartTrackingRefBased/>
  <w15:docId w15:val="{0DC3EB10-3A38-42B8-AB0C-9AA03E3E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B0ABB"/>
    <w:pPr>
      <w:spacing w:after="240" w:line="240" w:lineRule="auto"/>
    </w:pPr>
  </w:style>
  <w:style w:type="paragraph" w:styleId="Header">
    <w:name w:val="header"/>
    <w:basedOn w:val="Normal"/>
    <w:link w:val="HeaderChar"/>
    <w:uiPriority w:val="99"/>
    <w:unhideWhenUsed/>
    <w:rsid w:val="00AD1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129"/>
  </w:style>
  <w:style w:type="paragraph" w:styleId="Footer">
    <w:name w:val="footer"/>
    <w:basedOn w:val="Normal"/>
    <w:link w:val="FooterChar"/>
    <w:uiPriority w:val="99"/>
    <w:unhideWhenUsed/>
    <w:rsid w:val="00AD1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129"/>
  </w:style>
  <w:style w:type="character" w:styleId="LineNumber">
    <w:name w:val="line number"/>
    <w:basedOn w:val="DefaultParagraphFont"/>
    <w:uiPriority w:val="99"/>
    <w:semiHidden/>
    <w:unhideWhenUsed/>
    <w:rsid w:val="00125AB6"/>
  </w:style>
  <w:style w:type="paragraph" w:styleId="ListParagraph">
    <w:name w:val="List Paragraph"/>
    <w:basedOn w:val="Normal"/>
    <w:uiPriority w:val="34"/>
    <w:qFormat/>
    <w:rsid w:val="00FD4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96267">
      <w:bodyDiv w:val="1"/>
      <w:marLeft w:val="0"/>
      <w:marRight w:val="0"/>
      <w:marTop w:val="0"/>
      <w:marBottom w:val="0"/>
      <w:divBdr>
        <w:top w:val="none" w:sz="0" w:space="0" w:color="auto"/>
        <w:left w:val="none" w:sz="0" w:space="0" w:color="auto"/>
        <w:bottom w:val="none" w:sz="0" w:space="0" w:color="auto"/>
        <w:right w:val="none" w:sz="0" w:space="0" w:color="auto"/>
      </w:divBdr>
    </w:div>
    <w:div w:id="790243878">
      <w:bodyDiv w:val="1"/>
      <w:marLeft w:val="0"/>
      <w:marRight w:val="0"/>
      <w:marTop w:val="0"/>
      <w:marBottom w:val="0"/>
      <w:divBdr>
        <w:top w:val="none" w:sz="0" w:space="0" w:color="auto"/>
        <w:left w:val="none" w:sz="0" w:space="0" w:color="auto"/>
        <w:bottom w:val="none" w:sz="0" w:space="0" w:color="auto"/>
        <w:right w:val="none" w:sz="0" w:space="0" w:color="auto"/>
      </w:divBdr>
    </w:div>
    <w:div w:id="817503430">
      <w:bodyDiv w:val="1"/>
      <w:marLeft w:val="0"/>
      <w:marRight w:val="0"/>
      <w:marTop w:val="0"/>
      <w:marBottom w:val="0"/>
      <w:divBdr>
        <w:top w:val="none" w:sz="0" w:space="0" w:color="auto"/>
        <w:left w:val="none" w:sz="0" w:space="0" w:color="auto"/>
        <w:bottom w:val="none" w:sz="0" w:space="0" w:color="auto"/>
        <w:right w:val="none" w:sz="0" w:space="0" w:color="auto"/>
      </w:divBdr>
    </w:div>
    <w:div w:id="1488978463">
      <w:bodyDiv w:val="1"/>
      <w:marLeft w:val="0"/>
      <w:marRight w:val="0"/>
      <w:marTop w:val="0"/>
      <w:marBottom w:val="0"/>
      <w:divBdr>
        <w:top w:val="none" w:sz="0" w:space="0" w:color="auto"/>
        <w:left w:val="none" w:sz="0" w:space="0" w:color="auto"/>
        <w:bottom w:val="none" w:sz="0" w:space="0" w:color="auto"/>
        <w:right w:val="none" w:sz="0" w:space="0" w:color="auto"/>
      </w:divBdr>
    </w:div>
    <w:div w:id="1600792154">
      <w:bodyDiv w:val="1"/>
      <w:marLeft w:val="0"/>
      <w:marRight w:val="0"/>
      <w:marTop w:val="0"/>
      <w:marBottom w:val="0"/>
      <w:divBdr>
        <w:top w:val="none" w:sz="0" w:space="0" w:color="auto"/>
        <w:left w:val="none" w:sz="0" w:space="0" w:color="auto"/>
        <w:bottom w:val="none" w:sz="0" w:space="0" w:color="auto"/>
        <w:right w:val="none" w:sz="0" w:space="0" w:color="auto"/>
      </w:divBdr>
    </w:div>
    <w:div w:id="1898586219">
      <w:bodyDiv w:val="1"/>
      <w:marLeft w:val="0"/>
      <w:marRight w:val="0"/>
      <w:marTop w:val="0"/>
      <w:marBottom w:val="0"/>
      <w:divBdr>
        <w:top w:val="none" w:sz="0" w:space="0" w:color="auto"/>
        <w:left w:val="none" w:sz="0" w:space="0" w:color="auto"/>
        <w:bottom w:val="none" w:sz="0" w:space="0" w:color="auto"/>
        <w:right w:val="none" w:sz="0" w:space="0" w:color="auto"/>
      </w:divBdr>
    </w:div>
    <w:div w:id="199459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13</Pages>
  <Words>3292</Words>
  <Characters>18109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dc:creator>
  <cp:keywords/>
  <dc:description/>
  <cp:lastModifiedBy>Davide Rasella</cp:lastModifiedBy>
  <cp:revision>60</cp:revision>
  <dcterms:created xsi:type="dcterms:W3CDTF">2021-09-20T19:04:00Z</dcterms:created>
  <dcterms:modified xsi:type="dcterms:W3CDTF">2021-09-28T23:20:00Z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id="fZdTfA1v"/&gt;&lt;style id="http://www.zotero.org/styles/bmc-medicine"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