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F551F" w:rsidRPr="002F7A61" w:rsidRDefault="00BF6E52" w:rsidP="00FC16E1">
      <w:pPr>
        <w:spacing w:line="240" w:lineRule="auto"/>
        <w:jc w:val="both"/>
        <w:rPr>
          <w:rFonts w:cstheme="minorHAnsi"/>
          <w:b/>
          <w:bCs/>
          <w:sz w:val="36"/>
          <w:szCs w:val="36"/>
        </w:rPr>
      </w:pPr>
      <w:r>
        <w:rPr>
          <w:rFonts w:cstheme="minorHAnsi"/>
          <w:b/>
          <w:bCs/>
          <w:sz w:val="36"/>
          <w:szCs w:val="36"/>
        </w:rPr>
        <w:t xml:space="preserve">Additional file </w:t>
      </w:r>
      <w:r w:rsidR="00A722AE">
        <w:rPr>
          <w:rFonts w:cstheme="minorHAnsi"/>
          <w:b/>
          <w:bCs/>
          <w:sz w:val="36"/>
          <w:szCs w:val="36"/>
        </w:rPr>
        <w:t>3</w:t>
      </w:r>
    </w:p>
    <w:p w:rsidR="001A4402" w:rsidRDefault="001A4402" w:rsidP="00FC16E1">
      <w:pPr>
        <w:spacing w:line="240" w:lineRule="auto"/>
        <w:jc w:val="both"/>
        <w:rPr>
          <w:rFonts w:cstheme="minorHAnsi"/>
          <w:b/>
          <w:bCs/>
          <w:sz w:val="24"/>
          <w:szCs w:val="24"/>
        </w:rPr>
      </w:pPr>
    </w:p>
    <w:p w:rsidR="001A4402" w:rsidRPr="00EB432A" w:rsidRDefault="00BF6E52" w:rsidP="001A4402">
      <w:pPr>
        <w:spacing w:line="480" w:lineRule="auto"/>
        <w:jc w:val="center"/>
        <w:rPr>
          <w:b/>
          <w:sz w:val="24"/>
        </w:rPr>
      </w:pPr>
      <w:r>
        <w:rPr>
          <w:b/>
          <w:sz w:val="24"/>
        </w:rPr>
        <w:t xml:space="preserve">Supplement to: </w:t>
      </w:r>
      <w:r w:rsidR="001A4402" w:rsidRPr="00EB432A">
        <w:rPr>
          <w:b/>
          <w:sz w:val="24"/>
        </w:rPr>
        <w:t>Developing an integrated microsimulation model for the impact of fiscal policies on child health in Europe: the example of childhood obesity in Italy</w:t>
      </w:r>
    </w:p>
    <w:p w:rsidR="001A4402" w:rsidRPr="00EB432A" w:rsidRDefault="001A4402" w:rsidP="001A4402">
      <w:pPr>
        <w:spacing w:line="480" w:lineRule="auto"/>
        <w:rPr>
          <w:sz w:val="24"/>
          <w:vertAlign w:val="superscript"/>
          <w:lang w:val="it-IT"/>
        </w:rPr>
      </w:pPr>
      <w:r w:rsidRPr="00EB432A">
        <w:rPr>
          <w:sz w:val="24"/>
          <w:lang w:val="it-IT"/>
        </w:rPr>
        <w:t xml:space="preserve">Davide Rasella, PhD </w:t>
      </w:r>
      <w:r w:rsidRPr="00EB432A">
        <w:rPr>
          <w:sz w:val="24"/>
          <w:vertAlign w:val="superscript"/>
          <w:lang w:val="it-IT"/>
        </w:rPr>
        <w:t>1,2</w:t>
      </w:r>
      <w:r w:rsidRPr="00EB432A">
        <w:rPr>
          <w:sz w:val="24"/>
          <w:lang w:val="it-IT"/>
        </w:rPr>
        <w:t xml:space="preserve">; Lorenzo Richiardi, PhD </w:t>
      </w:r>
      <w:r w:rsidRPr="00EB432A">
        <w:rPr>
          <w:sz w:val="24"/>
          <w:vertAlign w:val="superscript"/>
          <w:lang w:val="it-IT"/>
        </w:rPr>
        <w:t>2</w:t>
      </w:r>
      <w:r w:rsidRPr="00EB432A">
        <w:rPr>
          <w:sz w:val="24"/>
          <w:lang w:val="it-IT"/>
        </w:rPr>
        <w:t xml:space="preserve">; </w:t>
      </w:r>
      <w:r>
        <w:rPr>
          <w:rFonts w:cstheme="minorHAnsi"/>
          <w:sz w:val="24"/>
          <w:szCs w:val="24"/>
          <w:lang w:val="it-IT"/>
        </w:rPr>
        <w:t xml:space="preserve">Nicolai </w:t>
      </w:r>
      <w:r w:rsidRPr="00817A7D">
        <w:rPr>
          <w:rFonts w:cstheme="minorHAnsi"/>
          <w:sz w:val="24"/>
          <w:szCs w:val="24"/>
          <w:lang w:val="it-IT"/>
        </w:rPr>
        <w:t>Brachowicz</w:t>
      </w:r>
      <w:r>
        <w:rPr>
          <w:rFonts w:cstheme="minorHAnsi"/>
          <w:sz w:val="24"/>
          <w:szCs w:val="24"/>
          <w:lang w:val="it-IT"/>
        </w:rPr>
        <w:t xml:space="preserve">, MSc </w:t>
      </w:r>
      <w:r w:rsidRPr="00E2727D">
        <w:rPr>
          <w:rFonts w:cstheme="minorHAnsi"/>
          <w:sz w:val="24"/>
          <w:szCs w:val="24"/>
          <w:vertAlign w:val="superscript"/>
          <w:lang w:val="it-IT"/>
        </w:rPr>
        <w:t>1</w:t>
      </w:r>
      <w:r>
        <w:rPr>
          <w:rFonts w:cstheme="minorHAnsi"/>
          <w:sz w:val="24"/>
          <w:szCs w:val="24"/>
          <w:lang w:val="it-IT"/>
        </w:rPr>
        <w:t xml:space="preserve">, </w:t>
      </w:r>
      <w:r w:rsidRPr="00817A7D">
        <w:rPr>
          <w:rFonts w:cstheme="minorHAnsi"/>
          <w:sz w:val="24"/>
          <w:szCs w:val="24"/>
          <w:lang w:val="it-IT"/>
        </w:rPr>
        <w:t>H.</w:t>
      </w:r>
      <w:r w:rsidRPr="00EB432A">
        <w:rPr>
          <w:sz w:val="24"/>
          <w:lang w:val="it-IT"/>
        </w:rPr>
        <w:t xml:space="preserve"> Xavier Jara, PhD </w:t>
      </w:r>
      <w:r w:rsidRPr="00EB432A">
        <w:rPr>
          <w:sz w:val="24"/>
          <w:vertAlign w:val="superscript"/>
          <w:lang w:val="it-IT"/>
        </w:rPr>
        <w:t>3</w:t>
      </w:r>
      <w:r w:rsidRPr="00EB432A">
        <w:rPr>
          <w:sz w:val="24"/>
          <w:lang w:val="it-IT"/>
        </w:rPr>
        <w:t xml:space="preserve">; Mark Hanson, PhD </w:t>
      </w:r>
      <w:r w:rsidRPr="00EB432A">
        <w:rPr>
          <w:sz w:val="24"/>
          <w:vertAlign w:val="superscript"/>
          <w:lang w:val="it-IT"/>
        </w:rPr>
        <w:t>4</w:t>
      </w:r>
      <w:r w:rsidRPr="00EB432A">
        <w:rPr>
          <w:sz w:val="24"/>
          <w:lang w:val="it-IT"/>
        </w:rPr>
        <w:t xml:space="preserve">; Delia Boccia, PhD </w:t>
      </w:r>
      <w:r w:rsidRPr="00EB432A">
        <w:rPr>
          <w:sz w:val="24"/>
          <w:vertAlign w:val="superscript"/>
          <w:lang w:val="it-IT"/>
        </w:rPr>
        <w:t>2,5</w:t>
      </w:r>
      <w:r w:rsidRPr="00EB432A">
        <w:rPr>
          <w:sz w:val="24"/>
          <w:lang w:val="it-IT"/>
        </w:rPr>
        <w:t xml:space="preserve">; Matteo G. Richiardi, PhD </w:t>
      </w:r>
      <w:r w:rsidRPr="00EB432A">
        <w:rPr>
          <w:sz w:val="24"/>
          <w:vertAlign w:val="superscript"/>
          <w:lang w:val="it-IT"/>
        </w:rPr>
        <w:t>3</w:t>
      </w:r>
      <w:r w:rsidRPr="00EB432A">
        <w:rPr>
          <w:sz w:val="24"/>
          <w:lang w:val="it-IT"/>
        </w:rPr>
        <w:t xml:space="preserve">; Costanza Pizzi, PhD </w:t>
      </w:r>
      <w:r w:rsidRPr="00EB432A">
        <w:rPr>
          <w:sz w:val="24"/>
          <w:vertAlign w:val="superscript"/>
          <w:lang w:val="it-IT"/>
        </w:rPr>
        <w:t>2</w:t>
      </w:r>
    </w:p>
    <w:p w:rsidR="001A4402" w:rsidRPr="001A4402" w:rsidRDefault="001A4402" w:rsidP="00FC16E1">
      <w:pPr>
        <w:spacing w:line="240" w:lineRule="auto"/>
        <w:jc w:val="both"/>
        <w:rPr>
          <w:rFonts w:cstheme="minorHAnsi"/>
          <w:b/>
          <w:bCs/>
          <w:sz w:val="24"/>
          <w:szCs w:val="24"/>
          <w:lang w:val="it-IT"/>
        </w:rPr>
      </w:pPr>
    </w:p>
    <w:p w:rsidR="001A4402" w:rsidRPr="0034548E" w:rsidRDefault="001A4402" w:rsidP="001A4402">
      <w:pPr>
        <w:spacing w:line="480" w:lineRule="auto"/>
        <w:rPr>
          <w:b/>
          <w:sz w:val="24"/>
          <w:vertAlign w:val="superscript"/>
          <w:lang w:val="es-419"/>
        </w:rPr>
      </w:pPr>
      <w:r w:rsidRPr="0034548E">
        <w:rPr>
          <w:sz w:val="24"/>
          <w:vertAlign w:val="superscript"/>
          <w:lang w:val="es-419"/>
        </w:rPr>
        <w:t xml:space="preserve">1 </w:t>
      </w:r>
      <w:proofErr w:type="spellStart"/>
      <w:r w:rsidRPr="0034548E">
        <w:rPr>
          <w:sz w:val="24"/>
          <w:lang w:val="es-419"/>
        </w:rPr>
        <w:t>ISGlobal</w:t>
      </w:r>
      <w:proofErr w:type="spellEnd"/>
      <w:r w:rsidRPr="0034548E">
        <w:rPr>
          <w:sz w:val="24"/>
          <w:lang w:val="es-419"/>
        </w:rPr>
        <w:t xml:space="preserve">, Hospital </w:t>
      </w:r>
      <w:proofErr w:type="spellStart"/>
      <w:r w:rsidRPr="0034548E">
        <w:rPr>
          <w:sz w:val="24"/>
          <w:lang w:val="es-419"/>
        </w:rPr>
        <w:t>Clínic</w:t>
      </w:r>
      <w:proofErr w:type="spellEnd"/>
      <w:r w:rsidRPr="0034548E">
        <w:rPr>
          <w:sz w:val="24"/>
          <w:lang w:val="es-419"/>
        </w:rPr>
        <w:t xml:space="preserve"> - </w:t>
      </w:r>
      <w:proofErr w:type="spellStart"/>
      <w:r w:rsidRPr="0034548E">
        <w:rPr>
          <w:sz w:val="24"/>
          <w:lang w:val="es-419"/>
        </w:rPr>
        <w:t>Universitat</w:t>
      </w:r>
      <w:proofErr w:type="spellEnd"/>
      <w:r w:rsidRPr="0034548E">
        <w:rPr>
          <w:sz w:val="24"/>
          <w:lang w:val="es-419"/>
        </w:rPr>
        <w:t xml:space="preserve"> de Barcelona, Barcelona, </w:t>
      </w:r>
      <w:proofErr w:type="spellStart"/>
      <w:r w:rsidRPr="0034548E">
        <w:rPr>
          <w:sz w:val="24"/>
          <w:lang w:val="es-419"/>
        </w:rPr>
        <w:t>Spain</w:t>
      </w:r>
      <w:proofErr w:type="spellEnd"/>
      <w:r w:rsidRPr="0034548E">
        <w:rPr>
          <w:sz w:val="24"/>
          <w:lang w:val="es-419"/>
        </w:rPr>
        <w:t xml:space="preserve"> </w:t>
      </w:r>
    </w:p>
    <w:p w:rsidR="001A4402" w:rsidRPr="00EB432A" w:rsidRDefault="001A4402" w:rsidP="001A4402">
      <w:pPr>
        <w:spacing w:line="480" w:lineRule="auto"/>
        <w:rPr>
          <w:sz w:val="24"/>
        </w:rPr>
      </w:pPr>
      <w:r w:rsidRPr="00EB432A">
        <w:rPr>
          <w:sz w:val="24"/>
          <w:vertAlign w:val="superscript"/>
        </w:rPr>
        <w:t>2</w:t>
      </w:r>
      <w:r w:rsidRPr="00EB432A">
        <w:rPr>
          <w:sz w:val="24"/>
        </w:rPr>
        <w:t xml:space="preserve"> Department of Medical Sciences, University of Turin, Turin, Italy</w:t>
      </w:r>
    </w:p>
    <w:p w:rsidR="001A4402" w:rsidRPr="00EB432A" w:rsidRDefault="001A4402" w:rsidP="001A4402">
      <w:pPr>
        <w:spacing w:line="480" w:lineRule="auto"/>
        <w:rPr>
          <w:sz w:val="24"/>
        </w:rPr>
      </w:pPr>
      <w:r w:rsidRPr="00EB432A">
        <w:rPr>
          <w:b/>
          <w:sz w:val="24"/>
          <w:vertAlign w:val="superscript"/>
        </w:rPr>
        <w:t xml:space="preserve">3 </w:t>
      </w:r>
      <w:r w:rsidRPr="00EB432A">
        <w:rPr>
          <w:sz w:val="24"/>
        </w:rPr>
        <w:t>Centre for Microsimulation and Policy Analysis, Institute for Social and Economic Research, University of Essex, Colchester, UK</w:t>
      </w:r>
    </w:p>
    <w:p w:rsidR="001A4402" w:rsidRPr="00EB432A" w:rsidRDefault="001A4402" w:rsidP="001A4402">
      <w:pPr>
        <w:spacing w:line="480" w:lineRule="auto"/>
        <w:rPr>
          <w:sz w:val="24"/>
        </w:rPr>
      </w:pPr>
      <w:r w:rsidRPr="00EB432A">
        <w:rPr>
          <w:sz w:val="24"/>
          <w:vertAlign w:val="superscript"/>
        </w:rPr>
        <w:t>4</w:t>
      </w:r>
      <w:r w:rsidRPr="00EB432A">
        <w:rPr>
          <w:sz w:val="24"/>
        </w:rPr>
        <w:t xml:space="preserve"> Institute of Developmental Sciences and NIHR Biomedical Research Centre, University of Southampton and University Hospital Southampton, UK.</w:t>
      </w:r>
    </w:p>
    <w:p w:rsidR="001A4402" w:rsidRPr="00EB432A" w:rsidRDefault="001A4402" w:rsidP="001A4402">
      <w:pPr>
        <w:spacing w:line="480" w:lineRule="auto"/>
        <w:rPr>
          <w:sz w:val="24"/>
        </w:rPr>
      </w:pPr>
      <w:r w:rsidRPr="00EB432A">
        <w:rPr>
          <w:sz w:val="24"/>
          <w:vertAlign w:val="superscript"/>
        </w:rPr>
        <w:t>5</w:t>
      </w:r>
      <w:r w:rsidRPr="00EB432A">
        <w:rPr>
          <w:sz w:val="24"/>
        </w:rPr>
        <w:t xml:space="preserve"> Faculty of Population and Health Policy, London School of Hygiene and Tropical Medicine, London, United Kingdom</w:t>
      </w:r>
    </w:p>
    <w:p w:rsidR="001A4402" w:rsidRDefault="001A4402" w:rsidP="00FC16E1">
      <w:pPr>
        <w:spacing w:line="240" w:lineRule="auto"/>
        <w:jc w:val="both"/>
        <w:rPr>
          <w:rFonts w:cstheme="minorHAnsi"/>
          <w:b/>
          <w:bCs/>
          <w:sz w:val="24"/>
          <w:szCs w:val="24"/>
        </w:rPr>
      </w:pPr>
    </w:p>
    <w:p w:rsidR="001A4402" w:rsidRDefault="001A4402" w:rsidP="00FC16E1">
      <w:pPr>
        <w:spacing w:line="240" w:lineRule="auto"/>
        <w:jc w:val="both"/>
        <w:rPr>
          <w:rFonts w:cstheme="minorHAnsi"/>
          <w:b/>
          <w:bCs/>
          <w:sz w:val="24"/>
          <w:szCs w:val="24"/>
        </w:rPr>
      </w:pPr>
    </w:p>
    <w:p w:rsidR="001A4402" w:rsidRDefault="001A4402" w:rsidP="00FC16E1">
      <w:pPr>
        <w:spacing w:line="240" w:lineRule="auto"/>
        <w:jc w:val="both"/>
        <w:rPr>
          <w:rFonts w:cstheme="minorHAnsi"/>
          <w:b/>
          <w:bCs/>
          <w:sz w:val="24"/>
          <w:szCs w:val="24"/>
        </w:rPr>
      </w:pPr>
    </w:p>
    <w:p w:rsidR="001A4402" w:rsidRDefault="001A4402" w:rsidP="00FC16E1">
      <w:pPr>
        <w:spacing w:line="240" w:lineRule="auto"/>
        <w:jc w:val="both"/>
        <w:rPr>
          <w:rFonts w:cstheme="minorHAnsi"/>
          <w:b/>
          <w:bCs/>
          <w:sz w:val="24"/>
          <w:szCs w:val="24"/>
        </w:rPr>
      </w:pPr>
    </w:p>
    <w:p w:rsidR="001A4402" w:rsidRDefault="001A4402" w:rsidP="00FC16E1">
      <w:pPr>
        <w:spacing w:line="240" w:lineRule="auto"/>
        <w:jc w:val="both"/>
        <w:rPr>
          <w:rFonts w:cstheme="minorHAnsi"/>
          <w:b/>
          <w:bCs/>
          <w:sz w:val="24"/>
          <w:szCs w:val="24"/>
        </w:rPr>
      </w:pPr>
    </w:p>
    <w:p w:rsidR="001A4402" w:rsidRDefault="001A4402" w:rsidP="00FC16E1">
      <w:pPr>
        <w:spacing w:line="240" w:lineRule="auto"/>
        <w:jc w:val="both"/>
        <w:rPr>
          <w:rFonts w:cstheme="minorHAnsi"/>
          <w:b/>
          <w:bCs/>
          <w:sz w:val="24"/>
          <w:szCs w:val="24"/>
        </w:rPr>
      </w:pPr>
    </w:p>
    <w:p w:rsidR="001A4402" w:rsidRDefault="001A4402" w:rsidP="00FC16E1">
      <w:pPr>
        <w:spacing w:line="240" w:lineRule="auto"/>
        <w:jc w:val="both"/>
        <w:rPr>
          <w:rFonts w:cstheme="minorHAnsi"/>
          <w:b/>
          <w:bCs/>
          <w:sz w:val="24"/>
          <w:szCs w:val="24"/>
        </w:rPr>
      </w:pPr>
    </w:p>
    <w:p w:rsidR="002F7A61" w:rsidRDefault="002F7A61" w:rsidP="00FC16E1">
      <w:pPr>
        <w:spacing w:line="240" w:lineRule="auto"/>
        <w:jc w:val="both"/>
        <w:rPr>
          <w:rFonts w:cstheme="minorHAnsi"/>
          <w:b/>
          <w:bCs/>
          <w:sz w:val="24"/>
          <w:szCs w:val="24"/>
        </w:rPr>
      </w:pPr>
    </w:p>
    <w:p w:rsidR="002F1537" w:rsidRPr="003E4D66" w:rsidRDefault="002F1537" w:rsidP="002F1537">
      <w:pPr>
        <w:spacing w:line="240" w:lineRule="auto"/>
        <w:jc w:val="both"/>
        <w:rPr>
          <w:rFonts w:cstheme="minorHAnsi"/>
          <w:b/>
          <w:sz w:val="24"/>
          <w:szCs w:val="24"/>
        </w:rPr>
      </w:pPr>
      <w:r w:rsidRPr="003E4D66">
        <w:rPr>
          <w:rFonts w:cstheme="minorHAnsi"/>
          <w:b/>
          <w:sz w:val="24"/>
          <w:szCs w:val="24"/>
        </w:rPr>
        <w:lastRenderedPageBreak/>
        <w:t xml:space="preserve">THE NINFEA COHORT </w:t>
      </w:r>
    </w:p>
    <w:p w:rsidR="002F1537" w:rsidRDefault="002F1537" w:rsidP="002F1537">
      <w:pPr>
        <w:spacing w:after="0" w:line="240" w:lineRule="auto"/>
        <w:jc w:val="both"/>
        <w:rPr>
          <w:rFonts w:cstheme="minorHAnsi"/>
          <w:sz w:val="24"/>
          <w:szCs w:val="24"/>
        </w:rPr>
      </w:pPr>
      <w:r w:rsidRPr="003E4D66">
        <w:rPr>
          <w:rFonts w:cstheme="minorHAnsi"/>
          <w:sz w:val="24"/>
          <w:szCs w:val="24"/>
        </w:rPr>
        <w:t>The NINFEA (</w:t>
      </w:r>
      <w:proofErr w:type="spellStart"/>
      <w:r w:rsidRPr="003E4D66">
        <w:rPr>
          <w:rFonts w:cstheme="minorHAnsi"/>
          <w:sz w:val="24"/>
          <w:szCs w:val="24"/>
        </w:rPr>
        <w:t>Nascita</w:t>
      </w:r>
      <w:proofErr w:type="spellEnd"/>
      <w:r w:rsidRPr="003E4D66">
        <w:rPr>
          <w:rFonts w:cstheme="minorHAnsi"/>
          <w:sz w:val="24"/>
          <w:szCs w:val="24"/>
        </w:rPr>
        <w:t xml:space="preserve"> e </w:t>
      </w:r>
      <w:proofErr w:type="spellStart"/>
      <w:r w:rsidRPr="003E4D66">
        <w:rPr>
          <w:rFonts w:cstheme="minorHAnsi"/>
          <w:sz w:val="24"/>
          <w:szCs w:val="24"/>
        </w:rPr>
        <w:t>Infanzia</w:t>
      </w:r>
      <w:proofErr w:type="spellEnd"/>
      <w:r w:rsidRPr="003E4D66">
        <w:rPr>
          <w:rFonts w:cstheme="minorHAnsi"/>
          <w:sz w:val="24"/>
          <w:szCs w:val="24"/>
        </w:rPr>
        <w:t xml:space="preserve">: </w:t>
      </w:r>
      <w:proofErr w:type="spellStart"/>
      <w:r w:rsidRPr="003E4D66">
        <w:rPr>
          <w:rFonts w:cstheme="minorHAnsi"/>
          <w:sz w:val="24"/>
          <w:szCs w:val="24"/>
        </w:rPr>
        <w:t>gli</w:t>
      </w:r>
      <w:proofErr w:type="spellEnd"/>
      <w:r w:rsidRPr="003E4D66">
        <w:rPr>
          <w:rFonts w:cstheme="minorHAnsi"/>
          <w:sz w:val="24"/>
          <w:szCs w:val="24"/>
        </w:rPr>
        <w:t xml:space="preserve"> </w:t>
      </w:r>
      <w:proofErr w:type="spellStart"/>
      <w:r w:rsidRPr="003E4D66">
        <w:rPr>
          <w:rFonts w:cstheme="minorHAnsi"/>
          <w:sz w:val="24"/>
          <w:szCs w:val="24"/>
        </w:rPr>
        <w:t>Effetti</w:t>
      </w:r>
      <w:proofErr w:type="spellEnd"/>
      <w:r w:rsidRPr="003E4D66">
        <w:rPr>
          <w:rFonts w:cstheme="minorHAnsi"/>
          <w:sz w:val="24"/>
          <w:szCs w:val="24"/>
        </w:rPr>
        <w:t xml:space="preserve"> </w:t>
      </w:r>
      <w:proofErr w:type="spellStart"/>
      <w:r w:rsidRPr="003E4D66">
        <w:rPr>
          <w:rFonts w:cstheme="minorHAnsi"/>
          <w:sz w:val="24"/>
          <w:szCs w:val="24"/>
        </w:rPr>
        <w:t>dell’Ambiente</w:t>
      </w:r>
      <w:proofErr w:type="spellEnd"/>
      <w:r w:rsidRPr="003E4D66">
        <w:rPr>
          <w:rFonts w:cstheme="minorHAnsi"/>
          <w:sz w:val="24"/>
          <w:szCs w:val="24"/>
        </w:rPr>
        <w:t>) study is an Italian web-based birth cohort study recruiting pregnant women, started in 2005 in the city of Turin and then extended to the rest of Italy. The study aims at investigating the effect of several exposures acting during pre-natal and early post-natal life on later health (</w:t>
      </w:r>
      <w:hyperlink r:id="rId7" w:history="1">
        <w:r w:rsidRPr="003E4D66">
          <w:rPr>
            <w:rFonts w:cstheme="minorHAnsi"/>
            <w:sz w:val="24"/>
            <w:szCs w:val="24"/>
          </w:rPr>
          <w:t>www.progettoninfea.it</w:t>
        </w:r>
      </w:hyperlink>
      <w:r w:rsidRPr="003E4D66">
        <w:rPr>
          <w:rFonts w:cstheme="minorHAnsi"/>
          <w:sz w:val="24"/>
          <w:szCs w:val="24"/>
        </w:rPr>
        <w:t xml:space="preserve">). Recruitment has been carried out </w:t>
      </w:r>
      <w:r>
        <w:rPr>
          <w:rFonts w:cstheme="minorHAnsi"/>
          <w:sz w:val="24"/>
          <w:szCs w:val="24"/>
        </w:rPr>
        <w:t>during</w:t>
      </w:r>
      <w:r w:rsidRPr="003E4D66">
        <w:rPr>
          <w:rFonts w:cstheme="minorHAnsi"/>
          <w:sz w:val="24"/>
          <w:szCs w:val="24"/>
        </w:rPr>
        <w:t xml:space="preserve"> the period 2005–2016, with the study advertised both actively, through obstetrics clinics, and passively, via Internet and the media. Members of the cohorts are children born to mothers who have access to the internet, have enough knowledge of Italian</w:t>
      </w:r>
      <w:r>
        <w:rPr>
          <w:rFonts w:cstheme="minorHAnsi"/>
          <w:sz w:val="24"/>
          <w:szCs w:val="24"/>
        </w:rPr>
        <w:t xml:space="preserve"> language</w:t>
      </w:r>
      <w:r w:rsidRPr="003E4D66">
        <w:rPr>
          <w:rFonts w:cstheme="minorHAnsi"/>
          <w:sz w:val="24"/>
          <w:szCs w:val="24"/>
        </w:rPr>
        <w:t xml:space="preserve"> to complete online questionnaires and volunteer to participate any time during the pregnancy completing the first baseline questionnaire on general health and exposures before and during pregnancy. Further follow-up information is obtained with six additional online questionnaires completed by the mothers </w:t>
      </w:r>
      <w:r>
        <w:rPr>
          <w:rFonts w:cstheme="minorHAnsi"/>
          <w:sz w:val="24"/>
          <w:szCs w:val="24"/>
        </w:rPr>
        <w:t xml:space="preserve">at </w:t>
      </w:r>
      <w:r w:rsidRPr="003E4D66">
        <w:rPr>
          <w:rFonts w:cstheme="minorHAnsi"/>
          <w:sz w:val="24"/>
          <w:szCs w:val="24"/>
        </w:rPr>
        <w:t>6 and 18 months after delivery and when children turn 4, 7, 10 and 13 years of age. The Ethical Committee of the San Giovanni Battista Hospital and CTO/CRF/Maria Adelaide Hospital of Turin approved the NINFEA study (approval N. 0048362, and subsequent amendments) and all the participants gave informed consent at enrolment.</w:t>
      </w:r>
    </w:p>
    <w:p w:rsidR="002F1537" w:rsidRPr="003E4D66" w:rsidRDefault="002F1537" w:rsidP="002F1537">
      <w:pPr>
        <w:spacing w:after="0" w:line="240" w:lineRule="auto"/>
        <w:jc w:val="both"/>
        <w:rPr>
          <w:rFonts w:cstheme="minorHAnsi"/>
          <w:sz w:val="24"/>
          <w:szCs w:val="24"/>
        </w:rPr>
      </w:pPr>
    </w:p>
    <w:p w:rsidR="002F1537" w:rsidRPr="003E4D66" w:rsidRDefault="002F1537" w:rsidP="002F1537">
      <w:pPr>
        <w:spacing w:after="0" w:line="240" w:lineRule="auto"/>
        <w:jc w:val="both"/>
        <w:rPr>
          <w:rFonts w:cstheme="minorHAnsi"/>
          <w:sz w:val="24"/>
          <w:szCs w:val="24"/>
          <w:lang w:val="en-US"/>
        </w:rPr>
      </w:pPr>
      <w:r>
        <w:rPr>
          <w:rFonts w:cstheme="minorHAnsi"/>
          <w:sz w:val="24"/>
          <w:szCs w:val="24"/>
        </w:rPr>
        <w:t>W</w:t>
      </w:r>
      <w:r w:rsidRPr="003E4D66">
        <w:rPr>
          <w:rFonts w:cstheme="minorHAnsi"/>
          <w:sz w:val="24"/>
          <w:szCs w:val="24"/>
        </w:rPr>
        <w:t>e used the NINFEA database version 02.2019 that consists of 6625 mothers and 7423 pregnancies. Data on demographic and socioeconomic factors of the family are collected with the baseline questionnaire completed during pregnancy. Using th</w:t>
      </w:r>
      <w:r>
        <w:rPr>
          <w:rFonts w:cstheme="minorHAnsi"/>
          <w:sz w:val="24"/>
          <w:szCs w:val="24"/>
        </w:rPr>
        <w:t>i</w:t>
      </w:r>
      <w:r w:rsidRPr="003E4D66">
        <w:rPr>
          <w:rFonts w:cstheme="minorHAnsi"/>
          <w:sz w:val="24"/>
          <w:szCs w:val="24"/>
        </w:rPr>
        <w:t>s data (namely parental age, cohabitation status, education, country of birth and occupation, house size and type and family size) and the external data from the Italian 2011 EUSILC survey, an indicator of the equivalised total disposable household income at baseline</w:t>
      </w:r>
      <w:r>
        <w:rPr>
          <w:rFonts w:cstheme="minorHAnsi"/>
          <w:sz w:val="24"/>
          <w:szCs w:val="24"/>
        </w:rPr>
        <w:t xml:space="preserve"> (</w:t>
      </w:r>
      <w:r w:rsidRPr="003E4D66">
        <w:rPr>
          <w:rFonts w:cstheme="minorHAnsi"/>
          <w:sz w:val="24"/>
          <w:szCs w:val="24"/>
        </w:rPr>
        <w:t>the Equivalised Household Income Indicator</w:t>
      </w:r>
      <w:r w:rsidR="00DA1984">
        <w:rPr>
          <w:rFonts w:cstheme="minorHAnsi"/>
          <w:sz w:val="24"/>
          <w:szCs w:val="24"/>
        </w:rPr>
        <w:t xml:space="preserve"> </w:t>
      </w:r>
      <w:r>
        <w:rPr>
          <w:rFonts w:cstheme="minorHAnsi"/>
          <w:sz w:val="24"/>
          <w:szCs w:val="24"/>
        </w:rPr>
        <w:t>(EHII))</w:t>
      </w:r>
      <w:r w:rsidRPr="003E4D66">
        <w:rPr>
          <w:rFonts w:cstheme="minorHAnsi"/>
          <w:sz w:val="24"/>
          <w:szCs w:val="24"/>
        </w:rPr>
        <w:t xml:space="preserve"> has been derived for the NINFEA participants. Child weight and height data are collected at each follow-up questionnaire. Child’s birth weight, gestational age at birth and weight at 6 months of age were ascertained from the 6-month questionnaire while weights at 18 months of age were obtained from the 18-month questionnaire. Weight and height data at 4, 7 and 10 years of age were gathered from the corresponding follow-up, with 4232, 2152 and 973 children having complete data on both weight and height at 4-year, 7-year and 10-year respectively. These data were used to calculate child body mass index (BMI).</w:t>
      </w:r>
    </w:p>
    <w:p w:rsidR="002F1537" w:rsidRDefault="002F1537" w:rsidP="002F1537">
      <w:pPr>
        <w:rPr>
          <w:lang w:val="en-US"/>
        </w:rPr>
      </w:pPr>
    </w:p>
    <w:p w:rsidR="001A534E" w:rsidRPr="001A534E" w:rsidRDefault="001A534E" w:rsidP="001A534E">
      <w:pPr>
        <w:spacing w:line="240" w:lineRule="auto"/>
        <w:jc w:val="both"/>
        <w:rPr>
          <w:rFonts w:cstheme="minorHAnsi"/>
          <w:b/>
          <w:sz w:val="24"/>
          <w:szCs w:val="24"/>
        </w:rPr>
      </w:pPr>
      <w:r w:rsidRPr="001A534E">
        <w:rPr>
          <w:rFonts w:cstheme="minorHAnsi"/>
          <w:b/>
          <w:sz w:val="24"/>
          <w:szCs w:val="24"/>
        </w:rPr>
        <w:t>Follow-up response rates</w:t>
      </w:r>
    </w:p>
    <w:p w:rsidR="001A534E" w:rsidRPr="001A534E" w:rsidRDefault="001A534E" w:rsidP="001A534E">
      <w:pPr>
        <w:spacing w:line="240" w:lineRule="auto"/>
        <w:jc w:val="both"/>
        <w:rPr>
          <w:rFonts w:cstheme="minorHAnsi"/>
          <w:sz w:val="24"/>
          <w:szCs w:val="24"/>
        </w:rPr>
      </w:pPr>
      <w:r w:rsidRPr="001A534E">
        <w:rPr>
          <w:rFonts w:cstheme="minorHAnsi"/>
          <w:sz w:val="24"/>
          <w:szCs w:val="24"/>
        </w:rPr>
        <w:t>For each follow-up questionnaire, we identify the subset of participants for whom at the date of the database download</w:t>
      </w:r>
      <w:r w:rsidR="00F53F64">
        <w:rPr>
          <w:rFonts w:cstheme="minorHAnsi"/>
          <w:sz w:val="24"/>
          <w:szCs w:val="24"/>
        </w:rPr>
        <w:t xml:space="preserve"> (October</w:t>
      </w:r>
      <w:r w:rsidR="009857C9">
        <w:rPr>
          <w:rFonts w:cstheme="minorHAnsi"/>
          <w:sz w:val="24"/>
          <w:szCs w:val="24"/>
        </w:rPr>
        <w:t>,</w:t>
      </w:r>
      <w:r w:rsidR="00F53F64">
        <w:rPr>
          <w:rFonts w:cstheme="minorHAnsi"/>
          <w:sz w:val="24"/>
          <w:szCs w:val="24"/>
        </w:rPr>
        <w:t xml:space="preserve"> 2019)</w:t>
      </w:r>
      <w:r w:rsidRPr="001A534E">
        <w:rPr>
          <w:rFonts w:cstheme="minorHAnsi"/>
          <w:sz w:val="24"/>
          <w:szCs w:val="24"/>
        </w:rPr>
        <w:t xml:space="preserve"> the time of the questionnaire completion was expired (eligible population) and among them we define as respondent a child whose mother started the completion of the index questionnaire. The response rate is then calculated in the eligible as the ratio of number of respondents over the total number of participants. In particular completion of the questionnaires expires as follows:</w:t>
      </w:r>
    </w:p>
    <w:p w:rsidR="001A534E" w:rsidRPr="00FD4819" w:rsidRDefault="001A534E" w:rsidP="00FD4819">
      <w:pPr>
        <w:pStyle w:val="ListParagraph"/>
        <w:numPr>
          <w:ilvl w:val="0"/>
          <w:numId w:val="1"/>
        </w:numPr>
        <w:spacing w:line="240" w:lineRule="auto"/>
        <w:jc w:val="both"/>
        <w:rPr>
          <w:rFonts w:cstheme="minorHAnsi"/>
          <w:sz w:val="24"/>
          <w:szCs w:val="24"/>
        </w:rPr>
      </w:pPr>
      <w:r w:rsidRPr="00FD4819">
        <w:rPr>
          <w:rFonts w:cstheme="minorHAnsi"/>
          <w:sz w:val="24"/>
          <w:szCs w:val="24"/>
        </w:rPr>
        <w:t>6-month follow-up:  more than 24 months from date of conception</w:t>
      </w:r>
    </w:p>
    <w:p w:rsidR="001A534E" w:rsidRPr="00FD4819" w:rsidRDefault="001A534E" w:rsidP="00FD4819">
      <w:pPr>
        <w:pStyle w:val="ListParagraph"/>
        <w:numPr>
          <w:ilvl w:val="0"/>
          <w:numId w:val="1"/>
        </w:numPr>
        <w:spacing w:line="240" w:lineRule="auto"/>
        <w:jc w:val="both"/>
        <w:rPr>
          <w:rFonts w:cstheme="minorHAnsi"/>
          <w:sz w:val="24"/>
          <w:szCs w:val="24"/>
        </w:rPr>
      </w:pPr>
      <w:r w:rsidRPr="00FD4819">
        <w:rPr>
          <w:rFonts w:cstheme="minorHAnsi"/>
          <w:sz w:val="24"/>
          <w:szCs w:val="24"/>
        </w:rPr>
        <w:t>18-month follow-up:  more than 30 months from date of delivery, or if the latter is missing more than 36 months from date of conception</w:t>
      </w:r>
    </w:p>
    <w:p w:rsidR="001A534E" w:rsidRPr="00FD4819" w:rsidRDefault="001A534E" w:rsidP="00FD4819">
      <w:pPr>
        <w:pStyle w:val="ListParagraph"/>
        <w:numPr>
          <w:ilvl w:val="0"/>
          <w:numId w:val="1"/>
        </w:numPr>
        <w:spacing w:line="240" w:lineRule="auto"/>
        <w:jc w:val="both"/>
        <w:rPr>
          <w:rFonts w:cstheme="minorHAnsi"/>
          <w:sz w:val="24"/>
          <w:szCs w:val="24"/>
        </w:rPr>
      </w:pPr>
      <w:r w:rsidRPr="00FD4819">
        <w:rPr>
          <w:rFonts w:cstheme="minorHAnsi"/>
          <w:sz w:val="24"/>
          <w:szCs w:val="24"/>
        </w:rPr>
        <w:t>4-year follow-up: more than 59 months from date of delivery;</w:t>
      </w:r>
    </w:p>
    <w:p w:rsidR="001A534E" w:rsidRPr="00FD4819" w:rsidRDefault="001A534E" w:rsidP="00FD4819">
      <w:pPr>
        <w:pStyle w:val="ListParagraph"/>
        <w:numPr>
          <w:ilvl w:val="0"/>
          <w:numId w:val="1"/>
        </w:numPr>
        <w:spacing w:line="240" w:lineRule="auto"/>
        <w:jc w:val="both"/>
        <w:rPr>
          <w:rFonts w:cstheme="minorHAnsi"/>
          <w:sz w:val="24"/>
          <w:szCs w:val="24"/>
        </w:rPr>
      </w:pPr>
      <w:r w:rsidRPr="00FD4819">
        <w:rPr>
          <w:rFonts w:cstheme="minorHAnsi"/>
          <w:sz w:val="24"/>
          <w:szCs w:val="24"/>
        </w:rPr>
        <w:t>7-year follow-up: more than 96 months from date of delivery</w:t>
      </w:r>
    </w:p>
    <w:p w:rsidR="001A534E" w:rsidRPr="00FD4819" w:rsidRDefault="001A534E" w:rsidP="00FD4819">
      <w:pPr>
        <w:pStyle w:val="ListParagraph"/>
        <w:numPr>
          <w:ilvl w:val="0"/>
          <w:numId w:val="1"/>
        </w:numPr>
        <w:spacing w:line="240" w:lineRule="auto"/>
        <w:jc w:val="both"/>
        <w:rPr>
          <w:rFonts w:cstheme="minorHAnsi"/>
          <w:sz w:val="24"/>
          <w:szCs w:val="24"/>
        </w:rPr>
      </w:pPr>
      <w:r w:rsidRPr="00FD4819">
        <w:rPr>
          <w:rFonts w:cstheme="minorHAnsi"/>
          <w:sz w:val="24"/>
          <w:szCs w:val="24"/>
        </w:rPr>
        <w:t>10-year follow-up: more than 132 months from date of delivery</w:t>
      </w:r>
    </w:p>
    <w:p w:rsidR="001A534E" w:rsidRPr="00FD4819" w:rsidRDefault="001A534E" w:rsidP="00FD4819">
      <w:pPr>
        <w:pStyle w:val="ListParagraph"/>
        <w:numPr>
          <w:ilvl w:val="0"/>
          <w:numId w:val="1"/>
        </w:numPr>
        <w:spacing w:line="240" w:lineRule="auto"/>
        <w:jc w:val="both"/>
        <w:rPr>
          <w:rFonts w:cstheme="minorHAnsi"/>
          <w:sz w:val="24"/>
          <w:szCs w:val="24"/>
        </w:rPr>
      </w:pPr>
      <w:r w:rsidRPr="00FD4819">
        <w:rPr>
          <w:rFonts w:cstheme="minorHAnsi"/>
          <w:sz w:val="24"/>
          <w:szCs w:val="24"/>
        </w:rPr>
        <w:t>13-year follow-up: more than 168 months from date of delivery</w:t>
      </w:r>
    </w:p>
    <w:p w:rsidR="00007BB1" w:rsidRDefault="001A534E" w:rsidP="001A534E">
      <w:pPr>
        <w:spacing w:line="240" w:lineRule="auto"/>
        <w:jc w:val="both"/>
        <w:rPr>
          <w:rFonts w:cstheme="minorHAnsi"/>
          <w:sz w:val="24"/>
          <w:szCs w:val="24"/>
        </w:rPr>
      </w:pPr>
      <w:r w:rsidRPr="001A534E">
        <w:rPr>
          <w:rFonts w:cstheme="minorHAnsi"/>
          <w:sz w:val="24"/>
          <w:szCs w:val="24"/>
        </w:rPr>
        <w:lastRenderedPageBreak/>
        <w:t>Twins are followed-up until the 18-month questionnaire and therefore are not part of the eligible population for the 4-, 7-, 10- and 13-year follow-up.</w:t>
      </w:r>
    </w:p>
    <w:p w:rsidR="007E5604" w:rsidRPr="00E537AD" w:rsidRDefault="007E5604" w:rsidP="001A534E">
      <w:pPr>
        <w:spacing w:line="240" w:lineRule="auto"/>
        <w:jc w:val="both"/>
        <w:rPr>
          <w:rFonts w:cstheme="minorHAnsi"/>
          <w:b/>
          <w:sz w:val="24"/>
          <w:szCs w:val="24"/>
        </w:rPr>
      </w:pPr>
      <w:r w:rsidRPr="00E537AD">
        <w:rPr>
          <w:rFonts w:cstheme="minorHAnsi"/>
          <w:b/>
          <w:sz w:val="24"/>
          <w:szCs w:val="24"/>
        </w:rPr>
        <w:t>Table S1</w:t>
      </w:r>
      <w:r w:rsidR="00E537AD">
        <w:rPr>
          <w:rFonts w:cstheme="minorHAnsi"/>
          <w:b/>
          <w:sz w:val="24"/>
          <w:szCs w:val="24"/>
        </w:rPr>
        <w:t xml:space="preserve"> </w:t>
      </w:r>
      <w:bookmarkStart w:id="0" w:name="_GoBack"/>
      <w:bookmarkEnd w:id="0"/>
      <w:r w:rsidRPr="00E537AD">
        <w:rPr>
          <w:rFonts w:cstheme="minorHAnsi"/>
          <w:b/>
          <w:sz w:val="24"/>
          <w:szCs w:val="24"/>
        </w:rPr>
        <w:t>Results</w:t>
      </w:r>
    </w:p>
    <w:p w:rsidR="00007BB1" w:rsidRPr="001A534E" w:rsidRDefault="00E537AD" w:rsidP="00125AB6">
      <w:pPr>
        <w:spacing w:line="240" w:lineRule="auto"/>
        <w:jc w:val="both"/>
        <w:rPr>
          <w:rFonts w:cstheme="minorHAnsi"/>
          <w:sz w:val="24"/>
          <w:szCs w:val="24"/>
        </w:rPr>
      </w:pPr>
      <w:r>
        <w:rPr>
          <w:noProof/>
        </w:rPr>
        <w:drawing>
          <wp:inline distT="0" distB="0" distL="0" distR="0" wp14:anchorId="37AF676D" wp14:editId="2E73E65D">
            <wp:extent cx="5705475" cy="18764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705475" cy="1876425"/>
                    </a:xfrm>
                    <a:prstGeom prst="rect">
                      <a:avLst/>
                    </a:prstGeom>
                  </pic:spPr>
                </pic:pic>
              </a:graphicData>
            </a:graphic>
          </wp:inline>
        </w:drawing>
      </w:r>
    </w:p>
    <w:p w:rsidR="00007BB1" w:rsidRDefault="00007BB1" w:rsidP="00125AB6">
      <w:pPr>
        <w:spacing w:line="240" w:lineRule="auto"/>
        <w:jc w:val="both"/>
        <w:rPr>
          <w:rFonts w:cstheme="minorHAnsi"/>
          <w:b/>
          <w:sz w:val="24"/>
          <w:szCs w:val="24"/>
        </w:rPr>
      </w:pPr>
    </w:p>
    <w:p w:rsidR="00007BB1" w:rsidRDefault="00007BB1" w:rsidP="00125AB6">
      <w:pPr>
        <w:spacing w:line="240" w:lineRule="auto"/>
        <w:jc w:val="both"/>
        <w:rPr>
          <w:rFonts w:cstheme="minorHAnsi"/>
          <w:b/>
          <w:sz w:val="24"/>
          <w:szCs w:val="24"/>
        </w:rPr>
      </w:pPr>
    </w:p>
    <w:p w:rsidR="00007BB1" w:rsidRDefault="00007BB1" w:rsidP="00125AB6">
      <w:pPr>
        <w:spacing w:line="240" w:lineRule="auto"/>
        <w:jc w:val="both"/>
        <w:rPr>
          <w:rFonts w:cstheme="minorHAnsi"/>
          <w:b/>
          <w:sz w:val="24"/>
          <w:szCs w:val="24"/>
        </w:rPr>
      </w:pPr>
    </w:p>
    <w:p w:rsidR="00007BB1" w:rsidRDefault="00007BB1" w:rsidP="00125AB6">
      <w:pPr>
        <w:spacing w:line="240" w:lineRule="auto"/>
        <w:jc w:val="both"/>
        <w:rPr>
          <w:rFonts w:cstheme="minorHAnsi"/>
          <w:b/>
          <w:sz w:val="24"/>
          <w:szCs w:val="24"/>
        </w:rPr>
      </w:pPr>
    </w:p>
    <w:p w:rsidR="00007BB1" w:rsidRDefault="00007BB1" w:rsidP="00125AB6">
      <w:pPr>
        <w:spacing w:line="240" w:lineRule="auto"/>
        <w:jc w:val="both"/>
        <w:rPr>
          <w:rFonts w:cstheme="minorHAnsi"/>
          <w:b/>
          <w:sz w:val="24"/>
          <w:szCs w:val="24"/>
        </w:rPr>
      </w:pPr>
    </w:p>
    <w:p w:rsidR="00DC0A52" w:rsidRDefault="00DC0A52" w:rsidP="00125AB6">
      <w:pPr>
        <w:spacing w:line="240" w:lineRule="auto"/>
        <w:jc w:val="both"/>
        <w:rPr>
          <w:rFonts w:cstheme="minorHAnsi"/>
          <w:b/>
          <w:sz w:val="24"/>
          <w:szCs w:val="24"/>
        </w:rPr>
      </w:pPr>
    </w:p>
    <w:p w:rsidR="00DC0A52" w:rsidRDefault="00DC0A52" w:rsidP="00125AB6">
      <w:pPr>
        <w:spacing w:line="240" w:lineRule="auto"/>
        <w:jc w:val="both"/>
        <w:rPr>
          <w:rFonts w:cstheme="minorHAnsi"/>
          <w:b/>
          <w:sz w:val="24"/>
          <w:szCs w:val="24"/>
        </w:rPr>
      </w:pPr>
    </w:p>
    <w:p w:rsidR="00DC0A52" w:rsidRDefault="00DC0A52" w:rsidP="00125AB6">
      <w:pPr>
        <w:spacing w:line="240" w:lineRule="auto"/>
        <w:jc w:val="both"/>
        <w:rPr>
          <w:rFonts w:cstheme="minorHAnsi"/>
          <w:b/>
          <w:sz w:val="24"/>
          <w:szCs w:val="24"/>
        </w:rPr>
      </w:pPr>
    </w:p>
    <w:p w:rsidR="00DC0A52" w:rsidRDefault="00DC0A52" w:rsidP="00125AB6">
      <w:pPr>
        <w:spacing w:line="240" w:lineRule="auto"/>
        <w:jc w:val="both"/>
        <w:rPr>
          <w:rFonts w:cstheme="minorHAnsi"/>
          <w:b/>
          <w:sz w:val="24"/>
          <w:szCs w:val="24"/>
        </w:rPr>
      </w:pPr>
    </w:p>
    <w:p w:rsidR="00DC0A52" w:rsidRDefault="00DC0A52" w:rsidP="00125AB6">
      <w:pPr>
        <w:spacing w:line="240" w:lineRule="auto"/>
        <w:jc w:val="both"/>
        <w:rPr>
          <w:rFonts w:cstheme="minorHAnsi"/>
          <w:b/>
          <w:sz w:val="24"/>
          <w:szCs w:val="24"/>
        </w:rPr>
      </w:pPr>
    </w:p>
    <w:p w:rsidR="00DC0A52" w:rsidRDefault="00DC0A52" w:rsidP="00125AB6">
      <w:pPr>
        <w:spacing w:line="240" w:lineRule="auto"/>
        <w:jc w:val="both"/>
        <w:rPr>
          <w:rFonts w:cstheme="minorHAnsi"/>
          <w:b/>
          <w:sz w:val="24"/>
          <w:szCs w:val="24"/>
        </w:rPr>
      </w:pPr>
    </w:p>
    <w:p w:rsidR="00DC0A52" w:rsidRDefault="00DC0A52" w:rsidP="00125AB6">
      <w:pPr>
        <w:spacing w:line="240" w:lineRule="auto"/>
        <w:jc w:val="both"/>
        <w:rPr>
          <w:rFonts w:cstheme="minorHAnsi"/>
          <w:b/>
          <w:sz w:val="24"/>
          <w:szCs w:val="24"/>
        </w:rPr>
      </w:pPr>
    </w:p>
    <w:p w:rsidR="00DC0A52" w:rsidRDefault="00DC0A52" w:rsidP="00125AB6">
      <w:pPr>
        <w:spacing w:line="240" w:lineRule="auto"/>
        <w:jc w:val="both"/>
        <w:rPr>
          <w:rFonts w:cstheme="minorHAnsi"/>
          <w:b/>
          <w:sz w:val="24"/>
          <w:szCs w:val="24"/>
        </w:rPr>
      </w:pPr>
    </w:p>
    <w:p w:rsidR="00DC0A52" w:rsidRDefault="00DC0A52" w:rsidP="00125AB6">
      <w:pPr>
        <w:spacing w:line="240" w:lineRule="auto"/>
        <w:jc w:val="both"/>
        <w:rPr>
          <w:rFonts w:cstheme="minorHAnsi"/>
          <w:b/>
          <w:sz w:val="24"/>
          <w:szCs w:val="24"/>
        </w:rPr>
      </w:pPr>
    </w:p>
    <w:p w:rsidR="00DC0A52" w:rsidRDefault="00DC0A52" w:rsidP="00125AB6">
      <w:pPr>
        <w:spacing w:line="240" w:lineRule="auto"/>
        <w:jc w:val="both"/>
        <w:rPr>
          <w:rFonts w:cstheme="minorHAnsi"/>
          <w:b/>
          <w:sz w:val="24"/>
          <w:szCs w:val="24"/>
        </w:rPr>
      </w:pPr>
    </w:p>
    <w:p w:rsidR="00DC0A52" w:rsidRDefault="00DC0A52" w:rsidP="00125AB6">
      <w:pPr>
        <w:spacing w:line="240" w:lineRule="auto"/>
        <w:jc w:val="both"/>
        <w:rPr>
          <w:rFonts w:cstheme="minorHAnsi"/>
          <w:b/>
          <w:sz w:val="24"/>
          <w:szCs w:val="24"/>
        </w:rPr>
      </w:pPr>
    </w:p>
    <w:p w:rsidR="00DC0A52" w:rsidRDefault="00DC0A52" w:rsidP="00125AB6">
      <w:pPr>
        <w:spacing w:line="240" w:lineRule="auto"/>
        <w:jc w:val="both"/>
        <w:rPr>
          <w:rFonts w:cstheme="minorHAnsi"/>
          <w:b/>
          <w:sz w:val="24"/>
          <w:szCs w:val="24"/>
        </w:rPr>
      </w:pPr>
    </w:p>
    <w:p w:rsidR="00DC0A52" w:rsidRDefault="00DC0A52" w:rsidP="00125AB6">
      <w:pPr>
        <w:spacing w:line="240" w:lineRule="auto"/>
        <w:jc w:val="both"/>
        <w:rPr>
          <w:rFonts w:cstheme="minorHAnsi"/>
          <w:b/>
          <w:sz w:val="24"/>
          <w:szCs w:val="24"/>
        </w:rPr>
      </w:pPr>
    </w:p>
    <w:p w:rsidR="00DC0A52" w:rsidRDefault="00DC0A52" w:rsidP="00125AB6">
      <w:pPr>
        <w:spacing w:line="240" w:lineRule="auto"/>
        <w:jc w:val="both"/>
        <w:rPr>
          <w:rFonts w:cstheme="minorHAnsi"/>
          <w:b/>
          <w:sz w:val="24"/>
          <w:szCs w:val="24"/>
        </w:rPr>
      </w:pPr>
    </w:p>
    <w:p w:rsidR="00007BB1" w:rsidRDefault="00007BB1" w:rsidP="00125AB6">
      <w:pPr>
        <w:spacing w:line="240" w:lineRule="auto"/>
        <w:jc w:val="both"/>
        <w:rPr>
          <w:rFonts w:cstheme="minorHAnsi"/>
          <w:b/>
          <w:sz w:val="24"/>
          <w:szCs w:val="24"/>
        </w:rPr>
      </w:pPr>
    </w:p>
    <w:p w:rsidR="00DC0A52" w:rsidRDefault="00DC0A52" w:rsidP="00125AB6">
      <w:pPr>
        <w:spacing w:line="240" w:lineRule="auto"/>
        <w:jc w:val="both"/>
        <w:rPr>
          <w:rFonts w:cstheme="minorHAnsi"/>
          <w:b/>
          <w:sz w:val="24"/>
          <w:szCs w:val="24"/>
        </w:rPr>
      </w:pPr>
    </w:p>
    <w:sectPr w:rsidR="00DC0A52" w:rsidSect="007472D8">
      <w:footerReference w:type="default" r:id="rId9"/>
      <w:type w:val="continuous"/>
      <w:pgSz w:w="11906" w:h="16838"/>
      <w:pgMar w:top="1440" w:right="1440" w:bottom="1440" w:left="1440" w:header="0" w:footer="0"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80D55" w:rsidRDefault="00580D55" w:rsidP="00AD1129">
      <w:pPr>
        <w:spacing w:after="0" w:line="240" w:lineRule="auto"/>
      </w:pPr>
      <w:r>
        <w:separator/>
      </w:r>
    </w:p>
  </w:endnote>
  <w:endnote w:type="continuationSeparator" w:id="0">
    <w:p w:rsidR="00580D55" w:rsidRDefault="00580D55" w:rsidP="00AD11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50749793"/>
      <w:docPartObj>
        <w:docPartGallery w:val="Page Numbers (Bottom of Page)"/>
        <w:docPartUnique/>
      </w:docPartObj>
    </w:sdtPr>
    <w:sdtEndPr>
      <w:rPr>
        <w:noProof/>
      </w:rPr>
    </w:sdtEndPr>
    <w:sdtContent>
      <w:p w:rsidR="001A534E" w:rsidRDefault="001A534E">
        <w:pPr>
          <w:pStyle w:val="Footer"/>
          <w:jc w:val="right"/>
        </w:pPr>
        <w:r>
          <w:fldChar w:fldCharType="begin"/>
        </w:r>
        <w:r>
          <w:instrText xml:space="preserve"> PAGE   \* MERGEFORMAT </w:instrText>
        </w:r>
        <w:r>
          <w:fldChar w:fldCharType="separate"/>
        </w:r>
        <w:r>
          <w:rPr>
            <w:noProof/>
          </w:rPr>
          <w:t>14</w:t>
        </w:r>
        <w:r>
          <w:rPr>
            <w:noProof/>
          </w:rPr>
          <w:fldChar w:fldCharType="end"/>
        </w:r>
      </w:p>
    </w:sdtContent>
  </w:sdt>
  <w:p w:rsidR="001A534E" w:rsidRDefault="001A534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80D55" w:rsidRDefault="00580D55" w:rsidP="00AD1129">
      <w:pPr>
        <w:spacing w:after="0" w:line="240" w:lineRule="auto"/>
      </w:pPr>
      <w:r>
        <w:separator/>
      </w:r>
    </w:p>
  </w:footnote>
  <w:footnote w:type="continuationSeparator" w:id="0">
    <w:p w:rsidR="00580D55" w:rsidRDefault="00580D55" w:rsidP="00AD112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D16A50"/>
    <w:multiLevelType w:val="hybridMultilevel"/>
    <w:tmpl w:val="A0A69C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0ABB"/>
    <w:rsid w:val="00007BB1"/>
    <w:rsid w:val="000111F8"/>
    <w:rsid w:val="00015361"/>
    <w:rsid w:val="00020444"/>
    <w:rsid w:val="00027E75"/>
    <w:rsid w:val="00046A03"/>
    <w:rsid w:val="000C04BC"/>
    <w:rsid w:val="000C19CD"/>
    <w:rsid w:val="001257BD"/>
    <w:rsid w:val="00125AB6"/>
    <w:rsid w:val="00136876"/>
    <w:rsid w:val="00136F21"/>
    <w:rsid w:val="00150825"/>
    <w:rsid w:val="001575B9"/>
    <w:rsid w:val="00183171"/>
    <w:rsid w:val="001A4402"/>
    <w:rsid w:val="001A534E"/>
    <w:rsid w:val="001B1320"/>
    <w:rsid w:val="001B4C75"/>
    <w:rsid w:val="001C71EA"/>
    <w:rsid w:val="0021061E"/>
    <w:rsid w:val="00265804"/>
    <w:rsid w:val="002C22C7"/>
    <w:rsid w:val="002D2F1B"/>
    <w:rsid w:val="002D74C0"/>
    <w:rsid w:val="002F1537"/>
    <w:rsid w:val="002F7A61"/>
    <w:rsid w:val="00306CA5"/>
    <w:rsid w:val="003401CB"/>
    <w:rsid w:val="0034548E"/>
    <w:rsid w:val="003463AB"/>
    <w:rsid w:val="003B5D5E"/>
    <w:rsid w:val="003B622E"/>
    <w:rsid w:val="003D2943"/>
    <w:rsid w:val="003E4D66"/>
    <w:rsid w:val="003F2135"/>
    <w:rsid w:val="00411D3C"/>
    <w:rsid w:val="00431DF4"/>
    <w:rsid w:val="00470173"/>
    <w:rsid w:val="00485D6A"/>
    <w:rsid w:val="00486554"/>
    <w:rsid w:val="004C1D87"/>
    <w:rsid w:val="004F551F"/>
    <w:rsid w:val="00504543"/>
    <w:rsid w:val="00516CFF"/>
    <w:rsid w:val="005261FF"/>
    <w:rsid w:val="00534531"/>
    <w:rsid w:val="00571006"/>
    <w:rsid w:val="00580D55"/>
    <w:rsid w:val="00582F10"/>
    <w:rsid w:val="005913A7"/>
    <w:rsid w:val="005D29E8"/>
    <w:rsid w:val="00617362"/>
    <w:rsid w:val="006566BC"/>
    <w:rsid w:val="00690E70"/>
    <w:rsid w:val="00697CA8"/>
    <w:rsid w:val="006D215F"/>
    <w:rsid w:val="007472D8"/>
    <w:rsid w:val="0075543B"/>
    <w:rsid w:val="007735D8"/>
    <w:rsid w:val="00775D2A"/>
    <w:rsid w:val="00777E96"/>
    <w:rsid w:val="007A51AC"/>
    <w:rsid w:val="007B73C2"/>
    <w:rsid w:val="007C289D"/>
    <w:rsid w:val="007E5604"/>
    <w:rsid w:val="007F1E8F"/>
    <w:rsid w:val="0082237A"/>
    <w:rsid w:val="0087015E"/>
    <w:rsid w:val="008907BC"/>
    <w:rsid w:val="00890AC3"/>
    <w:rsid w:val="008A2B2C"/>
    <w:rsid w:val="008E21B7"/>
    <w:rsid w:val="00912D09"/>
    <w:rsid w:val="0092014C"/>
    <w:rsid w:val="00951F75"/>
    <w:rsid w:val="00957065"/>
    <w:rsid w:val="00962B41"/>
    <w:rsid w:val="00970AF7"/>
    <w:rsid w:val="009857C9"/>
    <w:rsid w:val="009913E0"/>
    <w:rsid w:val="00993E9F"/>
    <w:rsid w:val="0099402F"/>
    <w:rsid w:val="009B0ABB"/>
    <w:rsid w:val="009B3EE1"/>
    <w:rsid w:val="00A04276"/>
    <w:rsid w:val="00A1044D"/>
    <w:rsid w:val="00A2166F"/>
    <w:rsid w:val="00A5730C"/>
    <w:rsid w:val="00A722AE"/>
    <w:rsid w:val="00A83531"/>
    <w:rsid w:val="00AB6876"/>
    <w:rsid w:val="00AD1129"/>
    <w:rsid w:val="00B16439"/>
    <w:rsid w:val="00B2000F"/>
    <w:rsid w:val="00B33F76"/>
    <w:rsid w:val="00B47316"/>
    <w:rsid w:val="00B67A72"/>
    <w:rsid w:val="00B70327"/>
    <w:rsid w:val="00B76FC5"/>
    <w:rsid w:val="00B90087"/>
    <w:rsid w:val="00BD0A96"/>
    <w:rsid w:val="00BF37C1"/>
    <w:rsid w:val="00BF6E52"/>
    <w:rsid w:val="00C07FD2"/>
    <w:rsid w:val="00C143E4"/>
    <w:rsid w:val="00C3259A"/>
    <w:rsid w:val="00C53895"/>
    <w:rsid w:val="00C63FA6"/>
    <w:rsid w:val="00C653C6"/>
    <w:rsid w:val="00C849A5"/>
    <w:rsid w:val="00CC5B94"/>
    <w:rsid w:val="00CF737E"/>
    <w:rsid w:val="00CF7671"/>
    <w:rsid w:val="00D05BC8"/>
    <w:rsid w:val="00D07798"/>
    <w:rsid w:val="00D17A7E"/>
    <w:rsid w:val="00DA1984"/>
    <w:rsid w:val="00DB44DD"/>
    <w:rsid w:val="00DC0A52"/>
    <w:rsid w:val="00DC2DC1"/>
    <w:rsid w:val="00DD3EA2"/>
    <w:rsid w:val="00DE2201"/>
    <w:rsid w:val="00E03714"/>
    <w:rsid w:val="00E1016E"/>
    <w:rsid w:val="00E26308"/>
    <w:rsid w:val="00E537AD"/>
    <w:rsid w:val="00E63216"/>
    <w:rsid w:val="00E74FA1"/>
    <w:rsid w:val="00EB4A8F"/>
    <w:rsid w:val="00EC3784"/>
    <w:rsid w:val="00F20C3A"/>
    <w:rsid w:val="00F31B14"/>
    <w:rsid w:val="00F53F64"/>
    <w:rsid w:val="00F74510"/>
    <w:rsid w:val="00F84B6A"/>
    <w:rsid w:val="00F9614C"/>
    <w:rsid w:val="00FC0283"/>
    <w:rsid w:val="00FC16E1"/>
    <w:rsid w:val="00FD481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B3F592"/>
  <w15:chartTrackingRefBased/>
  <w15:docId w15:val="{0DC3EB10-3A38-42B8-AB0C-9AA03E3EE0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C378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9B0ABB"/>
    <w:pPr>
      <w:spacing w:after="240" w:line="240" w:lineRule="auto"/>
    </w:pPr>
  </w:style>
  <w:style w:type="paragraph" w:styleId="Header">
    <w:name w:val="header"/>
    <w:basedOn w:val="Normal"/>
    <w:link w:val="HeaderChar"/>
    <w:uiPriority w:val="99"/>
    <w:unhideWhenUsed/>
    <w:rsid w:val="00AD1129"/>
    <w:pPr>
      <w:tabs>
        <w:tab w:val="center" w:pos="4513"/>
        <w:tab w:val="right" w:pos="9026"/>
      </w:tabs>
      <w:spacing w:after="0" w:line="240" w:lineRule="auto"/>
    </w:pPr>
  </w:style>
  <w:style w:type="character" w:customStyle="1" w:styleId="HeaderChar">
    <w:name w:val="Header Char"/>
    <w:basedOn w:val="DefaultParagraphFont"/>
    <w:link w:val="Header"/>
    <w:uiPriority w:val="99"/>
    <w:rsid w:val="00AD1129"/>
  </w:style>
  <w:style w:type="paragraph" w:styleId="Footer">
    <w:name w:val="footer"/>
    <w:basedOn w:val="Normal"/>
    <w:link w:val="FooterChar"/>
    <w:uiPriority w:val="99"/>
    <w:unhideWhenUsed/>
    <w:rsid w:val="00AD1129"/>
    <w:pPr>
      <w:tabs>
        <w:tab w:val="center" w:pos="4513"/>
        <w:tab w:val="right" w:pos="9026"/>
      </w:tabs>
      <w:spacing w:after="0" w:line="240" w:lineRule="auto"/>
    </w:pPr>
  </w:style>
  <w:style w:type="character" w:customStyle="1" w:styleId="FooterChar">
    <w:name w:val="Footer Char"/>
    <w:basedOn w:val="DefaultParagraphFont"/>
    <w:link w:val="Footer"/>
    <w:uiPriority w:val="99"/>
    <w:rsid w:val="00AD1129"/>
  </w:style>
  <w:style w:type="character" w:styleId="LineNumber">
    <w:name w:val="line number"/>
    <w:basedOn w:val="DefaultParagraphFont"/>
    <w:uiPriority w:val="99"/>
    <w:semiHidden/>
    <w:unhideWhenUsed/>
    <w:rsid w:val="00125AB6"/>
  </w:style>
  <w:style w:type="paragraph" w:styleId="ListParagraph">
    <w:name w:val="List Paragraph"/>
    <w:basedOn w:val="Normal"/>
    <w:uiPriority w:val="34"/>
    <w:qFormat/>
    <w:rsid w:val="00FD481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3796267">
      <w:bodyDiv w:val="1"/>
      <w:marLeft w:val="0"/>
      <w:marRight w:val="0"/>
      <w:marTop w:val="0"/>
      <w:marBottom w:val="0"/>
      <w:divBdr>
        <w:top w:val="none" w:sz="0" w:space="0" w:color="auto"/>
        <w:left w:val="none" w:sz="0" w:space="0" w:color="auto"/>
        <w:bottom w:val="none" w:sz="0" w:space="0" w:color="auto"/>
        <w:right w:val="none" w:sz="0" w:space="0" w:color="auto"/>
      </w:divBdr>
    </w:div>
    <w:div w:id="790243878">
      <w:bodyDiv w:val="1"/>
      <w:marLeft w:val="0"/>
      <w:marRight w:val="0"/>
      <w:marTop w:val="0"/>
      <w:marBottom w:val="0"/>
      <w:divBdr>
        <w:top w:val="none" w:sz="0" w:space="0" w:color="auto"/>
        <w:left w:val="none" w:sz="0" w:space="0" w:color="auto"/>
        <w:bottom w:val="none" w:sz="0" w:space="0" w:color="auto"/>
        <w:right w:val="none" w:sz="0" w:space="0" w:color="auto"/>
      </w:divBdr>
    </w:div>
    <w:div w:id="817503430">
      <w:bodyDiv w:val="1"/>
      <w:marLeft w:val="0"/>
      <w:marRight w:val="0"/>
      <w:marTop w:val="0"/>
      <w:marBottom w:val="0"/>
      <w:divBdr>
        <w:top w:val="none" w:sz="0" w:space="0" w:color="auto"/>
        <w:left w:val="none" w:sz="0" w:space="0" w:color="auto"/>
        <w:bottom w:val="none" w:sz="0" w:space="0" w:color="auto"/>
        <w:right w:val="none" w:sz="0" w:space="0" w:color="auto"/>
      </w:divBdr>
    </w:div>
    <w:div w:id="1488978463">
      <w:bodyDiv w:val="1"/>
      <w:marLeft w:val="0"/>
      <w:marRight w:val="0"/>
      <w:marTop w:val="0"/>
      <w:marBottom w:val="0"/>
      <w:divBdr>
        <w:top w:val="none" w:sz="0" w:space="0" w:color="auto"/>
        <w:left w:val="none" w:sz="0" w:space="0" w:color="auto"/>
        <w:bottom w:val="none" w:sz="0" w:space="0" w:color="auto"/>
        <w:right w:val="none" w:sz="0" w:space="0" w:color="auto"/>
      </w:divBdr>
    </w:div>
    <w:div w:id="1600792154">
      <w:bodyDiv w:val="1"/>
      <w:marLeft w:val="0"/>
      <w:marRight w:val="0"/>
      <w:marTop w:val="0"/>
      <w:marBottom w:val="0"/>
      <w:divBdr>
        <w:top w:val="none" w:sz="0" w:space="0" w:color="auto"/>
        <w:left w:val="none" w:sz="0" w:space="0" w:color="auto"/>
        <w:bottom w:val="none" w:sz="0" w:space="0" w:color="auto"/>
        <w:right w:val="none" w:sz="0" w:space="0" w:color="auto"/>
      </w:divBdr>
    </w:div>
    <w:div w:id="1898586219">
      <w:bodyDiv w:val="1"/>
      <w:marLeft w:val="0"/>
      <w:marRight w:val="0"/>
      <w:marTop w:val="0"/>
      <w:marBottom w:val="0"/>
      <w:divBdr>
        <w:top w:val="none" w:sz="0" w:space="0" w:color="auto"/>
        <w:left w:val="none" w:sz="0" w:space="0" w:color="auto"/>
        <w:bottom w:val="none" w:sz="0" w:space="0" w:color="auto"/>
        <w:right w:val="none" w:sz="0" w:space="0" w:color="auto"/>
      </w:divBdr>
    </w:div>
    <w:div w:id="19945976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http://www.progettoninfea.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3</Pages>
  <Words>692</Words>
  <Characters>3945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davide</dc:creator>
  <cp:keywords/>
  <dc:description/>
  <cp:lastModifiedBy>NICOLAI BRACHOWICZ</cp:lastModifiedBy>
  <cp:revision>9</cp:revision>
  <dcterms:created xsi:type="dcterms:W3CDTF">2021-09-20T19:03:00Z</dcterms:created>
  <dcterms:modified xsi:type="dcterms:W3CDTF">2021-09-24T15:09:00Z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zotero-version="5.0.96"&gt;&lt;session id="fZdTfA1v"/&gt;&lt;style id="http://www.zotero.org/styles/bmc-medicine" hasBibliography="1" bibliographyStyleHasBeenSet="1"/&gt;&lt;prefs&gt;&lt;pref name="fieldType" value="Field"/&gt;&lt;pref name="automaticJournalAbbr</vt:lpwstr>
  </property>
  <property fmtid="{D5CDD505-2E9C-101B-9397-08002B2CF9AE}" pid="3" name="ZOTERO_PREF_2">
    <vt:lpwstr>eviations" value="true"/&gt;&lt;/prefs&gt;&lt;/data&gt;</vt:lpwstr>
  </property>
</Properties>
</file>