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F11D3" w14:textId="66BF1F4C" w:rsidR="00BD7D2E" w:rsidRDefault="00BD7D2E" w:rsidP="00BD7D2E">
      <w:pPr>
        <w:jc w:val="both"/>
        <w:rPr>
          <w:rFonts w:asciiTheme="majorBidi" w:hAnsiTheme="majorBidi" w:cstheme="majorBidi"/>
          <w:b/>
          <w:bCs/>
        </w:rPr>
      </w:pPr>
      <w:r w:rsidRPr="006C6B85">
        <w:rPr>
          <w:rFonts w:asciiTheme="majorBidi" w:hAnsiTheme="majorBidi" w:cstheme="majorBidi"/>
          <w:b/>
          <w:bCs/>
        </w:rPr>
        <w:t xml:space="preserve">Additional file </w:t>
      </w:r>
      <w:r>
        <w:rPr>
          <w:rFonts w:asciiTheme="majorBidi" w:hAnsiTheme="majorBidi" w:cstheme="majorBidi"/>
          <w:b/>
          <w:bCs/>
        </w:rPr>
        <w:t>2</w:t>
      </w:r>
      <w:r w:rsidRPr="006C6B85">
        <w:rPr>
          <w:rFonts w:asciiTheme="majorBidi" w:hAnsiTheme="majorBidi" w:cstheme="majorBidi"/>
          <w:b/>
          <w:bCs/>
        </w:rPr>
        <w:t>:</w:t>
      </w:r>
      <w:r>
        <w:rPr>
          <w:rFonts w:asciiTheme="majorBidi" w:hAnsiTheme="majorBidi" w:cstheme="majorBidi"/>
        </w:rPr>
        <w:t xml:space="preserve"> </w:t>
      </w:r>
      <w:r w:rsidRPr="00BD7DAA">
        <w:rPr>
          <w:rFonts w:asciiTheme="majorBidi" w:hAnsiTheme="majorBidi" w:cstheme="majorBidi"/>
          <w:b/>
          <w:bCs/>
        </w:rPr>
        <w:t>Supplemental Methods</w:t>
      </w:r>
    </w:p>
    <w:p w14:paraId="4D2096B4" w14:textId="77777777" w:rsidR="00BD7D2E" w:rsidRDefault="00BD7D2E" w:rsidP="00BD7D2E">
      <w:pPr>
        <w:jc w:val="both"/>
        <w:rPr>
          <w:rFonts w:asciiTheme="majorBidi" w:hAnsiTheme="majorBidi" w:cstheme="majorBidi"/>
          <w:b/>
          <w:bCs/>
        </w:rPr>
      </w:pPr>
    </w:p>
    <w:p w14:paraId="4DC04023" w14:textId="5E602241" w:rsidR="00BD7D2E" w:rsidRPr="0086731B" w:rsidRDefault="00BD7D2E" w:rsidP="00BD7D2E">
      <w:pPr>
        <w:jc w:val="both"/>
        <w:rPr>
          <w:rFonts w:asciiTheme="majorBidi" w:hAnsiTheme="majorBidi" w:cstheme="majorBidi"/>
          <w:b/>
          <w:bCs/>
        </w:rPr>
      </w:pPr>
      <w:r w:rsidRPr="0086731B">
        <w:rPr>
          <w:rFonts w:asciiTheme="majorBidi" w:hAnsiTheme="majorBidi" w:cstheme="majorBidi"/>
          <w:b/>
          <w:bCs/>
        </w:rPr>
        <w:t>IDEFICS MetS risk score derivation</w:t>
      </w:r>
    </w:p>
    <w:p w14:paraId="63696AAF" w14:textId="0A589DC8" w:rsidR="00BD7D2E" w:rsidRPr="0086731B" w:rsidRDefault="00BD7D2E" w:rsidP="00BD7D2E">
      <w:pPr>
        <w:jc w:val="both"/>
        <w:rPr>
          <w:rFonts w:asciiTheme="majorBidi" w:hAnsiTheme="majorBidi" w:cstheme="majorBidi"/>
        </w:rPr>
      </w:pPr>
      <w:r w:rsidRPr="0086731B">
        <w:rPr>
          <w:rFonts w:asciiTheme="majorBidi" w:hAnsiTheme="majorBidi" w:cstheme="majorBidi"/>
        </w:rPr>
        <w:t xml:space="preserve">Among the 456 children, we derived the continuous IDEFICS MetS risk score for all study participants based on percentile curves created for 18745 children aged 2.0 – 10.9 years of the European IDEFICS cohort as a reference system </w:t>
      </w:r>
      <w:r w:rsidRPr="0086731B">
        <w:rPr>
          <w:rFonts w:eastAsiaTheme="minorHAnsi"/>
          <w:lang w:val="en-US"/>
        </w:rPr>
        <w:t>with permission from study investigators</w:t>
      </w:r>
      <w:r w:rsidRPr="0086731B">
        <w:rPr>
          <w:rFonts w:asciiTheme="majorBidi" w:hAnsiTheme="majorBidi" w:cstheme="majorBidi"/>
        </w:rPr>
        <w:t xml:space="preserve">. This was done using sex-specific and age-specific (to one decimal point) distributions based on generalized additive model for location scale and shape (GAMLSS) where the specific percentile is then converted to a z-score </w:t>
      </w:r>
      <w:r w:rsidRPr="0086731B">
        <w:rPr>
          <w:rFonts w:eastAsiaTheme="minorHAnsi"/>
          <w:lang w:val="en-US"/>
        </w:rPr>
        <w:t>for each clinical parameter</w:t>
      </w:r>
      <w:r w:rsidRPr="0086731B">
        <w:rPr>
          <w:rFonts w:asciiTheme="majorBidi" w:hAnsiTheme="majorBidi" w:cstheme="majorBidi"/>
        </w:rPr>
        <w:t xml:space="preserve">. GAMLSS is a recently introduced statistical approach that accounts for skewness and kurtosis. The MetS score was calculated summing age and sex-specific z-scores according to the following the formula by Ahrens et al.: </w:t>
      </w:r>
    </w:p>
    <w:p w14:paraId="5E2EB1F6" w14:textId="77777777" w:rsidR="00BD7D2E" w:rsidRPr="0086731B" w:rsidRDefault="00BD7D2E" w:rsidP="00BD7D2E">
      <w:pPr>
        <w:jc w:val="both"/>
        <w:rPr>
          <w:rFonts w:asciiTheme="majorBidi" w:hAnsiTheme="majorBidi" w:cstheme="majorBidi"/>
        </w:rPr>
      </w:pPr>
      <w:r w:rsidRPr="0086731B">
        <w:rPr>
          <w:rFonts w:asciiTheme="majorBidi" w:hAnsiTheme="majorBidi" w:cstheme="majorBidi"/>
        </w:rPr>
        <w:t>IDEFICS MetS score =</w:t>
      </w:r>
    </w:p>
    <w:p w14:paraId="406E03E8" w14:textId="77777777" w:rsidR="00BD7D2E" w:rsidRPr="0086731B" w:rsidRDefault="00BD7D2E" w:rsidP="00BD7D2E">
      <w:pPr>
        <w:jc w:val="both"/>
        <w:rPr>
          <w:rFonts w:asciiTheme="majorBidi" w:hAnsiTheme="majorBidi" w:cstheme="majorBidi"/>
          <w:vertAlign w:val="subscript"/>
        </w:rPr>
      </w:pPr>
      <w:r w:rsidRPr="0086731B">
        <w:rPr>
          <w:rFonts w:asciiTheme="majorBidi" w:hAnsiTheme="majorBidi" w:cstheme="majorBidi"/>
        </w:rPr>
        <w:t xml:space="preserve">z </w:t>
      </w:r>
      <w:r w:rsidRPr="0086731B">
        <w:rPr>
          <w:rFonts w:asciiTheme="majorBidi" w:hAnsiTheme="majorBidi" w:cstheme="majorBidi"/>
          <w:vertAlign w:val="subscript"/>
        </w:rPr>
        <w:t xml:space="preserve">waist circumference </w:t>
      </w:r>
      <w:r w:rsidRPr="0086731B">
        <w:rPr>
          <w:rFonts w:asciiTheme="majorBidi" w:hAnsiTheme="majorBidi" w:cstheme="majorBidi"/>
        </w:rPr>
        <w:t xml:space="preserve">+ (z </w:t>
      </w:r>
      <w:r w:rsidRPr="0086731B">
        <w:rPr>
          <w:rFonts w:asciiTheme="majorBidi" w:hAnsiTheme="majorBidi" w:cstheme="majorBidi"/>
          <w:vertAlign w:val="subscript"/>
        </w:rPr>
        <w:t xml:space="preserve">systolic blood pressure </w:t>
      </w:r>
      <w:r w:rsidRPr="0086731B">
        <w:rPr>
          <w:rFonts w:asciiTheme="majorBidi" w:hAnsiTheme="majorBidi" w:cstheme="majorBidi"/>
        </w:rPr>
        <w:t xml:space="preserve">+ z </w:t>
      </w:r>
      <w:r w:rsidRPr="0086731B">
        <w:rPr>
          <w:rFonts w:asciiTheme="majorBidi" w:hAnsiTheme="majorBidi" w:cstheme="majorBidi"/>
          <w:vertAlign w:val="subscript"/>
        </w:rPr>
        <w:t>diastolic blood pressure</w:t>
      </w:r>
      <w:r w:rsidRPr="0086731B">
        <w:rPr>
          <w:rFonts w:asciiTheme="majorBidi" w:hAnsiTheme="majorBidi" w:cstheme="majorBidi"/>
        </w:rPr>
        <w:t xml:space="preserve">)/2 + (z </w:t>
      </w:r>
      <w:r w:rsidRPr="0086731B">
        <w:rPr>
          <w:rFonts w:asciiTheme="majorBidi" w:hAnsiTheme="majorBidi" w:cstheme="majorBidi"/>
          <w:vertAlign w:val="subscript"/>
        </w:rPr>
        <w:t xml:space="preserve">triglycerides </w:t>
      </w:r>
      <w:r w:rsidRPr="0086731B">
        <w:rPr>
          <w:rFonts w:asciiTheme="majorBidi" w:hAnsiTheme="majorBidi" w:cstheme="majorBidi"/>
        </w:rPr>
        <w:t xml:space="preserve">– z </w:t>
      </w:r>
      <w:r w:rsidRPr="0086731B">
        <w:rPr>
          <w:rFonts w:asciiTheme="majorBidi" w:hAnsiTheme="majorBidi" w:cstheme="majorBidi"/>
          <w:vertAlign w:val="subscript"/>
        </w:rPr>
        <w:t>HDL</w:t>
      </w:r>
      <w:r w:rsidRPr="0086731B">
        <w:rPr>
          <w:rFonts w:asciiTheme="majorBidi" w:hAnsiTheme="majorBidi" w:cstheme="majorBidi"/>
        </w:rPr>
        <w:t xml:space="preserve">)/2 + z </w:t>
      </w:r>
      <w:r w:rsidRPr="0086731B">
        <w:rPr>
          <w:rFonts w:asciiTheme="majorBidi" w:hAnsiTheme="majorBidi" w:cstheme="majorBidi"/>
          <w:vertAlign w:val="subscript"/>
        </w:rPr>
        <w:t>fasting glucose</w:t>
      </w:r>
    </w:p>
    <w:p w14:paraId="5798B771" w14:textId="77777777" w:rsidR="00BD7D2E" w:rsidRPr="0086731B" w:rsidRDefault="00BD7D2E" w:rsidP="00BD7D2E">
      <w:pPr>
        <w:jc w:val="both"/>
        <w:rPr>
          <w:rFonts w:asciiTheme="majorBidi" w:hAnsiTheme="majorBidi" w:cstheme="majorBidi"/>
        </w:rPr>
      </w:pPr>
      <w:r w:rsidRPr="0086731B">
        <w:rPr>
          <w:rFonts w:asciiTheme="majorBidi" w:hAnsiTheme="majorBidi" w:cstheme="majorBidi"/>
          <w:lang w:val="en-US"/>
        </w:rPr>
        <w:t xml:space="preserve">For both systolic and diastolic blood pressure, distributions are also height-specific in addition to sex and age and for 5 children of the FAMILY cohort, whose heights were not available in the IDEFICS distribution data, </w:t>
      </w:r>
      <w:r w:rsidRPr="0086731B">
        <w:rPr>
          <w:rFonts w:asciiTheme="majorBidi" w:hAnsiTheme="majorBidi" w:cstheme="majorBidi"/>
        </w:rPr>
        <w:t xml:space="preserve">the nearest available height data was used for each age category. The mean of the z-scores of both diastolic and systolic blood pressure was calculated. For the hyperglycemia component, we used glucose z-scores in the equation </w:t>
      </w:r>
      <w:r w:rsidRPr="0086731B">
        <w:rPr>
          <w:rFonts w:asciiTheme="majorBidi" w:hAnsiTheme="majorBidi" w:cstheme="majorBidi"/>
          <w:lang w:val="en-US"/>
        </w:rPr>
        <w:t xml:space="preserve">after conversion of fasting glucose concentrations from mmol\L to mg/dl in order to compute the z-scores from the IDEFICS distribution. For dyslipidemia </w:t>
      </w:r>
      <w:r w:rsidRPr="0086731B">
        <w:rPr>
          <w:rFonts w:asciiTheme="majorBidi" w:hAnsiTheme="majorBidi" w:cstheme="majorBidi"/>
        </w:rPr>
        <w:t xml:space="preserve">the mean of the z-scores for triglycerides and HDL-C (multiplied by − 1, due to its inverse relation to MetS and converted to mg/dl) was computed. All four major cardiovascular risk factors receive the same weight in the score, as there is no clear indication that one component has a stronger influence than the rest. A higher MetS score indicates a higher cardiometabolic risk while a negative score indicates lower risk. The mean score was +0.05 and ranged from -6.1 to +6.8. </w:t>
      </w:r>
    </w:p>
    <w:p w14:paraId="18C253ED" w14:textId="77777777" w:rsidR="00BD7D2E" w:rsidRPr="0086731B" w:rsidRDefault="00BD7D2E" w:rsidP="00BD7D2E">
      <w:pPr>
        <w:jc w:val="both"/>
        <w:rPr>
          <w:rFonts w:asciiTheme="majorBidi" w:hAnsiTheme="majorBidi" w:cstheme="majorBidi"/>
        </w:rPr>
      </w:pPr>
    </w:p>
    <w:p w14:paraId="721A77D2" w14:textId="77777777" w:rsidR="00BD7D2E" w:rsidRPr="0086731B" w:rsidRDefault="00BD7D2E" w:rsidP="00BD7D2E">
      <w:pPr>
        <w:jc w:val="both"/>
        <w:rPr>
          <w:rFonts w:asciiTheme="majorBidi" w:hAnsiTheme="majorBidi" w:cstheme="majorBidi"/>
          <w:b/>
          <w:bCs/>
        </w:rPr>
      </w:pPr>
      <w:r w:rsidRPr="0086731B">
        <w:rPr>
          <w:rFonts w:asciiTheme="majorBidi" w:hAnsiTheme="majorBidi" w:cstheme="majorBidi"/>
          <w:b/>
          <w:bCs/>
        </w:rPr>
        <w:t>IDEFICS MetS definition</w:t>
      </w:r>
    </w:p>
    <w:p w14:paraId="7C73B37D" w14:textId="77777777" w:rsidR="00BD7D2E" w:rsidRPr="0086731B" w:rsidRDefault="00BD7D2E" w:rsidP="00BD7D2E">
      <w:pPr>
        <w:jc w:val="both"/>
        <w:rPr>
          <w:rFonts w:asciiTheme="majorBidi" w:hAnsiTheme="majorBidi" w:cstheme="majorBidi"/>
        </w:rPr>
      </w:pPr>
      <w:r w:rsidRPr="0086731B">
        <w:rPr>
          <w:rFonts w:asciiTheme="majorBidi" w:hAnsiTheme="majorBidi" w:cstheme="majorBidi"/>
        </w:rPr>
        <w:t xml:space="preserve">According to the IDEFICS criteria, MetS definition is met when the value of </w:t>
      </w:r>
      <w:r w:rsidRPr="0086731B">
        <w:rPr>
          <w:rFonts w:asciiTheme="majorBidi" w:hAnsiTheme="majorBidi" w:cstheme="majorBidi"/>
          <w:i/>
          <w:iCs/>
        </w:rPr>
        <w:t>three or more</w:t>
      </w:r>
      <w:r w:rsidRPr="0086731B">
        <w:rPr>
          <w:rFonts w:asciiTheme="majorBidi" w:hAnsiTheme="majorBidi" w:cstheme="majorBidi"/>
        </w:rPr>
        <w:t xml:space="preserve"> risk factors (i.e. z-scores) exceeds the 90</w:t>
      </w:r>
      <w:r w:rsidRPr="0086731B">
        <w:rPr>
          <w:rFonts w:asciiTheme="majorBidi" w:hAnsiTheme="majorBidi" w:cstheme="majorBidi"/>
          <w:vertAlign w:val="superscript"/>
        </w:rPr>
        <w:t>th</w:t>
      </w:r>
      <w:r w:rsidRPr="0086731B">
        <w:rPr>
          <w:rFonts w:asciiTheme="majorBidi" w:hAnsiTheme="majorBidi" w:cstheme="majorBidi"/>
        </w:rPr>
        <w:t xml:space="preserve"> percentile for waist circumference, systolic or diastolic blood pressure, HOMA-insulin resistance or fasting glucose, and triglycerides or is lower than the 10</w:t>
      </w:r>
      <w:r w:rsidRPr="0086731B">
        <w:rPr>
          <w:rFonts w:asciiTheme="majorBidi" w:hAnsiTheme="majorBidi" w:cstheme="majorBidi"/>
          <w:vertAlign w:val="superscript"/>
        </w:rPr>
        <w:t>th</w:t>
      </w:r>
      <w:r w:rsidRPr="0086731B">
        <w:rPr>
          <w:rFonts w:asciiTheme="majorBidi" w:hAnsiTheme="majorBidi" w:cstheme="majorBidi"/>
        </w:rPr>
        <w:t xml:space="preserve"> percentile for HDL cholesterol.  As per these criteria and using the externally standardized z-scores of all four risk factors in the study cohort, prevalence of MetS at the monitoring level was found to be 2.9%.</w:t>
      </w:r>
    </w:p>
    <w:p w14:paraId="7DB9BA84" w14:textId="77777777" w:rsidR="00BD7D2E" w:rsidRPr="0086731B" w:rsidRDefault="00BD7D2E" w:rsidP="00BD7D2E">
      <w:pPr>
        <w:jc w:val="both"/>
        <w:rPr>
          <w:rFonts w:asciiTheme="majorBidi" w:hAnsiTheme="majorBidi" w:cstheme="majorBidi"/>
          <w:b/>
          <w:bCs/>
        </w:rPr>
      </w:pPr>
    </w:p>
    <w:p w14:paraId="593560BF" w14:textId="77777777" w:rsidR="00BD7D2E" w:rsidRPr="0086731B" w:rsidRDefault="00BD7D2E" w:rsidP="00BD7D2E">
      <w:pPr>
        <w:jc w:val="both"/>
        <w:rPr>
          <w:rFonts w:asciiTheme="majorBidi" w:hAnsiTheme="majorBidi" w:cstheme="majorBidi"/>
          <w:b/>
          <w:bCs/>
        </w:rPr>
      </w:pPr>
      <w:r w:rsidRPr="0086731B">
        <w:rPr>
          <w:rFonts w:asciiTheme="majorBidi" w:hAnsiTheme="majorBidi" w:cstheme="majorBidi"/>
          <w:b/>
          <w:bCs/>
        </w:rPr>
        <w:t>MSI-CE-MS Data Processing</w:t>
      </w:r>
    </w:p>
    <w:p w14:paraId="225BB283" w14:textId="3D06EA6D" w:rsidR="00BD7D2E" w:rsidRDefault="00BD7D2E" w:rsidP="00034E0F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86731B">
        <w:rPr>
          <w:rFonts w:asciiTheme="majorBidi" w:hAnsiTheme="majorBidi" w:cstheme="majorBidi"/>
        </w:rPr>
        <w:t xml:space="preserve">MSI-CE-MS data was analyzed using Agilent Mass Hunter Workstation software (Qualitative Analysis, version B.06.00, Agilent Technologies, 2012). </w:t>
      </w:r>
      <w:r w:rsidRPr="00BD7D2E">
        <w:rPr>
          <w:rFonts w:asciiTheme="majorBidi" w:hAnsiTheme="majorBidi" w:cstheme="majorBidi"/>
        </w:rPr>
        <w:t>Comprehensive detection of molecular features from the raw data was performed</w:t>
      </w:r>
      <w:r w:rsidRPr="0086731B">
        <w:t xml:space="preserve"> using Mass-Hunter Molecular Feature Extractor, Molecular Formula Generator tools, and an in-house compound database. All ions were annotated using their accurate mass (m/z), relative migration time (RMT) normalized to an internal standard (Cl-Tyr, or </w:t>
      </w:r>
      <w:r w:rsidRPr="0086731B">
        <w:rPr>
          <w:vertAlign w:val="superscript"/>
        </w:rPr>
        <w:t>13</w:t>
      </w:r>
      <w:r w:rsidRPr="0086731B">
        <w:t xml:space="preserve">C-glucose), and ionization mode of detection. RMTs are reported since they are an important parameter used to exclude redundant adducts and/or fragment ion peaks, which exhibit identical RMTs as the parent compound. Peak areas and migration times for all molecular features and internal standards were transferred to an Excel worksheet </w:t>
      </w:r>
      <w:r w:rsidRPr="0086731B">
        <w:rPr>
          <w:rFonts w:asciiTheme="majorBidi" w:hAnsiTheme="majorBidi" w:cstheme="majorBidi"/>
        </w:rPr>
        <w:t>(Microsoft Office, Redmond, WA, USA</w:t>
      </w:r>
      <w:r w:rsidRPr="0086731B">
        <w:t xml:space="preserve">) and RPA for each unique molecular feature were calculated. </w:t>
      </w:r>
      <w:r w:rsidRPr="0086731B">
        <w:rPr>
          <w:rFonts w:asciiTheme="majorBidi" w:hAnsiTheme="majorBidi" w:cstheme="majorBidi"/>
          <w:bCs/>
          <w:color w:val="000000" w:themeColor="text1"/>
        </w:rPr>
        <w:t xml:space="preserve">An iterative data workflow was used to reject spurious signals, redundant peaks, and background </w:t>
      </w:r>
      <w:r w:rsidRPr="0086731B">
        <w:rPr>
          <w:rFonts w:asciiTheme="majorBidi" w:hAnsiTheme="majorBidi" w:cstheme="majorBidi"/>
          <w:bCs/>
          <w:color w:val="000000" w:themeColor="text1"/>
        </w:rPr>
        <w:lastRenderedPageBreak/>
        <w:t xml:space="preserve">ions when performing nontargeted metabolomics based on analysis of a pooled serum sample. </w:t>
      </w:r>
      <w:r w:rsidRPr="00FD5033">
        <w:t>Principal component analysis was used for data visualization (i.e., data trends/outlier detection) when comparing the technical variance of QC samples as compared to the overall biological variance of study samples using MetaboAnalyst 4.0.</w:t>
      </w:r>
      <w:bookmarkStart w:id="0" w:name="_GoBack"/>
      <w:bookmarkEnd w:id="0"/>
    </w:p>
    <w:sectPr w:rsidR="00BD7D2E" w:rsidSect="009C7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A3F52" w14:textId="77777777" w:rsidR="00537C4C" w:rsidRDefault="00537C4C" w:rsidP="00FD5033">
      <w:r>
        <w:separator/>
      </w:r>
    </w:p>
  </w:endnote>
  <w:endnote w:type="continuationSeparator" w:id="0">
    <w:p w14:paraId="44B22344" w14:textId="77777777" w:rsidR="00537C4C" w:rsidRDefault="00537C4C" w:rsidP="00FD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3E876" w14:textId="77777777" w:rsidR="00537C4C" w:rsidRDefault="00537C4C" w:rsidP="00FD5033">
      <w:r>
        <w:separator/>
      </w:r>
    </w:p>
  </w:footnote>
  <w:footnote w:type="continuationSeparator" w:id="0">
    <w:p w14:paraId="0657D364" w14:textId="77777777" w:rsidR="00537C4C" w:rsidRDefault="00537C4C" w:rsidP="00FD5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31E56"/>
    <w:multiLevelType w:val="hybridMultilevel"/>
    <w:tmpl w:val="7110FAD0"/>
    <w:lvl w:ilvl="0" w:tplc="B36A9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1"/>
  </w:docVars>
  <w:rsids>
    <w:rsidRoot w:val="00A23653"/>
    <w:rsid w:val="00004EC9"/>
    <w:rsid w:val="00016CD4"/>
    <w:rsid w:val="00021ABD"/>
    <w:rsid w:val="000236F8"/>
    <w:rsid w:val="00034E0F"/>
    <w:rsid w:val="000B285F"/>
    <w:rsid w:val="000C425F"/>
    <w:rsid w:val="000E56F7"/>
    <w:rsid w:val="001D48E4"/>
    <w:rsid w:val="001F0BF7"/>
    <w:rsid w:val="00262626"/>
    <w:rsid w:val="00271E4A"/>
    <w:rsid w:val="002D0F63"/>
    <w:rsid w:val="002D42A0"/>
    <w:rsid w:val="00337ECF"/>
    <w:rsid w:val="00345AFA"/>
    <w:rsid w:val="003E0202"/>
    <w:rsid w:val="003F1349"/>
    <w:rsid w:val="00421101"/>
    <w:rsid w:val="00483629"/>
    <w:rsid w:val="00537C4C"/>
    <w:rsid w:val="00545AE9"/>
    <w:rsid w:val="005507F9"/>
    <w:rsid w:val="0058080F"/>
    <w:rsid w:val="00604E60"/>
    <w:rsid w:val="00606544"/>
    <w:rsid w:val="006256EE"/>
    <w:rsid w:val="006E4EAB"/>
    <w:rsid w:val="007822DE"/>
    <w:rsid w:val="00784349"/>
    <w:rsid w:val="00787BEF"/>
    <w:rsid w:val="0086017D"/>
    <w:rsid w:val="0086731B"/>
    <w:rsid w:val="008974AD"/>
    <w:rsid w:val="009159A5"/>
    <w:rsid w:val="009175B6"/>
    <w:rsid w:val="00941227"/>
    <w:rsid w:val="00942091"/>
    <w:rsid w:val="009C7880"/>
    <w:rsid w:val="009E0375"/>
    <w:rsid w:val="00A23653"/>
    <w:rsid w:val="00AC184E"/>
    <w:rsid w:val="00B30C98"/>
    <w:rsid w:val="00B36C3D"/>
    <w:rsid w:val="00B5750F"/>
    <w:rsid w:val="00B7043F"/>
    <w:rsid w:val="00B72154"/>
    <w:rsid w:val="00BB04F4"/>
    <w:rsid w:val="00BD38E3"/>
    <w:rsid w:val="00BD7D2E"/>
    <w:rsid w:val="00D31A87"/>
    <w:rsid w:val="00F80D15"/>
    <w:rsid w:val="00FC2970"/>
    <w:rsid w:val="00FD5033"/>
    <w:rsid w:val="00FD57B4"/>
    <w:rsid w:val="00FD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2C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4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653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65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36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A23653"/>
    <w:rPr>
      <w:rFonts w:eastAsiaTheme="minorHAns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3653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PlainTable51">
    <w:name w:val="Plain Table 51"/>
    <w:basedOn w:val="TableNormal"/>
    <w:uiPriority w:val="45"/>
    <w:rsid w:val="00A23653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A23653"/>
    <w:pPr>
      <w:tabs>
        <w:tab w:val="left" w:pos="380"/>
      </w:tabs>
      <w:spacing w:after="240"/>
      <w:ind w:left="384" w:hanging="384"/>
    </w:pPr>
  </w:style>
  <w:style w:type="character" w:styleId="Hyperlink">
    <w:name w:val="Hyperlink"/>
    <w:basedOn w:val="DefaultParagraphFont"/>
    <w:uiPriority w:val="99"/>
    <w:semiHidden/>
    <w:unhideWhenUsed/>
    <w:rsid w:val="00A23653"/>
    <w:rPr>
      <w:color w:val="0000FF"/>
      <w:u w:val="single"/>
    </w:rPr>
  </w:style>
  <w:style w:type="table" w:customStyle="1" w:styleId="ListTable7Colorful1">
    <w:name w:val="List Table 7 Colorful1"/>
    <w:basedOn w:val="TableNormal"/>
    <w:uiPriority w:val="52"/>
    <w:rsid w:val="009C7880"/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D5860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03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D5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03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D5033"/>
  </w:style>
  <w:style w:type="paragraph" w:styleId="Revision">
    <w:name w:val="Revision"/>
    <w:hidden/>
    <w:uiPriority w:val="99"/>
    <w:semiHidden/>
    <w:rsid w:val="002D42A0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29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8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3397</Characters>
  <Application>Microsoft Office Word</Application>
  <DocSecurity>0</DocSecurity>
  <Lines>261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Azab</dc:creator>
  <cp:lastModifiedBy>S3G_Reference_Citation_Sequence</cp:lastModifiedBy>
  <cp:revision>2</cp:revision>
  <dcterms:created xsi:type="dcterms:W3CDTF">2021-10-21T07:50:00Z</dcterms:created>
  <dcterms:modified xsi:type="dcterms:W3CDTF">2021-10-21T07:50:00Z</dcterms:modified>
</cp:coreProperties>
</file>