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40A7A" w14:textId="5F10504C" w:rsidR="004531F3" w:rsidRPr="00787A5F" w:rsidRDefault="004531F3" w:rsidP="004531F3">
      <w:pPr>
        <w:pStyle w:val="Caption"/>
        <w:spacing w:before="0" w:line="276" w:lineRule="auto"/>
        <w:jc w:val="left"/>
        <w:rPr>
          <w:b w:val="0"/>
          <w:bCs w:val="0"/>
          <w:sz w:val="24"/>
          <w:szCs w:val="22"/>
        </w:rPr>
      </w:pPr>
      <w:bookmarkStart w:id="0" w:name="_Ref64293843"/>
      <w:r w:rsidRPr="00787A5F">
        <w:rPr>
          <w:sz w:val="24"/>
          <w:szCs w:val="22"/>
        </w:rPr>
        <w:t xml:space="preserve">Network graph, </w:t>
      </w:r>
      <w:proofErr w:type="gramStart"/>
      <w:r w:rsidRPr="00787A5F">
        <w:rPr>
          <w:sz w:val="24"/>
          <w:szCs w:val="22"/>
        </w:rPr>
        <w:t>methods</w:t>
      </w:r>
      <w:proofErr w:type="gramEnd"/>
      <w:r w:rsidRPr="00787A5F">
        <w:rPr>
          <w:sz w:val="24"/>
          <w:szCs w:val="22"/>
        </w:rPr>
        <w:t xml:space="preserve"> and forest plot for the network meta-analysis of non-invasive diagnostic modalities for the detection of coronary artery disease in patients with low risk acute coronary syndromes.</w:t>
      </w:r>
      <w:bookmarkEnd w:id="0"/>
      <w:r w:rsidRPr="00787A5F">
        <w:rPr>
          <w:b w:val="0"/>
          <w:bCs w:val="0"/>
          <w:sz w:val="24"/>
          <w:szCs w:val="22"/>
        </w:rPr>
        <w:t xml:space="preserve"> ECG: electrocardiogram; SPECT-MPI: single photon emission computed tomography-myocardial perfusion imaging; CCTA: coronary computed tomographic angiography; CMR: cardiovascular magnetic resonance; Echo: echocardiography.</w:t>
      </w:r>
    </w:p>
    <w:p w14:paraId="3BC2D611" w14:textId="020959BE" w:rsidR="004531F3" w:rsidRPr="00787A5F" w:rsidRDefault="004531F3" w:rsidP="004531F3"/>
    <w:p w14:paraId="0536354E" w14:textId="77777777" w:rsidR="004531F3" w:rsidRPr="004531F3" w:rsidRDefault="004531F3" w:rsidP="004531F3">
      <w:pPr>
        <w:spacing w:line="480" w:lineRule="auto"/>
      </w:pPr>
      <w:r w:rsidRPr="004531F3">
        <w:t xml:space="preserve">The network was reanalysed by fitting Bayesian random-effects models for network meta-analysis using the </w:t>
      </w:r>
      <w:proofErr w:type="spellStart"/>
      <w:r w:rsidRPr="004531F3">
        <w:t>BUGSnet</w:t>
      </w:r>
      <w:proofErr w:type="spellEnd"/>
      <w:r w:rsidRPr="004531F3">
        <w:t xml:space="preserve"> package in R. Summary odds ratios (ORs) and 95% credible intervals (CI) were estimated from binomial likelihoods models with common heterogeneity using an independent normal prior distribution with mean 0 and standard deviation 15</w:t>
      </w:r>
      <w:r w:rsidRPr="004531F3">
        <w:rPr>
          <w:i/>
          <w:iCs/>
        </w:rPr>
        <w:t>u</w:t>
      </w:r>
      <w:r w:rsidRPr="004531F3">
        <w:t xml:space="preserve"> for the treatment effect and a uniform distribution with range 0 to </w:t>
      </w:r>
      <w:r w:rsidRPr="004531F3">
        <w:rPr>
          <w:i/>
          <w:iCs/>
        </w:rPr>
        <w:t>u</w:t>
      </w:r>
      <w:r w:rsidRPr="004531F3">
        <w:t xml:space="preserve"> for the heterogeneity, where </w:t>
      </w:r>
      <w:r w:rsidRPr="004531F3">
        <w:rPr>
          <w:i/>
          <w:iCs/>
        </w:rPr>
        <w:t>u</w:t>
      </w:r>
      <w:r w:rsidRPr="004531F3">
        <w:t xml:space="preserve"> represents the largest maximum likelihood estimator in single trials, as recommended by van </w:t>
      </w:r>
      <w:proofErr w:type="spellStart"/>
      <w:r w:rsidRPr="004531F3">
        <w:t>Valkenhoef</w:t>
      </w:r>
      <w:proofErr w:type="spellEnd"/>
      <w:r w:rsidRPr="004531F3">
        <w:t xml:space="preserve"> et al (</w:t>
      </w:r>
      <w:r w:rsidRPr="004531F3">
        <w:rPr>
          <w:i/>
          <w:iCs/>
        </w:rPr>
        <w:t>Res. Syn. Meth.</w:t>
      </w:r>
      <w:r w:rsidRPr="004531F3">
        <w:t xml:space="preserve"> 2012, 3(4):285-99). The adjusted OR are estimated from a network meta-regression model using the smallest observed variance as a covariate and assuming unrelated coefficients. The prespecified prior for the unrelated regression coefficients is a</w:t>
      </w:r>
      <w:r w:rsidRPr="004531F3">
        <w:rPr>
          <w:i/>
          <w:iCs/>
        </w:rPr>
        <w:t xml:space="preserve">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 xml:space="preserve">0, 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, 1</m:t>
            </m:r>
          </m:e>
        </m:d>
      </m:oMath>
      <w:r w:rsidRPr="004531F3">
        <w:rPr>
          <w:rFonts w:eastAsiaTheme="minorEastAsia"/>
        </w:rPr>
        <w:t xml:space="preserve"> where </w:t>
      </w:r>
      <w:r w:rsidRPr="004531F3">
        <w:rPr>
          <w:i/>
          <w:iCs/>
        </w:rPr>
        <w:t>u</w:t>
      </w:r>
      <w:r w:rsidRPr="004531F3">
        <w:t xml:space="preserve"> is again the largest maximum likelihood estimator in single trials. As reported in the original publication by Siontis et al.  (</w:t>
      </w:r>
      <w:r w:rsidRPr="004531F3">
        <w:rPr>
          <w:i/>
          <w:iCs/>
        </w:rPr>
        <w:t xml:space="preserve">BMJ </w:t>
      </w:r>
      <w:r w:rsidRPr="004531F3">
        <w:t xml:space="preserve">2018, </w:t>
      </w:r>
      <w:proofErr w:type="gramStart"/>
      <w:r w:rsidRPr="004531F3">
        <w:t>360:k</w:t>
      </w:r>
      <w:proofErr w:type="gramEnd"/>
      <w:r w:rsidRPr="004531F3">
        <w:t>504), there was no evidence of major inconsistency.</w:t>
      </w:r>
    </w:p>
    <w:p w14:paraId="0BA7B466" w14:textId="77777777" w:rsidR="004531F3" w:rsidRDefault="004531F3" w:rsidP="004531F3">
      <w:pPr>
        <w:jc w:val="center"/>
      </w:pPr>
      <w:r w:rsidRPr="009F568F">
        <w:rPr>
          <w:noProof/>
          <w:lang w:val="de-CH" w:eastAsia="de-CH"/>
        </w:rPr>
        <w:drawing>
          <wp:inline distT="0" distB="0" distL="0" distR="0" wp14:anchorId="3BC07656" wp14:editId="2D1E22B1">
            <wp:extent cx="4230425" cy="25050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375" cy="251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06AA6" w14:textId="77777777" w:rsidR="004531F3" w:rsidRDefault="004531F3" w:rsidP="004531F3">
      <w:pPr>
        <w:jc w:val="center"/>
      </w:pPr>
      <w:r w:rsidRPr="00FF35F6">
        <w:rPr>
          <w:noProof/>
          <w:lang w:val="de-CH" w:eastAsia="de-CH"/>
        </w:rPr>
        <w:lastRenderedPageBreak/>
        <w:drawing>
          <wp:inline distT="0" distB="0" distL="0" distR="0" wp14:anchorId="7AA84967" wp14:editId="5D3386D4">
            <wp:extent cx="6134806" cy="3524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430" cy="352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D61E7" w14:textId="77777777" w:rsidR="004531F3" w:rsidRPr="004531F3" w:rsidRDefault="004531F3" w:rsidP="004531F3">
      <w:pPr>
        <w:spacing w:line="480" w:lineRule="auto"/>
      </w:pPr>
      <w:r w:rsidRPr="004531F3">
        <w:rPr>
          <w:i/>
          <w:iCs/>
        </w:rPr>
        <w:t>Comparisons with direct evidence</w:t>
      </w:r>
      <w:r w:rsidRPr="004531F3">
        <w:t>: CCTA vs exercise ECG, CCTA vs SPECT-MPI, CCTA vs standard care, CMR vs standard care, exercise ECG vs standard care, exercise ECG vs stress echo, SPECT-MPI vs standard care, standard care vs stress echo.</w:t>
      </w:r>
    </w:p>
    <w:p w14:paraId="3B607786" w14:textId="07814DCA" w:rsidR="00F32357" w:rsidRDefault="004531F3" w:rsidP="004531F3">
      <w:pPr>
        <w:spacing w:line="480" w:lineRule="auto"/>
      </w:pPr>
      <w:r w:rsidRPr="004531F3">
        <w:rPr>
          <w:i/>
          <w:iCs/>
        </w:rPr>
        <w:t>Comparisons with indirect evidence</w:t>
      </w:r>
      <w:r w:rsidRPr="004531F3">
        <w:t>: CCTA vs CMR, CCTA vs stress echo, CMR vs exercise ECG, CMR vs SPECT-MPI, CMR vs stress echo, exercise ECG vs SPECT-MPI, SPECT-MPI vs stress echo.</w:t>
      </w:r>
    </w:p>
    <w:sectPr w:rsidR="00F32357" w:rsidSect="00005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F3"/>
    <w:rsid w:val="000052A5"/>
    <w:rsid w:val="004531F3"/>
    <w:rsid w:val="00470199"/>
    <w:rsid w:val="005E69B9"/>
    <w:rsid w:val="00F3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153B3B"/>
  <w15:chartTrackingRefBased/>
  <w15:docId w15:val="{718A8000-3F02-46FB-B67F-3CBF819A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1F3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531F3"/>
    <w:pPr>
      <w:spacing w:before="240"/>
    </w:pPr>
    <w:rPr>
      <w:b/>
      <w:b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Chiocchia, Virginia (ISPM)</dc:creator>
  <cp:keywords/>
  <dc:description/>
  <cp:lastModifiedBy>Chiocchia, Virginia (ISPM)</cp:lastModifiedBy>
  <cp:revision>1</cp:revision>
  <dcterms:created xsi:type="dcterms:W3CDTF">2021-07-16T11:32:00Z</dcterms:created>
  <dcterms:modified xsi:type="dcterms:W3CDTF">2021-07-16T11:34:00Z</dcterms:modified>
</cp:coreProperties>
</file>