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BC175" w14:textId="77777777" w:rsidR="0091160B" w:rsidRPr="008A7960" w:rsidRDefault="0091160B" w:rsidP="0091160B">
      <w:pPr>
        <w:spacing w:line="240" w:lineRule="auto"/>
        <w:ind w:right="180"/>
        <w:rPr>
          <w:rFonts w:ascii="Times" w:hAnsi="Times"/>
          <w:b/>
          <w:bCs/>
        </w:rPr>
      </w:pPr>
      <w:r w:rsidRPr="008A7960">
        <w:rPr>
          <w:rFonts w:ascii="Times" w:hAnsi="Times"/>
          <w:b/>
          <w:bCs/>
        </w:rPr>
        <w:t xml:space="preserve">Table 1. </w:t>
      </w:r>
      <w:r w:rsidRPr="008A7960">
        <w:rPr>
          <w:rFonts w:ascii="Times" w:hAnsi="Times"/>
        </w:rPr>
        <w:t>Characteristics of UK Biobank participants that were included in GWAS for hearing-related traits</w:t>
      </w:r>
    </w:p>
    <w:tbl>
      <w:tblPr>
        <w:tblW w:w="10490" w:type="dxa"/>
        <w:tblInd w:w="-284" w:type="dxa"/>
        <w:tblLook w:val="04A0" w:firstRow="1" w:lastRow="0" w:firstColumn="1" w:lastColumn="0" w:noHBand="0" w:noVBand="1"/>
      </w:tblPr>
      <w:tblGrid>
        <w:gridCol w:w="4316"/>
        <w:gridCol w:w="1751"/>
        <w:gridCol w:w="1472"/>
        <w:gridCol w:w="1599"/>
        <w:gridCol w:w="1352"/>
      </w:tblGrid>
      <w:tr w:rsidR="0091160B" w:rsidRPr="008A7960" w14:paraId="178F61DD" w14:textId="77777777" w:rsidTr="00BA219D">
        <w:trPr>
          <w:trHeight w:val="171"/>
        </w:trPr>
        <w:tc>
          <w:tcPr>
            <w:tcW w:w="4316" w:type="dxa"/>
            <w:tcBorders>
              <w:left w:val="nil"/>
              <w:bottom w:val="single" w:sz="4" w:space="0" w:color="000000"/>
              <w:right w:val="single" w:sz="4" w:space="0" w:color="auto"/>
            </w:tcBorders>
            <w:shd w:val="clear" w:color="auto" w:fill="auto"/>
            <w:noWrap/>
            <w:hideMark/>
          </w:tcPr>
          <w:p w14:paraId="00494C79" w14:textId="77777777" w:rsidR="0091160B" w:rsidRPr="008A7960" w:rsidRDefault="0091160B" w:rsidP="00BA219D">
            <w:pPr>
              <w:spacing w:line="240" w:lineRule="auto"/>
              <w:rPr>
                <w:rFonts w:ascii="Times Roman" w:hAnsi="Times Roman" w:cs="Calibri"/>
                <w:b/>
                <w:bCs/>
                <w:color w:val="000000"/>
                <w:sz w:val="20"/>
                <w:szCs w:val="20"/>
              </w:rPr>
            </w:pPr>
          </w:p>
        </w:tc>
        <w:tc>
          <w:tcPr>
            <w:tcW w:w="1751" w:type="dxa"/>
            <w:tcBorders>
              <w:left w:val="single" w:sz="4" w:space="0" w:color="auto"/>
              <w:bottom w:val="single" w:sz="4" w:space="0" w:color="000000"/>
              <w:right w:val="single" w:sz="4" w:space="0" w:color="auto"/>
            </w:tcBorders>
            <w:shd w:val="clear" w:color="auto" w:fill="auto"/>
            <w:noWrap/>
            <w:vAlign w:val="bottom"/>
            <w:hideMark/>
          </w:tcPr>
          <w:p w14:paraId="17075C75" w14:textId="77777777" w:rsidR="0091160B" w:rsidRPr="008A7960" w:rsidRDefault="0091160B" w:rsidP="00BA219D">
            <w:pPr>
              <w:spacing w:line="240" w:lineRule="auto"/>
              <w:jc w:val="center"/>
              <w:rPr>
                <w:rFonts w:ascii="Times Roman" w:hAnsi="Times Roman" w:cs="Calibri"/>
                <w:b/>
                <w:bCs/>
                <w:color w:val="000000"/>
                <w:sz w:val="20"/>
                <w:szCs w:val="20"/>
              </w:rPr>
            </w:pPr>
            <w:r w:rsidRPr="008A7960">
              <w:rPr>
                <w:rFonts w:ascii="Times Roman" w:hAnsi="Times Roman" w:cs="Calibri"/>
                <w:b/>
                <w:bCs/>
                <w:color w:val="000000"/>
                <w:sz w:val="20"/>
                <w:szCs w:val="20"/>
              </w:rPr>
              <w:t>Total</w:t>
            </w:r>
          </w:p>
        </w:tc>
        <w:tc>
          <w:tcPr>
            <w:tcW w:w="1472" w:type="dxa"/>
            <w:tcBorders>
              <w:left w:val="single" w:sz="4" w:space="0" w:color="auto"/>
              <w:bottom w:val="single" w:sz="4" w:space="0" w:color="000000"/>
              <w:right w:val="single" w:sz="4" w:space="0" w:color="auto"/>
            </w:tcBorders>
            <w:shd w:val="clear" w:color="auto" w:fill="auto"/>
            <w:noWrap/>
            <w:vAlign w:val="bottom"/>
            <w:hideMark/>
          </w:tcPr>
          <w:p w14:paraId="1072A536" w14:textId="77777777" w:rsidR="0091160B" w:rsidRPr="008A7960" w:rsidRDefault="0091160B" w:rsidP="00BA219D">
            <w:pPr>
              <w:spacing w:line="240" w:lineRule="auto"/>
              <w:jc w:val="center"/>
              <w:rPr>
                <w:rFonts w:ascii="Times Roman" w:hAnsi="Times Roman" w:cs="Calibri"/>
                <w:b/>
                <w:bCs/>
                <w:color w:val="000000"/>
                <w:sz w:val="20"/>
                <w:szCs w:val="20"/>
              </w:rPr>
            </w:pPr>
            <w:r w:rsidRPr="008A7960">
              <w:rPr>
                <w:rFonts w:ascii="Times Roman" w:hAnsi="Times Roman" w:cs="Calibri"/>
                <w:b/>
                <w:bCs/>
                <w:color w:val="000000"/>
                <w:sz w:val="20"/>
                <w:szCs w:val="20"/>
              </w:rPr>
              <w:t>Females</w:t>
            </w:r>
          </w:p>
        </w:tc>
        <w:tc>
          <w:tcPr>
            <w:tcW w:w="1599" w:type="dxa"/>
            <w:tcBorders>
              <w:left w:val="single" w:sz="4" w:space="0" w:color="auto"/>
              <w:bottom w:val="single" w:sz="4" w:space="0" w:color="000000"/>
              <w:right w:val="nil"/>
            </w:tcBorders>
            <w:shd w:val="clear" w:color="auto" w:fill="auto"/>
            <w:noWrap/>
            <w:vAlign w:val="bottom"/>
            <w:hideMark/>
          </w:tcPr>
          <w:p w14:paraId="1938CD03" w14:textId="77777777" w:rsidR="0091160B" w:rsidRPr="008A7960" w:rsidRDefault="0091160B" w:rsidP="00BA219D">
            <w:pPr>
              <w:spacing w:line="240" w:lineRule="auto"/>
              <w:jc w:val="center"/>
              <w:rPr>
                <w:rFonts w:ascii="Times Roman" w:hAnsi="Times Roman" w:cs="Calibri"/>
                <w:b/>
                <w:bCs/>
                <w:color w:val="000000"/>
                <w:sz w:val="20"/>
                <w:szCs w:val="20"/>
              </w:rPr>
            </w:pPr>
            <w:r w:rsidRPr="008A7960">
              <w:rPr>
                <w:rFonts w:ascii="Times Roman" w:hAnsi="Times Roman" w:cs="Calibri"/>
                <w:b/>
                <w:bCs/>
                <w:color w:val="000000"/>
                <w:sz w:val="20"/>
                <w:szCs w:val="20"/>
              </w:rPr>
              <w:t>Males</w:t>
            </w:r>
          </w:p>
        </w:tc>
        <w:tc>
          <w:tcPr>
            <w:tcW w:w="1352" w:type="dxa"/>
            <w:tcBorders>
              <w:left w:val="single" w:sz="4" w:space="0" w:color="auto"/>
              <w:bottom w:val="single" w:sz="4" w:space="0" w:color="000000"/>
              <w:right w:val="nil"/>
            </w:tcBorders>
            <w:vAlign w:val="center"/>
          </w:tcPr>
          <w:p w14:paraId="331DA132" w14:textId="77777777" w:rsidR="0091160B" w:rsidRPr="008A7960" w:rsidRDefault="0091160B" w:rsidP="00BA219D">
            <w:pPr>
              <w:spacing w:line="240" w:lineRule="auto"/>
              <w:jc w:val="center"/>
              <w:rPr>
                <w:rFonts w:ascii="Times Roman" w:hAnsi="Times Roman" w:cs="Calibri"/>
                <w:b/>
                <w:bCs/>
                <w:color w:val="000000"/>
                <w:sz w:val="20"/>
                <w:szCs w:val="20"/>
              </w:rPr>
            </w:pPr>
            <w:r w:rsidRPr="008A7960">
              <w:rPr>
                <w:rFonts w:ascii="Times Roman" w:hAnsi="Times Roman" w:cs="Calibri"/>
                <w:b/>
                <w:bCs/>
                <w:color w:val="000000"/>
                <w:sz w:val="20"/>
                <w:szCs w:val="20"/>
              </w:rPr>
              <w:t>Difference</w:t>
            </w:r>
          </w:p>
          <w:p w14:paraId="12BDD48A" w14:textId="77777777" w:rsidR="0091160B" w:rsidRPr="008A7960" w:rsidRDefault="0091160B" w:rsidP="00BA219D">
            <w:pPr>
              <w:spacing w:line="240" w:lineRule="auto"/>
              <w:jc w:val="center"/>
              <w:rPr>
                <w:rFonts w:ascii="Times Roman" w:hAnsi="Times Roman" w:cs="Calibri"/>
                <w:b/>
                <w:bCs/>
                <w:color w:val="000000"/>
                <w:sz w:val="20"/>
                <w:szCs w:val="20"/>
              </w:rPr>
            </w:pPr>
            <w:r w:rsidRPr="008A7960">
              <w:rPr>
                <w:rFonts w:ascii="Times Roman" w:hAnsi="Times Roman" w:cs="Calibri"/>
                <w:b/>
                <w:bCs/>
                <w:color w:val="000000"/>
                <w:sz w:val="20"/>
                <w:szCs w:val="20"/>
              </w:rPr>
              <w:t>(P)</w:t>
            </w:r>
          </w:p>
        </w:tc>
      </w:tr>
      <w:tr w:rsidR="0091160B" w:rsidRPr="008A7960" w14:paraId="0EAD7CF7" w14:textId="77777777" w:rsidTr="00BA219D">
        <w:trPr>
          <w:trHeight w:val="432"/>
        </w:trPr>
        <w:tc>
          <w:tcPr>
            <w:tcW w:w="4316" w:type="dxa"/>
            <w:tcBorders>
              <w:top w:val="nil"/>
              <w:left w:val="nil"/>
              <w:bottom w:val="nil"/>
              <w:right w:val="single" w:sz="4" w:space="0" w:color="auto"/>
            </w:tcBorders>
            <w:shd w:val="clear" w:color="D9D9D9" w:fill="D9D9D9"/>
            <w:noWrap/>
            <w:vAlign w:val="center"/>
            <w:hideMark/>
          </w:tcPr>
          <w:p w14:paraId="72AA29CF"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UK Biobank participants included in study (N)</w:t>
            </w:r>
          </w:p>
        </w:tc>
        <w:tc>
          <w:tcPr>
            <w:tcW w:w="1751" w:type="dxa"/>
            <w:tcBorders>
              <w:top w:val="nil"/>
              <w:left w:val="single" w:sz="4" w:space="0" w:color="auto"/>
              <w:bottom w:val="nil"/>
              <w:right w:val="single" w:sz="4" w:space="0" w:color="auto"/>
            </w:tcBorders>
            <w:shd w:val="clear" w:color="D9D9D9" w:fill="D9D9D9"/>
            <w:noWrap/>
            <w:vAlign w:val="center"/>
            <w:hideMark/>
          </w:tcPr>
          <w:p w14:paraId="0512D1D4"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362396</w:t>
            </w:r>
          </w:p>
        </w:tc>
        <w:tc>
          <w:tcPr>
            <w:tcW w:w="1472" w:type="dxa"/>
            <w:tcBorders>
              <w:top w:val="nil"/>
              <w:left w:val="single" w:sz="4" w:space="0" w:color="auto"/>
              <w:bottom w:val="nil"/>
              <w:right w:val="single" w:sz="4" w:space="0" w:color="auto"/>
            </w:tcBorders>
            <w:shd w:val="clear" w:color="D9D9D9" w:fill="D9D9D9"/>
            <w:noWrap/>
            <w:vAlign w:val="center"/>
            <w:hideMark/>
          </w:tcPr>
          <w:p w14:paraId="3E086D96"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195008</w:t>
            </w:r>
          </w:p>
        </w:tc>
        <w:tc>
          <w:tcPr>
            <w:tcW w:w="1599" w:type="dxa"/>
            <w:tcBorders>
              <w:top w:val="nil"/>
              <w:left w:val="single" w:sz="4" w:space="0" w:color="auto"/>
              <w:bottom w:val="nil"/>
              <w:right w:val="nil"/>
            </w:tcBorders>
            <w:shd w:val="clear" w:color="D9D9D9" w:fill="D9D9D9"/>
            <w:noWrap/>
            <w:vAlign w:val="center"/>
            <w:hideMark/>
          </w:tcPr>
          <w:p w14:paraId="6460D67A"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167388</w:t>
            </w:r>
          </w:p>
        </w:tc>
        <w:tc>
          <w:tcPr>
            <w:tcW w:w="1352" w:type="dxa"/>
            <w:tcBorders>
              <w:top w:val="nil"/>
              <w:left w:val="single" w:sz="4" w:space="0" w:color="auto"/>
              <w:bottom w:val="nil"/>
              <w:right w:val="nil"/>
            </w:tcBorders>
            <w:shd w:val="clear" w:color="D9D9D9" w:fill="D9D9D9"/>
            <w:vAlign w:val="center"/>
          </w:tcPr>
          <w:p w14:paraId="7210EEFE" w14:textId="77777777" w:rsidR="0091160B" w:rsidRPr="008A7960" w:rsidRDefault="0091160B" w:rsidP="00BA219D">
            <w:pPr>
              <w:spacing w:line="240" w:lineRule="auto"/>
              <w:jc w:val="center"/>
              <w:rPr>
                <w:rFonts w:ascii="Times Roman" w:hAnsi="Times Roman" w:cs="Calibri"/>
                <w:color w:val="000000"/>
                <w:sz w:val="20"/>
                <w:szCs w:val="20"/>
              </w:rPr>
            </w:pPr>
          </w:p>
        </w:tc>
      </w:tr>
      <w:tr w:rsidR="0091160B" w:rsidRPr="008A7960" w14:paraId="0C656070" w14:textId="77777777" w:rsidTr="00BA219D">
        <w:trPr>
          <w:trHeight w:val="432"/>
        </w:trPr>
        <w:tc>
          <w:tcPr>
            <w:tcW w:w="4316" w:type="dxa"/>
            <w:tcBorders>
              <w:top w:val="nil"/>
              <w:left w:val="nil"/>
              <w:bottom w:val="nil"/>
              <w:right w:val="single" w:sz="4" w:space="0" w:color="auto"/>
            </w:tcBorders>
            <w:shd w:val="clear" w:color="auto" w:fill="auto"/>
            <w:noWrap/>
            <w:vAlign w:val="center"/>
            <w:hideMark/>
          </w:tcPr>
          <w:p w14:paraId="309FB86B"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Percentage female and male participants</w:t>
            </w:r>
          </w:p>
        </w:tc>
        <w:tc>
          <w:tcPr>
            <w:tcW w:w="1751" w:type="dxa"/>
            <w:tcBorders>
              <w:top w:val="nil"/>
              <w:left w:val="single" w:sz="4" w:space="0" w:color="auto"/>
              <w:bottom w:val="nil"/>
              <w:right w:val="single" w:sz="4" w:space="0" w:color="auto"/>
            </w:tcBorders>
            <w:shd w:val="clear" w:color="auto" w:fill="auto"/>
            <w:noWrap/>
            <w:vAlign w:val="center"/>
            <w:hideMark/>
          </w:tcPr>
          <w:p w14:paraId="7A72AC8C" w14:textId="77777777" w:rsidR="0091160B" w:rsidRPr="008A7960" w:rsidRDefault="0091160B" w:rsidP="00BA219D">
            <w:pPr>
              <w:spacing w:line="240" w:lineRule="auto"/>
              <w:jc w:val="center"/>
              <w:rPr>
                <w:sz w:val="20"/>
                <w:szCs w:val="20"/>
              </w:rPr>
            </w:pPr>
          </w:p>
        </w:tc>
        <w:tc>
          <w:tcPr>
            <w:tcW w:w="1472" w:type="dxa"/>
            <w:tcBorders>
              <w:top w:val="nil"/>
              <w:left w:val="single" w:sz="4" w:space="0" w:color="auto"/>
              <w:bottom w:val="nil"/>
              <w:right w:val="single" w:sz="4" w:space="0" w:color="auto"/>
            </w:tcBorders>
            <w:shd w:val="clear" w:color="auto" w:fill="auto"/>
            <w:noWrap/>
            <w:vAlign w:val="center"/>
            <w:hideMark/>
          </w:tcPr>
          <w:p w14:paraId="1C52623C"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53.8%</w:t>
            </w:r>
          </w:p>
        </w:tc>
        <w:tc>
          <w:tcPr>
            <w:tcW w:w="1599" w:type="dxa"/>
            <w:tcBorders>
              <w:top w:val="nil"/>
              <w:left w:val="single" w:sz="4" w:space="0" w:color="auto"/>
              <w:bottom w:val="nil"/>
              <w:right w:val="nil"/>
            </w:tcBorders>
            <w:shd w:val="clear" w:color="auto" w:fill="auto"/>
            <w:noWrap/>
            <w:vAlign w:val="center"/>
            <w:hideMark/>
          </w:tcPr>
          <w:p w14:paraId="1F8F5684"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46.2%</w:t>
            </w:r>
          </w:p>
        </w:tc>
        <w:tc>
          <w:tcPr>
            <w:tcW w:w="1352" w:type="dxa"/>
            <w:tcBorders>
              <w:top w:val="nil"/>
              <w:left w:val="single" w:sz="4" w:space="0" w:color="auto"/>
              <w:bottom w:val="nil"/>
              <w:right w:val="nil"/>
            </w:tcBorders>
            <w:vAlign w:val="center"/>
          </w:tcPr>
          <w:p w14:paraId="58F6BAB4" w14:textId="77777777" w:rsidR="0091160B" w:rsidRPr="008A7960" w:rsidRDefault="0091160B" w:rsidP="00BA219D">
            <w:pPr>
              <w:spacing w:line="240" w:lineRule="auto"/>
              <w:jc w:val="center"/>
              <w:rPr>
                <w:rFonts w:ascii="Times Roman" w:hAnsi="Times Roman" w:cs="Calibri"/>
                <w:color w:val="000000"/>
                <w:sz w:val="20"/>
                <w:szCs w:val="20"/>
              </w:rPr>
            </w:pPr>
          </w:p>
        </w:tc>
      </w:tr>
      <w:tr w:rsidR="0091160B" w:rsidRPr="008A7960" w14:paraId="1A70D120" w14:textId="77777777" w:rsidTr="00BA219D">
        <w:trPr>
          <w:trHeight w:val="432"/>
        </w:trPr>
        <w:tc>
          <w:tcPr>
            <w:tcW w:w="4316" w:type="dxa"/>
            <w:tcBorders>
              <w:top w:val="nil"/>
              <w:left w:val="nil"/>
              <w:bottom w:val="nil"/>
              <w:right w:val="single" w:sz="4" w:space="0" w:color="auto"/>
            </w:tcBorders>
            <w:shd w:val="clear" w:color="D9D9D9" w:fill="D9D9D9"/>
            <w:noWrap/>
            <w:vAlign w:val="center"/>
            <w:hideMark/>
          </w:tcPr>
          <w:p w14:paraId="28316262"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Mean age (years)</w:t>
            </w:r>
            <w:r w:rsidRPr="008A7960">
              <w:rPr>
                <w:rFonts w:ascii="Times Roman" w:hAnsi="Times Roman" w:cs="Calibri"/>
                <w:color w:val="000000"/>
                <w:sz w:val="20"/>
                <w:szCs w:val="20"/>
                <w:vertAlign w:val="superscript"/>
              </w:rPr>
              <w:t>*</w:t>
            </w:r>
          </w:p>
        </w:tc>
        <w:tc>
          <w:tcPr>
            <w:tcW w:w="1751" w:type="dxa"/>
            <w:tcBorders>
              <w:top w:val="nil"/>
              <w:left w:val="single" w:sz="4" w:space="0" w:color="auto"/>
              <w:bottom w:val="nil"/>
              <w:right w:val="single" w:sz="4" w:space="0" w:color="auto"/>
            </w:tcBorders>
            <w:shd w:val="clear" w:color="D9D9D9" w:fill="D9D9D9"/>
            <w:noWrap/>
            <w:vAlign w:val="center"/>
            <w:hideMark/>
          </w:tcPr>
          <w:p w14:paraId="09981E33"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56.9</w:t>
            </w:r>
          </w:p>
        </w:tc>
        <w:tc>
          <w:tcPr>
            <w:tcW w:w="1472" w:type="dxa"/>
            <w:tcBorders>
              <w:top w:val="nil"/>
              <w:left w:val="single" w:sz="4" w:space="0" w:color="auto"/>
              <w:bottom w:val="nil"/>
              <w:right w:val="single" w:sz="4" w:space="0" w:color="auto"/>
            </w:tcBorders>
            <w:shd w:val="clear" w:color="D9D9D9" w:fill="D9D9D9"/>
            <w:noWrap/>
            <w:vAlign w:val="center"/>
            <w:hideMark/>
          </w:tcPr>
          <w:p w14:paraId="2BCB40C7"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56.7</w:t>
            </w:r>
          </w:p>
        </w:tc>
        <w:tc>
          <w:tcPr>
            <w:tcW w:w="1599" w:type="dxa"/>
            <w:tcBorders>
              <w:top w:val="nil"/>
              <w:left w:val="single" w:sz="4" w:space="0" w:color="auto"/>
              <w:bottom w:val="nil"/>
              <w:right w:val="nil"/>
            </w:tcBorders>
            <w:shd w:val="clear" w:color="D9D9D9" w:fill="D9D9D9"/>
            <w:noWrap/>
            <w:vAlign w:val="center"/>
            <w:hideMark/>
          </w:tcPr>
          <w:p w14:paraId="2F80D940"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57.1</w:t>
            </w:r>
          </w:p>
        </w:tc>
        <w:tc>
          <w:tcPr>
            <w:tcW w:w="1352" w:type="dxa"/>
            <w:tcBorders>
              <w:top w:val="nil"/>
              <w:left w:val="single" w:sz="4" w:space="0" w:color="auto"/>
              <w:bottom w:val="nil"/>
              <w:right w:val="nil"/>
            </w:tcBorders>
            <w:shd w:val="clear" w:color="D9D9D9" w:fill="D9D9D9"/>
            <w:vAlign w:val="center"/>
          </w:tcPr>
          <w:p w14:paraId="7D1B469C"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&lt;2.2*10</w:t>
            </w:r>
            <w:r w:rsidRPr="008A7960">
              <w:rPr>
                <w:rFonts w:ascii="Times Roman" w:hAnsi="Times Roman" w:cs="Calibri"/>
                <w:color w:val="000000"/>
                <w:sz w:val="20"/>
                <w:szCs w:val="20"/>
                <w:vertAlign w:val="superscript"/>
              </w:rPr>
              <w:t>-16</w:t>
            </w:r>
          </w:p>
        </w:tc>
      </w:tr>
      <w:tr w:rsidR="0091160B" w:rsidRPr="008A7960" w14:paraId="182203AA" w14:textId="77777777" w:rsidTr="00BA219D">
        <w:trPr>
          <w:trHeight w:val="432"/>
        </w:trPr>
        <w:tc>
          <w:tcPr>
            <w:tcW w:w="4316" w:type="dxa"/>
            <w:tcBorders>
              <w:top w:val="nil"/>
              <w:left w:val="nil"/>
              <w:right w:val="single" w:sz="4" w:space="0" w:color="auto"/>
            </w:tcBorders>
            <w:shd w:val="clear" w:color="auto" w:fill="auto"/>
            <w:noWrap/>
            <w:vAlign w:val="center"/>
            <w:hideMark/>
          </w:tcPr>
          <w:p w14:paraId="7513753D"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Age standard deviation (years)</w:t>
            </w:r>
          </w:p>
        </w:tc>
        <w:tc>
          <w:tcPr>
            <w:tcW w:w="1751" w:type="dxa"/>
            <w:tcBorders>
              <w:top w:val="nil"/>
              <w:left w:val="single" w:sz="4" w:space="0" w:color="auto"/>
              <w:right w:val="single" w:sz="4" w:space="0" w:color="auto"/>
            </w:tcBorders>
            <w:shd w:val="clear" w:color="auto" w:fill="auto"/>
            <w:noWrap/>
            <w:vAlign w:val="center"/>
            <w:hideMark/>
          </w:tcPr>
          <w:p w14:paraId="0685A358"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8.0</w:t>
            </w:r>
          </w:p>
        </w:tc>
        <w:tc>
          <w:tcPr>
            <w:tcW w:w="1472" w:type="dxa"/>
            <w:tcBorders>
              <w:top w:val="nil"/>
              <w:left w:val="single" w:sz="4" w:space="0" w:color="auto"/>
              <w:right w:val="single" w:sz="4" w:space="0" w:color="auto"/>
            </w:tcBorders>
            <w:shd w:val="clear" w:color="auto" w:fill="auto"/>
            <w:noWrap/>
            <w:vAlign w:val="center"/>
            <w:hideMark/>
          </w:tcPr>
          <w:p w14:paraId="4FD815F3"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7.9</w:t>
            </w:r>
          </w:p>
        </w:tc>
        <w:tc>
          <w:tcPr>
            <w:tcW w:w="1599" w:type="dxa"/>
            <w:tcBorders>
              <w:top w:val="nil"/>
              <w:left w:val="single" w:sz="4" w:space="0" w:color="auto"/>
              <w:right w:val="nil"/>
            </w:tcBorders>
            <w:shd w:val="clear" w:color="auto" w:fill="auto"/>
            <w:noWrap/>
            <w:vAlign w:val="center"/>
            <w:hideMark/>
          </w:tcPr>
          <w:p w14:paraId="2FCEE0D9"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8.1</w:t>
            </w:r>
          </w:p>
        </w:tc>
        <w:tc>
          <w:tcPr>
            <w:tcW w:w="1352" w:type="dxa"/>
            <w:tcBorders>
              <w:top w:val="nil"/>
              <w:left w:val="single" w:sz="4" w:space="0" w:color="auto"/>
              <w:right w:val="nil"/>
            </w:tcBorders>
            <w:vAlign w:val="center"/>
          </w:tcPr>
          <w:p w14:paraId="2E94A8F1" w14:textId="77777777" w:rsidR="0091160B" w:rsidRPr="008A7960" w:rsidRDefault="0091160B" w:rsidP="00BA219D">
            <w:pPr>
              <w:spacing w:line="240" w:lineRule="auto"/>
              <w:jc w:val="center"/>
              <w:rPr>
                <w:rFonts w:ascii="Times Roman" w:hAnsi="Times Roman" w:cs="Calibri"/>
                <w:color w:val="000000"/>
                <w:sz w:val="20"/>
                <w:szCs w:val="20"/>
              </w:rPr>
            </w:pPr>
          </w:p>
        </w:tc>
      </w:tr>
      <w:tr w:rsidR="0091160B" w:rsidRPr="008A7960" w14:paraId="4F9B3BE8" w14:textId="77777777" w:rsidTr="00BA219D">
        <w:trPr>
          <w:trHeight w:val="432"/>
        </w:trPr>
        <w:tc>
          <w:tcPr>
            <w:tcW w:w="4316" w:type="dxa"/>
            <w:tcBorders>
              <w:top w:val="single" w:sz="4" w:space="0" w:color="auto"/>
              <w:left w:val="nil"/>
              <w:bottom w:val="nil"/>
              <w:right w:val="single" w:sz="4" w:space="0" w:color="auto"/>
            </w:tcBorders>
            <w:shd w:val="clear" w:color="auto" w:fill="auto"/>
            <w:noWrap/>
            <w:vAlign w:val="center"/>
            <w:hideMark/>
          </w:tcPr>
          <w:p w14:paraId="6BF349A0"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 xml:space="preserve">Reported difficulty hearing </w:t>
            </w:r>
          </w:p>
          <w:p w14:paraId="6F5C7A28"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(data field 2247, N, yes/no)</w:t>
            </w:r>
            <w:r w:rsidRPr="008A7960">
              <w:rPr>
                <w:rFonts w:ascii="Times Roman" w:hAnsi="Times Roman" w:cs="Calibri"/>
                <w:color w:val="000000"/>
                <w:sz w:val="20"/>
                <w:szCs w:val="20"/>
                <w:vertAlign w:val="superscript"/>
              </w:rPr>
              <w:t>**</w:t>
            </w:r>
          </w:p>
        </w:tc>
        <w:tc>
          <w:tcPr>
            <w:tcW w:w="1751" w:type="dxa"/>
            <w:tcBorders>
              <w:top w:val="single" w:sz="4" w:space="0" w:color="auto"/>
              <w:left w:val="single" w:sz="4" w:space="0" w:color="auto"/>
              <w:bottom w:val="nil"/>
              <w:right w:val="single" w:sz="4" w:space="0" w:color="auto"/>
            </w:tcBorders>
            <w:shd w:val="clear" w:color="auto" w:fill="auto"/>
            <w:noWrap/>
            <w:vAlign w:val="center"/>
            <w:hideMark/>
          </w:tcPr>
          <w:p w14:paraId="49C73443"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91,080/257,037</w:t>
            </w:r>
          </w:p>
        </w:tc>
        <w:tc>
          <w:tcPr>
            <w:tcW w:w="1472" w:type="dxa"/>
            <w:tcBorders>
              <w:top w:val="single" w:sz="4" w:space="0" w:color="auto"/>
              <w:left w:val="single" w:sz="4" w:space="0" w:color="auto"/>
              <w:bottom w:val="nil"/>
              <w:right w:val="single" w:sz="4" w:space="0" w:color="auto"/>
            </w:tcBorders>
            <w:shd w:val="clear" w:color="auto" w:fill="auto"/>
            <w:noWrap/>
            <w:vAlign w:val="center"/>
            <w:hideMark/>
          </w:tcPr>
          <w:p w14:paraId="7A2CBF2F"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40,244/146,172</w:t>
            </w:r>
          </w:p>
        </w:tc>
        <w:tc>
          <w:tcPr>
            <w:tcW w:w="1599" w:type="dxa"/>
            <w:tcBorders>
              <w:top w:val="single" w:sz="4" w:space="0" w:color="auto"/>
              <w:left w:val="single" w:sz="4" w:space="0" w:color="auto"/>
              <w:bottom w:val="nil"/>
              <w:right w:val="nil"/>
            </w:tcBorders>
            <w:shd w:val="clear" w:color="auto" w:fill="auto"/>
            <w:noWrap/>
            <w:vAlign w:val="center"/>
            <w:hideMark/>
          </w:tcPr>
          <w:p w14:paraId="21AF6DE7"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50,836/110,865</w:t>
            </w:r>
          </w:p>
        </w:tc>
        <w:tc>
          <w:tcPr>
            <w:tcW w:w="1352" w:type="dxa"/>
            <w:tcBorders>
              <w:top w:val="single" w:sz="4" w:space="0" w:color="auto"/>
              <w:left w:val="single" w:sz="4" w:space="0" w:color="auto"/>
              <w:bottom w:val="nil"/>
              <w:right w:val="nil"/>
            </w:tcBorders>
            <w:vAlign w:val="center"/>
          </w:tcPr>
          <w:p w14:paraId="62180C42"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&lt;5.0*10</w:t>
            </w:r>
            <w:r w:rsidRPr="008A7960">
              <w:rPr>
                <w:rFonts w:ascii="Times Roman" w:hAnsi="Times Roman" w:cs="Calibri"/>
                <w:color w:val="000000"/>
                <w:sz w:val="20"/>
                <w:szCs w:val="20"/>
                <w:vertAlign w:val="superscript"/>
              </w:rPr>
              <w:t>-303</w:t>
            </w:r>
          </w:p>
        </w:tc>
      </w:tr>
      <w:tr w:rsidR="0091160B" w:rsidRPr="008A7960" w14:paraId="2E68F250" w14:textId="77777777" w:rsidTr="00BA219D">
        <w:trPr>
          <w:trHeight w:val="432"/>
        </w:trPr>
        <w:tc>
          <w:tcPr>
            <w:tcW w:w="4316" w:type="dxa"/>
            <w:tcBorders>
              <w:top w:val="nil"/>
              <w:left w:val="nil"/>
              <w:right w:val="single" w:sz="4" w:space="0" w:color="auto"/>
            </w:tcBorders>
            <w:shd w:val="clear" w:color="D9D9D9" w:fill="D9D9D9"/>
            <w:noWrap/>
            <w:vAlign w:val="center"/>
            <w:hideMark/>
          </w:tcPr>
          <w:p w14:paraId="11561DC2"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Reported difficulty hearing (%)</w:t>
            </w:r>
          </w:p>
        </w:tc>
        <w:tc>
          <w:tcPr>
            <w:tcW w:w="1751" w:type="dxa"/>
            <w:tcBorders>
              <w:top w:val="nil"/>
              <w:left w:val="single" w:sz="4" w:space="0" w:color="auto"/>
              <w:right w:val="single" w:sz="4" w:space="0" w:color="auto"/>
            </w:tcBorders>
            <w:shd w:val="clear" w:color="D9D9D9" w:fill="D9D9D9"/>
            <w:noWrap/>
            <w:vAlign w:val="center"/>
            <w:hideMark/>
          </w:tcPr>
          <w:p w14:paraId="2FC05339"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26.2%</w:t>
            </w:r>
          </w:p>
        </w:tc>
        <w:tc>
          <w:tcPr>
            <w:tcW w:w="1472" w:type="dxa"/>
            <w:tcBorders>
              <w:top w:val="nil"/>
              <w:left w:val="single" w:sz="4" w:space="0" w:color="auto"/>
              <w:right w:val="single" w:sz="4" w:space="0" w:color="auto"/>
            </w:tcBorders>
            <w:shd w:val="clear" w:color="D9D9D9" w:fill="D9D9D9"/>
            <w:noWrap/>
            <w:vAlign w:val="center"/>
            <w:hideMark/>
          </w:tcPr>
          <w:p w14:paraId="004590F2"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21.6%</w:t>
            </w:r>
          </w:p>
        </w:tc>
        <w:tc>
          <w:tcPr>
            <w:tcW w:w="1599" w:type="dxa"/>
            <w:tcBorders>
              <w:top w:val="nil"/>
              <w:left w:val="single" w:sz="4" w:space="0" w:color="auto"/>
              <w:right w:val="nil"/>
            </w:tcBorders>
            <w:shd w:val="clear" w:color="D9D9D9" w:fill="D9D9D9"/>
            <w:noWrap/>
            <w:vAlign w:val="center"/>
            <w:hideMark/>
          </w:tcPr>
          <w:p w14:paraId="07D64239"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31.4%</w:t>
            </w:r>
          </w:p>
        </w:tc>
        <w:tc>
          <w:tcPr>
            <w:tcW w:w="1352" w:type="dxa"/>
            <w:tcBorders>
              <w:top w:val="nil"/>
              <w:left w:val="single" w:sz="4" w:space="0" w:color="auto"/>
              <w:right w:val="nil"/>
            </w:tcBorders>
            <w:shd w:val="clear" w:color="D9D9D9" w:fill="D9D9D9"/>
            <w:vAlign w:val="center"/>
          </w:tcPr>
          <w:p w14:paraId="41B741ED" w14:textId="77777777" w:rsidR="0091160B" w:rsidRPr="008A7960" w:rsidRDefault="0091160B" w:rsidP="00BA219D">
            <w:pPr>
              <w:spacing w:line="240" w:lineRule="auto"/>
              <w:jc w:val="center"/>
              <w:rPr>
                <w:rFonts w:ascii="Times Roman" w:hAnsi="Times Roman" w:cs="Calibri"/>
                <w:color w:val="000000"/>
                <w:sz w:val="20"/>
                <w:szCs w:val="20"/>
              </w:rPr>
            </w:pPr>
          </w:p>
        </w:tc>
      </w:tr>
      <w:tr w:rsidR="0091160B" w:rsidRPr="008A7960" w14:paraId="56686743" w14:textId="77777777" w:rsidTr="00BA219D">
        <w:trPr>
          <w:trHeight w:val="432"/>
        </w:trPr>
        <w:tc>
          <w:tcPr>
            <w:tcW w:w="4316" w:type="dxa"/>
            <w:tcBorders>
              <w:top w:val="single" w:sz="4" w:space="0" w:color="auto"/>
              <w:left w:val="nil"/>
              <w:bottom w:val="nil"/>
              <w:right w:val="single" w:sz="4" w:space="0" w:color="auto"/>
            </w:tcBorders>
            <w:shd w:val="clear" w:color="auto" w:fill="auto"/>
            <w:noWrap/>
            <w:vAlign w:val="center"/>
            <w:hideMark/>
          </w:tcPr>
          <w:p w14:paraId="0B24ADB9"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 xml:space="preserve">Reported use of hearing aid </w:t>
            </w:r>
          </w:p>
          <w:p w14:paraId="192950B3"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(data field 3393, N, yes/no)</w:t>
            </w:r>
            <w:r w:rsidRPr="008A7960">
              <w:rPr>
                <w:rFonts w:ascii="Times Roman" w:hAnsi="Times Roman" w:cs="Calibri"/>
                <w:color w:val="000000"/>
                <w:sz w:val="20"/>
                <w:szCs w:val="20"/>
                <w:vertAlign w:val="superscript"/>
              </w:rPr>
              <w:t>**</w:t>
            </w:r>
          </w:p>
        </w:tc>
        <w:tc>
          <w:tcPr>
            <w:tcW w:w="1751" w:type="dxa"/>
            <w:tcBorders>
              <w:top w:val="single" w:sz="4" w:space="0" w:color="auto"/>
              <w:left w:val="single" w:sz="4" w:space="0" w:color="auto"/>
              <w:bottom w:val="nil"/>
              <w:right w:val="single" w:sz="4" w:space="0" w:color="auto"/>
            </w:tcBorders>
            <w:shd w:val="clear" w:color="auto" w:fill="auto"/>
            <w:noWrap/>
            <w:vAlign w:val="center"/>
            <w:hideMark/>
          </w:tcPr>
          <w:p w14:paraId="6109A93C"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11,081/208,083</w:t>
            </w:r>
          </w:p>
        </w:tc>
        <w:tc>
          <w:tcPr>
            <w:tcW w:w="1472" w:type="dxa"/>
            <w:tcBorders>
              <w:top w:val="single" w:sz="4" w:space="0" w:color="auto"/>
              <w:left w:val="single" w:sz="4" w:space="0" w:color="auto"/>
              <w:bottom w:val="nil"/>
              <w:right w:val="single" w:sz="4" w:space="0" w:color="auto"/>
            </w:tcBorders>
            <w:shd w:val="clear" w:color="auto" w:fill="auto"/>
            <w:noWrap/>
            <w:vAlign w:val="center"/>
            <w:hideMark/>
          </w:tcPr>
          <w:p w14:paraId="4AAE4434"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4900/105,416</w:t>
            </w:r>
          </w:p>
        </w:tc>
        <w:tc>
          <w:tcPr>
            <w:tcW w:w="1599" w:type="dxa"/>
            <w:tcBorders>
              <w:top w:val="single" w:sz="4" w:space="0" w:color="auto"/>
              <w:left w:val="single" w:sz="4" w:space="0" w:color="auto"/>
              <w:bottom w:val="nil"/>
              <w:right w:val="nil"/>
            </w:tcBorders>
            <w:shd w:val="clear" w:color="auto" w:fill="auto"/>
            <w:noWrap/>
            <w:vAlign w:val="center"/>
            <w:hideMark/>
          </w:tcPr>
          <w:p w14:paraId="1A7B5DD4"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6181/102,667</w:t>
            </w:r>
          </w:p>
        </w:tc>
        <w:tc>
          <w:tcPr>
            <w:tcW w:w="1352" w:type="dxa"/>
            <w:tcBorders>
              <w:top w:val="single" w:sz="4" w:space="0" w:color="auto"/>
              <w:left w:val="single" w:sz="4" w:space="0" w:color="auto"/>
              <w:bottom w:val="nil"/>
              <w:right w:val="nil"/>
            </w:tcBorders>
            <w:vAlign w:val="center"/>
          </w:tcPr>
          <w:p w14:paraId="09CB46D1"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7.0*10</w:t>
            </w:r>
            <w:r w:rsidRPr="008A7960">
              <w:rPr>
                <w:rFonts w:ascii="Times Roman" w:hAnsi="Times Roman" w:cs="Calibri"/>
                <w:color w:val="000000"/>
                <w:sz w:val="20"/>
                <w:szCs w:val="20"/>
                <w:vertAlign w:val="superscript"/>
              </w:rPr>
              <w:t>-40</w:t>
            </w:r>
          </w:p>
        </w:tc>
      </w:tr>
      <w:tr w:rsidR="0091160B" w:rsidRPr="008A7960" w14:paraId="227D743A" w14:textId="77777777" w:rsidTr="00BA219D">
        <w:trPr>
          <w:trHeight w:val="432"/>
        </w:trPr>
        <w:tc>
          <w:tcPr>
            <w:tcW w:w="4316" w:type="dxa"/>
            <w:tcBorders>
              <w:top w:val="nil"/>
              <w:left w:val="nil"/>
              <w:right w:val="single" w:sz="4" w:space="0" w:color="auto"/>
            </w:tcBorders>
            <w:shd w:val="clear" w:color="D9D9D9" w:fill="D9D9D9"/>
            <w:noWrap/>
            <w:vAlign w:val="center"/>
            <w:hideMark/>
          </w:tcPr>
          <w:p w14:paraId="7E4E5D0A"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Reported use of hearing aid (%)</w:t>
            </w:r>
          </w:p>
        </w:tc>
        <w:tc>
          <w:tcPr>
            <w:tcW w:w="1751" w:type="dxa"/>
            <w:tcBorders>
              <w:top w:val="nil"/>
              <w:left w:val="single" w:sz="4" w:space="0" w:color="auto"/>
              <w:right w:val="single" w:sz="4" w:space="0" w:color="auto"/>
            </w:tcBorders>
            <w:shd w:val="clear" w:color="D9D9D9" w:fill="D9D9D9"/>
            <w:noWrap/>
            <w:vAlign w:val="center"/>
            <w:hideMark/>
          </w:tcPr>
          <w:p w14:paraId="1F543176"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5.1%</w:t>
            </w:r>
          </w:p>
        </w:tc>
        <w:tc>
          <w:tcPr>
            <w:tcW w:w="1472" w:type="dxa"/>
            <w:tcBorders>
              <w:top w:val="nil"/>
              <w:left w:val="single" w:sz="4" w:space="0" w:color="auto"/>
              <w:right w:val="single" w:sz="4" w:space="0" w:color="auto"/>
            </w:tcBorders>
            <w:shd w:val="clear" w:color="D9D9D9" w:fill="D9D9D9"/>
            <w:noWrap/>
            <w:vAlign w:val="center"/>
            <w:hideMark/>
          </w:tcPr>
          <w:p w14:paraId="7BFA33D6"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4.4%</w:t>
            </w:r>
          </w:p>
        </w:tc>
        <w:tc>
          <w:tcPr>
            <w:tcW w:w="1599" w:type="dxa"/>
            <w:tcBorders>
              <w:top w:val="nil"/>
              <w:left w:val="single" w:sz="4" w:space="0" w:color="auto"/>
              <w:right w:val="nil"/>
            </w:tcBorders>
            <w:shd w:val="clear" w:color="D9D9D9" w:fill="D9D9D9"/>
            <w:noWrap/>
            <w:vAlign w:val="center"/>
            <w:hideMark/>
          </w:tcPr>
          <w:p w14:paraId="48A38CE1"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5.7%</w:t>
            </w:r>
          </w:p>
        </w:tc>
        <w:tc>
          <w:tcPr>
            <w:tcW w:w="1352" w:type="dxa"/>
            <w:tcBorders>
              <w:top w:val="nil"/>
              <w:left w:val="single" w:sz="4" w:space="0" w:color="auto"/>
              <w:right w:val="nil"/>
            </w:tcBorders>
            <w:shd w:val="clear" w:color="D9D9D9" w:fill="D9D9D9"/>
            <w:vAlign w:val="center"/>
          </w:tcPr>
          <w:p w14:paraId="4560828F" w14:textId="77777777" w:rsidR="0091160B" w:rsidRPr="008A7960" w:rsidRDefault="0091160B" w:rsidP="00BA219D">
            <w:pPr>
              <w:spacing w:line="240" w:lineRule="auto"/>
              <w:jc w:val="center"/>
              <w:rPr>
                <w:rFonts w:ascii="Times Roman" w:hAnsi="Times Roman" w:cs="Calibri"/>
                <w:color w:val="000000"/>
                <w:sz w:val="20"/>
                <w:szCs w:val="20"/>
              </w:rPr>
            </w:pPr>
          </w:p>
        </w:tc>
      </w:tr>
      <w:tr w:rsidR="0091160B" w:rsidRPr="008A7960" w14:paraId="1633E5E6" w14:textId="77777777" w:rsidTr="00BA219D">
        <w:trPr>
          <w:trHeight w:val="432"/>
        </w:trPr>
        <w:tc>
          <w:tcPr>
            <w:tcW w:w="4316" w:type="dxa"/>
            <w:tcBorders>
              <w:top w:val="single" w:sz="4" w:space="0" w:color="auto"/>
              <w:left w:val="nil"/>
              <w:bottom w:val="nil"/>
              <w:right w:val="single" w:sz="4" w:space="0" w:color="auto"/>
            </w:tcBorders>
            <w:shd w:val="clear" w:color="auto" w:fill="auto"/>
            <w:noWrap/>
            <w:vAlign w:val="center"/>
            <w:hideMark/>
          </w:tcPr>
          <w:p w14:paraId="41E0AB76"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 xml:space="preserve">Reported having or ever having tinnitus </w:t>
            </w:r>
          </w:p>
          <w:p w14:paraId="631EB843"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(data field 4803, N, yes/no)</w:t>
            </w:r>
            <w:r w:rsidRPr="008A7960">
              <w:rPr>
                <w:rFonts w:ascii="Times Roman" w:hAnsi="Times Roman" w:cs="Calibri"/>
                <w:color w:val="000000"/>
                <w:sz w:val="20"/>
                <w:szCs w:val="20"/>
                <w:vertAlign w:val="superscript"/>
              </w:rPr>
              <w:t>**</w:t>
            </w:r>
          </w:p>
        </w:tc>
        <w:tc>
          <w:tcPr>
            <w:tcW w:w="1751" w:type="dxa"/>
            <w:tcBorders>
              <w:top w:val="single" w:sz="4" w:space="0" w:color="auto"/>
              <w:left w:val="single" w:sz="4" w:space="0" w:color="auto"/>
              <w:bottom w:val="nil"/>
              <w:right w:val="single" w:sz="4" w:space="0" w:color="auto"/>
            </w:tcBorders>
            <w:shd w:val="clear" w:color="auto" w:fill="auto"/>
            <w:noWrap/>
            <w:vAlign w:val="center"/>
            <w:hideMark/>
          </w:tcPr>
          <w:p w14:paraId="2C8FDFD9"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34,091/83,069</w:t>
            </w:r>
          </w:p>
        </w:tc>
        <w:tc>
          <w:tcPr>
            <w:tcW w:w="1472" w:type="dxa"/>
            <w:tcBorders>
              <w:top w:val="single" w:sz="4" w:space="0" w:color="auto"/>
              <w:left w:val="single" w:sz="4" w:space="0" w:color="auto"/>
              <w:bottom w:val="nil"/>
              <w:right w:val="single" w:sz="4" w:space="0" w:color="auto"/>
            </w:tcBorders>
            <w:shd w:val="clear" w:color="auto" w:fill="auto"/>
            <w:noWrap/>
            <w:vAlign w:val="center"/>
            <w:hideMark/>
          </w:tcPr>
          <w:p w14:paraId="268B44D3"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16,525/46,228</w:t>
            </w:r>
          </w:p>
        </w:tc>
        <w:tc>
          <w:tcPr>
            <w:tcW w:w="1599" w:type="dxa"/>
            <w:tcBorders>
              <w:top w:val="single" w:sz="4" w:space="0" w:color="auto"/>
              <w:left w:val="single" w:sz="4" w:space="0" w:color="auto"/>
              <w:bottom w:val="nil"/>
              <w:right w:val="nil"/>
            </w:tcBorders>
            <w:shd w:val="clear" w:color="auto" w:fill="auto"/>
            <w:noWrap/>
            <w:vAlign w:val="center"/>
            <w:hideMark/>
          </w:tcPr>
          <w:p w14:paraId="47DC26F2"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17,566/36,841</w:t>
            </w:r>
          </w:p>
        </w:tc>
        <w:tc>
          <w:tcPr>
            <w:tcW w:w="1352" w:type="dxa"/>
            <w:tcBorders>
              <w:top w:val="single" w:sz="4" w:space="0" w:color="auto"/>
              <w:left w:val="single" w:sz="4" w:space="0" w:color="auto"/>
              <w:bottom w:val="nil"/>
              <w:right w:val="nil"/>
            </w:tcBorders>
            <w:vAlign w:val="center"/>
          </w:tcPr>
          <w:p w14:paraId="63CEF903"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7.0*10</w:t>
            </w:r>
            <w:r w:rsidRPr="008A7960">
              <w:rPr>
                <w:rFonts w:ascii="Times Roman" w:hAnsi="Times Roman" w:cs="Calibri"/>
                <w:color w:val="000000"/>
                <w:sz w:val="20"/>
                <w:szCs w:val="20"/>
                <w:vertAlign w:val="superscript"/>
              </w:rPr>
              <w:t>-111</w:t>
            </w:r>
          </w:p>
        </w:tc>
      </w:tr>
      <w:tr w:rsidR="0091160B" w:rsidRPr="008A7960" w14:paraId="1400A2A1" w14:textId="77777777" w:rsidTr="00BA219D">
        <w:trPr>
          <w:trHeight w:val="432"/>
        </w:trPr>
        <w:tc>
          <w:tcPr>
            <w:tcW w:w="4316" w:type="dxa"/>
            <w:tcBorders>
              <w:top w:val="nil"/>
              <w:left w:val="nil"/>
              <w:right w:val="single" w:sz="4" w:space="0" w:color="auto"/>
            </w:tcBorders>
            <w:shd w:val="clear" w:color="D9D9D9" w:fill="D9D9D9"/>
            <w:noWrap/>
            <w:vAlign w:val="center"/>
            <w:hideMark/>
          </w:tcPr>
          <w:p w14:paraId="60075B0E"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Reported having or ever having tinnitus (%)</w:t>
            </w:r>
          </w:p>
        </w:tc>
        <w:tc>
          <w:tcPr>
            <w:tcW w:w="1751" w:type="dxa"/>
            <w:tcBorders>
              <w:top w:val="nil"/>
              <w:left w:val="single" w:sz="4" w:space="0" w:color="auto"/>
              <w:right w:val="single" w:sz="4" w:space="0" w:color="auto"/>
            </w:tcBorders>
            <w:shd w:val="clear" w:color="D9D9D9" w:fill="D9D9D9"/>
            <w:noWrap/>
            <w:vAlign w:val="center"/>
            <w:hideMark/>
          </w:tcPr>
          <w:p w14:paraId="153D1243"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29.1%</w:t>
            </w:r>
          </w:p>
        </w:tc>
        <w:tc>
          <w:tcPr>
            <w:tcW w:w="1472" w:type="dxa"/>
            <w:tcBorders>
              <w:top w:val="nil"/>
              <w:left w:val="single" w:sz="4" w:space="0" w:color="auto"/>
              <w:right w:val="single" w:sz="4" w:space="0" w:color="auto"/>
            </w:tcBorders>
            <w:shd w:val="clear" w:color="D9D9D9" w:fill="D9D9D9"/>
            <w:noWrap/>
            <w:vAlign w:val="center"/>
            <w:hideMark/>
          </w:tcPr>
          <w:p w14:paraId="62F25693"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26.3%</w:t>
            </w:r>
          </w:p>
        </w:tc>
        <w:tc>
          <w:tcPr>
            <w:tcW w:w="1599" w:type="dxa"/>
            <w:tcBorders>
              <w:top w:val="nil"/>
              <w:left w:val="single" w:sz="4" w:space="0" w:color="auto"/>
              <w:right w:val="nil"/>
            </w:tcBorders>
            <w:shd w:val="clear" w:color="D9D9D9" w:fill="D9D9D9"/>
            <w:noWrap/>
            <w:vAlign w:val="center"/>
            <w:hideMark/>
          </w:tcPr>
          <w:p w14:paraId="05F03520"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32.3%</w:t>
            </w:r>
          </w:p>
        </w:tc>
        <w:tc>
          <w:tcPr>
            <w:tcW w:w="1352" w:type="dxa"/>
            <w:tcBorders>
              <w:top w:val="nil"/>
              <w:left w:val="single" w:sz="4" w:space="0" w:color="auto"/>
              <w:right w:val="nil"/>
            </w:tcBorders>
            <w:shd w:val="clear" w:color="D9D9D9" w:fill="D9D9D9"/>
            <w:vAlign w:val="center"/>
          </w:tcPr>
          <w:p w14:paraId="6B32B96E" w14:textId="77777777" w:rsidR="0091160B" w:rsidRPr="008A7960" w:rsidRDefault="0091160B" w:rsidP="00BA219D">
            <w:pPr>
              <w:spacing w:line="240" w:lineRule="auto"/>
              <w:jc w:val="center"/>
              <w:rPr>
                <w:rFonts w:ascii="Times Roman" w:hAnsi="Times Roman" w:cs="Calibri"/>
                <w:color w:val="000000"/>
                <w:sz w:val="20"/>
                <w:szCs w:val="20"/>
              </w:rPr>
            </w:pPr>
          </w:p>
        </w:tc>
      </w:tr>
      <w:tr w:rsidR="0091160B" w:rsidRPr="008A7960" w14:paraId="239B842E" w14:textId="77777777" w:rsidTr="00BA219D">
        <w:trPr>
          <w:trHeight w:val="432"/>
        </w:trPr>
        <w:tc>
          <w:tcPr>
            <w:tcW w:w="4316" w:type="dxa"/>
            <w:tcBorders>
              <w:top w:val="single" w:sz="4" w:space="0" w:color="auto"/>
              <w:left w:val="nil"/>
              <w:bottom w:val="nil"/>
              <w:right w:val="single" w:sz="4" w:space="0" w:color="auto"/>
            </w:tcBorders>
            <w:shd w:val="clear" w:color="auto" w:fill="auto"/>
            <w:noWrap/>
            <w:vAlign w:val="center"/>
            <w:hideMark/>
          </w:tcPr>
          <w:p w14:paraId="776BC317"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Participated in speech reception threshold (speech-in-noise) testing (N, yes/no)</w:t>
            </w:r>
            <w:r w:rsidRPr="008A7960">
              <w:rPr>
                <w:rFonts w:ascii="Times Roman" w:hAnsi="Times Roman" w:cs="Calibri"/>
                <w:color w:val="000000"/>
                <w:sz w:val="20"/>
                <w:szCs w:val="20"/>
                <w:vertAlign w:val="superscript"/>
              </w:rPr>
              <w:t>**</w:t>
            </w:r>
          </w:p>
        </w:tc>
        <w:tc>
          <w:tcPr>
            <w:tcW w:w="1751" w:type="dxa"/>
            <w:tcBorders>
              <w:top w:val="single" w:sz="4" w:space="0" w:color="auto"/>
              <w:left w:val="single" w:sz="4" w:space="0" w:color="auto"/>
              <w:bottom w:val="nil"/>
              <w:right w:val="single" w:sz="4" w:space="0" w:color="auto"/>
            </w:tcBorders>
            <w:shd w:val="clear" w:color="auto" w:fill="auto"/>
            <w:noWrap/>
            <w:vAlign w:val="center"/>
            <w:hideMark/>
          </w:tcPr>
          <w:p w14:paraId="7C2849EE"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110,717/251,679</w:t>
            </w:r>
          </w:p>
        </w:tc>
        <w:tc>
          <w:tcPr>
            <w:tcW w:w="1472" w:type="dxa"/>
            <w:tcBorders>
              <w:top w:val="single" w:sz="4" w:space="0" w:color="auto"/>
              <w:left w:val="single" w:sz="4" w:space="0" w:color="auto"/>
              <w:bottom w:val="nil"/>
              <w:right w:val="single" w:sz="4" w:space="0" w:color="auto"/>
            </w:tcBorders>
            <w:shd w:val="clear" w:color="auto" w:fill="auto"/>
            <w:noWrap/>
            <w:vAlign w:val="center"/>
            <w:hideMark/>
          </w:tcPr>
          <w:p w14:paraId="30A923FA"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59,348/135,660</w:t>
            </w:r>
          </w:p>
        </w:tc>
        <w:tc>
          <w:tcPr>
            <w:tcW w:w="1599" w:type="dxa"/>
            <w:tcBorders>
              <w:top w:val="single" w:sz="4" w:space="0" w:color="auto"/>
              <w:left w:val="single" w:sz="4" w:space="0" w:color="auto"/>
              <w:bottom w:val="nil"/>
              <w:right w:val="nil"/>
            </w:tcBorders>
            <w:shd w:val="clear" w:color="auto" w:fill="auto"/>
            <w:noWrap/>
            <w:vAlign w:val="center"/>
            <w:hideMark/>
          </w:tcPr>
          <w:p w14:paraId="63D5F2AD"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51,369/116,019</w:t>
            </w:r>
          </w:p>
        </w:tc>
        <w:tc>
          <w:tcPr>
            <w:tcW w:w="1352" w:type="dxa"/>
            <w:tcBorders>
              <w:top w:val="single" w:sz="4" w:space="0" w:color="auto"/>
              <w:left w:val="single" w:sz="4" w:space="0" w:color="auto"/>
              <w:bottom w:val="nil"/>
              <w:right w:val="nil"/>
            </w:tcBorders>
            <w:vAlign w:val="center"/>
          </w:tcPr>
          <w:p w14:paraId="21CBD448"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0.10</w:t>
            </w:r>
          </w:p>
        </w:tc>
      </w:tr>
      <w:tr w:rsidR="0091160B" w:rsidRPr="008A7960" w14:paraId="4941D651" w14:textId="77777777" w:rsidTr="00BA219D">
        <w:trPr>
          <w:trHeight w:val="432"/>
        </w:trPr>
        <w:tc>
          <w:tcPr>
            <w:tcW w:w="4316" w:type="dxa"/>
            <w:tcBorders>
              <w:top w:val="nil"/>
              <w:left w:val="nil"/>
              <w:bottom w:val="nil"/>
              <w:right w:val="single" w:sz="4" w:space="0" w:color="auto"/>
            </w:tcBorders>
            <w:shd w:val="clear" w:color="D9D9D9" w:fill="D9D9D9"/>
            <w:noWrap/>
            <w:vAlign w:val="center"/>
            <w:hideMark/>
          </w:tcPr>
          <w:p w14:paraId="202AB121"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Participated in speech reception threshold (speech-in-noise) testing (%)</w:t>
            </w:r>
          </w:p>
        </w:tc>
        <w:tc>
          <w:tcPr>
            <w:tcW w:w="1751" w:type="dxa"/>
            <w:tcBorders>
              <w:top w:val="nil"/>
              <w:left w:val="single" w:sz="4" w:space="0" w:color="auto"/>
              <w:bottom w:val="nil"/>
              <w:right w:val="single" w:sz="4" w:space="0" w:color="auto"/>
            </w:tcBorders>
            <w:shd w:val="clear" w:color="D9D9D9" w:fill="D9D9D9"/>
            <w:noWrap/>
            <w:vAlign w:val="center"/>
            <w:hideMark/>
          </w:tcPr>
          <w:p w14:paraId="20D9FF5B"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30.6%</w:t>
            </w:r>
          </w:p>
        </w:tc>
        <w:tc>
          <w:tcPr>
            <w:tcW w:w="1472" w:type="dxa"/>
            <w:tcBorders>
              <w:top w:val="nil"/>
              <w:left w:val="single" w:sz="4" w:space="0" w:color="auto"/>
              <w:bottom w:val="nil"/>
              <w:right w:val="single" w:sz="4" w:space="0" w:color="auto"/>
            </w:tcBorders>
            <w:shd w:val="clear" w:color="D9D9D9" w:fill="D9D9D9"/>
            <w:noWrap/>
            <w:vAlign w:val="center"/>
            <w:hideMark/>
          </w:tcPr>
          <w:p w14:paraId="6625FAA8"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30.4%</w:t>
            </w:r>
          </w:p>
        </w:tc>
        <w:tc>
          <w:tcPr>
            <w:tcW w:w="1599" w:type="dxa"/>
            <w:tcBorders>
              <w:top w:val="nil"/>
              <w:left w:val="single" w:sz="4" w:space="0" w:color="auto"/>
              <w:bottom w:val="nil"/>
              <w:right w:val="nil"/>
            </w:tcBorders>
            <w:shd w:val="clear" w:color="D9D9D9" w:fill="D9D9D9"/>
            <w:noWrap/>
            <w:vAlign w:val="center"/>
            <w:hideMark/>
          </w:tcPr>
          <w:p w14:paraId="5A0DEC80"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30.7%</w:t>
            </w:r>
          </w:p>
        </w:tc>
        <w:tc>
          <w:tcPr>
            <w:tcW w:w="1352" w:type="dxa"/>
            <w:tcBorders>
              <w:top w:val="nil"/>
              <w:left w:val="single" w:sz="4" w:space="0" w:color="auto"/>
              <w:bottom w:val="nil"/>
              <w:right w:val="nil"/>
            </w:tcBorders>
            <w:shd w:val="clear" w:color="D9D9D9" w:fill="D9D9D9"/>
            <w:vAlign w:val="center"/>
          </w:tcPr>
          <w:p w14:paraId="6336D2CC" w14:textId="77777777" w:rsidR="0091160B" w:rsidRPr="008A7960" w:rsidRDefault="0091160B" w:rsidP="00BA219D">
            <w:pPr>
              <w:spacing w:line="240" w:lineRule="auto"/>
              <w:jc w:val="center"/>
              <w:rPr>
                <w:rFonts w:ascii="Times Roman" w:hAnsi="Times Roman" w:cs="Calibri"/>
                <w:color w:val="000000"/>
                <w:sz w:val="20"/>
                <w:szCs w:val="20"/>
              </w:rPr>
            </w:pPr>
          </w:p>
        </w:tc>
      </w:tr>
      <w:tr w:rsidR="0091160B" w:rsidRPr="008A7960" w14:paraId="06E939CC" w14:textId="77777777" w:rsidTr="00BA219D">
        <w:trPr>
          <w:trHeight w:val="432"/>
        </w:trPr>
        <w:tc>
          <w:tcPr>
            <w:tcW w:w="4316" w:type="dxa"/>
            <w:tcBorders>
              <w:top w:val="nil"/>
              <w:left w:val="nil"/>
              <w:right w:val="single" w:sz="4" w:space="0" w:color="auto"/>
            </w:tcBorders>
            <w:shd w:val="clear" w:color="auto" w:fill="auto"/>
            <w:noWrap/>
            <w:vAlign w:val="center"/>
            <w:hideMark/>
          </w:tcPr>
          <w:p w14:paraId="7DC7C514"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Mean average speech recognition threshold (left and right thresholds divided by two)</w:t>
            </w:r>
            <w:r w:rsidRPr="008A7960">
              <w:rPr>
                <w:rFonts w:ascii="Times Roman" w:hAnsi="Times Roman" w:cs="Calibri"/>
                <w:color w:val="000000"/>
                <w:sz w:val="20"/>
                <w:szCs w:val="20"/>
                <w:vertAlign w:val="superscript"/>
              </w:rPr>
              <w:t>*</w:t>
            </w:r>
          </w:p>
        </w:tc>
        <w:tc>
          <w:tcPr>
            <w:tcW w:w="1751" w:type="dxa"/>
            <w:tcBorders>
              <w:top w:val="nil"/>
              <w:left w:val="single" w:sz="4" w:space="0" w:color="auto"/>
              <w:right w:val="single" w:sz="4" w:space="0" w:color="auto"/>
            </w:tcBorders>
            <w:shd w:val="clear" w:color="auto" w:fill="auto"/>
            <w:noWrap/>
            <w:vAlign w:val="center"/>
            <w:hideMark/>
          </w:tcPr>
          <w:p w14:paraId="73E0806E"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-6.67</w:t>
            </w:r>
          </w:p>
        </w:tc>
        <w:tc>
          <w:tcPr>
            <w:tcW w:w="1472" w:type="dxa"/>
            <w:tcBorders>
              <w:top w:val="nil"/>
              <w:left w:val="single" w:sz="4" w:space="0" w:color="auto"/>
              <w:right w:val="single" w:sz="4" w:space="0" w:color="auto"/>
            </w:tcBorders>
            <w:shd w:val="clear" w:color="auto" w:fill="auto"/>
            <w:noWrap/>
            <w:vAlign w:val="center"/>
            <w:hideMark/>
          </w:tcPr>
          <w:p w14:paraId="06ABF905"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-6.69</w:t>
            </w:r>
          </w:p>
        </w:tc>
        <w:tc>
          <w:tcPr>
            <w:tcW w:w="1599" w:type="dxa"/>
            <w:tcBorders>
              <w:top w:val="nil"/>
              <w:left w:val="single" w:sz="4" w:space="0" w:color="auto"/>
              <w:right w:val="nil"/>
            </w:tcBorders>
            <w:shd w:val="clear" w:color="auto" w:fill="auto"/>
            <w:noWrap/>
            <w:vAlign w:val="center"/>
            <w:hideMark/>
          </w:tcPr>
          <w:p w14:paraId="0E7CEE71"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-6.64</w:t>
            </w:r>
          </w:p>
        </w:tc>
        <w:tc>
          <w:tcPr>
            <w:tcW w:w="1352" w:type="dxa"/>
            <w:tcBorders>
              <w:top w:val="nil"/>
              <w:left w:val="single" w:sz="4" w:space="0" w:color="auto"/>
              <w:right w:val="nil"/>
            </w:tcBorders>
            <w:vAlign w:val="center"/>
          </w:tcPr>
          <w:p w14:paraId="69D40C50"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9*10</w:t>
            </w:r>
            <w:r w:rsidRPr="008A7960">
              <w:rPr>
                <w:rFonts w:ascii="Times Roman" w:hAnsi="Times Roman" w:cs="Calibri"/>
                <w:color w:val="000000"/>
                <w:sz w:val="20"/>
                <w:szCs w:val="20"/>
                <w:vertAlign w:val="superscript"/>
              </w:rPr>
              <w:t>-9</w:t>
            </w:r>
          </w:p>
        </w:tc>
      </w:tr>
      <w:tr w:rsidR="0091160B" w:rsidRPr="008A7960" w14:paraId="136CBF2B" w14:textId="77777777" w:rsidTr="00BA219D">
        <w:trPr>
          <w:trHeight w:val="432"/>
        </w:trPr>
        <w:tc>
          <w:tcPr>
            <w:tcW w:w="4316" w:type="dxa"/>
            <w:tcBorders>
              <w:top w:val="nil"/>
              <w:left w:val="nil"/>
              <w:bottom w:val="single" w:sz="4" w:space="0" w:color="auto"/>
              <w:right w:val="single" w:sz="4" w:space="0" w:color="auto"/>
            </w:tcBorders>
            <w:shd w:val="clear" w:color="D9D9D9" w:fill="D9D9D9"/>
            <w:noWrap/>
            <w:vAlign w:val="center"/>
            <w:hideMark/>
          </w:tcPr>
          <w:p w14:paraId="3C5B0DB1"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Standard deviation, average speech recognition threshold (left and right thresholds divided by two)</w:t>
            </w:r>
          </w:p>
        </w:tc>
        <w:tc>
          <w:tcPr>
            <w:tcW w:w="1751" w:type="dxa"/>
            <w:tcBorders>
              <w:top w:val="nil"/>
              <w:left w:val="single" w:sz="4" w:space="0" w:color="auto"/>
              <w:bottom w:val="single" w:sz="4" w:space="0" w:color="auto"/>
              <w:right w:val="single" w:sz="4" w:space="0" w:color="auto"/>
            </w:tcBorders>
            <w:shd w:val="clear" w:color="D9D9D9" w:fill="D9D9D9"/>
            <w:noWrap/>
            <w:vAlign w:val="center"/>
            <w:hideMark/>
          </w:tcPr>
          <w:p w14:paraId="0C291D30"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1.64</w:t>
            </w:r>
          </w:p>
        </w:tc>
        <w:tc>
          <w:tcPr>
            <w:tcW w:w="1472" w:type="dxa"/>
            <w:tcBorders>
              <w:top w:val="nil"/>
              <w:left w:val="single" w:sz="4" w:space="0" w:color="auto"/>
              <w:bottom w:val="single" w:sz="4" w:space="0" w:color="auto"/>
              <w:right w:val="single" w:sz="4" w:space="0" w:color="auto"/>
            </w:tcBorders>
            <w:shd w:val="clear" w:color="D9D9D9" w:fill="D9D9D9"/>
            <w:noWrap/>
            <w:vAlign w:val="center"/>
            <w:hideMark/>
          </w:tcPr>
          <w:p w14:paraId="205184C5"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1.55</w:t>
            </w:r>
          </w:p>
        </w:tc>
        <w:tc>
          <w:tcPr>
            <w:tcW w:w="1599" w:type="dxa"/>
            <w:tcBorders>
              <w:top w:val="nil"/>
              <w:left w:val="single" w:sz="4" w:space="0" w:color="auto"/>
              <w:bottom w:val="single" w:sz="4" w:space="0" w:color="auto"/>
              <w:right w:val="nil"/>
            </w:tcBorders>
            <w:shd w:val="clear" w:color="D9D9D9" w:fill="D9D9D9"/>
            <w:noWrap/>
            <w:vAlign w:val="center"/>
            <w:hideMark/>
          </w:tcPr>
          <w:p w14:paraId="725F343C"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1.72</w:t>
            </w:r>
          </w:p>
        </w:tc>
        <w:tc>
          <w:tcPr>
            <w:tcW w:w="1352" w:type="dxa"/>
            <w:tcBorders>
              <w:top w:val="nil"/>
              <w:left w:val="single" w:sz="4" w:space="0" w:color="auto"/>
              <w:bottom w:val="single" w:sz="4" w:space="0" w:color="auto"/>
              <w:right w:val="nil"/>
            </w:tcBorders>
            <w:shd w:val="clear" w:color="D9D9D9" w:fill="D9D9D9"/>
            <w:vAlign w:val="center"/>
          </w:tcPr>
          <w:p w14:paraId="4963C441" w14:textId="77777777" w:rsidR="0091160B" w:rsidRPr="008A7960" w:rsidRDefault="0091160B" w:rsidP="00BA219D">
            <w:pPr>
              <w:spacing w:line="240" w:lineRule="auto"/>
              <w:jc w:val="center"/>
              <w:rPr>
                <w:rFonts w:ascii="Times Roman" w:hAnsi="Times Roman" w:cs="Calibri"/>
                <w:color w:val="000000"/>
                <w:sz w:val="20"/>
                <w:szCs w:val="20"/>
              </w:rPr>
            </w:pPr>
          </w:p>
        </w:tc>
      </w:tr>
      <w:tr w:rsidR="0091160B" w:rsidRPr="008A7960" w14:paraId="40BA0D3E" w14:textId="77777777" w:rsidTr="00BA219D">
        <w:trPr>
          <w:trHeight w:val="432"/>
        </w:trPr>
        <w:tc>
          <w:tcPr>
            <w:tcW w:w="4316" w:type="dxa"/>
            <w:tcBorders>
              <w:top w:val="single" w:sz="4" w:space="0" w:color="auto"/>
              <w:left w:val="nil"/>
              <w:bottom w:val="nil"/>
              <w:right w:val="single" w:sz="4" w:space="0" w:color="auto"/>
            </w:tcBorders>
            <w:shd w:val="clear" w:color="auto" w:fill="auto"/>
            <w:noWrap/>
            <w:vAlign w:val="center"/>
            <w:hideMark/>
          </w:tcPr>
          <w:p w14:paraId="4DEE8805"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Mean speech reception threshold (speech in noise), left ear (data field 20019)</w:t>
            </w:r>
            <w:r w:rsidRPr="008A7960">
              <w:rPr>
                <w:rFonts w:ascii="Times Roman" w:hAnsi="Times Roman" w:cs="Calibri"/>
                <w:color w:val="000000"/>
                <w:sz w:val="20"/>
                <w:szCs w:val="20"/>
                <w:vertAlign w:val="superscript"/>
              </w:rPr>
              <w:t>*</w:t>
            </w:r>
          </w:p>
        </w:tc>
        <w:tc>
          <w:tcPr>
            <w:tcW w:w="1751" w:type="dxa"/>
            <w:tcBorders>
              <w:top w:val="single" w:sz="4" w:space="0" w:color="auto"/>
              <w:left w:val="single" w:sz="4" w:space="0" w:color="auto"/>
              <w:bottom w:val="nil"/>
              <w:right w:val="single" w:sz="4" w:space="0" w:color="auto"/>
            </w:tcBorders>
            <w:shd w:val="clear" w:color="auto" w:fill="auto"/>
            <w:noWrap/>
            <w:vAlign w:val="center"/>
            <w:hideMark/>
          </w:tcPr>
          <w:p w14:paraId="52E518E2"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-6.58</w:t>
            </w:r>
          </w:p>
        </w:tc>
        <w:tc>
          <w:tcPr>
            <w:tcW w:w="1472" w:type="dxa"/>
            <w:tcBorders>
              <w:top w:val="single" w:sz="4" w:space="0" w:color="auto"/>
              <w:left w:val="single" w:sz="4" w:space="0" w:color="auto"/>
              <w:bottom w:val="nil"/>
              <w:right w:val="single" w:sz="4" w:space="0" w:color="auto"/>
            </w:tcBorders>
            <w:shd w:val="clear" w:color="auto" w:fill="auto"/>
            <w:noWrap/>
            <w:vAlign w:val="center"/>
            <w:hideMark/>
          </w:tcPr>
          <w:p w14:paraId="39F8739D"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-6.61</w:t>
            </w:r>
          </w:p>
        </w:tc>
        <w:tc>
          <w:tcPr>
            <w:tcW w:w="1599" w:type="dxa"/>
            <w:tcBorders>
              <w:top w:val="single" w:sz="4" w:space="0" w:color="auto"/>
              <w:left w:val="single" w:sz="4" w:space="0" w:color="auto"/>
              <w:bottom w:val="nil"/>
              <w:right w:val="nil"/>
            </w:tcBorders>
            <w:shd w:val="clear" w:color="auto" w:fill="auto"/>
            <w:noWrap/>
            <w:vAlign w:val="center"/>
            <w:hideMark/>
          </w:tcPr>
          <w:p w14:paraId="0B781BE4"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-6.54</w:t>
            </w:r>
          </w:p>
        </w:tc>
        <w:tc>
          <w:tcPr>
            <w:tcW w:w="1352" w:type="dxa"/>
            <w:tcBorders>
              <w:top w:val="single" w:sz="4" w:space="0" w:color="auto"/>
              <w:left w:val="single" w:sz="4" w:space="0" w:color="auto"/>
              <w:bottom w:val="nil"/>
              <w:right w:val="nil"/>
            </w:tcBorders>
            <w:vAlign w:val="center"/>
          </w:tcPr>
          <w:p w14:paraId="19D2A2BE"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3.1*10</w:t>
            </w:r>
            <w:r w:rsidRPr="008A7960">
              <w:rPr>
                <w:rFonts w:ascii="Times Roman" w:hAnsi="Times Roman" w:cs="Calibri"/>
                <w:color w:val="000000"/>
                <w:sz w:val="20"/>
                <w:szCs w:val="20"/>
                <w:vertAlign w:val="superscript"/>
              </w:rPr>
              <w:t>-8</w:t>
            </w:r>
          </w:p>
        </w:tc>
      </w:tr>
      <w:tr w:rsidR="0091160B" w:rsidRPr="008A7960" w14:paraId="49141884" w14:textId="77777777" w:rsidTr="00BA219D">
        <w:trPr>
          <w:trHeight w:val="432"/>
        </w:trPr>
        <w:tc>
          <w:tcPr>
            <w:tcW w:w="4316" w:type="dxa"/>
            <w:tcBorders>
              <w:top w:val="nil"/>
              <w:left w:val="nil"/>
              <w:bottom w:val="nil"/>
              <w:right w:val="single" w:sz="4" w:space="0" w:color="auto"/>
            </w:tcBorders>
            <w:shd w:val="clear" w:color="D9D9D9" w:fill="D9D9D9"/>
            <w:noWrap/>
            <w:vAlign w:val="center"/>
            <w:hideMark/>
          </w:tcPr>
          <w:p w14:paraId="3C9AE288"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Standard deviation, speech reception threshold (speech in noise), left ear (data field 20019)</w:t>
            </w:r>
          </w:p>
        </w:tc>
        <w:tc>
          <w:tcPr>
            <w:tcW w:w="1751" w:type="dxa"/>
            <w:tcBorders>
              <w:top w:val="nil"/>
              <w:left w:val="single" w:sz="4" w:space="0" w:color="auto"/>
              <w:bottom w:val="nil"/>
              <w:right w:val="single" w:sz="4" w:space="0" w:color="auto"/>
            </w:tcBorders>
            <w:shd w:val="clear" w:color="D9D9D9" w:fill="D9D9D9"/>
            <w:noWrap/>
            <w:vAlign w:val="center"/>
            <w:hideMark/>
          </w:tcPr>
          <w:p w14:paraId="1CF16189"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1.94</w:t>
            </w:r>
          </w:p>
        </w:tc>
        <w:tc>
          <w:tcPr>
            <w:tcW w:w="1472" w:type="dxa"/>
            <w:tcBorders>
              <w:top w:val="nil"/>
              <w:left w:val="single" w:sz="4" w:space="0" w:color="auto"/>
              <w:bottom w:val="nil"/>
              <w:right w:val="single" w:sz="4" w:space="0" w:color="auto"/>
            </w:tcBorders>
            <w:shd w:val="clear" w:color="D9D9D9" w:fill="D9D9D9"/>
            <w:noWrap/>
            <w:vAlign w:val="center"/>
            <w:hideMark/>
          </w:tcPr>
          <w:p w14:paraId="73378E59"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1.85</w:t>
            </w:r>
          </w:p>
        </w:tc>
        <w:tc>
          <w:tcPr>
            <w:tcW w:w="1599" w:type="dxa"/>
            <w:tcBorders>
              <w:top w:val="nil"/>
              <w:left w:val="single" w:sz="4" w:space="0" w:color="auto"/>
              <w:bottom w:val="nil"/>
              <w:right w:val="nil"/>
            </w:tcBorders>
            <w:shd w:val="clear" w:color="D9D9D9" w:fill="D9D9D9"/>
            <w:noWrap/>
            <w:vAlign w:val="center"/>
            <w:hideMark/>
          </w:tcPr>
          <w:p w14:paraId="355CD469"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2.04</w:t>
            </w:r>
          </w:p>
        </w:tc>
        <w:tc>
          <w:tcPr>
            <w:tcW w:w="1352" w:type="dxa"/>
            <w:tcBorders>
              <w:top w:val="nil"/>
              <w:left w:val="single" w:sz="4" w:space="0" w:color="auto"/>
              <w:bottom w:val="nil"/>
              <w:right w:val="nil"/>
            </w:tcBorders>
            <w:shd w:val="clear" w:color="D9D9D9" w:fill="D9D9D9"/>
            <w:vAlign w:val="center"/>
          </w:tcPr>
          <w:p w14:paraId="454D7F29" w14:textId="77777777" w:rsidR="0091160B" w:rsidRPr="008A7960" w:rsidRDefault="0091160B" w:rsidP="00BA219D">
            <w:pPr>
              <w:spacing w:line="240" w:lineRule="auto"/>
              <w:jc w:val="center"/>
              <w:rPr>
                <w:rFonts w:ascii="Times Roman" w:hAnsi="Times Roman" w:cs="Calibri"/>
                <w:color w:val="000000"/>
                <w:sz w:val="20"/>
                <w:szCs w:val="20"/>
              </w:rPr>
            </w:pPr>
          </w:p>
        </w:tc>
      </w:tr>
      <w:tr w:rsidR="0091160B" w:rsidRPr="008A7960" w14:paraId="4C2D2A7F" w14:textId="77777777" w:rsidTr="00BA219D">
        <w:trPr>
          <w:trHeight w:val="432"/>
        </w:trPr>
        <w:tc>
          <w:tcPr>
            <w:tcW w:w="4316" w:type="dxa"/>
            <w:tcBorders>
              <w:top w:val="nil"/>
              <w:left w:val="nil"/>
              <w:bottom w:val="nil"/>
              <w:right w:val="single" w:sz="4" w:space="0" w:color="auto"/>
            </w:tcBorders>
            <w:shd w:val="clear" w:color="auto" w:fill="auto"/>
            <w:noWrap/>
            <w:vAlign w:val="center"/>
            <w:hideMark/>
          </w:tcPr>
          <w:p w14:paraId="22FD6AE1"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Mean speech reception threshold (speech in noise), right ear (data field 20021)</w:t>
            </w:r>
          </w:p>
        </w:tc>
        <w:tc>
          <w:tcPr>
            <w:tcW w:w="1751" w:type="dxa"/>
            <w:tcBorders>
              <w:top w:val="nil"/>
              <w:left w:val="single" w:sz="4" w:space="0" w:color="auto"/>
              <w:bottom w:val="nil"/>
              <w:right w:val="single" w:sz="4" w:space="0" w:color="auto"/>
            </w:tcBorders>
            <w:shd w:val="clear" w:color="auto" w:fill="auto"/>
            <w:noWrap/>
            <w:vAlign w:val="center"/>
            <w:hideMark/>
          </w:tcPr>
          <w:p w14:paraId="6EF9F4EE"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-6.54</w:t>
            </w:r>
          </w:p>
        </w:tc>
        <w:tc>
          <w:tcPr>
            <w:tcW w:w="1472" w:type="dxa"/>
            <w:tcBorders>
              <w:top w:val="nil"/>
              <w:left w:val="single" w:sz="4" w:space="0" w:color="auto"/>
              <w:bottom w:val="nil"/>
              <w:right w:val="single" w:sz="4" w:space="0" w:color="auto"/>
            </w:tcBorders>
            <w:shd w:val="clear" w:color="auto" w:fill="auto"/>
            <w:noWrap/>
            <w:vAlign w:val="center"/>
            <w:hideMark/>
          </w:tcPr>
          <w:p w14:paraId="06363B56"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-6.57</w:t>
            </w:r>
          </w:p>
        </w:tc>
        <w:tc>
          <w:tcPr>
            <w:tcW w:w="1599" w:type="dxa"/>
            <w:tcBorders>
              <w:top w:val="nil"/>
              <w:left w:val="single" w:sz="4" w:space="0" w:color="auto"/>
              <w:bottom w:val="nil"/>
              <w:right w:val="nil"/>
            </w:tcBorders>
            <w:shd w:val="clear" w:color="auto" w:fill="auto"/>
            <w:noWrap/>
            <w:vAlign w:val="center"/>
            <w:hideMark/>
          </w:tcPr>
          <w:p w14:paraId="698F02DE"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-6.50</w:t>
            </w:r>
          </w:p>
        </w:tc>
        <w:tc>
          <w:tcPr>
            <w:tcW w:w="1352" w:type="dxa"/>
            <w:tcBorders>
              <w:top w:val="nil"/>
              <w:left w:val="single" w:sz="4" w:space="0" w:color="auto"/>
              <w:bottom w:val="nil"/>
              <w:right w:val="nil"/>
            </w:tcBorders>
            <w:vAlign w:val="center"/>
          </w:tcPr>
          <w:p w14:paraId="2E6DFA6E"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1.0*10</w:t>
            </w:r>
            <w:r w:rsidRPr="008A7960">
              <w:rPr>
                <w:rFonts w:ascii="Times Roman" w:hAnsi="Times Roman" w:cs="Calibri"/>
                <w:color w:val="000000"/>
                <w:sz w:val="20"/>
                <w:szCs w:val="20"/>
                <w:vertAlign w:val="superscript"/>
              </w:rPr>
              <w:t>-8</w:t>
            </w:r>
          </w:p>
        </w:tc>
      </w:tr>
      <w:tr w:rsidR="0091160B" w:rsidRPr="008A7960" w14:paraId="284AD108" w14:textId="77777777" w:rsidTr="00BA219D">
        <w:trPr>
          <w:trHeight w:val="432"/>
        </w:trPr>
        <w:tc>
          <w:tcPr>
            <w:tcW w:w="4316" w:type="dxa"/>
            <w:tcBorders>
              <w:top w:val="nil"/>
              <w:left w:val="nil"/>
              <w:bottom w:val="single" w:sz="4" w:space="0" w:color="000000"/>
              <w:right w:val="single" w:sz="4" w:space="0" w:color="auto"/>
            </w:tcBorders>
            <w:shd w:val="clear" w:color="D9D9D9" w:fill="D9D9D9"/>
            <w:noWrap/>
            <w:vAlign w:val="center"/>
            <w:hideMark/>
          </w:tcPr>
          <w:p w14:paraId="7BC4307C"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Standard deviation, speech reception threshold (speech in noise), right ear (data field 20021)</w:t>
            </w:r>
          </w:p>
        </w:tc>
        <w:tc>
          <w:tcPr>
            <w:tcW w:w="1751" w:type="dxa"/>
            <w:tcBorders>
              <w:top w:val="nil"/>
              <w:left w:val="single" w:sz="4" w:space="0" w:color="auto"/>
              <w:bottom w:val="single" w:sz="4" w:space="0" w:color="000000"/>
              <w:right w:val="single" w:sz="4" w:space="0" w:color="auto"/>
            </w:tcBorders>
            <w:shd w:val="clear" w:color="D9D9D9" w:fill="D9D9D9"/>
            <w:noWrap/>
            <w:vAlign w:val="center"/>
            <w:hideMark/>
          </w:tcPr>
          <w:p w14:paraId="308509E5"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1.95</w:t>
            </w:r>
          </w:p>
        </w:tc>
        <w:tc>
          <w:tcPr>
            <w:tcW w:w="1472" w:type="dxa"/>
            <w:tcBorders>
              <w:top w:val="nil"/>
              <w:left w:val="single" w:sz="4" w:space="0" w:color="auto"/>
              <w:bottom w:val="single" w:sz="4" w:space="0" w:color="000000"/>
              <w:right w:val="single" w:sz="4" w:space="0" w:color="auto"/>
            </w:tcBorders>
            <w:shd w:val="clear" w:color="D9D9D9" w:fill="D9D9D9"/>
            <w:noWrap/>
            <w:vAlign w:val="center"/>
            <w:hideMark/>
          </w:tcPr>
          <w:p w14:paraId="7AD971FA"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1.86</w:t>
            </w:r>
          </w:p>
        </w:tc>
        <w:tc>
          <w:tcPr>
            <w:tcW w:w="1599" w:type="dxa"/>
            <w:tcBorders>
              <w:top w:val="nil"/>
              <w:left w:val="single" w:sz="4" w:space="0" w:color="auto"/>
              <w:bottom w:val="single" w:sz="4" w:space="0" w:color="000000"/>
              <w:right w:val="nil"/>
            </w:tcBorders>
            <w:shd w:val="clear" w:color="D9D9D9" w:fill="D9D9D9"/>
            <w:noWrap/>
            <w:vAlign w:val="center"/>
            <w:hideMark/>
          </w:tcPr>
          <w:p w14:paraId="02F67138"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2.05</w:t>
            </w:r>
          </w:p>
        </w:tc>
        <w:tc>
          <w:tcPr>
            <w:tcW w:w="1352" w:type="dxa"/>
            <w:tcBorders>
              <w:top w:val="nil"/>
              <w:left w:val="single" w:sz="4" w:space="0" w:color="auto"/>
              <w:bottom w:val="single" w:sz="4" w:space="0" w:color="000000"/>
              <w:right w:val="nil"/>
            </w:tcBorders>
            <w:shd w:val="clear" w:color="D9D9D9" w:fill="D9D9D9"/>
            <w:vAlign w:val="center"/>
          </w:tcPr>
          <w:p w14:paraId="43622C50" w14:textId="77777777" w:rsidR="0091160B" w:rsidRPr="008A7960" w:rsidRDefault="0091160B" w:rsidP="00BA219D">
            <w:pPr>
              <w:spacing w:line="240" w:lineRule="auto"/>
              <w:jc w:val="center"/>
              <w:rPr>
                <w:rFonts w:ascii="Times Roman" w:hAnsi="Times Roman" w:cs="Calibri"/>
                <w:color w:val="000000"/>
                <w:sz w:val="20"/>
                <w:szCs w:val="20"/>
              </w:rPr>
            </w:pPr>
          </w:p>
        </w:tc>
      </w:tr>
    </w:tbl>
    <w:p w14:paraId="5941F3D3" w14:textId="77777777" w:rsidR="0091160B" w:rsidRPr="008A7960" w:rsidRDefault="0091160B" w:rsidP="0091160B">
      <w:pPr>
        <w:spacing w:line="240" w:lineRule="auto"/>
        <w:ind w:left="-284" w:right="-360"/>
        <w:rPr>
          <w:rFonts w:ascii="Times" w:hAnsi="Times"/>
          <w:sz w:val="20"/>
          <w:szCs w:val="20"/>
        </w:rPr>
      </w:pPr>
      <w:r w:rsidRPr="008A7960">
        <w:rPr>
          <w:rFonts w:ascii="Times" w:hAnsi="Times"/>
          <w:sz w:val="20"/>
          <w:szCs w:val="20"/>
          <w:vertAlign w:val="superscript"/>
        </w:rPr>
        <w:t>*</w:t>
      </w:r>
      <w:r w:rsidRPr="008A7960">
        <w:rPr>
          <w:rFonts w:ascii="Times" w:hAnsi="Times"/>
          <w:sz w:val="20"/>
          <w:szCs w:val="20"/>
        </w:rPr>
        <w:t>The Student’s t-test was used to test for differences in continuous variables.</w:t>
      </w:r>
    </w:p>
    <w:p w14:paraId="5233D046" w14:textId="77777777" w:rsidR="0091160B" w:rsidRPr="008A7960" w:rsidRDefault="0091160B" w:rsidP="0091160B">
      <w:pPr>
        <w:spacing w:line="240" w:lineRule="auto"/>
        <w:ind w:left="-284" w:right="-360"/>
        <w:rPr>
          <w:rFonts w:ascii="Times" w:hAnsi="Times"/>
          <w:sz w:val="20"/>
          <w:szCs w:val="20"/>
        </w:rPr>
      </w:pPr>
      <w:r w:rsidRPr="008A7960">
        <w:rPr>
          <w:rFonts w:ascii="Times" w:hAnsi="Times"/>
          <w:sz w:val="20"/>
          <w:szCs w:val="20"/>
          <w:vertAlign w:val="superscript"/>
        </w:rPr>
        <w:t>**</w:t>
      </w:r>
      <w:r w:rsidRPr="008A7960">
        <w:rPr>
          <w:rFonts w:ascii="Times" w:hAnsi="Times"/>
          <w:sz w:val="20"/>
          <w:szCs w:val="20"/>
        </w:rPr>
        <w:t>Chi-squared tests were used to test for differences in prevalence of hearing-loss associated traits between males and females</w:t>
      </w:r>
    </w:p>
    <w:p w14:paraId="28C9F97A" w14:textId="77777777" w:rsidR="0091160B" w:rsidRPr="008A7960" w:rsidRDefault="0091160B" w:rsidP="0091160B">
      <w:pPr>
        <w:ind w:left="-270" w:right="-360"/>
        <w:rPr>
          <w:rFonts w:ascii="Times" w:hAnsi="Times"/>
          <w:b/>
          <w:bCs/>
        </w:rPr>
      </w:pPr>
    </w:p>
    <w:p w14:paraId="6774944F" w14:textId="77777777" w:rsidR="0091160B" w:rsidRPr="008A7960" w:rsidRDefault="0091160B" w:rsidP="0091160B">
      <w:pPr>
        <w:ind w:left="-270" w:right="-360"/>
        <w:rPr>
          <w:rFonts w:ascii="Times" w:hAnsi="Times"/>
          <w:b/>
          <w:bCs/>
        </w:rPr>
      </w:pPr>
    </w:p>
    <w:p w14:paraId="7E6A967A" w14:textId="77777777" w:rsidR="0091160B" w:rsidRPr="008A7960" w:rsidRDefault="0091160B" w:rsidP="0091160B">
      <w:pPr>
        <w:ind w:left="-270" w:right="-360"/>
        <w:rPr>
          <w:rFonts w:ascii="Times" w:hAnsi="Times"/>
          <w:b/>
          <w:bCs/>
        </w:rPr>
        <w:sectPr w:rsidR="0091160B" w:rsidRPr="008A7960" w:rsidSect="004E00CD">
          <w:pgSz w:w="12240" w:h="15840"/>
          <w:pgMar w:top="1440" w:right="1440" w:bottom="1440" w:left="1440" w:header="720" w:footer="720" w:gutter="0"/>
          <w:cols w:space="720"/>
          <w:docGrid w:linePitch="360"/>
        </w:sectPr>
      </w:pPr>
    </w:p>
    <w:p w14:paraId="5A1BC938" w14:textId="77777777" w:rsidR="0091160B" w:rsidRPr="008A7960" w:rsidRDefault="0091160B" w:rsidP="0091160B">
      <w:pPr>
        <w:spacing w:line="240" w:lineRule="auto"/>
        <w:ind w:right="60"/>
        <w:jc w:val="center"/>
        <w:rPr>
          <w:rFonts w:ascii="Times" w:hAnsi="Times"/>
          <w:b/>
          <w:bCs/>
        </w:rPr>
      </w:pPr>
      <w:r w:rsidRPr="008A7960">
        <w:rPr>
          <w:rFonts w:ascii="Times" w:hAnsi="Times"/>
          <w:b/>
          <w:bCs/>
          <w:noProof/>
        </w:rPr>
        <w:lastRenderedPageBreak/>
        <w:drawing>
          <wp:inline distT="0" distB="0" distL="0" distR="0" wp14:anchorId="539E483D" wp14:editId="7A462120">
            <wp:extent cx="6871701" cy="5343896"/>
            <wp:effectExtent l="0" t="0" r="0" b="317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6908892" cy="5372818"/>
                    </a:xfrm>
                    <a:prstGeom prst="rect">
                      <a:avLst/>
                    </a:prstGeom>
                  </pic:spPr>
                </pic:pic>
              </a:graphicData>
            </a:graphic>
          </wp:inline>
        </w:drawing>
      </w:r>
    </w:p>
    <w:p w14:paraId="77034FC5" w14:textId="77777777" w:rsidR="0091160B" w:rsidRPr="008A7960" w:rsidRDefault="0091160B" w:rsidP="0091160B">
      <w:pPr>
        <w:spacing w:line="240" w:lineRule="auto"/>
        <w:ind w:left="1560" w:right="1336"/>
        <w:rPr>
          <w:sz w:val="22"/>
          <w:szCs w:val="22"/>
        </w:rPr>
      </w:pPr>
      <w:r w:rsidRPr="008A7960">
        <w:rPr>
          <w:b/>
          <w:bCs/>
          <w:sz w:val="22"/>
          <w:szCs w:val="22"/>
        </w:rPr>
        <w:t>Fig</w:t>
      </w:r>
      <w:r>
        <w:rPr>
          <w:b/>
          <w:bCs/>
          <w:sz w:val="22"/>
          <w:szCs w:val="22"/>
        </w:rPr>
        <w:t xml:space="preserve"> </w:t>
      </w:r>
      <w:r w:rsidRPr="008A7960">
        <w:rPr>
          <w:b/>
          <w:bCs/>
          <w:sz w:val="22"/>
          <w:szCs w:val="22"/>
        </w:rPr>
        <w:t>1.</w:t>
      </w:r>
      <w:r w:rsidRPr="008A7960">
        <w:rPr>
          <w:sz w:val="22"/>
          <w:szCs w:val="22"/>
        </w:rPr>
        <w:t xml:space="preserve"> Manhattan plots that illustrate the results from genome-wide association analyses for a) hearing difficulty, b) hearing aid use, c) speech-in-noise and d) tinnitus in the UK Biobank. </w:t>
      </w:r>
    </w:p>
    <w:p w14:paraId="55181E05" w14:textId="77777777" w:rsidR="0091160B" w:rsidRPr="008A7960" w:rsidRDefault="0091160B" w:rsidP="0091160B">
      <w:pPr>
        <w:ind w:left="851"/>
        <w:rPr>
          <w:sz w:val="22"/>
          <w:szCs w:val="22"/>
        </w:rPr>
      </w:pPr>
      <w:r w:rsidRPr="008A7960">
        <w:rPr>
          <w:sz w:val="22"/>
          <w:szCs w:val="22"/>
        </w:rPr>
        <w:br w:type="page"/>
      </w:r>
    </w:p>
    <w:p w14:paraId="19447D8F" w14:textId="77777777" w:rsidR="0091160B" w:rsidRPr="008A7960" w:rsidRDefault="0091160B" w:rsidP="0091160B">
      <w:pPr>
        <w:ind w:left="1980" w:right="1890"/>
        <w:rPr>
          <w:sz w:val="22"/>
          <w:szCs w:val="22"/>
        </w:rPr>
      </w:pPr>
      <w:r w:rsidRPr="008A7960">
        <w:rPr>
          <w:noProof/>
          <w:sz w:val="22"/>
          <w:szCs w:val="22"/>
        </w:rPr>
        <w:lastRenderedPageBreak/>
        <w:drawing>
          <wp:inline distT="0" distB="0" distL="0" distR="0" wp14:anchorId="6F71C813" wp14:editId="7B15800D">
            <wp:extent cx="5288973" cy="5288973"/>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6" cstate="print">
                      <a:extLst>
                        <a:ext uri="{28A0092B-C50C-407E-A947-70E740481C1C}">
                          <a14:useLocalDpi xmlns:a14="http://schemas.microsoft.com/office/drawing/2010/main" val="0"/>
                        </a:ext>
                      </a:extLst>
                    </a:blip>
                    <a:stretch>
                      <a:fillRect/>
                    </a:stretch>
                  </pic:blipFill>
                  <pic:spPr>
                    <a:xfrm>
                      <a:off x="0" y="0"/>
                      <a:ext cx="5304319" cy="5304319"/>
                    </a:xfrm>
                    <a:prstGeom prst="rect">
                      <a:avLst/>
                    </a:prstGeom>
                  </pic:spPr>
                </pic:pic>
              </a:graphicData>
            </a:graphic>
          </wp:inline>
        </w:drawing>
      </w:r>
    </w:p>
    <w:p w14:paraId="7391A552" w14:textId="77777777" w:rsidR="0091160B" w:rsidRPr="008A7960" w:rsidRDefault="0091160B" w:rsidP="0091160B">
      <w:pPr>
        <w:spacing w:line="240" w:lineRule="auto"/>
        <w:ind w:left="2070" w:right="2970"/>
        <w:rPr>
          <w:sz w:val="22"/>
          <w:szCs w:val="22"/>
        </w:rPr>
      </w:pPr>
      <w:r w:rsidRPr="008A7960">
        <w:rPr>
          <w:b/>
          <w:bCs/>
          <w:sz w:val="22"/>
          <w:szCs w:val="22"/>
        </w:rPr>
        <w:t>Fig</w:t>
      </w:r>
      <w:r>
        <w:rPr>
          <w:b/>
          <w:bCs/>
          <w:sz w:val="22"/>
          <w:szCs w:val="22"/>
        </w:rPr>
        <w:t xml:space="preserve"> </w:t>
      </w:r>
      <w:r w:rsidRPr="008A7960">
        <w:rPr>
          <w:b/>
          <w:bCs/>
          <w:sz w:val="22"/>
          <w:szCs w:val="22"/>
        </w:rPr>
        <w:t>2.</w:t>
      </w:r>
      <w:r w:rsidRPr="008A7960">
        <w:rPr>
          <w:sz w:val="22"/>
          <w:szCs w:val="22"/>
        </w:rPr>
        <w:t xml:space="preserve"> Quantile-quantile plots for the results from genome wide association analyses on a) hearing difficulty, b) hearing aid use, c) speech-in-noise and d) tinnitus in the UK Biobank. </w:t>
      </w:r>
    </w:p>
    <w:p w14:paraId="35803AD8" w14:textId="77777777" w:rsidR="0091160B" w:rsidRPr="008A7960" w:rsidRDefault="0091160B" w:rsidP="0091160B">
      <w:pPr>
        <w:rPr>
          <w:rFonts w:ascii="Times" w:hAnsi="Times"/>
          <w:b/>
          <w:bCs/>
        </w:rPr>
      </w:pPr>
      <w:r w:rsidRPr="008A7960">
        <w:rPr>
          <w:rFonts w:ascii="Times" w:hAnsi="Times"/>
          <w:b/>
          <w:bCs/>
        </w:rPr>
        <w:lastRenderedPageBreak/>
        <w:t>Table 2. Results from the LDSC analyses on hearing loss-related trait GWAS in the UK Biobank.</w:t>
      </w:r>
    </w:p>
    <w:tbl>
      <w:tblPr>
        <w:tblStyle w:val="PlainTable5"/>
        <w:tblW w:w="9988" w:type="dxa"/>
        <w:tblLayout w:type="fixed"/>
        <w:tblLook w:val="04A0" w:firstRow="1" w:lastRow="0" w:firstColumn="1" w:lastColumn="0" w:noHBand="0" w:noVBand="1"/>
      </w:tblPr>
      <w:tblGrid>
        <w:gridCol w:w="2552"/>
        <w:gridCol w:w="1985"/>
        <w:gridCol w:w="1842"/>
        <w:gridCol w:w="1985"/>
        <w:gridCol w:w="1624"/>
      </w:tblGrid>
      <w:tr w:rsidR="0091160B" w:rsidRPr="008A7960" w14:paraId="757FAD63" w14:textId="77777777" w:rsidTr="00BA219D">
        <w:trPr>
          <w:cnfStyle w:val="100000000000" w:firstRow="1" w:lastRow="0" w:firstColumn="0" w:lastColumn="0" w:oddVBand="0" w:evenVBand="0" w:oddHBand="0" w:evenHBand="0" w:firstRowFirstColumn="0" w:firstRowLastColumn="0" w:lastRowFirstColumn="0" w:lastRowLastColumn="0"/>
          <w:trHeight w:val="397"/>
        </w:trPr>
        <w:tc>
          <w:tcPr>
            <w:cnfStyle w:val="001000000100" w:firstRow="0" w:lastRow="0" w:firstColumn="1" w:lastColumn="0" w:oddVBand="0" w:evenVBand="0" w:oddHBand="0" w:evenHBand="0" w:firstRowFirstColumn="1" w:firstRowLastColumn="0" w:lastRowFirstColumn="0" w:lastRowLastColumn="0"/>
            <w:tcW w:w="2552" w:type="dxa"/>
            <w:tcBorders>
              <w:right w:val="single" w:sz="4" w:space="0" w:color="auto"/>
            </w:tcBorders>
            <w:noWrap/>
            <w:vAlign w:val="center"/>
            <w:hideMark/>
          </w:tcPr>
          <w:p w14:paraId="135E3448" w14:textId="77777777" w:rsidR="0091160B" w:rsidRPr="008A7960" w:rsidRDefault="0091160B" w:rsidP="00BA219D">
            <w:pPr>
              <w:spacing w:line="240" w:lineRule="auto"/>
              <w:jc w:val="center"/>
              <w:rPr>
                <w:rFonts w:ascii="Times" w:eastAsia="Times New Roman" w:hAnsi="Times"/>
                <w:lang w:eastAsia="en-GB"/>
              </w:rPr>
            </w:pPr>
          </w:p>
        </w:tc>
        <w:tc>
          <w:tcPr>
            <w:tcW w:w="1985" w:type="dxa"/>
            <w:tcBorders>
              <w:left w:val="single" w:sz="4" w:space="0" w:color="auto"/>
            </w:tcBorders>
            <w:noWrap/>
            <w:vAlign w:val="center"/>
            <w:hideMark/>
          </w:tcPr>
          <w:p w14:paraId="20087065"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Hearing difficulty</w:t>
            </w:r>
          </w:p>
        </w:tc>
        <w:tc>
          <w:tcPr>
            <w:tcW w:w="1842" w:type="dxa"/>
            <w:noWrap/>
            <w:vAlign w:val="center"/>
            <w:hideMark/>
          </w:tcPr>
          <w:p w14:paraId="7ECC9C0B"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Hearing aid use</w:t>
            </w:r>
          </w:p>
        </w:tc>
        <w:tc>
          <w:tcPr>
            <w:tcW w:w="1985" w:type="dxa"/>
            <w:noWrap/>
            <w:vAlign w:val="center"/>
            <w:hideMark/>
          </w:tcPr>
          <w:p w14:paraId="0A8B4B89"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Speech-in-noise</w:t>
            </w:r>
          </w:p>
        </w:tc>
        <w:tc>
          <w:tcPr>
            <w:tcW w:w="1624" w:type="dxa"/>
            <w:noWrap/>
            <w:vAlign w:val="center"/>
            <w:hideMark/>
          </w:tcPr>
          <w:p w14:paraId="1CDD6BDD"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Tinnitus</w:t>
            </w:r>
          </w:p>
        </w:tc>
      </w:tr>
      <w:tr w:rsidR="0091160B" w:rsidRPr="008A7960" w14:paraId="0233CBDC" w14:textId="77777777" w:rsidTr="00BA21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552" w:type="dxa"/>
            <w:noWrap/>
            <w:vAlign w:val="center"/>
            <w:hideMark/>
          </w:tcPr>
          <w:p w14:paraId="3E2BA055" w14:textId="77777777" w:rsidR="0091160B" w:rsidRPr="008A7960" w:rsidRDefault="0091160B" w:rsidP="00BA219D">
            <w:pPr>
              <w:spacing w:line="240" w:lineRule="auto"/>
              <w:jc w:val="left"/>
              <w:rPr>
                <w:rFonts w:ascii="Times" w:eastAsia="Times New Roman" w:hAnsi="Times" w:cs="Calibri"/>
                <w:i w:val="0"/>
                <w:iCs w:val="0"/>
                <w:color w:val="000000"/>
                <w:lang w:eastAsia="en-GB"/>
              </w:rPr>
            </w:pPr>
            <w:r w:rsidRPr="008A7960">
              <w:rPr>
                <w:rFonts w:ascii="Times" w:eastAsia="Times New Roman" w:hAnsi="Times" w:cs="Calibri"/>
                <w:i w:val="0"/>
                <w:iCs w:val="0"/>
                <w:color w:val="000000"/>
                <w:lang w:eastAsia="en-GB"/>
              </w:rPr>
              <w:t xml:space="preserve">Total observed scale </w:t>
            </w:r>
            <w:r w:rsidRPr="008A7960">
              <w:rPr>
                <w:rFonts w:ascii="Times" w:eastAsia="Times New Roman" w:hAnsi="Times" w:cs="Calibri"/>
                <w:color w:val="000000"/>
                <w:lang w:eastAsia="en-GB"/>
              </w:rPr>
              <w:t>h</w:t>
            </w:r>
            <w:r w:rsidRPr="008A7960">
              <w:rPr>
                <w:rFonts w:ascii="Times" w:eastAsia="Times New Roman" w:hAnsi="Times" w:cs="Calibri"/>
                <w:color w:val="000000"/>
                <w:vertAlign w:val="superscript"/>
                <w:lang w:eastAsia="en-GB"/>
              </w:rPr>
              <w:t>2</w:t>
            </w:r>
          </w:p>
        </w:tc>
        <w:tc>
          <w:tcPr>
            <w:tcW w:w="1985" w:type="dxa"/>
            <w:noWrap/>
            <w:vAlign w:val="center"/>
            <w:hideMark/>
          </w:tcPr>
          <w:p w14:paraId="2AB2AFF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3.85 ± 0.45%</w:t>
            </w:r>
          </w:p>
        </w:tc>
        <w:tc>
          <w:tcPr>
            <w:tcW w:w="1842" w:type="dxa"/>
            <w:noWrap/>
            <w:vAlign w:val="center"/>
            <w:hideMark/>
          </w:tcPr>
          <w:p w14:paraId="2415CE28"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0.94 ± 0.27%</w:t>
            </w:r>
          </w:p>
        </w:tc>
        <w:tc>
          <w:tcPr>
            <w:tcW w:w="1985" w:type="dxa"/>
            <w:noWrap/>
            <w:vAlign w:val="center"/>
            <w:hideMark/>
          </w:tcPr>
          <w:p w14:paraId="7392A12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3.01 ± 0.98%</w:t>
            </w:r>
          </w:p>
        </w:tc>
        <w:tc>
          <w:tcPr>
            <w:tcW w:w="1624" w:type="dxa"/>
            <w:noWrap/>
            <w:vAlign w:val="center"/>
            <w:hideMark/>
          </w:tcPr>
          <w:p w14:paraId="5B3E5AF2"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1.26 ± 0.29%</w:t>
            </w:r>
          </w:p>
        </w:tc>
      </w:tr>
      <w:tr w:rsidR="0091160B" w:rsidRPr="008A7960" w14:paraId="2B47080E" w14:textId="77777777" w:rsidTr="00BA219D">
        <w:trPr>
          <w:trHeight w:val="397"/>
        </w:trPr>
        <w:tc>
          <w:tcPr>
            <w:cnfStyle w:val="001000000000" w:firstRow="0" w:lastRow="0" w:firstColumn="1" w:lastColumn="0" w:oddVBand="0" w:evenVBand="0" w:oddHBand="0" w:evenHBand="0" w:firstRowFirstColumn="0" w:firstRowLastColumn="0" w:lastRowFirstColumn="0" w:lastRowLastColumn="0"/>
            <w:tcW w:w="2552" w:type="dxa"/>
            <w:noWrap/>
            <w:vAlign w:val="center"/>
            <w:hideMark/>
          </w:tcPr>
          <w:p w14:paraId="18207783" w14:textId="77777777" w:rsidR="0091160B" w:rsidRPr="008A7960" w:rsidRDefault="0091160B" w:rsidP="00BA219D">
            <w:pPr>
              <w:spacing w:line="240" w:lineRule="auto"/>
              <w:jc w:val="left"/>
              <w:rPr>
                <w:rFonts w:ascii="Times" w:eastAsia="Times New Roman" w:hAnsi="Times" w:cs="Calibri"/>
                <w:color w:val="000000"/>
                <w:lang w:eastAsia="en-GB"/>
              </w:rPr>
            </w:pPr>
            <w:r w:rsidRPr="008A7960">
              <w:rPr>
                <w:rFonts w:ascii="Times" w:eastAsia="Times New Roman" w:hAnsi="Times" w:cs="Calibri"/>
                <w:color w:val="000000"/>
                <w:lang w:eastAsia="en-GB"/>
              </w:rPr>
              <w:t>λ</w:t>
            </w:r>
            <w:r w:rsidRPr="008A7960">
              <w:rPr>
                <w:rFonts w:ascii="Times" w:eastAsia="Times New Roman" w:hAnsi="Times" w:cs="Calibri"/>
                <w:color w:val="000000"/>
                <w:vertAlign w:val="subscript"/>
                <w:lang w:eastAsia="en-GB"/>
              </w:rPr>
              <w:t>GC</w:t>
            </w:r>
          </w:p>
        </w:tc>
        <w:tc>
          <w:tcPr>
            <w:tcW w:w="1985" w:type="dxa"/>
            <w:noWrap/>
            <w:vAlign w:val="center"/>
            <w:hideMark/>
          </w:tcPr>
          <w:p w14:paraId="3095A619"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1.24</w:t>
            </w:r>
          </w:p>
        </w:tc>
        <w:tc>
          <w:tcPr>
            <w:tcW w:w="1842" w:type="dxa"/>
            <w:noWrap/>
            <w:vAlign w:val="center"/>
            <w:hideMark/>
          </w:tcPr>
          <w:p w14:paraId="7811DED3"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1.07</w:t>
            </w:r>
          </w:p>
        </w:tc>
        <w:tc>
          <w:tcPr>
            <w:tcW w:w="1985" w:type="dxa"/>
            <w:noWrap/>
            <w:vAlign w:val="center"/>
            <w:hideMark/>
          </w:tcPr>
          <w:p w14:paraId="609E4B5F"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1.08</w:t>
            </w:r>
          </w:p>
        </w:tc>
        <w:tc>
          <w:tcPr>
            <w:tcW w:w="1624" w:type="dxa"/>
            <w:noWrap/>
            <w:vAlign w:val="center"/>
            <w:hideMark/>
          </w:tcPr>
          <w:p w14:paraId="33BE6C21"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1.17</w:t>
            </w:r>
          </w:p>
        </w:tc>
      </w:tr>
      <w:tr w:rsidR="0091160B" w:rsidRPr="008A7960" w14:paraId="0E814C6A" w14:textId="77777777" w:rsidTr="00BA21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552" w:type="dxa"/>
            <w:noWrap/>
            <w:vAlign w:val="center"/>
            <w:hideMark/>
          </w:tcPr>
          <w:p w14:paraId="5F0CC14C" w14:textId="77777777" w:rsidR="0091160B" w:rsidRPr="008A7960" w:rsidRDefault="0091160B" w:rsidP="00BA219D">
            <w:pPr>
              <w:spacing w:line="240" w:lineRule="auto"/>
              <w:jc w:val="left"/>
              <w:rPr>
                <w:rFonts w:ascii="Times" w:eastAsia="Times New Roman" w:hAnsi="Times" w:cs="Calibri"/>
                <w:i w:val="0"/>
                <w:iCs w:val="0"/>
                <w:color w:val="000000"/>
                <w:lang w:eastAsia="en-GB"/>
              </w:rPr>
            </w:pPr>
            <w:r w:rsidRPr="008A7960">
              <w:rPr>
                <w:rFonts w:ascii="Times" w:eastAsia="Times New Roman" w:hAnsi="Times" w:cs="Calibri"/>
                <w:i w:val="0"/>
                <w:iCs w:val="0"/>
                <w:color w:val="000000"/>
                <w:lang w:eastAsia="en-GB"/>
              </w:rPr>
              <w:t xml:space="preserve">Mean </w:t>
            </w:r>
            <w:r w:rsidRPr="008A7960">
              <w:rPr>
                <w:rFonts w:ascii="Times" w:hAnsi="Times"/>
              </w:rPr>
              <w:t>χ</w:t>
            </w:r>
            <w:r w:rsidRPr="008A7960">
              <w:rPr>
                <w:rFonts w:ascii="Times" w:hAnsi="Times"/>
                <w:vertAlign w:val="superscript"/>
              </w:rPr>
              <w:t>2</w:t>
            </w:r>
          </w:p>
        </w:tc>
        <w:tc>
          <w:tcPr>
            <w:tcW w:w="1985" w:type="dxa"/>
            <w:noWrap/>
            <w:vAlign w:val="center"/>
            <w:hideMark/>
          </w:tcPr>
          <w:p w14:paraId="07607401"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1.31</w:t>
            </w:r>
          </w:p>
        </w:tc>
        <w:tc>
          <w:tcPr>
            <w:tcW w:w="1842" w:type="dxa"/>
            <w:noWrap/>
            <w:vAlign w:val="center"/>
            <w:hideMark/>
          </w:tcPr>
          <w:p w14:paraId="1A4EF35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1.09</w:t>
            </w:r>
          </w:p>
        </w:tc>
        <w:tc>
          <w:tcPr>
            <w:tcW w:w="1985" w:type="dxa"/>
            <w:noWrap/>
            <w:vAlign w:val="center"/>
            <w:hideMark/>
          </w:tcPr>
          <w:p w14:paraId="61DA84E2"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1.09</w:t>
            </w:r>
          </w:p>
        </w:tc>
        <w:tc>
          <w:tcPr>
            <w:tcW w:w="1624" w:type="dxa"/>
            <w:noWrap/>
            <w:vAlign w:val="center"/>
            <w:hideMark/>
          </w:tcPr>
          <w:p w14:paraId="1728ACF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1.17</w:t>
            </w:r>
          </w:p>
        </w:tc>
      </w:tr>
      <w:tr w:rsidR="0091160B" w:rsidRPr="008A7960" w14:paraId="79B11C18" w14:textId="77777777" w:rsidTr="00BA219D">
        <w:trPr>
          <w:trHeight w:val="397"/>
        </w:trPr>
        <w:tc>
          <w:tcPr>
            <w:cnfStyle w:val="001000000000" w:firstRow="0" w:lastRow="0" w:firstColumn="1" w:lastColumn="0" w:oddVBand="0" w:evenVBand="0" w:oddHBand="0" w:evenHBand="0" w:firstRowFirstColumn="0" w:firstRowLastColumn="0" w:lastRowFirstColumn="0" w:lastRowLastColumn="0"/>
            <w:tcW w:w="2552" w:type="dxa"/>
            <w:noWrap/>
            <w:vAlign w:val="center"/>
            <w:hideMark/>
          </w:tcPr>
          <w:p w14:paraId="115D4492" w14:textId="77777777" w:rsidR="0091160B" w:rsidRPr="008A7960" w:rsidRDefault="0091160B" w:rsidP="00BA219D">
            <w:pPr>
              <w:spacing w:line="240" w:lineRule="auto"/>
              <w:jc w:val="left"/>
              <w:rPr>
                <w:rFonts w:ascii="Times" w:eastAsia="Times New Roman" w:hAnsi="Times" w:cs="Calibri"/>
                <w:i w:val="0"/>
                <w:iCs w:val="0"/>
                <w:color w:val="000000"/>
                <w:lang w:eastAsia="en-GB"/>
              </w:rPr>
            </w:pPr>
            <w:r w:rsidRPr="008A7960">
              <w:rPr>
                <w:rFonts w:ascii="Times" w:eastAsia="Times New Roman" w:hAnsi="Times" w:cs="Calibri"/>
                <w:i w:val="0"/>
                <w:iCs w:val="0"/>
                <w:color w:val="000000"/>
                <w:lang w:eastAsia="en-GB"/>
              </w:rPr>
              <w:t>LD regression intercept</w:t>
            </w:r>
          </w:p>
        </w:tc>
        <w:tc>
          <w:tcPr>
            <w:tcW w:w="1985" w:type="dxa"/>
            <w:noWrap/>
            <w:vAlign w:val="center"/>
            <w:hideMark/>
          </w:tcPr>
          <w:p w14:paraId="421C4225"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1.03 ± 0.02</w:t>
            </w:r>
          </w:p>
        </w:tc>
        <w:tc>
          <w:tcPr>
            <w:tcW w:w="1842" w:type="dxa"/>
            <w:noWrap/>
            <w:vAlign w:val="center"/>
            <w:hideMark/>
          </w:tcPr>
          <w:p w14:paraId="51226C9E"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1.02 ± 0.01</w:t>
            </w:r>
          </w:p>
        </w:tc>
        <w:tc>
          <w:tcPr>
            <w:tcW w:w="1985" w:type="dxa"/>
            <w:noWrap/>
            <w:vAlign w:val="center"/>
            <w:hideMark/>
          </w:tcPr>
          <w:p w14:paraId="30ADC7CF"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1.02 ± 0.01</w:t>
            </w:r>
          </w:p>
        </w:tc>
        <w:tc>
          <w:tcPr>
            <w:tcW w:w="1624" w:type="dxa"/>
            <w:noWrap/>
            <w:vAlign w:val="center"/>
            <w:hideMark/>
          </w:tcPr>
          <w:p w14:paraId="15D724F2"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1.08 ± 0.02</w:t>
            </w:r>
          </w:p>
        </w:tc>
      </w:tr>
      <w:tr w:rsidR="0091160B" w:rsidRPr="008A7960" w14:paraId="40097EB2" w14:textId="77777777" w:rsidTr="00BA21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2552" w:type="dxa"/>
            <w:tcBorders>
              <w:bottom w:val="single" w:sz="4" w:space="0" w:color="auto"/>
            </w:tcBorders>
            <w:noWrap/>
            <w:vAlign w:val="center"/>
            <w:hideMark/>
          </w:tcPr>
          <w:p w14:paraId="1A8FD02A" w14:textId="77777777" w:rsidR="0091160B" w:rsidRPr="008A7960" w:rsidRDefault="0091160B" w:rsidP="00BA219D">
            <w:pPr>
              <w:spacing w:line="240" w:lineRule="auto"/>
              <w:jc w:val="left"/>
              <w:rPr>
                <w:rFonts w:ascii="Times" w:eastAsia="Times New Roman" w:hAnsi="Times" w:cs="Calibri"/>
                <w:i w:val="0"/>
                <w:iCs w:val="0"/>
                <w:color w:val="000000"/>
                <w:lang w:eastAsia="en-GB"/>
              </w:rPr>
            </w:pPr>
            <w:r w:rsidRPr="008A7960">
              <w:rPr>
                <w:rFonts w:ascii="Times" w:eastAsia="Times New Roman" w:hAnsi="Times" w:cs="Calibri"/>
                <w:i w:val="0"/>
                <w:iCs w:val="0"/>
                <w:color w:val="000000"/>
                <w:lang w:eastAsia="en-GB"/>
              </w:rPr>
              <w:t>Ratio</w:t>
            </w:r>
          </w:p>
        </w:tc>
        <w:tc>
          <w:tcPr>
            <w:tcW w:w="1985" w:type="dxa"/>
            <w:tcBorders>
              <w:bottom w:val="single" w:sz="4" w:space="0" w:color="auto"/>
            </w:tcBorders>
            <w:noWrap/>
            <w:vAlign w:val="center"/>
            <w:hideMark/>
          </w:tcPr>
          <w:p w14:paraId="1A319016"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11 ± 5%</w:t>
            </w:r>
          </w:p>
        </w:tc>
        <w:tc>
          <w:tcPr>
            <w:tcW w:w="1842" w:type="dxa"/>
            <w:tcBorders>
              <w:bottom w:val="single" w:sz="4" w:space="0" w:color="auto"/>
            </w:tcBorders>
            <w:noWrap/>
            <w:vAlign w:val="center"/>
            <w:hideMark/>
          </w:tcPr>
          <w:p w14:paraId="7A7151A3"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21 ± 15%</w:t>
            </w:r>
          </w:p>
        </w:tc>
        <w:tc>
          <w:tcPr>
            <w:tcW w:w="1985" w:type="dxa"/>
            <w:tcBorders>
              <w:bottom w:val="single" w:sz="4" w:space="0" w:color="auto"/>
            </w:tcBorders>
            <w:noWrap/>
            <w:vAlign w:val="center"/>
            <w:hideMark/>
          </w:tcPr>
          <w:p w14:paraId="6855DC83"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23 ± 16%</w:t>
            </w:r>
          </w:p>
        </w:tc>
        <w:tc>
          <w:tcPr>
            <w:tcW w:w="1624" w:type="dxa"/>
            <w:tcBorders>
              <w:bottom w:val="single" w:sz="4" w:space="0" w:color="auto"/>
            </w:tcBorders>
            <w:noWrap/>
            <w:vAlign w:val="center"/>
            <w:hideMark/>
          </w:tcPr>
          <w:p w14:paraId="40F988FF"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46 ± 9%</w:t>
            </w:r>
          </w:p>
        </w:tc>
      </w:tr>
    </w:tbl>
    <w:p w14:paraId="474E4742" w14:textId="77777777" w:rsidR="0091160B" w:rsidRPr="009F7910" w:rsidRDefault="0091160B" w:rsidP="0091160B">
      <w:pPr>
        <w:spacing w:after="120" w:line="240" w:lineRule="auto"/>
        <w:ind w:right="3037"/>
        <w:rPr>
          <w:rFonts w:ascii="Times" w:hAnsi="Times"/>
          <w:sz w:val="22"/>
          <w:szCs w:val="22"/>
        </w:rPr>
      </w:pPr>
      <w:r w:rsidRPr="009F7910">
        <w:rPr>
          <w:rFonts w:ascii="Times" w:hAnsi="Times"/>
          <w:sz w:val="22"/>
          <w:szCs w:val="22"/>
        </w:rPr>
        <w:t xml:space="preserve">Observed scale heritability </w:t>
      </w:r>
      <w:r w:rsidRPr="009F7910">
        <w:rPr>
          <w:rFonts w:ascii="Times" w:hAnsi="Times"/>
          <w:i/>
          <w:iCs/>
          <w:sz w:val="22"/>
          <w:szCs w:val="22"/>
        </w:rPr>
        <w:t>(h</w:t>
      </w:r>
      <w:r w:rsidRPr="009F7910">
        <w:rPr>
          <w:rFonts w:ascii="Times" w:hAnsi="Times"/>
          <w:i/>
          <w:iCs/>
          <w:sz w:val="22"/>
          <w:szCs w:val="22"/>
          <w:vertAlign w:val="superscript"/>
        </w:rPr>
        <w:t>2</w:t>
      </w:r>
      <w:r w:rsidRPr="009F7910">
        <w:rPr>
          <w:rFonts w:ascii="Times" w:hAnsi="Times"/>
          <w:i/>
          <w:iCs/>
          <w:sz w:val="22"/>
          <w:szCs w:val="22"/>
        </w:rPr>
        <w:t>)</w:t>
      </w:r>
      <w:r w:rsidRPr="009F7910">
        <w:rPr>
          <w:rFonts w:ascii="Times" w:hAnsi="Times"/>
          <w:sz w:val="22"/>
          <w:szCs w:val="22"/>
        </w:rPr>
        <w:t xml:space="preserve"> corresponds to the proportion of the variance in the trait that can be attributed to genetic factors. </w:t>
      </w:r>
      <w:r w:rsidRPr="009F7910">
        <w:rPr>
          <w:rFonts w:ascii="Times" w:eastAsia="Times New Roman" w:hAnsi="Times" w:cs="Calibri"/>
          <w:i/>
          <w:iCs/>
          <w:color w:val="000000"/>
          <w:sz w:val="22"/>
          <w:szCs w:val="22"/>
          <w:lang w:eastAsia="en-GB"/>
        </w:rPr>
        <w:t>λ</w:t>
      </w:r>
      <w:r w:rsidRPr="009F7910">
        <w:rPr>
          <w:rFonts w:ascii="Times" w:eastAsia="Times New Roman" w:hAnsi="Times" w:cs="Calibri"/>
          <w:i/>
          <w:iCs/>
          <w:color w:val="000000"/>
          <w:sz w:val="22"/>
          <w:szCs w:val="22"/>
          <w:vertAlign w:val="subscript"/>
          <w:lang w:eastAsia="en-GB"/>
        </w:rPr>
        <w:t>GC</w:t>
      </w:r>
      <w:r w:rsidRPr="009F7910">
        <w:rPr>
          <w:rFonts w:ascii="Times" w:hAnsi="Times"/>
          <w:sz w:val="22"/>
          <w:szCs w:val="22"/>
        </w:rPr>
        <w:t xml:space="preserve"> is the genomic control factor. Mean </w:t>
      </w:r>
      <w:r w:rsidRPr="009F7910">
        <w:rPr>
          <w:rFonts w:ascii="Times" w:hAnsi="Times"/>
          <w:i/>
          <w:iCs/>
          <w:sz w:val="22"/>
          <w:szCs w:val="22"/>
        </w:rPr>
        <w:t>χ</w:t>
      </w:r>
      <w:r w:rsidRPr="009F7910">
        <w:rPr>
          <w:rFonts w:ascii="Times" w:hAnsi="Times"/>
          <w:i/>
          <w:iCs/>
          <w:sz w:val="22"/>
          <w:szCs w:val="22"/>
          <w:vertAlign w:val="superscript"/>
        </w:rPr>
        <w:t>2</w:t>
      </w:r>
      <w:r w:rsidRPr="009F7910">
        <w:rPr>
          <w:rFonts w:ascii="Times" w:hAnsi="Times"/>
          <w:sz w:val="22"/>
          <w:szCs w:val="22"/>
        </w:rPr>
        <w:t xml:space="preserve"> represents the mean of the </w:t>
      </w:r>
      <w:r w:rsidRPr="009F7910">
        <w:rPr>
          <w:rFonts w:ascii="Times" w:hAnsi="Times"/>
          <w:i/>
          <w:iCs/>
          <w:sz w:val="22"/>
          <w:szCs w:val="22"/>
        </w:rPr>
        <w:t>χ</w:t>
      </w:r>
      <w:r w:rsidRPr="009F7910">
        <w:rPr>
          <w:rFonts w:ascii="Times" w:hAnsi="Times"/>
          <w:i/>
          <w:iCs/>
          <w:sz w:val="22"/>
          <w:szCs w:val="22"/>
          <w:vertAlign w:val="superscript"/>
        </w:rPr>
        <w:t>2</w:t>
      </w:r>
      <w:r w:rsidRPr="009F7910">
        <w:rPr>
          <w:rFonts w:ascii="Times" w:hAnsi="Times"/>
          <w:sz w:val="22"/>
          <w:szCs w:val="22"/>
        </w:rPr>
        <w:t xml:space="preserve"> statistics for all variants that were tested for association in the GWAS. One minus the intercept of the </w:t>
      </w:r>
      <w:r w:rsidRPr="009F7910">
        <w:rPr>
          <w:rFonts w:ascii="Times" w:hAnsi="Times"/>
          <w:i/>
          <w:iCs/>
          <w:sz w:val="22"/>
          <w:szCs w:val="22"/>
        </w:rPr>
        <w:t>χ</w:t>
      </w:r>
      <w:r w:rsidRPr="009F7910">
        <w:rPr>
          <w:rFonts w:ascii="Times" w:hAnsi="Times"/>
          <w:i/>
          <w:iCs/>
          <w:sz w:val="22"/>
          <w:szCs w:val="22"/>
          <w:vertAlign w:val="superscript"/>
        </w:rPr>
        <w:t>2</w:t>
      </w:r>
      <w:r w:rsidRPr="009F7910">
        <w:rPr>
          <w:rFonts w:ascii="Times" w:hAnsi="Times"/>
          <w:sz w:val="22"/>
          <w:szCs w:val="22"/>
        </w:rPr>
        <w:t xml:space="preserve"> statistics regressed against the LD score (LD score regression) provides an estimate of the mean contribution of the confounding bias in the test statistic. This can be presented as a ratio or the proportion of the </w:t>
      </w:r>
      <w:r w:rsidRPr="009F7910">
        <w:rPr>
          <w:rFonts w:ascii="Times" w:hAnsi="Times"/>
          <w:i/>
          <w:iCs/>
          <w:sz w:val="22"/>
          <w:szCs w:val="22"/>
        </w:rPr>
        <w:t>χ</w:t>
      </w:r>
      <w:r w:rsidRPr="009F7910">
        <w:rPr>
          <w:rFonts w:ascii="Times" w:hAnsi="Times"/>
          <w:i/>
          <w:iCs/>
          <w:sz w:val="22"/>
          <w:szCs w:val="22"/>
          <w:vertAlign w:val="superscript"/>
        </w:rPr>
        <w:t>2</w:t>
      </w:r>
      <w:r w:rsidRPr="009F7910">
        <w:rPr>
          <w:rFonts w:ascii="Times" w:hAnsi="Times"/>
          <w:sz w:val="22"/>
          <w:szCs w:val="22"/>
        </w:rPr>
        <w:t xml:space="preserve"> statistic that the LD score regression intercept ascribes to causes other than polygenic heritability (Ratio = LD intercept-1)/(mean</w:t>
      </w:r>
      <w:r w:rsidRPr="009F7910">
        <w:rPr>
          <w:rFonts w:ascii="Times" w:hAnsi="Times"/>
          <w:i/>
          <w:iCs/>
          <w:sz w:val="22"/>
          <w:szCs w:val="22"/>
        </w:rPr>
        <w:t>(χ</w:t>
      </w:r>
      <w:r w:rsidRPr="009F7910">
        <w:rPr>
          <w:rFonts w:ascii="Times" w:hAnsi="Times"/>
          <w:i/>
          <w:iCs/>
          <w:sz w:val="22"/>
          <w:szCs w:val="22"/>
          <w:vertAlign w:val="superscript"/>
        </w:rPr>
        <w:t>2</w:t>
      </w:r>
      <w:r w:rsidRPr="009F7910">
        <w:rPr>
          <w:rFonts w:ascii="Times" w:hAnsi="Times"/>
          <w:i/>
          <w:iCs/>
          <w:sz w:val="22"/>
          <w:szCs w:val="22"/>
        </w:rPr>
        <w:t>)</w:t>
      </w:r>
      <w:r w:rsidRPr="009F7910">
        <w:rPr>
          <w:rFonts w:ascii="Times" w:hAnsi="Times"/>
          <w:sz w:val="22"/>
          <w:szCs w:val="22"/>
        </w:rPr>
        <w:t xml:space="preserve">-1). </w:t>
      </w:r>
    </w:p>
    <w:p w14:paraId="21108B97" w14:textId="77777777" w:rsidR="0091160B" w:rsidRPr="008A7960" w:rsidRDefault="0091160B" w:rsidP="0091160B">
      <w:pPr>
        <w:rPr>
          <w:rFonts w:ascii="Times" w:hAnsi="Times"/>
          <w:b/>
          <w:bCs/>
        </w:rPr>
      </w:pPr>
      <w:r w:rsidRPr="008A7960">
        <w:rPr>
          <w:rFonts w:ascii="Times" w:hAnsi="Times"/>
          <w:b/>
          <w:bCs/>
        </w:rPr>
        <w:br w:type="page"/>
      </w:r>
    </w:p>
    <w:p w14:paraId="12C7E6D1" w14:textId="77777777" w:rsidR="0091160B" w:rsidRPr="008A7960" w:rsidRDefault="0091160B" w:rsidP="0091160B">
      <w:pPr>
        <w:spacing w:line="240" w:lineRule="auto"/>
        <w:ind w:left="-270" w:right="-360"/>
        <w:rPr>
          <w:rFonts w:ascii="Times" w:hAnsi="Times"/>
        </w:rPr>
      </w:pPr>
      <w:r w:rsidRPr="008A7960">
        <w:rPr>
          <w:rFonts w:ascii="Times" w:hAnsi="Times"/>
          <w:b/>
          <w:bCs/>
        </w:rPr>
        <w:lastRenderedPageBreak/>
        <w:t xml:space="preserve">Table 3. </w:t>
      </w:r>
      <w:r w:rsidRPr="008A7960">
        <w:rPr>
          <w:rFonts w:ascii="Times" w:hAnsi="Times"/>
        </w:rPr>
        <w:t xml:space="preserve">Brief description of the literature for genes within genetic loci that were associated with hearing-related traits in the UK Biobank. </w:t>
      </w:r>
    </w:p>
    <w:tbl>
      <w:tblPr>
        <w:tblStyle w:val="ListTable1Light"/>
        <w:tblW w:w="14816" w:type="dxa"/>
        <w:tblInd w:w="-270" w:type="dxa"/>
        <w:tblLayout w:type="fixed"/>
        <w:tblLook w:val="04A0" w:firstRow="1" w:lastRow="0" w:firstColumn="1" w:lastColumn="0" w:noHBand="0" w:noVBand="1"/>
      </w:tblPr>
      <w:tblGrid>
        <w:gridCol w:w="1350"/>
        <w:gridCol w:w="630"/>
        <w:gridCol w:w="1620"/>
        <w:gridCol w:w="1350"/>
        <w:gridCol w:w="1440"/>
        <w:gridCol w:w="1440"/>
        <w:gridCol w:w="5704"/>
        <w:gridCol w:w="56"/>
        <w:gridCol w:w="82"/>
        <w:gridCol w:w="1144"/>
      </w:tblGrid>
      <w:tr w:rsidR="0091160B" w:rsidRPr="008A7960" w14:paraId="59ECC851" w14:textId="77777777" w:rsidTr="00BA219D">
        <w:trPr>
          <w:gridAfter w:val="2"/>
          <w:cnfStyle w:val="100000000000" w:firstRow="1" w:lastRow="0" w:firstColumn="0" w:lastColumn="0" w:oddVBand="0" w:evenVBand="0" w:oddHBand="0" w:evenHBand="0" w:firstRowFirstColumn="0" w:firstRowLastColumn="0" w:lastRowFirstColumn="0" w:lastRowLastColumn="0"/>
          <w:wAfter w:w="1226" w:type="dxa"/>
          <w:trHeight w:val="320"/>
        </w:trPr>
        <w:tc>
          <w:tcPr>
            <w:cnfStyle w:val="001000000000" w:firstRow="0" w:lastRow="0" w:firstColumn="1" w:lastColumn="0" w:oddVBand="0" w:evenVBand="0" w:oddHBand="0" w:evenHBand="0" w:firstRowFirstColumn="0" w:firstRowLastColumn="0" w:lastRowFirstColumn="0" w:lastRowLastColumn="0"/>
            <w:tcW w:w="1350" w:type="dxa"/>
            <w:vAlign w:val="bottom"/>
          </w:tcPr>
          <w:p w14:paraId="19EE93EE" w14:textId="77777777" w:rsidR="0091160B" w:rsidRPr="008A7960" w:rsidRDefault="0091160B" w:rsidP="00BA219D">
            <w:pPr>
              <w:spacing w:line="240" w:lineRule="auto"/>
              <w:jc w:val="center"/>
              <w:rPr>
                <w:rFonts w:ascii="Times" w:hAnsi="Times" w:cs="Calibri"/>
                <w:color w:val="000000"/>
                <w:sz w:val="20"/>
                <w:szCs w:val="20"/>
              </w:rPr>
            </w:pPr>
            <w:r w:rsidRPr="008A7960">
              <w:rPr>
                <w:rFonts w:ascii="Times" w:hAnsi="Times" w:cs="Calibri"/>
                <w:color w:val="000000"/>
                <w:sz w:val="20"/>
                <w:szCs w:val="20"/>
              </w:rPr>
              <w:t>Lead SNP</w:t>
            </w:r>
          </w:p>
        </w:tc>
        <w:tc>
          <w:tcPr>
            <w:tcW w:w="630" w:type="dxa"/>
            <w:vAlign w:val="bottom"/>
          </w:tcPr>
          <w:p w14:paraId="70ADC72F"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Chr</w:t>
            </w:r>
          </w:p>
        </w:tc>
        <w:tc>
          <w:tcPr>
            <w:tcW w:w="1620" w:type="dxa"/>
            <w:noWrap/>
            <w:vAlign w:val="bottom"/>
            <w:hideMark/>
          </w:tcPr>
          <w:p w14:paraId="55BF38FB"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Position (bps)</w:t>
            </w:r>
          </w:p>
        </w:tc>
        <w:tc>
          <w:tcPr>
            <w:tcW w:w="1350" w:type="dxa"/>
            <w:noWrap/>
            <w:vAlign w:val="bottom"/>
            <w:hideMark/>
          </w:tcPr>
          <w:p w14:paraId="23F9C609"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phenotype</w:t>
            </w:r>
          </w:p>
        </w:tc>
        <w:tc>
          <w:tcPr>
            <w:tcW w:w="1440" w:type="dxa"/>
            <w:noWrap/>
            <w:vAlign w:val="bottom"/>
            <w:hideMark/>
          </w:tcPr>
          <w:p w14:paraId="402EFA5F"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Candidate gene(s)</w:t>
            </w:r>
          </w:p>
        </w:tc>
        <w:tc>
          <w:tcPr>
            <w:tcW w:w="1440" w:type="dxa"/>
            <w:noWrap/>
            <w:vAlign w:val="bottom"/>
            <w:hideMark/>
          </w:tcPr>
          <w:p w14:paraId="6547E3B4"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Non-syndromic deafness locus*</w:t>
            </w:r>
          </w:p>
        </w:tc>
        <w:tc>
          <w:tcPr>
            <w:tcW w:w="5760" w:type="dxa"/>
            <w:gridSpan w:val="2"/>
            <w:vAlign w:val="bottom"/>
          </w:tcPr>
          <w:p w14:paraId="11F75E63" w14:textId="77777777" w:rsidR="0091160B" w:rsidRPr="008A7960" w:rsidRDefault="0091160B" w:rsidP="00BA219D">
            <w:pPr>
              <w:spacing w:line="240" w:lineRule="auto"/>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Brief description of previously published literature</w:t>
            </w:r>
          </w:p>
        </w:tc>
      </w:tr>
      <w:tr w:rsidR="0091160B" w:rsidRPr="008A7960" w14:paraId="3E15BA47" w14:textId="77777777" w:rsidTr="00BA219D">
        <w:trPr>
          <w:gridAfter w:val="2"/>
          <w:cnfStyle w:val="000000100000" w:firstRow="0" w:lastRow="0" w:firstColumn="0" w:lastColumn="0" w:oddVBand="0" w:evenVBand="0" w:oddHBand="1" w:evenHBand="0" w:firstRowFirstColumn="0" w:firstRowLastColumn="0" w:lastRowFirstColumn="0" w:lastRowLastColumn="0"/>
          <w:wAfter w:w="1226" w:type="dxa"/>
          <w:trHeight w:val="32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6BCDA8C9" w14:textId="77777777" w:rsidR="0091160B" w:rsidRPr="008A7960" w:rsidRDefault="0091160B" w:rsidP="00BA219D">
            <w:pPr>
              <w:spacing w:line="240" w:lineRule="auto"/>
              <w:jc w:val="center"/>
              <w:rPr>
                <w:rFonts w:ascii="Times" w:hAnsi="Times" w:cs="Calibri"/>
                <w:b w:val="0"/>
                <w:bCs w:val="0"/>
                <w:color w:val="000000"/>
                <w:sz w:val="20"/>
                <w:szCs w:val="20"/>
              </w:rPr>
            </w:pPr>
            <w:r w:rsidRPr="008A7960">
              <w:rPr>
                <w:rFonts w:ascii="Times" w:hAnsi="Times" w:cs="Calibri"/>
                <w:b w:val="0"/>
                <w:bCs w:val="0"/>
                <w:color w:val="000000"/>
                <w:sz w:val="20"/>
                <w:szCs w:val="20"/>
              </w:rPr>
              <w:t>rs1806319</w:t>
            </w:r>
          </w:p>
        </w:tc>
        <w:tc>
          <w:tcPr>
            <w:tcW w:w="630" w:type="dxa"/>
            <w:vAlign w:val="center"/>
          </w:tcPr>
          <w:p w14:paraId="4BD10D4C"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11</w:t>
            </w:r>
          </w:p>
        </w:tc>
        <w:tc>
          <w:tcPr>
            <w:tcW w:w="1620" w:type="dxa"/>
            <w:noWrap/>
            <w:vAlign w:val="center"/>
            <w:hideMark/>
          </w:tcPr>
          <w:p w14:paraId="2DF7F434"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88,543,715 - 89,162,175</w:t>
            </w:r>
          </w:p>
        </w:tc>
        <w:tc>
          <w:tcPr>
            <w:tcW w:w="1350" w:type="dxa"/>
            <w:noWrap/>
            <w:vAlign w:val="center"/>
            <w:hideMark/>
          </w:tcPr>
          <w:p w14:paraId="1C602F55"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Hearing difficulty</w:t>
            </w:r>
          </w:p>
        </w:tc>
        <w:tc>
          <w:tcPr>
            <w:tcW w:w="1440" w:type="dxa"/>
            <w:noWrap/>
            <w:vAlign w:val="center"/>
            <w:hideMark/>
          </w:tcPr>
          <w:p w14:paraId="31048B73"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NOX4, TYR</w:t>
            </w:r>
          </w:p>
        </w:tc>
        <w:tc>
          <w:tcPr>
            <w:tcW w:w="1440" w:type="dxa"/>
            <w:noWrap/>
            <w:vAlign w:val="center"/>
            <w:hideMark/>
          </w:tcPr>
          <w:p w14:paraId="16667DC4"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p>
        </w:tc>
        <w:tc>
          <w:tcPr>
            <w:tcW w:w="5760" w:type="dxa"/>
            <w:gridSpan w:val="2"/>
            <w:vAlign w:val="center"/>
          </w:tcPr>
          <w:p w14:paraId="74F38A83" w14:textId="77777777" w:rsidR="0091160B" w:rsidRPr="008A7960" w:rsidRDefault="0091160B" w:rsidP="00BA219D">
            <w:pPr>
              <w:spacing w:line="240" w:lineRule="auto"/>
              <w:cnfStyle w:val="000000100000" w:firstRow="0" w:lastRow="0" w:firstColumn="0" w:lastColumn="0" w:oddVBand="0" w:evenVBand="0" w:oddHBand="1" w:evenHBand="0" w:firstRowFirstColumn="0" w:firstRowLastColumn="0" w:lastRowFirstColumn="0" w:lastRowLastColumn="0"/>
              <w:rPr>
                <w:rFonts w:ascii="Times" w:hAnsi="Times"/>
                <w:sz w:val="20"/>
                <w:szCs w:val="20"/>
                <w:lang w:val="en-GB"/>
              </w:rPr>
            </w:pPr>
            <w:r w:rsidRPr="008A7960">
              <w:rPr>
                <w:rFonts w:ascii="Times" w:hAnsi="Times"/>
                <w:i/>
                <w:sz w:val="20"/>
                <w:szCs w:val="20"/>
                <w:lang w:val="en-GB"/>
              </w:rPr>
              <w:t>TYR</w:t>
            </w:r>
            <w:r w:rsidRPr="008A7960">
              <w:rPr>
                <w:rFonts w:ascii="Times" w:hAnsi="Times"/>
                <w:sz w:val="20"/>
                <w:szCs w:val="20"/>
                <w:lang w:val="en-GB"/>
              </w:rPr>
              <w:t xml:space="preserve"> encodes tyrosinase, which catalyses the rate-limiting step in production of melanin and is expressed in melanocytes. Melanocytes are distributed in the human cochlea </w:t>
            </w:r>
            <w:r>
              <w:rPr>
                <w:rFonts w:ascii="Times" w:hAnsi="Times"/>
                <w:noProof/>
                <w:sz w:val="20"/>
                <w:szCs w:val="20"/>
                <w:lang w:val="en-GB"/>
              </w:rPr>
              <w:t>[10]</w:t>
            </w:r>
            <w:r>
              <w:rPr>
                <w:rFonts w:ascii="Times" w:hAnsi="Times"/>
                <w:sz w:val="20"/>
                <w:szCs w:val="20"/>
                <w:lang w:val="en-GB"/>
              </w:rPr>
              <w:t xml:space="preserve"> </w:t>
            </w:r>
            <w:r w:rsidRPr="008A7960">
              <w:rPr>
                <w:rFonts w:ascii="Times" w:hAnsi="Times"/>
                <w:sz w:val="20"/>
                <w:szCs w:val="20"/>
                <w:lang w:val="en-GB"/>
              </w:rPr>
              <w:t xml:space="preserve">and melanin or its precursors has been suggested to protect against age-related or noise-induced hearing loss, potentially by acting as a scavenger of reactive oxygen species (ROS) </w:t>
            </w:r>
            <w:r>
              <w:rPr>
                <w:noProof/>
                <w:color w:val="000000"/>
                <w:sz w:val="20"/>
                <w:szCs w:val="20"/>
              </w:rPr>
              <w:t>[11]</w:t>
            </w:r>
            <w:r w:rsidRPr="008A7960">
              <w:rPr>
                <w:rFonts w:ascii="Times" w:hAnsi="Times"/>
                <w:sz w:val="20"/>
                <w:szCs w:val="20"/>
                <w:lang w:val="en-GB"/>
              </w:rPr>
              <w:t xml:space="preserve">. </w:t>
            </w:r>
            <w:r w:rsidRPr="008A7960">
              <w:rPr>
                <w:rFonts w:ascii="Times" w:hAnsi="Times"/>
                <w:i/>
                <w:sz w:val="20"/>
                <w:szCs w:val="20"/>
                <w:lang w:val="en-GB"/>
              </w:rPr>
              <w:t>NOX4</w:t>
            </w:r>
            <w:r w:rsidRPr="008A7960">
              <w:rPr>
                <w:rFonts w:ascii="Times" w:hAnsi="Times"/>
                <w:sz w:val="20"/>
                <w:szCs w:val="20"/>
                <w:lang w:val="en-GB"/>
              </w:rPr>
              <w:t xml:space="preserve"> encodes NADPH oxidase 4, which is a constitutively active producer of ROS. Studies in NOX4-transgenic mice revealed higher vulnerability to noise-induced hearing loss</w:t>
            </w:r>
            <w:r>
              <w:rPr>
                <w:color w:val="000000"/>
                <w:sz w:val="20"/>
                <w:szCs w:val="20"/>
              </w:rPr>
              <w:t xml:space="preserve"> </w:t>
            </w:r>
            <w:r>
              <w:rPr>
                <w:noProof/>
                <w:color w:val="000000"/>
                <w:sz w:val="20"/>
                <w:szCs w:val="20"/>
              </w:rPr>
              <w:t>[12]</w:t>
            </w:r>
            <w:r w:rsidRPr="008A7960">
              <w:rPr>
                <w:rFonts w:ascii="Times" w:hAnsi="Times"/>
                <w:sz w:val="20"/>
                <w:szCs w:val="20"/>
                <w:lang w:val="en-GB"/>
              </w:rPr>
              <w:t>.</w:t>
            </w:r>
          </w:p>
        </w:tc>
      </w:tr>
      <w:tr w:rsidR="0091160B" w:rsidRPr="008A7960" w14:paraId="6E0C0622" w14:textId="77777777" w:rsidTr="00BA219D">
        <w:trPr>
          <w:gridAfter w:val="2"/>
          <w:wAfter w:w="1226" w:type="dxa"/>
          <w:trHeight w:val="32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629804D7" w14:textId="77777777" w:rsidR="0091160B" w:rsidRPr="008A7960" w:rsidRDefault="0091160B" w:rsidP="00BA219D">
            <w:pPr>
              <w:spacing w:line="240" w:lineRule="auto"/>
              <w:jc w:val="center"/>
              <w:rPr>
                <w:rFonts w:ascii="Times" w:hAnsi="Times" w:cs="Calibri"/>
                <w:b w:val="0"/>
                <w:bCs w:val="0"/>
                <w:color w:val="000000"/>
                <w:sz w:val="20"/>
                <w:szCs w:val="20"/>
              </w:rPr>
            </w:pPr>
            <w:r w:rsidRPr="008A7960">
              <w:rPr>
                <w:rFonts w:ascii="Times" w:hAnsi="Times" w:cs="Calibri"/>
                <w:b w:val="0"/>
                <w:bCs w:val="0"/>
                <w:color w:val="000000"/>
                <w:sz w:val="20"/>
                <w:szCs w:val="20"/>
              </w:rPr>
              <w:t>rs9493627</w:t>
            </w:r>
          </w:p>
        </w:tc>
        <w:tc>
          <w:tcPr>
            <w:tcW w:w="630" w:type="dxa"/>
            <w:vAlign w:val="center"/>
          </w:tcPr>
          <w:p w14:paraId="7CFE9E25"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6</w:t>
            </w:r>
          </w:p>
        </w:tc>
        <w:tc>
          <w:tcPr>
            <w:tcW w:w="1620" w:type="dxa"/>
            <w:noWrap/>
            <w:vAlign w:val="center"/>
            <w:hideMark/>
          </w:tcPr>
          <w:p w14:paraId="4F05DCD0"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133,789,728 - 133,836,188</w:t>
            </w:r>
          </w:p>
        </w:tc>
        <w:tc>
          <w:tcPr>
            <w:tcW w:w="1350" w:type="dxa"/>
            <w:noWrap/>
            <w:vAlign w:val="center"/>
            <w:hideMark/>
          </w:tcPr>
          <w:p w14:paraId="2EF4FCA4"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Hearing difficulty, Hearing aid</w:t>
            </w:r>
          </w:p>
        </w:tc>
        <w:tc>
          <w:tcPr>
            <w:tcW w:w="1440" w:type="dxa"/>
            <w:noWrap/>
            <w:vAlign w:val="center"/>
            <w:hideMark/>
          </w:tcPr>
          <w:p w14:paraId="078CFAB2"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EYA4</w:t>
            </w:r>
          </w:p>
        </w:tc>
        <w:tc>
          <w:tcPr>
            <w:tcW w:w="1440" w:type="dxa"/>
            <w:noWrap/>
            <w:vAlign w:val="center"/>
            <w:hideMark/>
          </w:tcPr>
          <w:p w14:paraId="467A2D58"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DFNA10</w:t>
            </w:r>
            <w:r>
              <w:rPr>
                <w:color w:val="000000"/>
                <w:sz w:val="20"/>
                <w:szCs w:val="20"/>
              </w:rPr>
              <w:t xml:space="preserve"> </w:t>
            </w:r>
            <w:r>
              <w:rPr>
                <w:noProof/>
                <w:color w:val="000000"/>
                <w:sz w:val="20"/>
                <w:szCs w:val="20"/>
              </w:rPr>
              <w:t>[13]</w:t>
            </w:r>
          </w:p>
        </w:tc>
        <w:tc>
          <w:tcPr>
            <w:tcW w:w="5760" w:type="dxa"/>
            <w:gridSpan w:val="2"/>
            <w:vAlign w:val="center"/>
          </w:tcPr>
          <w:p w14:paraId="582A6907" w14:textId="77777777" w:rsidR="0091160B" w:rsidRPr="008A7960" w:rsidRDefault="0091160B" w:rsidP="00BA219D">
            <w:pPr>
              <w:spacing w:line="240" w:lineRule="auto"/>
              <w:cnfStyle w:val="000000000000" w:firstRow="0" w:lastRow="0" w:firstColumn="0" w:lastColumn="0" w:oddVBand="0" w:evenVBand="0" w:oddHBand="0" w:evenHBand="0" w:firstRowFirstColumn="0" w:firstRowLastColumn="0" w:lastRowFirstColumn="0" w:lastRowLastColumn="0"/>
              <w:rPr>
                <w:rFonts w:ascii="Times" w:hAnsi="Times" w:cstheme="minorHAnsi"/>
                <w:color w:val="000000" w:themeColor="text1"/>
                <w:sz w:val="20"/>
                <w:szCs w:val="20"/>
                <w:shd w:val="clear" w:color="auto" w:fill="FFFFFF"/>
              </w:rPr>
            </w:pPr>
            <w:r w:rsidRPr="008A7960">
              <w:rPr>
                <w:rFonts w:ascii="Times" w:hAnsi="Times" w:cstheme="minorHAnsi"/>
                <w:color w:val="000000" w:themeColor="text1"/>
                <w:sz w:val="20"/>
                <w:szCs w:val="20"/>
                <w:lang w:val="en-GB"/>
              </w:rPr>
              <w:t xml:space="preserve">Mutations in </w:t>
            </w:r>
            <w:r w:rsidRPr="008A7960">
              <w:rPr>
                <w:rFonts w:ascii="Times" w:hAnsi="Times" w:cstheme="minorHAnsi"/>
                <w:i/>
                <w:color w:val="000000" w:themeColor="text1"/>
                <w:sz w:val="20"/>
                <w:szCs w:val="20"/>
                <w:lang w:val="en-GB"/>
              </w:rPr>
              <w:t>EYA4</w:t>
            </w:r>
            <w:r w:rsidRPr="008A7960">
              <w:rPr>
                <w:rFonts w:ascii="Times" w:hAnsi="Times" w:cstheme="minorHAnsi"/>
                <w:color w:val="000000" w:themeColor="text1"/>
                <w:sz w:val="20"/>
                <w:szCs w:val="20"/>
                <w:lang w:val="en-GB"/>
              </w:rPr>
              <w:t xml:space="preserve"> have been frequently associated with late-onset hearing loss</w:t>
            </w:r>
            <w:r>
              <w:rPr>
                <w:color w:val="000000"/>
                <w:sz w:val="20"/>
                <w:szCs w:val="20"/>
              </w:rPr>
              <w:t xml:space="preserve"> </w:t>
            </w:r>
            <w:r>
              <w:rPr>
                <w:noProof/>
                <w:color w:val="000000"/>
                <w:sz w:val="20"/>
                <w:szCs w:val="20"/>
              </w:rPr>
              <w:t>[13, 14]</w:t>
            </w:r>
            <w:r w:rsidRPr="008A7960">
              <w:rPr>
                <w:rFonts w:ascii="Times" w:hAnsi="Times" w:cstheme="minorHAnsi"/>
                <w:bCs/>
                <w:color w:val="000000" w:themeColor="text1"/>
                <w:sz w:val="20"/>
                <w:szCs w:val="20"/>
                <w:shd w:val="clear" w:color="auto" w:fill="FFFFFF"/>
              </w:rPr>
              <w:t>,</w:t>
            </w:r>
            <w:r w:rsidRPr="008A7960">
              <w:rPr>
                <w:rFonts w:ascii="Times" w:hAnsi="Times" w:cstheme="minorHAnsi"/>
                <w:color w:val="000000" w:themeColor="text1"/>
                <w:sz w:val="20"/>
                <w:szCs w:val="20"/>
              </w:rPr>
              <w:t xml:space="preserve"> hearing impairment </w:t>
            </w:r>
            <w:r>
              <w:rPr>
                <w:noProof/>
                <w:color w:val="000000"/>
                <w:sz w:val="20"/>
                <w:szCs w:val="20"/>
              </w:rPr>
              <w:t>[15]</w:t>
            </w:r>
            <w:r w:rsidRPr="008A7960">
              <w:rPr>
                <w:rFonts w:ascii="Times" w:hAnsi="Times" w:cstheme="minorHAnsi"/>
                <w:color w:val="000000" w:themeColor="text1"/>
                <w:sz w:val="20"/>
                <w:szCs w:val="20"/>
              </w:rPr>
              <w:t>, dilated cardiomyopathy and sensorineural hearing loss</w:t>
            </w:r>
            <w:r>
              <w:rPr>
                <w:color w:val="000000"/>
                <w:sz w:val="20"/>
                <w:szCs w:val="20"/>
              </w:rPr>
              <w:t xml:space="preserve"> </w:t>
            </w:r>
            <w:r>
              <w:rPr>
                <w:noProof/>
                <w:color w:val="000000"/>
                <w:sz w:val="20"/>
                <w:szCs w:val="20"/>
              </w:rPr>
              <w:t>[16]</w:t>
            </w:r>
            <w:r w:rsidRPr="008A7960">
              <w:rPr>
                <w:rFonts w:ascii="Times" w:hAnsi="Times" w:cstheme="minorHAnsi"/>
                <w:color w:val="000000" w:themeColor="text1"/>
                <w:sz w:val="20"/>
                <w:szCs w:val="20"/>
              </w:rPr>
              <w:t>, nonsyndromic hearing loss</w:t>
            </w:r>
            <w:r>
              <w:rPr>
                <w:rFonts w:ascii="Times" w:hAnsi="Times" w:cstheme="minorHAnsi"/>
                <w:color w:val="000000" w:themeColor="text1"/>
                <w:sz w:val="20"/>
                <w:szCs w:val="20"/>
              </w:rPr>
              <w:t xml:space="preserve"> </w:t>
            </w:r>
            <w:r w:rsidRPr="00587AC1">
              <w:rPr>
                <w:color w:val="000000"/>
                <w:sz w:val="20"/>
                <w:lang w:val="en-GB"/>
              </w:rPr>
              <w:t>[17–23]</w:t>
            </w:r>
            <w:r w:rsidRPr="008A7960">
              <w:rPr>
                <w:rFonts w:ascii="Times" w:hAnsi="Times" w:cstheme="minorHAnsi"/>
                <w:bCs/>
                <w:color w:val="000000" w:themeColor="text1"/>
                <w:sz w:val="20"/>
                <w:szCs w:val="20"/>
                <w:shd w:val="clear" w:color="auto" w:fill="FFFFFF"/>
              </w:rPr>
              <w:t>, autosomal dominant middle-frequency sensorineural hearing loss</w:t>
            </w:r>
            <w:r>
              <w:rPr>
                <w:color w:val="000000"/>
                <w:sz w:val="20"/>
                <w:szCs w:val="20"/>
              </w:rPr>
              <w:t xml:space="preserve"> </w:t>
            </w:r>
            <w:r>
              <w:rPr>
                <w:noProof/>
                <w:color w:val="000000"/>
                <w:sz w:val="20"/>
                <w:szCs w:val="20"/>
              </w:rPr>
              <w:t>[24]</w:t>
            </w:r>
            <w:r w:rsidRPr="008A7960">
              <w:rPr>
                <w:rFonts w:ascii="Times" w:hAnsi="Times" w:cstheme="minorHAnsi"/>
                <w:color w:val="000000" w:themeColor="text1"/>
                <w:sz w:val="20"/>
                <w:szCs w:val="20"/>
              </w:rPr>
              <w:t>, noise induced hearing loss</w:t>
            </w:r>
            <w:r>
              <w:rPr>
                <w:color w:val="000000"/>
                <w:sz w:val="20"/>
                <w:szCs w:val="20"/>
              </w:rPr>
              <w:t xml:space="preserve"> </w:t>
            </w:r>
            <w:r w:rsidRPr="00587AC1">
              <w:rPr>
                <w:color w:val="000000"/>
                <w:sz w:val="20"/>
                <w:lang w:val="en-GB"/>
              </w:rPr>
              <w:t>[25–28]</w:t>
            </w:r>
            <w:r w:rsidRPr="008A7960">
              <w:rPr>
                <w:rFonts w:ascii="Times" w:hAnsi="Times" w:cstheme="minorHAnsi"/>
                <w:bCs/>
                <w:color w:val="000000" w:themeColor="text1"/>
                <w:sz w:val="20"/>
                <w:szCs w:val="20"/>
                <w:shd w:val="clear" w:color="auto" w:fill="FFFFFF"/>
              </w:rPr>
              <w:t>, moderate degree hearing loss</w:t>
            </w:r>
            <w:r>
              <w:rPr>
                <w:color w:val="000000"/>
                <w:sz w:val="20"/>
                <w:szCs w:val="20"/>
              </w:rPr>
              <w:t xml:space="preserve"> </w:t>
            </w:r>
            <w:r>
              <w:rPr>
                <w:noProof/>
                <w:color w:val="000000"/>
                <w:sz w:val="20"/>
                <w:szCs w:val="20"/>
              </w:rPr>
              <w:t>[29]</w:t>
            </w:r>
            <w:r w:rsidRPr="008A7960">
              <w:rPr>
                <w:rFonts w:ascii="Times" w:hAnsi="Times" w:cstheme="minorHAnsi"/>
                <w:bCs/>
                <w:color w:val="000000" w:themeColor="text1"/>
                <w:sz w:val="20"/>
                <w:szCs w:val="20"/>
                <w:shd w:val="clear" w:color="auto" w:fill="FFFFFF"/>
              </w:rPr>
              <w:t>, post-lingual hearing loss</w:t>
            </w:r>
            <w:r>
              <w:rPr>
                <w:color w:val="000000"/>
                <w:sz w:val="20"/>
                <w:szCs w:val="20"/>
              </w:rPr>
              <w:t xml:space="preserve"> </w:t>
            </w:r>
            <w:r>
              <w:rPr>
                <w:noProof/>
                <w:color w:val="000000"/>
                <w:sz w:val="20"/>
                <w:szCs w:val="20"/>
              </w:rPr>
              <w:t>[30]</w:t>
            </w:r>
            <w:r w:rsidRPr="008A7960">
              <w:rPr>
                <w:rFonts w:ascii="Times" w:hAnsi="Times" w:cstheme="minorHAnsi"/>
                <w:bCs/>
                <w:color w:val="000000" w:themeColor="text1"/>
                <w:sz w:val="20"/>
                <w:szCs w:val="20"/>
                <w:shd w:val="clear" w:color="auto" w:fill="FFFFFF"/>
              </w:rPr>
              <w:t>, sensorineural hearing loss and mild cardiac phenotype</w:t>
            </w:r>
            <w:r>
              <w:rPr>
                <w:color w:val="000000"/>
                <w:sz w:val="20"/>
                <w:szCs w:val="20"/>
              </w:rPr>
              <w:t xml:space="preserve"> </w:t>
            </w:r>
            <w:r>
              <w:rPr>
                <w:noProof/>
                <w:color w:val="000000"/>
                <w:sz w:val="20"/>
                <w:szCs w:val="20"/>
              </w:rPr>
              <w:t>[31]</w:t>
            </w:r>
            <w:r w:rsidRPr="008A7960">
              <w:rPr>
                <w:rFonts w:ascii="Times" w:hAnsi="Times" w:cstheme="minorHAnsi"/>
                <w:bCs/>
                <w:color w:val="000000" w:themeColor="text1"/>
                <w:sz w:val="20"/>
                <w:szCs w:val="20"/>
                <w:shd w:val="clear" w:color="auto" w:fill="FFFFFF"/>
              </w:rPr>
              <w:t>.</w:t>
            </w:r>
            <w:r w:rsidRPr="008A7960">
              <w:rPr>
                <w:rFonts w:ascii="Times" w:hAnsi="Times" w:cstheme="minorHAnsi"/>
                <w:color w:val="000000" w:themeColor="text1"/>
                <w:sz w:val="20"/>
                <w:szCs w:val="20"/>
              </w:rPr>
              <w:t xml:space="preserve"> </w:t>
            </w:r>
            <w:r w:rsidRPr="008A7960">
              <w:rPr>
                <w:rFonts w:ascii="Times" w:hAnsi="Times" w:cstheme="minorHAnsi"/>
                <w:i/>
                <w:color w:val="000000" w:themeColor="text1"/>
                <w:sz w:val="20"/>
                <w:szCs w:val="20"/>
              </w:rPr>
              <w:t>EYA4</w:t>
            </w:r>
            <w:r w:rsidRPr="008A7960">
              <w:rPr>
                <w:rFonts w:ascii="Times" w:hAnsi="Times" w:cstheme="minorHAnsi"/>
                <w:color w:val="000000" w:themeColor="text1"/>
                <w:sz w:val="20"/>
                <w:szCs w:val="20"/>
              </w:rPr>
              <w:t xml:space="preserve"> functions as a histone phosphatase and has been suggested to play a role in organogenesis (UniProt). Cochlear expression of </w:t>
            </w:r>
            <w:r w:rsidRPr="008A7960">
              <w:rPr>
                <w:rFonts w:ascii="Times" w:hAnsi="Times" w:cstheme="minorHAnsi"/>
                <w:i/>
                <w:color w:val="000000" w:themeColor="text1"/>
                <w:sz w:val="20"/>
                <w:szCs w:val="20"/>
              </w:rPr>
              <w:t>EYA4</w:t>
            </w:r>
            <w:r w:rsidRPr="008A7960">
              <w:rPr>
                <w:rFonts w:ascii="Times" w:hAnsi="Times" w:cstheme="minorHAnsi"/>
                <w:color w:val="000000" w:themeColor="text1"/>
                <w:sz w:val="20"/>
                <w:szCs w:val="20"/>
              </w:rPr>
              <w:t xml:space="preserve"> was mapped in the common marmoset (</w:t>
            </w:r>
            <w:r w:rsidRPr="008A7960">
              <w:rPr>
                <w:rFonts w:ascii="Times" w:hAnsi="Times" w:cstheme="minorHAnsi"/>
                <w:i/>
                <w:color w:val="000000" w:themeColor="text1"/>
                <w:sz w:val="20"/>
                <w:szCs w:val="20"/>
              </w:rPr>
              <w:t>Callithrix jacchus</w:t>
            </w:r>
            <w:r w:rsidRPr="008A7960">
              <w:rPr>
                <w:rFonts w:ascii="Times" w:hAnsi="Times" w:cstheme="minorHAnsi"/>
                <w:color w:val="000000" w:themeColor="text1"/>
                <w:sz w:val="20"/>
                <w:szCs w:val="20"/>
              </w:rPr>
              <w:t>) and showed strong expression in supporting cells, which was diminished in mice</w:t>
            </w:r>
            <w:r>
              <w:rPr>
                <w:color w:val="000000"/>
                <w:sz w:val="20"/>
                <w:szCs w:val="20"/>
              </w:rPr>
              <w:t xml:space="preserve"> </w:t>
            </w:r>
            <w:r>
              <w:rPr>
                <w:noProof/>
                <w:color w:val="000000"/>
                <w:sz w:val="20"/>
                <w:szCs w:val="20"/>
              </w:rPr>
              <w:t>[32]</w:t>
            </w:r>
            <w:r w:rsidRPr="008A7960">
              <w:rPr>
                <w:rFonts w:ascii="Times" w:hAnsi="Times" w:cstheme="minorHAnsi"/>
                <w:color w:val="000000" w:themeColor="text1"/>
                <w:sz w:val="20"/>
                <w:szCs w:val="20"/>
                <w:shd w:val="clear" w:color="auto" w:fill="FFFFFF"/>
              </w:rPr>
              <w:t>.</w:t>
            </w:r>
          </w:p>
        </w:tc>
      </w:tr>
      <w:tr w:rsidR="0091160B" w:rsidRPr="008A7960" w14:paraId="7A301769" w14:textId="77777777" w:rsidTr="00BA219D">
        <w:trPr>
          <w:gridAfter w:val="2"/>
          <w:cnfStyle w:val="000000100000" w:firstRow="0" w:lastRow="0" w:firstColumn="0" w:lastColumn="0" w:oddVBand="0" w:evenVBand="0" w:oddHBand="1" w:evenHBand="0" w:firstRowFirstColumn="0" w:firstRowLastColumn="0" w:lastRowFirstColumn="0" w:lastRowLastColumn="0"/>
          <w:wAfter w:w="1226" w:type="dxa"/>
          <w:trHeight w:val="32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5E544953" w14:textId="77777777" w:rsidR="0091160B" w:rsidRPr="008A7960" w:rsidRDefault="0091160B" w:rsidP="00BA219D">
            <w:pPr>
              <w:spacing w:line="240" w:lineRule="auto"/>
              <w:jc w:val="center"/>
              <w:rPr>
                <w:rFonts w:ascii="Times" w:hAnsi="Times" w:cs="Calibri"/>
                <w:b w:val="0"/>
                <w:bCs w:val="0"/>
                <w:color w:val="000000"/>
                <w:sz w:val="20"/>
                <w:szCs w:val="20"/>
              </w:rPr>
            </w:pPr>
            <w:r w:rsidRPr="008A7960">
              <w:rPr>
                <w:rFonts w:ascii="Times" w:hAnsi="Times" w:cs="Calibri"/>
                <w:b w:val="0"/>
                <w:bCs w:val="0"/>
                <w:color w:val="000000"/>
                <w:sz w:val="20"/>
                <w:szCs w:val="20"/>
              </w:rPr>
              <w:t>rs739138</w:t>
            </w:r>
          </w:p>
        </w:tc>
        <w:tc>
          <w:tcPr>
            <w:tcW w:w="630" w:type="dxa"/>
            <w:vAlign w:val="center"/>
          </w:tcPr>
          <w:p w14:paraId="628DE279"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22</w:t>
            </w:r>
          </w:p>
        </w:tc>
        <w:tc>
          <w:tcPr>
            <w:tcW w:w="1620" w:type="dxa"/>
            <w:noWrap/>
            <w:vAlign w:val="center"/>
            <w:hideMark/>
          </w:tcPr>
          <w:p w14:paraId="78361651"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38,116,507 - 38,157,805</w:t>
            </w:r>
          </w:p>
        </w:tc>
        <w:tc>
          <w:tcPr>
            <w:tcW w:w="1350" w:type="dxa"/>
            <w:noWrap/>
            <w:vAlign w:val="center"/>
            <w:hideMark/>
          </w:tcPr>
          <w:p w14:paraId="4E0323E0"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Hearing difficulty</w:t>
            </w:r>
          </w:p>
        </w:tc>
        <w:tc>
          <w:tcPr>
            <w:tcW w:w="1440" w:type="dxa"/>
            <w:noWrap/>
            <w:vAlign w:val="center"/>
            <w:hideMark/>
          </w:tcPr>
          <w:p w14:paraId="69842B5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TRIOBP</w:t>
            </w:r>
          </w:p>
        </w:tc>
        <w:tc>
          <w:tcPr>
            <w:tcW w:w="1440" w:type="dxa"/>
            <w:noWrap/>
            <w:vAlign w:val="center"/>
            <w:hideMark/>
          </w:tcPr>
          <w:p w14:paraId="0E8019E1"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lang w:val="sv-SE"/>
              </w:rPr>
            </w:pPr>
            <w:r w:rsidRPr="008A7960">
              <w:rPr>
                <w:rFonts w:ascii="Times Roman" w:hAnsi="Times Roman" w:cs="Calibri"/>
                <w:color w:val="000000"/>
                <w:sz w:val="20"/>
                <w:szCs w:val="20"/>
                <w:lang w:val="sv-SE"/>
              </w:rPr>
              <w:t>DFNB28</w:t>
            </w:r>
            <w:r>
              <w:rPr>
                <w:color w:val="000000"/>
                <w:sz w:val="20"/>
                <w:szCs w:val="20"/>
              </w:rPr>
              <w:t xml:space="preserve"> </w:t>
            </w:r>
            <w:r>
              <w:rPr>
                <w:noProof/>
                <w:color w:val="000000"/>
                <w:sz w:val="20"/>
                <w:szCs w:val="20"/>
              </w:rPr>
              <w:t>[33, 34]</w:t>
            </w:r>
          </w:p>
        </w:tc>
        <w:tc>
          <w:tcPr>
            <w:tcW w:w="5760" w:type="dxa"/>
            <w:gridSpan w:val="2"/>
            <w:vAlign w:val="center"/>
          </w:tcPr>
          <w:p w14:paraId="636D7BB7" w14:textId="77777777" w:rsidR="0091160B" w:rsidRPr="008A7960" w:rsidRDefault="0091160B" w:rsidP="00BA219D">
            <w:pPr>
              <w:spacing w:line="240" w:lineRule="auto"/>
              <w:cnfStyle w:val="000000100000" w:firstRow="0" w:lastRow="0" w:firstColumn="0" w:lastColumn="0" w:oddVBand="0" w:evenVBand="0" w:oddHBand="1" w:evenHBand="0" w:firstRowFirstColumn="0" w:firstRowLastColumn="0" w:lastRowFirstColumn="0" w:lastRowLastColumn="0"/>
              <w:rPr>
                <w:rFonts w:ascii="Times" w:hAnsi="Times"/>
                <w:sz w:val="20"/>
                <w:szCs w:val="20"/>
                <w:lang w:val="en-GB"/>
              </w:rPr>
            </w:pPr>
            <w:r w:rsidRPr="008A7960">
              <w:rPr>
                <w:rFonts w:ascii="Times" w:hAnsi="Times"/>
                <w:i/>
                <w:sz w:val="20"/>
                <w:szCs w:val="20"/>
                <w:lang w:val="en-GB"/>
              </w:rPr>
              <w:t>TRIOBP</w:t>
            </w:r>
            <w:r w:rsidRPr="008A7960">
              <w:rPr>
                <w:rFonts w:ascii="Times" w:hAnsi="Times"/>
                <w:sz w:val="20"/>
                <w:szCs w:val="20"/>
                <w:lang w:val="en-GB"/>
              </w:rPr>
              <w:t xml:space="preserve"> has previously been linked to the DFNB28 deafness locus which is associated with recessively inherited, prelingual, profound sensorineural hearing loss</w:t>
            </w:r>
            <w:r>
              <w:rPr>
                <w:color w:val="000000"/>
                <w:sz w:val="20"/>
                <w:szCs w:val="20"/>
              </w:rPr>
              <w:t xml:space="preserve"> </w:t>
            </w:r>
            <w:r>
              <w:rPr>
                <w:noProof/>
                <w:color w:val="000000"/>
                <w:sz w:val="20"/>
                <w:szCs w:val="20"/>
              </w:rPr>
              <w:t>[34]</w:t>
            </w:r>
            <w:r w:rsidRPr="008A7960">
              <w:rPr>
                <w:rFonts w:ascii="Times" w:hAnsi="Times"/>
                <w:sz w:val="20"/>
                <w:szCs w:val="20"/>
                <w:lang w:val="en-GB"/>
              </w:rPr>
              <w:t xml:space="preserve">. Studies have repeatedly identified rare mutations in </w:t>
            </w:r>
            <w:r w:rsidRPr="008A7960">
              <w:rPr>
                <w:rFonts w:ascii="Times" w:hAnsi="Times"/>
                <w:i/>
                <w:sz w:val="20"/>
                <w:szCs w:val="20"/>
                <w:lang w:val="en-GB"/>
              </w:rPr>
              <w:t>TRIOBP</w:t>
            </w:r>
            <w:r w:rsidRPr="008A7960">
              <w:rPr>
                <w:rFonts w:ascii="Times" w:hAnsi="Times"/>
                <w:sz w:val="20"/>
                <w:szCs w:val="20"/>
                <w:lang w:val="en-GB"/>
              </w:rPr>
              <w:t xml:space="preserve"> to be associated with autosomal recessive non-syndromic hearing loss</w:t>
            </w:r>
            <w:r>
              <w:rPr>
                <w:color w:val="000000"/>
                <w:sz w:val="20"/>
                <w:szCs w:val="20"/>
              </w:rPr>
              <w:t xml:space="preserve"> </w:t>
            </w:r>
            <w:r w:rsidRPr="00587AC1">
              <w:rPr>
                <w:color w:val="000000"/>
                <w:sz w:val="20"/>
                <w:lang w:val="en-GB"/>
              </w:rPr>
              <w:t>[35–37]</w:t>
            </w:r>
            <w:r w:rsidRPr="008A7960">
              <w:rPr>
                <w:rFonts w:ascii="Times" w:hAnsi="Times"/>
                <w:sz w:val="20"/>
                <w:szCs w:val="20"/>
                <w:lang w:val="en-GB"/>
              </w:rPr>
              <w:t xml:space="preserve">, sporadic non-syndromic hearing loss </w:t>
            </w:r>
            <w:r>
              <w:rPr>
                <w:noProof/>
                <w:color w:val="000000"/>
                <w:sz w:val="20"/>
                <w:szCs w:val="20"/>
              </w:rPr>
              <w:t>[38]</w:t>
            </w:r>
            <w:r w:rsidRPr="008A7960">
              <w:rPr>
                <w:rFonts w:ascii="Times" w:hAnsi="Times"/>
                <w:sz w:val="20"/>
                <w:szCs w:val="20"/>
                <w:lang w:val="en-GB"/>
              </w:rPr>
              <w:t>, congenital moderate hearing loss</w:t>
            </w:r>
            <w:r>
              <w:rPr>
                <w:rFonts w:ascii="Times" w:hAnsi="Times"/>
                <w:sz w:val="20"/>
                <w:szCs w:val="20"/>
                <w:lang w:val="en-GB"/>
              </w:rPr>
              <w:t xml:space="preserve"> </w:t>
            </w:r>
            <w:r>
              <w:rPr>
                <w:rFonts w:ascii="Times" w:hAnsi="Times"/>
                <w:noProof/>
                <w:sz w:val="20"/>
                <w:szCs w:val="20"/>
                <w:lang w:val="en-GB"/>
              </w:rPr>
              <w:t>[39, 40]</w:t>
            </w:r>
            <w:r>
              <w:rPr>
                <w:rFonts w:ascii="Times" w:hAnsi="Times"/>
                <w:sz w:val="20"/>
                <w:szCs w:val="20"/>
                <w:lang w:val="en-GB"/>
              </w:rPr>
              <w:t xml:space="preserve"> </w:t>
            </w:r>
            <w:r w:rsidRPr="008A7960">
              <w:rPr>
                <w:rFonts w:ascii="Times" w:hAnsi="Times"/>
                <w:sz w:val="20"/>
                <w:szCs w:val="20"/>
                <w:lang w:val="en-GB"/>
              </w:rPr>
              <w:t xml:space="preserve">and non-syndromic deafness </w:t>
            </w:r>
            <w:r>
              <w:rPr>
                <w:noProof/>
                <w:color w:val="000000"/>
                <w:sz w:val="20"/>
                <w:szCs w:val="20"/>
              </w:rPr>
              <w:t>[41]</w:t>
            </w:r>
            <w:r w:rsidRPr="008A7960">
              <w:rPr>
                <w:rFonts w:ascii="Times" w:hAnsi="Times"/>
                <w:sz w:val="20"/>
                <w:szCs w:val="20"/>
                <w:lang w:val="en-GB"/>
              </w:rPr>
              <w:t xml:space="preserve">. TRIOBP is an actin-bundling protein that locates to the stereocilia rootlets in mice, a supportive paracrystalline array of actin filaments that extend from the base of the stereocilia into the hair cell body. Transgenic mice with </w:t>
            </w:r>
            <w:r w:rsidRPr="008A7960">
              <w:rPr>
                <w:rFonts w:ascii="Times" w:hAnsi="Times"/>
                <w:i/>
                <w:sz w:val="20"/>
                <w:szCs w:val="20"/>
                <w:lang w:val="en-GB"/>
              </w:rPr>
              <w:t>Triobp</w:t>
            </w:r>
            <w:r w:rsidRPr="008A7960">
              <w:rPr>
                <w:rFonts w:ascii="Times" w:hAnsi="Times"/>
                <w:sz w:val="20"/>
                <w:szCs w:val="20"/>
                <w:lang w:val="en-GB"/>
              </w:rPr>
              <w:t xml:space="preserve"> defects fail to develop stereocilia rootlets and are deaf </w:t>
            </w:r>
            <w:r>
              <w:rPr>
                <w:noProof/>
                <w:color w:val="000000"/>
                <w:sz w:val="20"/>
                <w:szCs w:val="20"/>
              </w:rPr>
              <w:t>[42]</w:t>
            </w:r>
            <w:r w:rsidRPr="008A7960">
              <w:rPr>
                <w:rFonts w:ascii="Times" w:hAnsi="Times"/>
                <w:sz w:val="20"/>
                <w:szCs w:val="20"/>
                <w:lang w:val="en-GB"/>
              </w:rPr>
              <w:t>.</w:t>
            </w:r>
          </w:p>
        </w:tc>
      </w:tr>
      <w:tr w:rsidR="0091160B" w:rsidRPr="008A7960" w14:paraId="3CE74B08" w14:textId="77777777" w:rsidTr="00BA219D">
        <w:trPr>
          <w:gridAfter w:val="2"/>
          <w:wAfter w:w="1226" w:type="dxa"/>
          <w:trHeight w:val="32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21FF019F" w14:textId="77777777" w:rsidR="0091160B" w:rsidRPr="008A7960" w:rsidRDefault="0091160B" w:rsidP="00BA219D">
            <w:pPr>
              <w:spacing w:line="240" w:lineRule="auto"/>
              <w:jc w:val="center"/>
              <w:rPr>
                <w:rFonts w:ascii="Times" w:hAnsi="Times" w:cs="Calibri"/>
                <w:b w:val="0"/>
                <w:bCs w:val="0"/>
                <w:color w:val="000000"/>
                <w:sz w:val="20"/>
                <w:szCs w:val="20"/>
              </w:rPr>
            </w:pPr>
            <w:r w:rsidRPr="008A7960">
              <w:rPr>
                <w:rFonts w:ascii="Times" w:hAnsi="Times" w:cs="Calibri"/>
                <w:b w:val="0"/>
                <w:bCs w:val="0"/>
                <w:color w:val="000000"/>
                <w:sz w:val="20"/>
                <w:szCs w:val="20"/>
              </w:rPr>
              <w:t>rs141952919</w:t>
            </w:r>
          </w:p>
        </w:tc>
        <w:tc>
          <w:tcPr>
            <w:tcW w:w="630" w:type="dxa"/>
            <w:vAlign w:val="center"/>
          </w:tcPr>
          <w:p w14:paraId="4EEDE895"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7</w:t>
            </w:r>
          </w:p>
        </w:tc>
        <w:tc>
          <w:tcPr>
            <w:tcW w:w="1620" w:type="dxa"/>
            <w:noWrap/>
            <w:vAlign w:val="center"/>
            <w:hideMark/>
          </w:tcPr>
          <w:p w14:paraId="18008255"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102,590,946 - 103,061,825</w:t>
            </w:r>
          </w:p>
        </w:tc>
        <w:tc>
          <w:tcPr>
            <w:tcW w:w="1350" w:type="dxa"/>
            <w:noWrap/>
            <w:vAlign w:val="center"/>
            <w:hideMark/>
          </w:tcPr>
          <w:p w14:paraId="6694C76D"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Hearing difficulty</w:t>
            </w:r>
          </w:p>
        </w:tc>
        <w:tc>
          <w:tcPr>
            <w:tcW w:w="1440" w:type="dxa"/>
            <w:noWrap/>
            <w:vAlign w:val="center"/>
            <w:hideMark/>
          </w:tcPr>
          <w:p w14:paraId="74B3848D"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SLC26A5</w:t>
            </w:r>
          </w:p>
        </w:tc>
        <w:tc>
          <w:tcPr>
            <w:tcW w:w="1440" w:type="dxa"/>
            <w:noWrap/>
            <w:vAlign w:val="center"/>
            <w:hideMark/>
          </w:tcPr>
          <w:p w14:paraId="25F0FAE7"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DFNB61</w:t>
            </w:r>
            <w:r>
              <w:rPr>
                <w:rFonts w:ascii="Times Roman" w:hAnsi="Times Roman" w:cs="Calibri"/>
                <w:color w:val="000000"/>
                <w:sz w:val="20"/>
                <w:szCs w:val="20"/>
              </w:rPr>
              <w:t xml:space="preserve"> </w:t>
            </w:r>
            <w:r>
              <w:rPr>
                <w:noProof/>
                <w:color w:val="000000"/>
                <w:sz w:val="20"/>
                <w:szCs w:val="20"/>
              </w:rPr>
              <w:t>[9]</w:t>
            </w:r>
          </w:p>
        </w:tc>
        <w:tc>
          <w:tcPr>
            <w:tcW w:w="5760" w:type="dxa"/>
            <w:gridSpan w:val="2"/>
            <w:vAlign w:val="center"/>
          </w:tcPr>
          <w:p w14:paraId="28D63621" w14:textId="77777777" w:rsidR="0091160B" w:rsidRPr="008A7960" w:rsidRDefault="0091160B" w:rsidP="00BA219D">
            <w:pPr>
              <w:spacing w:line="240" w:lineRule="auto"/>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i/>
                <w:iCs/>
                <w:color w:val="000000"/>
                <w:sz w:val="20"/>
                <w:szCs w:val="20"/>
              </w:rPr>
              <w:t>SLC26A5</w:t>
            </w:r>
            <w:r w:rsidRPr="008A7960">
              <w:rPr>
                <w:rFonts w:ascii="Times" w:hAnsi="Times" w:cs="Calibri"/>
                <w:color w:val="000000"/>
                <w:sz w:val="20"/>
                <w:szCs w:val="20"/>
              </w:rPr>
              <w:t xml:space="preserve"> encodes the canonical hearing protein prestin, the motor protein of the outer hair cells, which enables amplification of incoming sound via movements of the outer hair cells in response to </w:t>
            </w:r>
            <w:r w:rsidRPr="008A7960">
              <w:rPr>
                <w:rFonts w:ascii="Times" w:hAnsi="Times" w:cs="Calibri"/>
                <w:color w:val="000000"/>
                <w:sz w:val="20"/>
                <w:szCs w:val="20"/>
              </w:rPr>
              <w:lastRenderedPageBreak/>
              <w:t xml:space="preserve">electrical stimulation, i.e. electromotility </w:t>
            </w:r>
            <w:r>
              <w:rPr>
                <w:noProof/>
                <w:color w:val="000000"/>
                <w:sz w:val="20"/>
                <w:szCs w:val="20"/>
              </w:rPr>
              <w:t>[43]</w:t>
            </w:r>
            <w:r w:rsidRPr="008A7960">
              <w:rPr>
                <w:rFonts w:ascii="Times" w:hAnsi="Times" w:cs="Calibri"/>
                <w:color w:val="000000"/>
                <w:sz w:val="20"/>
                <w:szCs w:val="20"/>
              </w:rPr>
              <w:t>. Variants that affect SLC26A5 are implicated as causal for the autosomal recessive deafness locus DFNB61. Prestin has been intensely studied in relation to hearing. Querying PubMed for "SLC26A5 AND HEARING" yields more than a hundred entries.</w:t>
            </w:r>
          </w:p>
        </w:tc>
      </w:tr>
      <w:tr w:rsidR="0091160B" w:rsidRPr="008A7960" w14:paraId="566E43EB" w14:textId="77777777" w:rsidTr="00BA219D">
        <w:trPr>
          <w:gridAfter w:val="1"/>
          <w:cnfStyle w:val="000000100000" w:firstRow="0" w:lastRow="0" w:firstColumn="0" w:lastColumn="0" w:oddVBand="0" w:evenVBand="0" w:oddHBand="1" w:evenHBand="0" w:firstRowFirstColumn="0" w:firstRowLastColumn="0" w:lastRowFirstColumn="0" w:lastRowLastColumn="0"/>
          <w:wAfter w:w="1144" w:type="dxa"/>
          <w:trHeight w:val="32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103650D8" w14:textId="77777777" w:rsidR="0091160B" w:rsidRPr="008A7960" w:rsidRDefault="0091160B" w:rsidP="00BA219D">
            <w:pPr>
              <w:spacing w:line="240" w:lineRule="auto"/>
              <w:jc w:val="center"/>
              <w:rPr>
                <w:rFonts w:ascii="Times" w:hAnsi="Times" w:cs="Calibri"/>
                <w:b w:val="0"/>
                <w:bCs w:val="0"/>
                <w:color w:val="000000"/>
                <w:sz w:val="20"/>
                <w:szCs w:val="20"/>
              </w:rPr>
            </w:pPr>
            <w:r w:rsidRPr="008A7960">
              <w:rPr>
                <w:rFonts w:ascii="Times" w:hAnsi="Times" w:cs="Calibri"/>
                <w:b w:val="0"/>
                <w:bCs w:val="0"/>
                <w:color w:val="000000"/>
                <w:sz w:val="20"/>
                <w:szCs w:val="20"/>
              </w:rPr>
              <w:t>rs138501510</w:t>
            </w:r>
          </w:p>
        </w:tc>
        <w:tc>
          <w:tcPr>
            <w:tcW w:w="630" w:type="dxa"/>
            <w:vAlign w:val="center"/>
          </w:tcPr>
          <w:p w14:paraId="0EC82745"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6</w:t>
            </w:r>
          </w:p>
        </w:tc>
        <w:tc>
          <w:tcPr>
            <w:tcW w:w="1620" w:type="dxa"/>
            <w:noWrap/>
            <w:vAlign w:val="center"/>
            <w:hideMark/>
          </w:tcPr>
          <w:p w14:paraId="2F972968"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158,471,260 - 158,599,382</w:t>
            </w:r>
          </w:p>
        </w:tc>
        <w:tc>
          <w:tcPr>
            <w:tcW w:w="1350" w:type="dxa"/>
            <w:noWrap/>
            <w:vAlign w:val="center"/>
            <w:hideMark/>
          </w:tcPr>
          <w:p w14:paraId="551C3C1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Hearing difficulty, Speech-in-noise</w:t>
            </w:r>
          </w:p>
        </w:tc>
        <w:tc>
          <w:tcPr>
            <w:tcW w:w="1440" w:type="dxa"/>
            <w:noWrap/>
            <w:vAlign w:val="center"/>
            <w:hideMark/>
          </w:tcPr>
          <w:p w14:paraId="373B33B9"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SERAC1, SYNJ2</w:t>
            </w:r>
          </w:p>
        </w:tc>
        <w:tc>
          <w:tcPr>
            <w:tcW w:w="1440" w:type="dxa"/>
            <w:vAlign w:val="center"/>
          </w:tcPr>
          <w:p w14:paraId="753C1E77"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p>
        </w:tc>
        <w:tc>
          <w:tcPr>
            <w:tcW w:w="5842" w:type="dxa"/>
            <w:gridSpan w:val="3"/>
            <w:vAlign w:val="center"/>
          </w:tcPr>
          <w:p w14:paraId="1E69A867" w14:textId="77777777" w:rsidR="0091160B" w:rsidRPr="008A7960" w:rsidRDefault="0091160B" w:rsidP="00BA219D">
            <w:pPr>
              <w:spacing w:line="240" w:lineRule="auto"/>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 xml:space="preserve">In mice, </w:t>
            </w:r>
            <w:r w:rsidRPr="008A7960">
              <w:rPr>
                <w:rFonts w:ascii="Times" w:hAnsi="Times" w:cs="Calibri"/>
                <w:i/>
                <w:iCs/>
                <w:color w:val="000000"/>
                <w:sz w:val="20"/>
                <w:szCs w:val="20"/>
              </w:rPr>
              <w:t>Synj2</w:t>
            </w:r>
            <w:r w:rsidRPr="008A7960">
              <w:rPr>
                <w:rFonts w:ascii="Times" w:hAnsi="Times" w:cs="Calibri"/>
                <w:color w:val="000000"/>
                <w:sz w:val="20"/>
                <w:szCs w:val="20"/>
              </w:rPr>
              <w:t xml:space="preserve"> is expressed in the organ of Corti, in the inner and outer hair cells </w:t>
            </w:r>
            <w:r>
              <w:rPr>
                <w:noProof/>
                <w:color w:val="000000"/>
                <w:sz w:val="20"/>
                <w:szCs w:val="20"/>
              </w:rPr>
              <w:t>[44]</w:t>
            </w:r>
            <w:r w:rsidRPr="008A7960">
              <w:rPr>
                <w:rFonts w:ascii="Times" w:hAnsi="Times" w:cs="Calibri"/>
                <w:color w:val="000000"/>
                <w:sz w:val="20"/>
                <w:szCs w:val="20"/>
              </w:rPr>
              <w:t xml:space="preserve">. The Mozart mouse strain, which carries a </w:t>
            </w:r>
            <w:r w:rsidRPr="008A7960">
              <w:rPr>
                <w:rFonts w:ascii="Times" w:hAnsi="Times" w:cs="Calibri"/>
                <w:i/>
                <w:iCs/>
                <w:color w:val="000000"/>
                <w:sz w:val="20"/>
                <w:szCs w:val="20"/>
              </w:rPr>
              <w:t>Synj2</w:t>
            </w:r>
            <w:r w:rsidRPr="008A7960">
              <w:rPr>
                <w:rFonts w:ascii="Times" w:hAnsi="Times" w:cs="Calibri"/>
                <w:color w:val="000000"/>
                <w:sz w:val="20"/>
                <w:szCs w:val="20"/>
              </w:rPr>
              <w:t xml:space="preserve"> mutation, are born with normal hearing that deteriorates by eight leading to deafness by twelve weeks. Mozart mice also exhibit hair cell degeneration with fusion of stereocilia followed by loss of hair bundles and subsequent loss of hair cells </w:t>
            </w:r>
            <w:r>
              <w:rPr>
                <w:noProof/>
                <w:color w:val="000000"/>
                <w:sz w:val="20"/>
                <w:szCs w:val="20"/>
              </w:rPr>
              <w:t>[44]</w:t>
            </w:r>
            <w:r w:rsidRPr="008A7960">
              <w:rPr>
                <w:rFonts w:ascii="Times" w:hAnsi="Times" w:cs="Calibri"/>
                <w:color w:val="000000"/>
                <w:sz w:val="20"/>
                <w:szCs w:val="20"/>
              </w:rPr>
              <w:t xml:space="preserve">. </w:t>
            </w:r>
            <w:r w:rsidRPr="008A7960">
              <w:rPr>
                <w:rFonts w:ascii="Times" w:hAnsi="Times" w:cs="Calibri"/>
                <w:i/>
                <w:iCs/>
                <w:color w:val="000000"/>
                <w:sz w:val="20"/>
                <w:szCs w:val="20"/>
              </w:rPr>
              <w:t>SYNJ2</w:t>
            </w:r>
            <w:r w:rsidRPr="008A7960">
              <w:rPr>
                <w:rFonts w:ascii="Times" w:hAnsi="Times" w:cs="Calibri"/>
                <w:color w:val="000000"/>
                <w:sz w:val="20"/>
                <w:szCs w:val="20"/>
              </w:rPr>
              <w:t xml:space="preserve"> encodes the lipid phosphatase synaptojanin 2, which removes the 5-position phosphate from phosphoinositides such as PIP3 and PIP2. Mutations within </w:t>
            </w:r>
            <w:r w:rsidRPr="008A7960">
              <w:rPr>
                <w:rFonts w:ascii="Times" w:hAnsi="Times" w:cs="Calibri"/>
                <w:i/>
                <w:iCs/>
                <w:color w:val="000000"/>
                <w:sz w:val="20"/>
                <w:szCs w:val="20"/>
              </w:rPr>
              <w:t>SERAC1</w:t>
            </w:r>
            <w:r w:rsidRPr="008A7960">
              <w:rPr>
                <w:rFonts w:ascii="Times" w:hAnsi="Times" w:cs="Calibri"/>
                <w:color w:val="000000"/>
                <w:sz w:val="20"/>
                <w:szCs w:val="20"/>
              </w:rPr>
              <w:t xml:space="preserve"> causes MEGDEL syndrome (3-methylglutaconic acuduria, dystonia-deafness, hepatopathy, encephalopathy, Leigh-like syndrome) </w:t>
            </w:r>
            <w:r w:rsidRPr="00587AC1">
              <w:rPr>
                <w:color w:val="000000"/>
                <w:sz w:val="20"/>
                <w:lang w:val="en-GB"/>
              </w:rPr>
              <w:t>[45–49]</w:t>
            </w:r>
            <w:r w:rsidRPr="008A7960">
              <w:rPr>
                <w:rFonts w:ascii="Times" w:hAnsi="Times"/>
                <w:sz w:val="20"/>
                <w:szCs w:val="20"/>
              </w:rPr>
              <w:t>.</w:t>
            </w:r>
          </w:p>
        </w:tc>
      </w:tr>
      <w:tr w:rsidR="0091160B" w:rsidRPr="008A7960" w14:paraId="1CE88104" w14:textId="77777777" w:rsidTr="00BA219D">
        <w:trPr>
          <w:gridAfter w:val="2"/>
          <w:wAfter w:w="1226" w:type="dxa"/>
          <w:trHeight w:val="32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5F3079AB" w14:textId="77777777" w:rsidR="0091160B" w:rsidRPr="008A7960" w:rsidRDefault="0091160B" w:rsidP="00BA219D">
            <w:pPr>
              <w:spacing w:line="240" w:lineRule="auto"/>
              <w:jc w:val="center"/>
              <w:rPr>
                <w:rFonts w:ascii="Times" w:hAnsi="Times" w:cs="Calibri"/>
                <w:b w:val="0"/>
                <w:bCs w:val="0"/>
                <w:color w:val="000000"/>
                <w:sz w:val="20"/>
                <w:szCs w:val="20"/>
              </w:rPr>
            </w:pPr>
            <w:r w:rsidRPr="008A7960">
              <w:rPr>
                <w:rFonts w:ascii="Times" w:hAnsi="Times" w:cs="Calibri"/>
                <w:b w:val="0"/>
                <w:bCs w:val="0"/>
                <w:color w:val="000000"/>
                <w:sz w:val="20"/>
                <w:szCs w:val="20"/>
              </w:rPr>
              <w:t>rs1962104</w:t>
            </w:r>
          </w:p>
        </w:tc>
        <w:tc>
          <w:tcPr>
            <w:tcW w:w="630" w:type="dxa"/>
            <w:vAlign w:val="center"/>
          </w:tcPr>
          <w:p w14:paraId="61B87328"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8</w:t>
            </w:r>
          </w:p>
        </w:tc>
        <w:tc>
          <w:tcPr>
            <w:tcW w:w="1620" w:type="dxa"/>
            <w:noWrap/>
            <w:vAlign w:val="center"/>
            <w:hideMark/>
          </w:tcPr>
          <w:p w14:paraId="7C269DCB"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141,604,684 - 141,932,130</w:t>
            </w:r>
          </w:p>
        </w:tc>
        <w:tc>
          <w:tcPr>
            <w:tcW w:w="1350" w:type="dxa"/>
            <w:noWrap/>
            <w:vAlign w:val="center"/>
            <w:hideMark/>
          </w:tcPr>
          <w:p w14:paraId="708073E6"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Hearing difficulty</w:t>
            </w:r>
          </w:p>
        </w:tc>
        <w:tc>
          <w:tcPr>
            <w:tcW w:w="1440" w:type="dxa"/>
            <w:noWrap/>
            <w:vAlign w:val="center"/>
            <w:hideMark/>
          </w:tcPr>
          <w:p w14:paraId="0AEB21D7"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AGO2, PTK2/FAK</w:t>
            </w:r>
          </w:p>
        </w:tc>
        <w:tc>
          <w:tcPr>
            <w:tcW w:w="1440" w:type="dxa"/>
            <w:noWrap/>
            <w:vAlign w:val="center"/>
            <w:hideMark/>
          </w:tcPr>
          <w:p w14:paraId="797DDC24"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p>
        </w:tc>
        <w:tc>
          <w:tcPr>
            <w:tcW w:w="5760" w:type="dxa"/>
            <w:gridSpan w:val="2"/>
            <w:vAlign w:val="center"/>
          </w:tcPr>
          <w:p w14:paraId="6C734344" w14:textId="77777777" w:rsidR="0091160B" w:rsidRPr="008A7960" w:rsidRDefault="0091160B" w:rsidP="00BA219D">
            <w:pPr>
              <w:spacing w:line="240" w:lineRule="auto"/>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i/>
                <w:iCs/>
                <w:color w:val="000000"/>
                <w:sz w:val="20"/>
                <w:szCs w:val="20"/>
              </w:rPr>
              <w:t>AGO2</w:t>
            </w:r>
            <w:r w:rsidRPr="008A7960">
              <w:rPr>
                <w:rFonts w:ascii="Times" w:hAnsi="Times" w:cs="Calibri"/>
                <w:color w:val="000000"/>
                <w:sz w:val="20"/>
                <w:szCs w:val="20"/>
              </w:rPr>
              <w:t xml:space="preserve"> encodes argonaut 2, which is involved in RNA mediated gene-silencing. AGO2 mRNA was observed to be upregulated in whole blood samples of 37 patients with sensorineural hearing loss</w:t>
            </w:r>
            <w:r>
              <w:rPr>
                <w:color w:val="000000"/>
                <w:sz w:val="20"/>
                <w:szCs w:val="20"/>
              </w:rPr>
              <w:t xml:space="preserve"> </w:t>
            </w:r>
            <w:r>
              <w:rPr>
                <w:noProof/>
                <w:color w:val="000000"/>
                <w:sz w:val="20"/>
                <w:szCs w:val="20"/>
              </w:rPr>
              <w:t>[50]</w:t>
            </w:r>
            <w:r w:rsidRPr="008A7960">
              <w:rPr>
                <w:rFonts w:ascii="Times" w:hAnsi="Times" w:cs="Calibri"/>
                <w:color w:val="000000"/>
                <w:sz w:val="20"/>
                <w:szCs w:val="20"/>
              </w:rPr>
              <w:t xml:space="preserve">. </w:t>
            </w:r>
            <w:r w:rsidRPr="008A7960">
              <w:rPr>
                <w:rFonts w:ascii="Times" w:hAnsi="Times" w:cs="Calibri"/>
                <w:i/>
                <w:iCs/>
                <w:color w:val="000000"/>
                <w:sz w:val="20"/>
                <w:szCs w:val="20"/>
              </w:rPr>
              <w:t>PTK2</w:t>
            </w:r>
            <w:r w:rsidRPr="008A7960">
              <w:rPr>
                <w:rFonts w:ascii="Times" w:hAnsi="Times" w:cs="Calibri"/>
                <w:color w:val="000000"/>
                <w:sz w:val="20"/>
                <w:szCs w:val="20"/>
              </w:rPr>
              <w:t xml:space="preserve"> encodes the focal adhesion kinase (FAK), which localizes to the mouse apical hair-cell surface where stereocilia are forming together with integrin α8β1 and fibronectin </w:t>
            </w:r>
            <w:r>
              <w:rPr>
                <w:noProof/>
                <w:color w:val="000000"/>
                <w:sz w:val="20"/>
                <w:szCs w:val="20"/>
              </w:rPr>
              <w:t>[51]</w:t>
            </w:r>
            <w:r w:rsidRPr="008A7960">
              <w:rPr>
                <w:rFonts w:ascii="Times" w:hAnsi="Times" w:cs="Calibri"/>
                <w:color w:val="000000"/>
                <w:sz w:val="20"/>
                <w:szCs w:val="20"/>
              </w:rPr>
              <w:t>. FAK is a non-receptor protein-tyrosine kinase that regulates cellular adhesion and mobility.</w:t>
            </w:r>
          </w:p>
        </w:tc>
      </w:tr>
      <w:tr w:rsidR="0091160B" w:rsidRPr="008A7960" w14:paraId="6A8B2C17" w14:textId="77777777" w:rsidTr="00BA219D">
        <w:trPr>
          <w:gridAfter w:val="1"/>
          <w:cnfStyle w:val="000000100000" w:firstRow="0" w:lastRow="0" w:firstColumn="0" w:lastColumn="0" w:oddVBand="0" w:evenVBand="0" w:oddHBand="1" w:evenHBand="0" w:firstRowFirstColumn="0" w:firstRowLastColumn="0" w:lastRowFirstColumn="0" w:lastRowLastColumn="0"/>
          <w:wAfter w:w="1144" w:type="dxa"/>
          <w:trHeight w:val="32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1EAA2CEE" w14:textId="77777777" w:rsidR="0091160B" w:rsidRPr="008A7960" w:rsidRDefault="0091160B" w:rsidP="00BA219D">
            <w:pPr>
              <w:spacing w:line="240" w:lineRule="auto"/>
              <w:jc w:val="center"/>
              <w:rPr>
                <w:rFonts w:ascii="Times" w:hAnsi="Times" w:cs="Calibri"/>
                <w:b w:val="0"/>
                <w:bCs w:val="0"/>
                <w:color w:val="000000"/>
                <w:sz w:val="20"/>
                <w:szCs w:val="20"/>
              </w:rPr>
            </w:pPr>
            <w:r w:rsidRPr="008A7960">
              <w:rPr>
                <w:rFonts w:ascii="Times" w:hAnsi="Times" w:cs="Calibri"/>
                <w:b w:val="0"/>
                <w:bCs w:val="0"/>
                <w:color w:val="000000"/>
                <w:sz w:val="20"/>
                <w:szCs w:val="20"/>
              </w:rPr>
              <w:t>rs55635402</w:t>
            </w:r>
          </w:p>
        </w:tc>
        <w:tc>
          <w:tcPr>
            <w:tcW w:w="630" w:type="dxa"/>
            <w:vAlign w:val="center"/>
          </w:tcPr>
          <w:p w14:paraId="018A5BF7"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11</w:t>
            </w:r>
          </w:p>
        </w:tc>
        <w:tc>
          <w:tcPr>
            <w:tcW w:w="1620" w:type="dxa"/>
            <w:noWrap/>
            <w:vAlign w:val="center"/>
            <w:hideMark/>
          </w:tcPr>
          <w:p w14:paraId="33F6BA5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8,053,304 - 8,085,652</w:t>
            </w:r>
          </w:p>
        </w:tc>
        <w:tc>
          <w:tcPr>
            <w:tcW w:w="1350" w:type="dxa"/>
            <w:noWrap/>
            <w:vAlign w:val="center"/>
            <w:hideMark/>
          </w:tcPr>
          <w:p w14:paraId="1B58855D"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Hearing difficulty</w:t>
            </w:r>
          </w:p>
        </w:tc>
        <w:tc>
          <w:tcPr>
            <w:tcW w:w="1440" w:type="dxa"/>
            <w:noWrap/>
            <w:vAlign w:val="center"/>
            <w:hideMark/>
          </w:tcPr>
          <w:p w14:paraId="2E00FE44"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TUB</w:t>
            </w:r>
          </w:p>
        </w:tc>
        <w:tc>
          <w:tcPr>
            <w:tcW w:w="1440" w:type="dxa"/>
            <w:vAlign w:val="center"/>
          </w:tcPr>
          <w:p w14:paraId="77273EB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p>
        </w:tc>
        <w:tc>
          <w:tcPr>
            <w:tcW w:w="5842" w:type="dxa"/>
            <w:gridSpan w:val="3"/>
            <w:vAlign w:val="center"/>
          </w:tcPr>
          <w:p w14:paraId="379F04E2" w14:textId="77777777" w:rsidR="0091160B" w:rsidRPr="008A7960" w:rsidRDefault="0091160B" w:rsidP="00BA219D">
            <w:pPr>
              <w:spacing w:line="240" w:lineRule="auto"/>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 xml:space="preserve">The 'tubby' mouse phenotype, which is characterized by maturity-onset obesity, insulin resistance and sensory deficits, is caused by a mutation in the </w:t>
            </w:r>
            <w:r w:rsidRPr="008A7960">
              <w:rPr>
                <w:rFonts w:ascii="Times Roman" w:hAnsi="Times Roman" w:cs="Calibri"/>
                <w:i/>
                <w:iCs/>
                <w:color w:val="000000"/>
                <w:sz w:val="20"/>
                <w:szCs w:val="20"/>
              </w:rPr>
              <w:t>Tub</w:t>
            </w:r>
            <w:r w:rsidRPr="008A7960">
              <w:rPr>
                <w:rFonts w:ascii="Times Roman" w:hAnsi="Times Roman" w:cs="Calibri"/>
                <w:color w:val="000000"/>
                <w:sz w:val="20"/>
                <w:szCs w:val="20"/>
              </w:rPr>
              <w:t xml:space="preserve"> gene</w:t>
            </w:r>
            <w:r>
              <w:rPr>
                <w:color w:val="000000"/>
                <w:sz w:val="20"/>
                <w:szCs w:val="20"/>
              </w:rPr>
              <w:t xml:space="preserve"> </w:t>
            </w:r>
            <w:r>
              <w:rPr>
                <w:noProof/>
                <w:color w:val="000000"/>
                <w:sz w:val="20"/>
                <w:szCs w:val="20"/>
              </w:rPr>
              <w:t>[52]</w:t>
            </w:r>
            <w:r w:rsidRPr="008A7960">
              <w:rPr>
                <w:rFonts w:ascii="Times Roman" w:hAnsi="Times Roman" w:cs="Calibri"/>
                <w:color w:val="000000"/>
                <w:sz w:val="20"/>
                <w:szCs w:val="20"/>
              </w:rPr>
              <w:t>. Tubby mice suffer sensorineural hearing loss</w:t>
            </w:r>
            <w:r>
              <w:rPr>
                <w:rFonts w:ascii="Times Roman" w:hAnsi="Times Roman" w:cs="Calibri"/>
                <w:color w:val="000000"/>
                <w:sz w:val="20"/>
                <w:szCs w:val="20"/>
              </w:rPr>
              <w:t xml:space="preserve"> </w:t>
            </w:r>
            <w:r>
              <w:rPr>
                <w:noProof/>
                <w:color w:val="000000"/>
                <w:sz w:val="20"/>
                <w:szCs w:val="20"/>
              </w:rPr>
              <w:t>[53, 54]</w:t>
            </w:r>
            <w:r w:rsidRPr="008A7960">
              <w:rPr>
                <w:rFonts w:ascii="Times Roman" w:hAnsi="Times Roman" w:cs="Calibri"/>
                <w:color w:val="000000"/>
                <w:sz w:val="20"/>
                <w:szCs w:val="20"/>
              </w:rPr>
              <w:t>.</w:t>
            </w:r>
          </w:p>
        </w:tc>
      </w:tr>
      <w:tr w:rsidR="0091160B" w:rsidRPr="008A7960" w14:paraId="4B8DCD7E" w14:textId="77777777" w:rsidTr="00BA219D">
        <w:trPr>
          <w:gridAfter w:val="1"/>
          <w:wAfter w:w="1144" w:type="dxa"/>
          <w:trHeight w:val="32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78274DF6" w14:textId="77777777" w:rsidR="0091160B" w:rsidRPr="008A7960" w:rsidRDefault="0091160B" w:rsidP="00BA219D">
            <w:pPr>
              <w:spacing w:line="240" w:lineRule="auto"/>
              <w:jc w:val="center"/>
              <w:rPr>
                <w:rFonts w:ascii="Times" w:hAnsi="Times" w:cs="Calibri"/>
                <w:b w:val="0"/>
                <w:bCs w:val="0"/>
                <w:color w:val="000000"/>
                <w:sz w:val="20"/>
                <w:szCs w:val="20"/>
              </w:rPr>
            </w:pPr>
            <w:r w:rsidRPr="008A7960">
              <w:rPr>
                <w:rFonts w:ascii="Times" w:hAnsi="Times" w:cs="Calibri"/>
                <w:b w:val="0"/>
                <w:bCs w:val="0"/>
                <w:color w:val="000000"/>
                <w:sz w:val="20"/>
                <w:szCs w:val="20"/>
              </w:rPr>
              <w:t>rs1558804</w:t>
            </w:r>
          </w:p>
        </w:tc>
        <w:tc>
          <w:tcPr>
            <w:tcW w:w="630" w:type="dxa"/>
            <w:vAlign w:val="center"/>
          </w:tcPr>
          <w:p w14:paraId="16E6CDE1"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12</w:t>
            </w:r>
          </w:p>
        </w:tc>
        <w:tc>
          <w:tcPr>
            <w:tcW w:w="1620" w:type="dxa"/>
            <w:noWrap/>
            <w:vAlign w:val="center"/>
            <w:hideMark/>
          </w:tcPr>
          <w:p w14:paraId="2F74FFCA"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109,788,598 - 110,042,348</w:t>
            </w:r>
          </w:p>
        </w:tc>
        <w:tc>
          <w:tcPr>
            <w:tcW w:w="1350" w:type="dxa"/>
            <w:noWrap/>
            <w:vAlign w:val="center"/>
            <w:hideMark/>
          </w:tcPr>
          <w:p w14:paraId="3685B410"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Hearing difficulty</w:t>
            </w:r>
          </w:p>
        </w:tc>
        <w:tc>
          <w:tcPr>
            <w:tcW w:w="1440" w:type="dxa"/>
            <w:noWrap/>
            <w:vAlign w:val="center"/>
            <w:hideMark/>
          </w:tcPr>
          <w:p w14:paraId="42598ED2"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UBE3B</w:t>
            </w:r>
          </w:p>
        </w:tc>
        <w:tc>
          <w:tcPr>
            <w:tcW w:w="1440" w:type="dxa"/>
            <w:vAlign w:val="center"/>
          </w:tcPr>
          <w:p w14:paraId="00C8F34C"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p>
        </w:tc>
        <w:tc>
          <w:tcPr>
            <w:tcW w:w="5842" w:type="dxa"/>
            <w:gridSpan w:val="3"/>
            <w:vAlign w:val="center"/>
          </w:tcPr>
          <w:p w14:paraId="382A5864" w14:textId="77777777" w:rsidR="0091160B" w:rsidRPr="008A7960" w:rsidRDefault="0091160B" w:rsidP="00BA219D">
            <w:pPr>
              <w:spacing w:line="240" w:lineRule="auto"/>
              <w:cnfStyle w:val="000000000000" w:firstRow="0" w:lastRow="0" w:firstColumn="0" w:lastColumn="0" w:oddVBand="0" w:evenVBand="0" w:oddHBand="0" w:evenHBand="0" w:firstRowFirstColumn="0" w:firstRowLastColumn="0" w:lastRowFirstColumn="0" w:lastRowLastColumn="0"/>
              <w:rPr>
                <w:rFonts w:ascii="Times" w:hAnsi="Times"/>
                <w:sz w:val="20"/>
                <w:szCs w:val="20"/>
              </w:rPr>
            </w:pPr>
            <w:r w:rsidRPr="008A7960">
              <w:rPr>
                <w:rFonts w:ascii="Times" w:hAnsi="Times" w:cs="Calibri"/>
                <w:color w:val="000000"/>
                <w:sz w:val="20"/>
                <w:szCs w:val="20"/>
              </w:rPr>
              <w:t xml:space="preserve">Recessive mutations in </w:t>
            </w:r>
            <w:r w:rsidRPr="008A7960">
              <w:rPr>
                <w:rFonts w:ascii="Times" w:hAnsi="Times" w:cs="Calibri"/>
                <w:i/>
                <w:iCs/>
                <w:color w:val="000000"/>
                <w:sz w:val="20"/>
                <w:szCs w:val="20"/>
              </w:rPr>
              <w:t>UBE3B</w:t>
            </w:r>
            <w:r w:rsidRPr="008A7960">
              <w:rPr>
                <w:rFonts w:ascii="Times" w:hAnsi="Times" w:cs="Calibri"/>
                <w:color w:val="000000"/>
                <w:sz w:val="20"/>
                <w:szCs w:val="20"/>
              </w:rPr>
              <w:t xml:space="preserve"> are causal for Kaufman oculo-cerebro-facial syndrome, which has been linked to hearing loss</w:t>
            </w:r>
            <w:r>
              <w:rPr>
                <w:color w:val="000000"/>
                <w:sz w:val="20"/>
                <w:szCs w:val="20"/>
              </w:rPr>
              <w:t xml:space="preserve"> </w:t>
            </w:r>
            <w:r>
              <w:rPr>
                <w:noProof/>
                <w:color w:val="000000"/>
                <w:sz w:val="20"/>
                <w:szCs w:val="20"/>
              </w:rPr>
              <w:t>[55, 56]</w:t>
            </w:r>
            <w:r w:rsidRPr="008A7960">
              <w:rPr>
                <w:rFonts w:ascii="Times" w:hAnsi="Times" w:cs="Calibri"/>
                <w:color w:val="000000"/>
                <w:sz w:val="20"/>
                <w:szCs w:val="20"/>
              </w:rPr>
              <w:t xml:space="preserve">. In addition, </w:t>
            </w:r>
            <w:r w:rsidRPr="008A7960">
              <w:rPr>
                <w:rFonts w:ascii="Times" w:hAnsi="Times" w:cs="Calibri"/>
                <w:i/>
                <w:iCs/>
                <w:color w:val="000000"/>
                <w:sz w:val="20"/>
                <w:szCs w:val="20"/>
              </w:rPr>
              <w:t>UBE3B</w:t>
            </w:r>
            <w:r w:rsidRPr="008A7960">
              <w:rPr>
                <w:rFonts w:ascii="Times" w:hAnsi="Times" w:cs="Calibri"/>
                <w:color w:val="000000"/>
                <w:sz w:val="20"/>
                <w:szCs w:val="20"/>
              </w:rPr>
              <w:t xml:space="preserve"> has been found to be highly expressed following noise trauma in the chick basilar papilla </w:t>
            </w:r>
            <w:r>
              <w:rPr>
                <w:noProof/>
                <w:color w:val="000000"/>
                <w:sz w:val="20"/>
                <w:szCs w:val="20"/>
              </w:rPr>
              <w:t>[57]</w:t>
            </w:r>
            <w:r w:rsidRPr="008A7960">
              <w:rPr>
                <w:rFonts w:ascii="Times" w:hAnsi="Times" w:cs="Calibri"/>
                <w:color w:val="000000"/>
                <w:sz w:val="20"/>
                <w:szCs w:val="20"/>
              </w:rPr>
              <w:t xml:space="preserve">. </w:t>
            </w:r>
            <w:r w:rsidRPr="008A7960">
              <w:rPr>
                <w:rFonts w:ascii="Times" w:hAnsi="Times" w:cs="Calibri"/>
                <w:i/>
                <w:iCs/>
                <w:color w:val="000000"/>
                <w:sz w:val="20"/>
                <w:szCs w:val="20"/>
              </w:rPr>
              <w:t>UBE3B</w:t>
            </w:r>
            <w:r w:rsidRPr="008A7960">
              <w:rPr>
                <w:rFonts w:ascii="Times" w:hAnsi="Times" w:cs="Calibri"/>
                <w:color w:val="000000"/>
                <w:sz w:val="20"/>
                <w:szCs w:val="20"/>
              </w:rPr>
              <w:t xml:space="preserve"> was suggested as a causal gene for the DFNA25 locus </w:t>
            </w:r>
            <w:r>
              <w:rPr>
                <w:color w:val="000000"/>
                <w:sz w:val="20"/>
                <w:lang w:val="en-GB"/>
              </w:rPr>
              <w:t>[58, 59]</w:t>
            </w:r>
            <w:r w:rsidRPr="008A7960">
              <w:rPr>
                <w:rFonts w:ascii="Times" w:hAnsi="Times" w:cs="Calibri"/>
                <w:color w:val="000000"/>
                <w:sz w:val="20"/>
                <w:szCs w:val="20"/>
              </w:rPr>
              <w:t xml:space="preserve">, which was subsequently attributed to mutations in </w:t>
            </w:r>
            <w:r w:rsidRPr="008A7960">
              <w:rPr>
                <w:rFonts w:ascii="Times" w:hAnsi="Times" w:cs="Calibri"/>
                <w:i/>
                <w:iCs/>
                <w:color w:val="000000"/>
                <w:sz w:val="20"/>
                <w:szCs w:val="20"/>
              </w:rPr>
              <w:t xml:space="preserve">SLC17A8 </w:t>
            </w:r>
            <w:r>
              <w:rPr>
                <w:noProof/>
                <w:color w:val="000000"/>
                <w:sz w:val="20"/>
                <w:szCs w:val="20"/>
              </w:rPr>
              <w:t>[60]</w:t>
            </w:r>
            <w:r w:rsidRPr="008A7960">
              <w:rPr>
                <w:rFonts w:ascii="Times" w:hAnsi="Times" w:cs="Calibri"/>
                <w:color w:val="000000"/>
                <w:sz w:val="20"/>
                <w:szCs w:val="20"/>
              </w:rPr>
              <w:t>.</w:t>
            </w:r>
            <w:r>
              <w:rPr>
                <w:rFonts w:ascii="Times" w:hAnsi="Times" w:cs="Calibri"/>
                <w:color w:val="000000"/>
                <w:sz w:val="20"/>
                <w:szCs w:val="20"/>
              </w:rPr>
              <w:t xml:space="preserve"> </w:t>
            </w:r>
          </w:p>
        </w:tc>
      </w:tr>
      <w:tr w:rsidR="0091160B" w:rsidRPr="008A7960" w14:paraId="57C7CE4D" w14:textId="77777777" w:rsidTr="00BA219D">
        <w:trPr>
          <w:gridAfter w:val="2"/>
          <w:cnfStyle w:val="000000100000" w:firstRow="0" w:lastRow="0" w:firstColumn="0" w:lastColumn="0" w:oddVBand="0" w:evenVBand="0" w:oddHBand="1" w:evenHBand="0" w:firstRowFirstColumn="0" w:firstRowLastColumn="0" w:lastRowFirstColumn="0" w:lastRowLastColumn="0"/>
          <w:wAfter w:w="1226" w:type="dxa"/>
          <w:trHeight w:val="32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1A1145EC" w14:textId="77777777" w:rsidR="0091160B" w:rsidRPr="008A7960" w:rsidRDefault="0091160B" w:rsidP="00BA219D">
            <w:pPr>
              <w:spacing w:line="240" w:lineRule="auto"/>
              <w:jc w:val="center"/>
              <w:rPr>
                <w:rFonts w:ascii="Times" w:hAnsi="Times" w:cs="Calibri"/>
                <w:b w:val="0"/>
                <w:bCs w:val="0"/>
                <w:color w:val="000000"/>
                <w:sz w:val="20"/>
                <w:szCs w:val="20"/>
              </w:rPr>
            </w:pPr>
            <w:r w:rsidRPr="008A7960">
              <w:rPr>
                <w:rFonts w:ascii="Times" w:hAnsi="Times" w:cs="Calibri"/>
                <w:b w:val="0"/>
                <w:bCs w:val="0"/>
                <w:color w:val="000000"/>
                <w:sz w:val="20"/>
                <w:szCs w:val="20"/>
              </w:rPr>
              <w:t>rs6941393</w:t>
            </w:r>
          </w:p>
        </w:tc>
        <w:tc>
          <w:tcPr>
            <w:tcW w:w="630" w:type="dxa"/>
            <w:vAlign w:val="center"/>
          </w:tcPr>
          <w:p w14:paraId="23B43ED6"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6</w:t>
            </w:r>
          </w:p>
        </w:tc>
        <w:tc>
          <w:tcPr>
            <w:tcW w:w="1620" w:type="dxa"/>
            <w:noWrap/>
            <w:vAlign w:val="center"/>
            <w:hideMark/>
          </w:tcPr>
          <w:p w14:paraId="54DB51E3"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32,454,348 - 32,607,906</w:t>
            </w:r>
          </w:p>
        </w:tc>
        <w:tc>
          <w:tcPr>
            <w:tcW w:w="1350" w:type="dxa"/>
            <w:noWrap/>
            <w:vAlign w:val="center"/>
            <w:hideMark/>
          </w:tcPr>
          <w:p w14:paraId="7CE14981"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Speech-in-noise, Hearing difficulty</w:t>
            </w:r>
          </w:p>
        </w:tc>
        <w:tc>
          <w:tcPr>
            <w:tcW w:w="1440" w:type="dxa"/>
            <w:noWrap/>
            <w:vAlign w:val="center"/>
            <w:hideMark/>
          </w:tcPr>
          <w:p w14:paraId="69CDC41C"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i/>
                <w:iCs/>
                <w:color w:val="000000"/>
                <w:sz w:val="20"/>
                <w:szCs w:val="20"/>
                <w:lang w:val="sv-SE"/>
              </w:rPr>
            </w:pPr>
            <w:r w:rsidRPr="008A7960">
              <w:rPr>
                <w:rFonts w:ascii="Times Roman" w:hAnsi="Times Roman" w:cs="Calibri"/>
                <w:i/>
                <w:iCs/>
                <w:color w:val="000000"/>
                <w:sz w:val="20"/>
                <w:szCs w:val="20"/>
                <w:lang w:val="sv-SE"/>
              </w:rPr>
              <w:t>HLA-DQA1, HLA-DRB1, HLA-DRB5</w:t>
            </w:r>
          </w:p>
        </w:tc>
        <w:tc>
          <w:tcPr>
            <w:tcW w:w="1440" w:type="dxa"/>
            <w:vAlign w:val="center"/>
          </w:tcPr>
          <w:p w14:paraId="15E955E5"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lang w:val="sv-SE"/>
              </w:rPr>
            </w:pPr>
          </w:p>
        </w:tc>
        <w:tc>
          <w:tcPr>
            <w:tcW w:w="5760" w:type="dxa"/>
            <w:gridSpan w:val="2"/>
            <w:vAlign w:val="center"/>
          </w:tcPr>
          <w:p w14:paraId="3390DF00" w14:textId="77777777" w:rsidR="0091160B" w:rsidRPr="008A7960" w:rsidRDefault="0091160B" w:rsidP="00BA219D">
            <w:pPr>
              <w:spacing w:line="240" w:lineRule="auto"/>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Different alleles of the HLA class II histocompatibility antigens DRB1 and DQA1 have been associated with Ménière's disease (MD), sudden onset sensorineural hearing loss (SNHL) as well as a differential response to steroid treatment for SNHL: The HLA-DRB1*1101 allele has been associated with MD in a Mediterranean population from Spain</w:t>
            </w:r>
            <w:r>
              <w:rPr>
                <w:color w:val="000000"/>
                <w:sz w:val="20"/>
                <w:szCs w:val="20"/>
              </w:rPr>
              <w:t xml:space="preserve"> </w:t>
            </w:r>
            <w:r>
              <w:rPr>
                <w:noProof/>
                <w:color w:val="000000"/>
                <w:sz w:val="20"/>
                <w:szCs w:val="20"/>
              </w:rPr>
              <w:t>[61]</w:t>
            </w:r>
            <w:r w:rsidRPr="008A7960">
              <w:rPr>
                <w:rFonts w:ascii="Times Roman" w:hAnsi="Times Roman" w:cs="Calibri"/>
                <w:color w:val="000000"/>
                <w:sz w:val="20"/>
                <w:szCs w:val="20"/>
              </w:rPr>
              <w:t>, while the HLA-DRB1*15 has been associated with MD in a sample of South Korean patients . The HLA-</w:t>
            </w:r>
            <w:r w:rsidRPr="008A7960">
              <w:rPr>
                <w:rFonts w:ascii="Times Roman" w:hAnsi="Times Roman" w:cs="Calibri"/>
                <w:color w:val="000000"/>
                <w:sz w:val="20"/>
                <w:szCs w:val="20"/>
              </w:rPr>
              <w:lastRenderedPageBreak/>
              <w:t>DRB1*0403 allele has been associated wit</w:t>
            </w:r>
            <w:r w:rsidRPr="008A7960">
              <w:rPr>
                <w:rFonts w:ascii="Calibri" w:hAnsi="Calibri" w:cs="Calibri"/>
                <w:color w:val="000000"/>
                <w:sz w:val="20"/>
                <w:szCs w:val="20"/>
              </w:rPr>
              <w:t xml:space="preserve">h </w:t>
            </w:r>
            <w:r w:rsidRPr="008A7960">
              <w:rPr>
                <w:rFonts w:ascii="Times Roman" w:hAnsi="Times Roman" w:cs="Calibri"/>
                <w:color w:val="000000"/>
                <w:sz w:val="20"/>
                <w:szCs w:val="20"/>
              </w:rPr>
              <w:t xml:space="preserve">SNHL in a sample of patients from Galicia, northern Spain </w:t>
            </w:r>
            <w:r>
              <w:rPr>
                <w:noProof/>
                <w:color w:val="000000"/>
                <w:sz w:val="20"/>
                <w:szCs w:val="20"/>
              </w:rPr>
              <w:t>[62]</w:t>
            </w:r>
            <w:r w:rsidRPr="008A7960">
              <w:rPr>
                <w:rFonts w:ascii="Times Roman" w:hAnsi="Times Roman" w:cs="Calibri"/>
                <w:color w:val="000000"/>
                <w:sz w:val="20"/>
                <w:szCs w:val="20"/>
              </w:rPr>
              <w:t>. The HLA-DRB1*14 allele was associated with SNHL in a sample of patients from Seoul, South Korea while HLA-DRB*04 was associated with lack of response to corticosteroid treatment</w:t>
            </w:r>
            <w:r>
              <w:rPr>
                <w:color w:val="000000"/>
                <w:sz w:val="20"/>
                <w:szCs w:val="20"/>
              </w:rPr>
              <w:t xml:space="preserve"> </w:t>
            </w:r>
            <w:r>
              <w:rPr>
                <w:noProof/>
                <w:color w:val="000000"/>
                <w:sz w:val="20"/>
                <w:szCs w:val="20"/>
              </w:rPr>
              <w:t>[63]</w:t>
            </w:r>
            <w:r w:rsidRPr="008A7960">
              <w:rPr>
                <w:rFonts w:ascii="Times Roman" w:hAnsi="Times Roman" w:cs="Calibri"/>
                <w:color w:val="000000"/>
                <w:sz w:val="20"/>
                <w:szCs w:val="20"/>
              </w:rPr>
              <w:t xml:space="preserve">. Response to corticosteroid treatment for SNHL has also been associated with the HLA-DRB1*14, HLA-DQA1*03, *05 and *01 alleles </w:t>
            </w:r>
            <w:r>
              <w:rPr>
                <w:noProof/>
                <w:color w:val="000000"/>
                <w:sz w:val="20"/>
                <w:szCs w:val="20"/>
              </w:rPr>
              <w:t>[64]</w:t>
            </w:r>
            <w:r w:rsidRPr="008A7960">
              <w:rPr>
                <w:rFonts w:ascii="Times Roman" w:hAnsi="Times Roman" w:cs="Calibri"/>
                <w:color w:val="000000"/>
                <w:sz w:val="20"/>
                <w:szCs w:val="20"/>
              </w:rPr>
              <w:t xml:space="preserve">. HLA-DRB1*0405 was also present in a case report of sudden onset of blindness, pleocytosis, and temporary Hearing Loss in a 47-year-old man with Vogt-Koyanagi-Harada syndrome </w:t>
            </w:r>
            <w:r>
              <w:rPr>
                <w:noProof/>
                <w:color w:val="000000"/>
                <w:sz w:val="20"/>
                <w:szCs w:val="20"/>
              </w:rPr>
              <w:t>[65]</w:t>
            </w:r>
            <w:r w:rsidRPr="008A7960">
              <w:rPr>
                <w:rFonts w:ascii="Times Roman" w:hAnsi="Times Roman" w:cs="Calibri"/>
                <w:color w:val="000000"/>
                <w:sz w:val="20"/>
                <w:szCs w:val="20"/>
              </w:rPr>
              <w:t>.</w:t>
            </w:r>
          </w:p>
        </w:tc>
      </w:tr>
      <w:tr w:rsidR="0091160B" w:rsidRPr="008A7960" w14:paraId="1E6AEB03" w14:textId="77777777" w:rsidTr="00BA219D">
        <w:trPr>
          <w:gridAfter w:val="2"/>
          <w:wAfter w:w="1226" w:type="dxa"/>
          <w:trHeight w:val="32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27424EDE" w14:textId="77777777" w:rsidR="0091160B" w:rsidRPr="008A7960" w:rsidRDefault="0091160B" w:rsidP="00BA219D">
            <w:pPr>
              <w:spacing w:line="240" w:lineRule="auto"/>
              <w:jc w:val="center"/>
              <w:rPr>
                <w:rFonts w:ascii="Times" w:hAnsi="Times" w:cs="Calibri"/>
                <w:b w:val="0"/>
                <w:bCs w:val="0"/>
                <w:color w:val="000000"/>
                <w:sz w:val="20"/>
                <w:szCs w:val="20"/>
              </w:rPr>
            </w:pPr>
            <w:r w:rsidRPr="008A7960">
              <w:rPr>
                <w:rFonts w:ascii="Times" w:hAnsi="Times" w:cs="Calibri"/>
                <w:b w:val="0"/>
                <w:bCs w:val="0"/>
                <w:color w:val="000000"/>
                <w:sz w:val="20"/>
                <w:szCs w:val="20"/>
              </w:rPr>
              <w:t>rs36062310</w:t>
            </w:r>
          </w:p>
        </w:tc>
        <w:tc>
          <w:tcPr>
            <w:tcW w:w="630" w:type="dxa"/>
            <w:vAlign w:val="center"/>
          </w:tcPr>
          <w:p w14:paraId="35D86DE5"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22</w:t>
            </w:r>
          </w:p>
        </w:tc>
        <w:tc>
          <w:tcPr>
            <w:tcW w:w="1620" w:type="dxa"/>
            <w:noWrap/>
            <w:vAlign w:val="center"/>
            <w:hideMark/>
          </w:tcPr>
          <w:p w14:paraId="4AFCBC76"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50,950,570 - 51,146,132</w:t>
            </w:r>
          </w:p>
        </w:tc>
        <w:tc>
          <w:tcPr>
            <w:tcW w:w="1350" w:type="dxa"/>
            <w:noWrap/>
            <w:vAlign w:val="center"/>
            <w:hideMark/>
          </w:tcPr>
          <w:p w14:paraId="5CD6E5A3"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Hearing difficulty, Hearing aid</w:t>
            </w:r>
          </w:p>
        </w:tc>
        <w:tc>
          <w:tcPr>
            <w:tcW w:w="1440" w:type="dxa"/>
            <w:noWrap/>
            <w:vAlign w:val="center"/>
            <w:hideMark/>
          </w:tcPr>
          <w:p w14:paraId="3B349833"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TYMP</w:t>
            </w:r>
          </w:p>
        </w:tc>
        <w:tc>
          <w:tcPr>
            <w:tcW w:w="1440" w:type="dxa"/>
            <w:vAlign w:val="center"/>
          </w:tcPr>
          <w:p w14:paraId="6BBFAB46"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p>
        </w:tc>
        <w:tc>
          <w:tcPr>
            <w:tcW w:w="5760" w:type="dxa"/>
            <w:gridSpan w:val="2"/>
            <w:vAlign w:val="center"/>
          </w:tcPr>
          <w:p w14:paraId="331A98F6" w14:textId="77777777" w:rsidR="0091160B" w:rsidRPr="008A7960" w:rsidRDefault="0091160B" w:rsidP="00BA219D">
            <w:pPr>
              <w:spacing w:line="240" w:lineRule="auto"/>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 xml:space="preserve">Mutations in TYMP are linked to mitochondrial neuro-gastrointestinal encephalomyopathy (MNGIE), a rare multisystemic disorders which involved hearing loss </w:t>
            </w:r>
            <w:r>
              <w:rPr>
                <w:noProof/>
                <w:color w:val="000000"/>
                <w:sz w:val="20"/>
                <w:szCs w:val="20"/>
              </w:rPr>
              <w:t>[66, 67]</w:t>
            </w:r>
            <w:r w:rsidRPr="008A7960">
              <w:rPr>
                <w:rFonts w:ascii="Times Roman" w:hAnsi="Times Roman" w:cs="Calibri"/>
                <w:color w:val="000000"/>
                <w:sz w:val="20"/>
                <w:szCs w:val="20"/>
              </w:rPr>
              <w:t>.</w:t>
            </w:r>
          </w:p>
        </w:tc>
      </w:tr>
      <w:tr w:rsidR="0091160B" w:rsidRPr="008A7960" w14:paraId="0CAD2061" w14:textId="77777777" w:rsidTr="00BA219D">
        <w:trPr>
          <w:gridAfter w:val="2"/>
          <w:cnfStyle w:val="000000100000" w:firstRow="0" w:lastRow="0" w:firstColumn="0" w:lastColumn="0" w:oddVBand="0" w:evenVBand="0" w:oddHBand="1" w:evenHBand="0" w:firstRowFirstColumn="0" w:firstRowLastColumn="0" w:lastRowFirstColumn="0" w:lastRowLastColumn="0"/>
          <w:wAfter w:w="1226" w:type="dxa"/>
          <w:trHeight w:val="32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06C69D2C" w14:textId="77777777" w:rsidR="0091160B" w:rsidRPr="008A7960" w:rsidRDefault="0091160B" w:rsidP="00BA219D">
            <w:pPr>
              <w:spacing w:line="240" w:lineRule="auto"/>
              <w:jc w:val="center"/>
              <w:rPr>
                <w:rFonts w:ascii="Times" w:hAnsi="Times" w:cs="Calibri"/>
                <w:b w:val="0"/>
                <w:bCs w:val="0"/>
                <w:color w:val="000000"/>
                <w:sz w:val="20"/>
                <w:szCs w:val="20"/>
              </w:rPr>
            </w:pPr>
            <w:r w:rsidRPr="008A7960">
              <w:rPr>
                <w:rFonts w:ascii="Times" w:hAnsi="Times" w:cs="Calibri"/>
                <w:b w:val="0"/>
                <w:bCs w:val="0"/>
                <w:color w:val="000000"/>
                <w:sz w:val="20"/>
                <w:szCs w:val="20"/>
              </w:rPr>
              <w:t>rs7525101</w:t>
            </w:r>
          </w:p>
        </w:tc>
        <w:tc>
          <w:tcPr>
            <w:tcW w:w="630" w:type="dxa"/>
            <w:vAlign w:val="center"/>
          </w:tcPr>
          <w:p w14:paraId="0C88549D"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w:t>
            </w:r>
          </w:p>
        </w:tc>
        <w:tc>
          <w:tcPr>
            <w:tcW w:w="1620" w:type="dxa"/>
            <w:noWrap/>
            <w:vAlign w:val="center"/>
            <w:hideMark/>
          </w:tcPr>
          <w:p w14:paraId="6522C447"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165,087,254 - 165,112,224</w:t>
            </w:r>
          </w:p>
        </w:tc>
        <w:tc>
          <w:tcPr>
            <w:tcW w:w="1350" w:type="dxa"/>
            <w:noWrap/>
            <w:vAlign w:val="center"/>
            <w:hideMark/>
          </w:tcPr>
          <w:p w14:paraId="01D0CF4F"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Hearing difficulty</w:t>
            </w:r>
          </w:p>
        </w:tc>
        <w:tc>
          <w:tcPr>
            <w:tcW w:w="1440" w:type="dxa"/>
            <w:noWrap/>
            <w:vAlign w:val="center"/>
            <w:hideMark/>
          </w:tcPr>
          <w:p w14:paraId="42ADB24F"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LMX1A</w:t>
            </w:r>
          </w:p>
        </w:tc>
        <w:tc>
          <w:tcPr>
            <w:tcW w:w="1440" w:type="dxa"/>
            <w:vAlign w:val="center"/>
          </w:tcPr>
          <w:p w14:paraId="1C9E6BC7"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p>
        </w:tc>
        <w:tc>
          <w:tcPr>
            <w:tcW w:w="5760" w:type="dxa"/>
            <w:gridSpan w:val="2"/>
            <w:vAlign w:val="center"/>
          </w:tcPr>
          <w:p w14:paraId="04996B11" w14:textId="77777777" w:rsidR="0091160B" w:rsidRPr="008A7960" w:rsidRDefault="0091160B" w:rsidP="00BA219D">
            <w:pPr>
              <w:spacing w:line="240" w:lineRule="auto"/>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i/>
                <w:iCs/>
                <w:color w:val="000000"/>
                <w:sz w:val="20"/>
                <w:szCs w:val="20"/>
              </w:rPr>
              <w:t>Lmx1a</w:t>
            </w:r>
            <w:r w:rsidRPr="008A7960">
              <w:rPr>
                <w:rFonts w:ascii="Times Roman" w:hAnsi="Times Roman" w:cs="Calibri"/>
                <w:color w:val="000000"/>
                <w:sz w:val="20"/>
                <w:szCs w:val="20"/>
              </w:rPr>
              <w:t xml:space="preserve"> mutations in mice have been linked to cochlear and vestibular defects along with severe hearing impairment</w:t>
            </w:r>
            <w:r>
              <w:rPr>
                <w:color w:val="000000"/>
                <w:sz w:val="20"/>
                <w:szCs w:val="20"/>
              </w:rPr>
              <w:t xml:space="preserve"> </w:t>
            </w:r>
            <w:r>
              <w:rPr>
                <w:noProof/>
                <w:color w:val="000000"/>
                <w:sz w:val="20"/>
                <w:szCs w:val="20"/>
              </w:rPr>
              <w:t>[68]</w:t>
            </w:r>
            <w:r w:rsidRPr="008A7960">
              <w:rPr>
                <w:rFonts w:ascii="Times Roman" w:hAnsi="Times Roman" w:cs="Calibri"/>
                <w:color w:val="000000"/>
                <w:sz w:val="20"/>
                <w:szCs w:val="20"/>
              </w:rPr>
              <w:t xml:space="preserve">. </w:t>
            </w:r>
            <w:r w:rsidRPr="008A7960">
              <w:rPr>
                <w:rFonts w:ascii="Times Roman" w:hAnsi="Times Roman" w:cs="Calibri"/>
                <w:i/>
                <w:iCs/>
                <w:color w:val="000000"/>
                <w:sz w:val="20"/>
                <w:szCs w:val="20"/>
              </w:rPr>
              <w:t>Lmx1a</w:t>
            </w:r>
            <w:r w:rsidRPr="008A7960">
              <w:rPr>
                <w:rFonts w:ascii="Times Roman" w:hAnsi="Times Roman" w:cs="Calibri"/>
                <w:color w:val="000000"/>
                <w:sz w:val="20"/>
                <w:szCs w:val="20"/>
              </w:rPr>
              <w:t xml:space="preserve"> regulates gene expression and cell fate and is involved in formation of the cochlear morphology and formation of the sensory epithelia of the organ of Corti in mammals</w:t>
            </w:r>
            <w:r>
              <w:rPr>
                <w:color w:val="000000"/>
                <w:sz w:val="20"/>
                <w:szCs w:val="20"/>
              </w:rPr>
              <w:t xml:space="preserve"> </w:t>
            </w:r>
            <w:r>
              <w:rPr>
                <w:noProof/>
                <w:color w:val="000000"/>
                <w:sz w:val="20"/>
                <w:szCs w:val="20"/>
              </w:rPr>
              <w:t>[69]</w:t>
            </w:r>
            <w:r w:rsidRPr="008A7960">
              <w:rPr>
                <w:rFonts w:ascii="Times Roman" w:hAnsi="Times Roman" w:cs="Calibri"/>
                <w:color w:val="000000"/>
                <w:sz w:val="20"/>
                <w:szCs w:val="20"/>
              </w:rPr>
              <w:t>.</w:t>
            </w:r>
          </w:p>
        </w:tc>
      </w:tr>
      <w:tr w:rsidR="0091160B" w:rsidRPr="008A7960" w14:paraId="0A2F98CE" w14:textId="77777777" w:rsidTr="00BA219D">
        <w:trPr>
          <w:gridAfter w:val="2"/>
          <w:wAfter w:w="1226" w:type="dxa"/>
          <w:trHeight w:val="32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68BFDB5D" w14:textId="77777777" w:rsidR="0091160B" w:rsidRPr="008A7960" w:rsidRDefault="0091160B" w:rsidP="00BA219D">
            <w:pPr>
              <w:spacing w:line="240" w:lineRule="auto"/>
              <w:jc w:val="center"/>
              <w:rPr>
                <w:rFonts w:ascii="Times" w:hAnsi="Times" w:cs="Calibri"/>
                <w:b w:val="0"/>
                <w:bCs w:val="0"/>
                <w:color w:val="000000"/>
                <w:sz w:val="20"/>
                <w:szCs w:val="20"/>
              </w:rPr>
            </w:pPr>
            <w:r w:rsidRPr="008A7960">
              <w:rPr>
                <w:rFonts w:ascii="Times" w:hAnsi="Times" w:cs="Calibri"/>
                <w:b w:val="0"/>
                <w:bCs w:val="0"/>
                <w:color w:val="000000"/>
                <w:sz w:val="20"/>
                <w:szCs w:val="20"/>
              </w:rPr>
              <w:t>rs2393729</w:t>
            </w:r>
          </w:p>
        </w:tc>
        <w:tc>
          <w:tcPr>
            <w:tcW w:w="630" w:type="dxa"/>
            <w:vAlign w:val="center"/>
          </w:tcPr>
          <w:p w14:paraId="234F6C7B"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10</w:t>
            </w:r>
          </w:p>
        </w:tc>
        <w:tc>
          <w:tcPr>
            <w:tcW w:w="1620" w:type="dxa"/>
            <w:noWrap/>
            <w:vAlign w:val="center"/>
            <w:hideMark/>
          </w:tcPr>
          <w:p w14:paraId="39018187"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63,828,879 - 63,841,130</w:t>
            </w:r>
          </w:p>
        </w:tc>
        <w:tc>
          <w:tcPr>
            <w:tcW w:w="1350" w:type="dxa"/>
            <w:noWrap/>
            <w:vAlign w:val="center"/>
            <w:hideMark/>
          </w:tcPr>
          <w:p w14:paraId="09D2DF87"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Hearing difficulty</w:t>
            </w:r>
          </w:p>
        </w:tc>
        <w:tc>
          <w:tcPr>
            <w:tcW w:w="1440" w:type="dxa"/>
            <w:noWrap/>
            <w:vAlign w:val="center"/>
            <w:hideMark/>
          </w:tcPr>
          <w:p w14:paraId="79D5FC74"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ARID5B</w:t>
            </w:r>
          </w:p>
        </w:tc>
        <w:tc>
          <w:tcPr>
            <w:tcW w:w="1440" w:type="dxa"/>
            <w:noWrap/>
            <w:vAlign w:val="center"/>
            <w:hideMark/>
          </w:tcPr>
          <w:p w14:paraId="2142FA1C"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p>
        </w:tc>
        <w:tc>
          <w:tcPr>
            <w:tcW w:w="5760" w:type="dxa"/>
            <w:gridSpan w:val="2"/>
            <w:vAlign w:val="center"/>
          </w:tcPr>
          <w:p w14:paraId="2181C357" w14:textId="77777777" w:rsidR="0091160B" w:rsidRPr="008A7960" w:rsidRDefault="0091160B" w:rsidP="00BA219D">
            <w:pPr>
              <w:spacing w:line="240" w:lineRule="auto"/>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 xml:space="preserve">Cochlear </w:t>
            </w:r>
            <w:r w:rsidRPr="008A7960">
              <w:rPr>
                <w:rFonts w:ascii="Times" w:hAnsi="Times" w:cs="Calibri"/>
                <w:i/>
                <w:iCs/>
                <w:color w:val="000000"/>
                <w:sz w:val="20"/>
                <w:szCs w:val="20"/>
              </w:rPr>
              <w:t xml:space="preserve">Arid5b </w:t>
            </w:r>
            <w:r w:rsidRPr="008A7960">
              <w:rPr>
                <w:rFonts w:ascii="Times" w:hAnsi="Times" w:cs="Calibri"/>
                <w:color w:val="000000"/>
                <w:sz w:val="20"/>
                <w:szCs w:val="20"/>
              </w:rPr>
              <w:t xml:space="preserve">is elevated in aging C57BL/6 mice, which display early onset age-related hearing loss. Arid5b is a transcriptional regulator that was observed to regulate the long non-coding RNA AW112010, which was increased in aging C57BL/6 mouse cochleae </w:t>
            </w:r>
            <w:r>
              <w:rPr>
                <w:noProof/>
                <w:color w:val="000000"/>
                <w:sz w:val="20"/>
                <w:szCs w:val="20"/>
              </w:rPr>
              <w:t>[70]</w:t>
            </w:r>
            <w:r w:rsidRPr="008A7960">
              <w:rPr>
                <w:rFonts w:ascii="Times" w:hAnsi="Times" w:cs="Calibri"/>
                <w:color w:val="000000"/>
                <w:sz w:val="20"/>
                <w:szCs w:val="20"/>
              </w:rPr>
              <w:t>. Arid5b/AW112010 was shown to regulate mitochondrial function in HEI-OC1 cell and hypothesized to protect cochlear hair cells from oxidative stress</w:t>
            </w:r>
            <w:r>
              <w:rPr>
                <w:color w:val="000000"/>
                <w:sz w:val="20"/>
                <w:szCs w:val="20"/>
              </w:rPr>
              <w:t xml:space="preserve"> </w:t>
            </w:r>
            <w:r>
              <w:rPr>
                <w:noProof/>
                <w:color w:val="000000"/>
                <w:sz w:val="20"/>
                <w:szCs w:val="20"/>
              </w:rPr>
              <w:t>[70]</w:t>
            </w:r>
            <w:r w:rsidRPr="008A7960">
              <w:rPr>
                <w:rFonts w:ascii="Times" w:hAnsi="Times" w:cs="Calibri"/>
                <w:color w:val="000000"/>
                <w:sz w:val="20"/>
                <w:szCs w:val="20"/>
              </w:rPr>
              <w:t>.</w:t>
            </w:r>
          </w:p>
        </w:tc>
      </w:tr>
      <w:tr w:rsidR="0091160B" w:rsidRPr="008A7960" w14:paraId="06B30244" w14:textId="77777777" w:rsidTr="00BA219D">
        <w:trPr>
          <w:gridAfter w:val="2"/>
          <w:cnfStyle w:val="000000100000" w:firstRow="0" w:lastRow="0" w:firstColumn="0" w:lastColumn="0" w:oddVBand="0" w:evenVBand="0" w:oddHBand="1" w:evenHBand="0" w:firstRowFirstColumn="0" w:firstRowLastColumn="0" w:lastRowFirstColumn="0" w:lastRowLastColumn="0"/>
          <w:wAfter w:w="1226" w:type="dxa"/>
          <w:trHeight w:val="32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5F05D327" w14:textId="77777777" w:rsidR="0091160B" w:rsidRPr="008A7960" w:rsidRDefault="0091160B" w:rsidP="00BA219D">
            <w:pPr>
              <w:spacing w:line="240" w:lineRule="auto"/>
              <w:jc w:val="center"/>
              <w:rPr>
                <w:rFonts w:ascii="Times" w:hAnsi="Times" w:cs="Calibri"/>
                <w:b w:val="0"/>
                <w:bCs w:val="0"/>
                <w:color w:val="000000"/>
                <w:sz w:val="20"/>
                <w:szCs w:val="20"/>
              </w:rPr>
            </w:pPr>
            <w:r w:rsidRPr="008A7960">
              <w:rPr>
                <w:rFonts w:ascii="Times" w:hAnsi="Times" w:cs="Calibri"/>
                <w:b w:val="0"/>
                <w:bCs w:val="0"/>
                <w:color w:val="000000"/>
                <w:sz w:val="20"/>
                <w:szCs w:val="20"/>
              </w:rPr>
              <w:t>rs78528263</w:t>
            </w:r>
          </w:p>
        </w:tc>
        <w:tc>
          <w:tcPr>
            <w:tcW w:w="630" w:type="dxa"/>
            <w:vAlign w:val="center"/>
          </w:tcPr>
          <w:p w14:paraId="7D826178"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16</w:t>
            </w:r>
          </w:p>
        </w:tc>
        <w:tc>
          <w:tcPr>
            <w:tcW w:w="1620" w:type="dxa"/>
            <w:noWrap/>
            <w:vAlign w:val="center"/>
            <w:hideMark/>
          </w:tcPr>
          <w:p w14:paraId="0DE244C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55,474,324 - 55,507,592</w:t>
            </w:r>
          </w:p>
        </w:tc>
        <w:tc>
          <w:tcPr>
            <w:tcW w:w="1350" w:type="dxa"/>
            <w:noWrap/>
            <w:vAlign w:val="center"/>
            <w:hideMark/>
          </w:tcPr>
          <w:p w14:paraId="3C75A72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Hearing difficulty</w:t>
            </w:r>
          </w:p>
        </w:tc>
        <w:tc>
          <w:tcPr>
            <w:tcW w:w="1440" w:type="dxa"/>
            <w:noWrap/>
            <w:vAlign w:val="center"/>
            <w:hideMark/>
          </w:tcPr>
          <w:p w14:paraId="089ACF6D"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i/>
                <w:iCs/>
                <w:color w:val="000000"/>
                <w:sz w:val="20"/>
                <w:szCs w:val="20"/>
              </w:rPr>
            </w:pPr>
            <w:r w:rsidRPr="008A7960">
              <w:rPr>
                <w:rFonts w:ascii="Times" w:hAnsi="Times" w:cs="Calibri"/>
                <w:i/>
                <w:iCs/>
                <w:color w:val="000000"/>
                <w:sz w:val="20"/>
                <w:szCs w:val="20"/>
              </w:rPr>
              <w:t>MMP2</w:t>
            </w:r>
          </w:p>
        </w:tc>
        <w:tc>
          <w:tcPr>
            <w:tcW w:w="1440" w:type="dxa"/>
            <w:vAlign w:val="center"/>
          </w:tcPr>
          <w:p w14:paraId="361441EB"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p>
        </w:tc>
        <w:tc>
          <w:tcPr>
            <w:tcW w:w="5760" w:type="dxa"/>
            <w:gridSpan w:val="2"/>
            <w:vAlign w:val="center"/>
          </w:tcPr>
          <w:p w14:paraId="4231AC7D" w14:textId="77777777" w:rsidR="0091160B" w:rsidRPr="008A7960" w:rsidRDefault="0091160B" w:rsidP="00BA219D">
            <w:pPr>
              <w:spacing w:line="240" w:lineRule="auto"/>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i/>
                <w:iCs/>
                <w:color w:val="000000"/>
                <w:sz w:val="20"/>
                <w:szCs w:val="20"/>
              </w:rPr>
              <w:t xml:space="preserve">MMP2 </w:t>
            </w:r>
            <w:r w:rsidRPr="008A7960">
              <w:rPr>
                <w:rFonts w:ascii="Times Roman" w:hAnsi="Times Roman" w:cs="Calibri"/>
                <w:color w:val="000000"/>
                <w:sz w:val="20"/>
                <w:szCs w:val="20"/>
              </w:rPr>
              <w:t xml:space="preserve">encodes the </w:t>
            </w:r>
            <w:r w:rsidRPr="008A7960">
              <w:rPr>
                <w:rFonts w:ascii="Times" w:hAnsi="Times"/>
                <w:color w:val="000000"/>
                <w:sz w:val="20"/>
                <w:szCs w:val="20"/>
              </w:rPr>
              <w:t xml:space="preserve">72 kDa type IV collagenase (alternatively, </w:t>
            </w:r>
            <w:r w:rsidRPr="008A7960">
              <w:rPr>
                <w:rFonts w:ascii="Times Roman" w:hAnsi="Times Roman" w:cs="Calibri"/>
                <w:color w:val="000000"/>
                <w:sz w:val="20"/>
                <w:szCs w:val="20"/>
              </w:rPr>
              <w:t xml:space="preserve">matrix </w:t>
            </w:r>
            <w:r w:rsidRPr="008A7960">
              <w:rPr>
                <w:rFonts w:ascii="Times" w:hAnsi="Times" w:cs="Calibri"/>
                <w:color w:val="000000"/>
                <w:sz w:val="20"/>
                <w:szCs w:val="20"/>
              </w:rPr>
              <w:t>metalloproteinase 2</w:t>
            </w:r>
            <w:r w:rsidRPr="008A7960">
              <w:rPr>
                <w:rFonts w:ascii="Times" w:hAnsi="Times"/>
                <w:color w:val="000000"/>
                <w:sz w:val="20"/>
                <w:szCs w:val="20"/>
              </w:rPr>
              <w:t>)</w:t>
            </w:r>
            <w:r w:rsidRPr="008A7960">
              <w:rPr>
                <w:rFonts w:ascii="Times" w:hAnsi="Times" w:cs="Calibri"/>
                <w:color w:val="000000"/>
                <w:sz w:val="20"/>
                <w:szCs w:val="20"/>
              </w:rPr>
              <w:t xml:space="preserve">, which cleaves the extracellular structure proteins </w:t>
            </w:r>
            <w:r w:rsidRPr="008A7960">
              <w:rPr>
                <w:rFonts w:ascii="Times" w:hAnsi="Times"/>
                <w:color w:val="222222"/>
                <w:sz w:val="20"/>
                <w:szCs w:val="20"/>
              </w:rPr>
              <w:t>gelatin type I and collagen types IV, V, VII, X.</w:t>
            </w:r>
            <w:r w:rsidRPr="008A7960">
              <w:rPr>
                <w:rFonts w:ascii="Times" w:hAnsi="Times"/>
                <w:sz w:val="20"/>
                <w:szCs w:val="20"/>
              </w:rPr>
              <w:t xml:space="preserve"> </w:t>
            </w:r>
            <w:r w:rsidRPr="008A7960">
              <w:rPr>
                <w:rFonts w:ascii="Times Roman" w:hAnsi="Times Roman" w:cs="Calibri"/>
                <w:i/>
                <w:iCs/>
                <w:color w:val="000000"/>
                <w:sz w:val="20"/>
                <w:szCs w:val="20"/>
              </w:rPr>
              <w:t>Mmp2</w:t>
            </w:r>
            <w:r w:rsidRPr="008A7960">
              <w:rPr>
                <w:rFonts w:ascii="Times Roman" w:hAnsi="Times Roman" w:cs="Calibri"/>
                <w:color w:val="000000"/>
                <w:sz w:val="20"/>
                <w:szCs w:val="20"/>
              </w:rPr>
              <w:t xml:space="preserve">, along with </w:t>
            </w:r>
            <w:r w:rsidRPr="008A7960">
              <w:rPr>
                <w:rFonts w:ascii="Times Roman" w:hAnsi="Times Roman" w:cs="Calibri"/>
                <w:i/>
                <w:iCs/>
                <w:color w:val="000000"/>
                <w:sz w:val="20"/>
                <w:szCs w:val="20"/>
              </w:rPr>
              <w:t>Mmp9</w:t>
            </w:r>
            <w:r w:rsidRPr="008A7960">
              <w:rPr>
                <w:rFonts w:ascii="Times Roman" w:hAnsi="Times Roman" w:cs="Calibri"/>
                <w:color w:val="000000"/>
                <w:sz w:val="20"/>
                <w:szCs w:val="20"/>
              </w:rPr>
              <w:t xml:space="preserve">, are increased in the guinea pig cochlea following acoustic noise trauma </w:t>
            </w:r>
            <w:r>
              <w:rPr>
                <w:rFonts w:ascii="Times Roman" w:hAnsi="Times Roman" w:cs="Calibri"/>
                <w:noProof/>
                <w:color w:val="000000"/>
                <w:sz w:val="20"/>
                <w:szCs w:val="20"/>
              </w:rPr>
              <w:t>[71]</w:t>
            </w:r>
            <w:r>
              <w:rPr>
                <w:rFonts w:ascii="Times Roman" w:hAnsi="Times Roman" w:cs="Calibri"/>
                <w:color w:val="000000"/>
                <w:sz w:val="20"/>
                <w:szCs w:val="20"/>
              </w:rPr>
              <w:t xml:space="preserve"> </w:t>
            </w:r>
            <w:r w:rsidRPr="008A7960">
              <w:rPr>
                <w:rFonts w:ascii="Times Roman" w:hAnsi="Times Roman" w:cs="Calibri"/>
                <w:color w:val="000000"/>
                <w:sz w:val="20"/>
                <w:szCs w:val="20"/>
              </w:rPr>
              <w:t>and cochlear implantation</w:t>
            </w:r>
            <w:r>
              <w:rPr>
                <w:color w:val="000000"/>
                <w:sz w:val="20"/>
                <w:szCs w:val="20"/>
              </w:rPr>
              <w:t xml:space="preserve"> </w:t>
            </w:r>
            <w:r>
              <w:rPr>
                <w:noProof/>
                <w:color w:val="000000"/>
                <w:sz w:val="20"/>
                <w:szCs w:val="20"/>
              </w:rPr>
              <w:t>[72]</w:t>
            </w:r>
            <w:r w:rsidRPr="008A7960">
              <w:rPr>
                <w:rFonts w:ascii="Times Roman" w:hAnsi="Times Roman" w:cs="Calibri"/>
                <w:color w:val="000000"/>
                <w:sz w:val="20"/>
                <w:szCs w:val="20"/>
              </w:rPr>
              <w:t xml:space="preserve">. </w:t>
            </w:r>
            <w:r w:rsidRPr="008A7960">
              <w:rPr>
                <w:rFonts w:ascii="Times Roman" w:hAnsi="Times Roman" w:cs="Calibri"/>
                <w:i/>
                <w:iCs/>
                <w:color w:val="000000"/>
                <w:sz w:val="20"/>
                <w:szCs w:val="20"/>
              </w:rPr>
              <w:t>Mmp2</w:t>
            </w:r>
            <w:r w:rsidRPr="008A7960">
              <w:rPr>
                <w:rFonts w:ascii="Times Roman" w:hAnsi="Times Roman" w:cs="Calibri"/>
                <w:color w:val="000000"/>
                <w:sz w:val="20"/>
                <w:szCs w:val="20"/>
              </w:rPr>
              <w:t xml:space="preserve"> was found to be expressed in rat spiral ganglion neurons and higher </w:t>
            </w:r>
            <w:r w:rsidRPr="008A7960">
              <w:rPr>
                <w:rFonts w:ascii="Times Roman" w:hAnsi="Times Roman" w:cs="Calibri"/>
                <w:i/>
                <w:iCs/>
                <w:color w:val="000000"/>
                <w:sz w:val="20"/>
                <w:szCs w:val="20"/>
              </w:rPr>
              <w:t>Mmp2</w:t>
            </w:r>
            <w:r w:rsidRPr="008A7960">
              <w:rPr>
                <w:rFonts w:ascii="Times Roman" w:hAnsi="Times Roman" w:cs="Calibri"/>
                <w:color w:val="000000"/>
                <w:sz w:val="20"/>
                <w:szCs w:val="20"/>
              </w:rPr>
              <w:t xml:space="preserve"> expression was observed after treatment with the ototoxic aminoglycoside antibiotic amikacin </w:t>
            </w:r>
            <w:r>
              <w:rPr>
                <w:rFonts w:ascii="Times Roman" w:hAnsi="Times Roman" w:cs="Calibri"/>
                <w:noProof/>
                <w:color w:val="000000"/>
                <w:sz w:val="20"/>
                <w:szCs w:val="20"/>
              </w:rPr>
              <w:t>[73]</w:t>
            </w:r>
            <w:r w:rsidRPr="008A7960">
              <w:rPr>
                <w:rFonts w:ascii="Times Roman" w:hAnsi="Times Roman" w:cs="Calibri"/>
                <w:color w:val="000000"/>
                <w:sz w:val="20"/>
                <w:szCs w:val="20"/>
              </w:rPr>
              <w:t xml:space="preserve">. Topical administration of MMP inhibitors oxytetracycline and ilomastat showed a protective effect against LPS-induced cochlear lateral wall damage in guinea pigs </w:t>
            </w:r>
            <w:r>
              <w:rPr>
                <w:noProof/>
                <w:color w:val="000000"/>
                <w:sz w:val="20"/>
                <w:szCs w:val="20"/>
              </w:rPr>
              <w:t>[74]</w:t>
            </w:r>
            <w:r w:rsidRPr="008A7960">
              <w:rPr>
                <w:rFonts w:ascii="Times Roman" w:hAnsi="Times Roman" w:cs="Calibri"/>
                <w:color w:val="000000"/>
                <w:sz w:val="20"/>
                <w:szCs w:val="20"/>
              </w:rPr>
              <w:t xml:space="preserve">. </w:t>
            </w:r>
            <w:r w:rsidRPr="008A7960">
              <w:rPr>
                <w:rFonts w:ascii="Times Roman" w:hAnsi="Times Roman" w:cs="Calibri"/>
                <w:i/>
                <w:iCs/>
                <w:color w:val="000000"/>
                <w:sz w:val="20"/>
                <w:szCs w:val="20"/>
              </w:rPr>
              <w:t>Mmp2</w:t>
            </w:r>
            <w:r w:rsidRPr="008A7960">
              <w:rPr>
                <w:rFonts w:ascii="Times Roman" w:hAnsi="Times Roman" w:cs="Calibri"/>
                <w:color w:val="000000"/>
                <w:sz w:val="20"/>
                <w:szCs w:val="20"/>
              </w:rPr>
              <w:t xml:space="preserve"> expression was also increased following acute otitis media following middle ear injection of heat-killed </w:t>
            </w:r>
            <w:r w:rsidRPr="008A7960">
              <w:rPr>
                <w:rFonts w:ascii="Times Roman" w:hAnsi="Times Roman" w:cs="Calibri"/>
                <w:i/>
                <w:iCs/>
                <w:color w:val="000000"/>
                <w:sz w:val="20"/>
                <w:szCs w:val="20"/>
              </w:rPr>
              <w:t>Streptococcus pneumoniae</w:t>
            </w:r>
            <w:r w:rsidRPr="008A7960">
              <w:rPr>
                <w:rFonts w:ascii="Times Roman" w:hAnsi="Times Roman" w:cs="Calibri"/>
                <w:color w:val="000000"/>
                <w:sz w:val="20"/>
                <w:szCs w:val="20"/>
              </w:rPr>
              <w:t xml:space="preserve"> in Balb/c mice</w:t>
            </w:r>
            <w:r>
              <w:rPr>
                <w:color w:val="000000"/>
                <w:sz w:val="20"/>
                <w:szCs w:val="20"/>
              </w:rPr>
              <w:t xml:space="preserve"> </w:t>
            </w:r>
            <w:r>
              <w:rPr>
                <w:noProof/>
                <w:color w:val="000000"/>
                <w:sz w:val="20"/>
                <w:szCs w:val="20"/>
              </w:rPr>
              <w:t>[75]</w:t>
            </w:r>
            <w:r w:rsidRPr="008A7960">
              <w:rPr>
                <w:rFonts w:ascii="Times Roman" w:hAnsi="Times Roman" w:cs="Calibri"/>
                <w:color w:val="000000"/>
                <w:sz w:val="20"/>
                <w:szCs w:val="20"/>
              </w:rPr>
              <w:t xml:space="preserve">. </w:t>
            </w:r>
            <w:r w:rsidRPr="008A7960">
              <w:rPr>
                <w:rFonts w:ascii="Times Roman" w:hAnsi="Times Roman" w:cs="Calibri"/>
                <w:i/>
                <w:iCs/>
                <w:color w:val="000000"/>
                <w:sz w:val="20"/>
                <w:szCs w:val="20"/>
              </w:rPr>
              <w:t>Mmp2</w:t>
            </w:r>
            <w:r w:rsidRPr="008A7960">
              <w:rPr>
                <w:rFonts w:ascii="Times Roman" w:hAnsi="Times Roman" w:cs="Calibri"/>
                <w:color w:val="000000"/>
                <w:sz w:val="20"/>
                <w:szCs w:val="20"/>
              </w:rPr>
              <w:t xml:space="preserve"> was also observed to be upregulated in the cochlea of hyper-homocysteinemic cystathione beta-synthase heterozygous knockout mice</w:t>
            </w:r>
            <w:r>
              <w:rPr>
                <w:color w:val="000000"/>
                <w:sz w:val="20"/>
                <w:szCs w:val="20"/>
              </w:rPr>
              <w:t xml:space="preserve"> </w:t>
            </w:r>
            <w:r>
              <w:rPr>
                <w:noProof/>
                <w:color w:val="000000"/>
                <w:sz w:val="20"/>
                <w:szCs w:val="20"/>
              </w:rPr>
              <w:t>[76]</w:t>
            </w:r>
            <w:r w:rsidRPr="008A7960">
              <w:rPr>
                <w:rFonts w:ascii="Times Roman" w:hAnsi="Times Roman" w:cs="Calibri"/>
                <w:color w:val="000000"/>
                <w:sz w:val="20"/>
                <w:szCs w:val="20"/>
              </w:rPr>
              <w:t>.</w:t>
            </w:r>
          </w:p>
        </w:tc>
      </w:tr>
      <w:tr w:rsidR="0091160B" w:rsidRPr="00D36D0C" w14:paraId="59FE1F1F" w14:textId="77777777" w:rsidTr="00BA219D">
        <w:trPr>
          <w:gridAfter w:val="2"/>
          <w:wAfter w:w="1226" w:type="dxa"/>
          <w:trHeight w:val="32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1C6AAFCA" w14:textId="77777777" w:rsidR="0091160B" w:rsidRPr="008A7960" w:rsidRDefault="0091160B" w:rsidP="00BA219D">
            <w:pPr>
              <w:spacing w:line="240" w:lineRule="auto"/>
              <w:jc w:val="center"/>
              <w:rPr>
                <w:rFonts w:ascii="Times" w:hAnsi="Times" w:cs="Calibri"/>
                <w:b w:val="0"/>
                <w:bCs w:val="0"/>
                <w:color w:val="000000"/>
                <w:sz w:val="20"/>
                <w:szCs w:val="20"/>
              </w:rPr>
            </w:pPr>
            <w:r w:rsidRPr="008A7960">
              <w:rPr>
                <w:rFonts w:ascii="Times" w:hAnsi="Times" w:cs="Calibri"/>
                <w:b w:val="0"/>
                <w:bCs w:val="0"/>
                <w:color w:val="000000"/>
                <w:sz w:val="20"/>
                <w:szCs w:val="20"/>
              </w:rPr>
              <w:lastRenderedPageBreak/>
              <w:t>rs2941580</w:t>
            </w:r>
          </w:p>
        </w:tc>
        <w:tc>
          <w:tcPr>
            <w:tcW w:w="630" w:type="dxa"/>
            <w:vAlign w:val="center"/>
          </w:tcPr>
          <w:p w14:paraId="43E69DFE"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2</w:t>
            </w:r>
          </w:p>
        </w:tc>
        <w:tc>
          <w:tcPr>
            <w:tcW w:w="1620" w:type="dxa"/>
            <w:noWrap/>
            <w:vAlign w:val="center"/>
            <w:hideMark/>
          </w:tcPr>
          <w:p w14:paraId="0147E94D"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54,728,276 - 54,966,407</w:t>
            </w:r>
          </w:p>
        </w:tc>
        <w:tc>
          <w:tcPr>
            <w:tcW w:w="1350" w:type="dxa"/>
            <w:noWrap/>
            <w:vAlign w:val="center"/>
            <w:hideMark/>
          </w:tcPr>
          <w:p w14:paraId="3ECDE226"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Hearing difficulty</w:t>
            </w:r>
          </w:p>
        </w:tc>
        <w:tc>
          <w:tcPr>
            <w:tcW w:w="1440" w:type="dxa"/>
            <w:noWrap/>
            <w:vAlign w:val="center"/>
            <w:hideMark/>
          </w:tcPr>
          <w:p w14:paraId="7B69A7F7"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SPTBN1</w:t>
            </w:r>
          </w:p>
        </w:tc>
        <w:tc>
          <w:tcPr>
            <w:tcW w:w="1440" w:type="dxa"/>
            <w:noWrap/>
            <w:vAlign w:val="center"/>
            <w:hideMark/>
          </w:tcPr>
          <w:p w14:paraId="1F5DA412"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DFNA58</w:t>
            </w:r>
            <w:r>
              <w:rPr>
                <w:color w:val="000000"/>
                <w:sz w:val="20"/>
                <w:szCs w:val="20"/>
              </w:rPr>
              <w:t xml:space="preserve"> </w:t>
            </w:r>
            <w:r>
              <w:rPr>
                <w:noProof/>
                <w:color w:val="000000"/>
                <w:sz w:val="20"/>
                <w:szCs w:val="20"/>
              </w:rPr>
              <w:t>[77]</w:t>
            </w:r>
          </w:p>
        </w:tc>
        <w:tc>
          <w:tcPr>
            <w:tcW w:w="5760" w:type="dxa"/>
            <w:gridSpan w:val="2"/>
            <w:vAlign w:val="center"/>
          </w:tcPr>
          <w:p w14:paraId="666C0B65" w14:textId="77777777" w:rsidR="0091160B" w:rsidRPr="00D36D0C" w:rsidRDefault="0091160B" w:rsidP="00BA219D">
            <w:pPr>
              <w:spacing w:line="240" w:lineRule="auto"/>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DFNA58 is an autosomal dominant deafness locus</w:t>
            </w:r>
            <w:r>
              <w:rPr>
                <w:color w:val="000000"/>
                <w:sz w:val="20"/>
                <w:szCs w:val="20"/>
              </w:rPr>
              <w:t xml:space="preserve"> </w:t>
            </w:r>
            <w:r>
              <w:rPr>
                <w:noProof/>
                <w:color w:val="000000"/>
                <w:sz w:val="20"/>
                <w:szCs w:val="20"/>
              </w:rPr>
              <w:t>[77]</w:t>
            </w:r>
            <w:r w:rsidRPr="008A7960">
              <w:rPr>
                <w:rFonts w:ascii="Times" w:hAnsi="Times" w:cs="Calibri"/>
                <w:color w:val="000000"/>
                <w:sz w:val="20"/>
                <w:szCs w:val="20"/>
              </w:rPr>
              <w:t xml:space="preserve">. </w:t>
            </w:r>
            <w:r w:rsidRPr="008A7960">
              <w:rPr>
                <w:rFonts w:ascii="Times" w:hAnsi="Times" w:cs="Calibri"/>
                <w:i/>
                <w:iCs/>
                <w:color w:val="000000"/>
                <w:sz w:val="20"/>
                <w:szCs w:val="20"/>
              </w:rPr>
              <w:t>SPTBN1</w:t>
            </w:r>
            <w:r w:rsidRPr="008A7960">
              <w:rPr>
                <w:rFonts w:ascii="Times" w:hAnsi="Times" w:cs="Calibri"/>
                <w:color w:val="000000"/>
                <w:sz w:val="20"/>
                <w:szCs w:val="20"/>
              </w:rPr>
              <w:t xml:space="preserve"> encodes the beta-II spectrin subunit. It is expressed in the cuticula of the inner and outer hair cells where they organize actin around the stereocilia rootlets</w:t>
            </w:r>
            <w:r>
              <w:rPr>
                <w:color w:val="000000"/>
                <w:sz w:val="20"/>
                <w:szCs w:val="20"/>
              </w:rPr>
              <w:t xml:space="preserve"> </w:t>
            </w:r>
            <w:r>
              <w:rPr>
                <w:noProof/>
                <w:color w:val="000000"/>
                <w:sz w:val="20"/>
                <w:szCs w:val="20"/>
              </w:rPr>
              <w:t>[78]</w:t>
            </w:r>
            <w:r w:rsidRPr="00D36D0C">
              <w:rPr>
                <w:rFonts w:ascii="Times" w:hAnsi="Times" w:cs="Calibri"/>
                <w:color w:val="000000"/>
                <w:sz w:val="20"/>
                <w:szCs w:val="20"/>
              </w:rPr>
              <w:t xml:space="preserve">. </w:t>
            </w:r>
            <w:r w:rsidRPr="00D36D0C">
              <w:rPr>
                <w:rFonts w:ascii="Times" w:hAnsi="Times" w:cs="Calibri"/>
                <w:iCs/>
                <w:color w:val="000000"/>
                <w:sz w:val="20"/>
                <w:szCs w:val="20"/>
              </w:rPr>
              <w:t>Sptbn1</w:t>
            </w:r>
            <w:r w:rsidRPr="00D36D0C">
              <w:rPr>
                <w:rFonts w:ascii="Times" w:hAnsi="Times" w:cs="Calibri"/>
                <w:color w:val="000000"/>
                <w:sz w:val="20"/>
                <w:szCs w:val="20"/>
              </w:rPr>
              <w:t xml:space="preserve"> was observed to be preferentially expressed in the swim bladder of the channel catfish</w:t>
            </w:r>
            <w:r>
              <w:rPr>
                <w:color w:val="000000"/>
                <w:sz w:val="20"/>
                <w:szCs w:val="20"/>
              </w:rPr>
              <w:t xml:space="preserve"> </w:t>
            </w:r>
            <w:r>
              <w:rPr>
                <w:noProof/>
                <w:color w:val="000000"/>
                <w:sz w:val="20"/>
                <w:szCs w:val="20"/>
              </w:rPr>
              <w:t>[79]</w:t>
            </w:r>
            <w:r w:rsidRPr="00D36D0C">
              <w:rPr>
                <w:rFonts w:ascii="Times" w:hAnsi="Times" w:cs="Calibri"/>
                <w:color w:val="000000"/>
                <w:sz w:val="20"/>
                <w:szCs w:val="20"/>
              </w:rPr>
              <w:t>. In catfishes, Weberian ossicles connect the swim bladder to the inner ear, which improves hearing ability.</w:t>
            </w:r>
          </w:p>
        </w:tc>
      </w:tr>
      <w:tr w:rsidR="0091160B" w:rsidRPr="00D36D0C" w14:paraId="7847EE4A" w14:textId="77777777" w:rsidTr="00BA219D">
        <w:trPr>
          <w:gridAfter w:val="2"/>
          <w:cnfStyle w:val="000000100000" w:firstRow="0" w:lastRow="0" w:firstColumn="0" w:lastColumn="0" w:oddVBand="0" w:evenVBand="0" w:oddHBand="1" w:evenHBand="0" w:firstRowFirstColumn="0" w:firstRowLastColumn="0" w:lastRowFirstColumn="0" w:lastRowLastColumn="0"/>
          <w:wAfter w:w="1226" w:type="dxa"/>
          <w:trHeight w:val="32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04FCC4A7" w14:textId="77777777" w:rsidR="0091160B" w:rsidRPr="00D36D0C" w:rsidRDefault="0091160B" w:rsidP="00BA219D">
            <w:pPr>
              <w:spacing w:line="240" w:lineRule="auto"/>
              <w:jc w:val="center"/>
              <w:outlineLvl w:val="0"/>
              <w:rPr>
                <w:rFonts w:ascii="Times" w:hAnsi="Times" w:cs="Calibri"/>
                <w:b w:val="0"/>
                <w:bCs w:val="0"/>
                <w:color w:val="000000"/>
                <w:sz w:val="20"/>
                <w:szCs w:val="20"/>
              </w:rPr>
            </w:pPr>
            <w:r w:rsidRPr="00D36D0C">
              <w:rPr>
                <w:rFonts w:ascii="Times" w:hAnsi="Times" w:cs="Calibri"/>
                <w:b w:val="0"/>
                <w:bCs w:val="0"/>
                <w:color w:val="000000"/>
                <w:sz w:val="20"/>
                <w:szCs w:val="20"/>
              </w:rPr>
              <w:t>rs920701</w:t>
            </w:r>
          </w:p>
        </w:tc>
        <w:tc>
          <w:tcPr>
            <w:tcW w:w="630" w:type="dxa"/>
            <w:vAlign w:val="center"/>
          </w:tcPr>
          <w:p w14:paraId="7010ECB8" w14:textId="77777777" w:rsidR="0091160B" w:rsidRPr="00D36D0C"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D36D0C">
              <w:rPr>
                <w:rFonts w:ascii="Times Roman" w:hAnsi="Times Roman" w:cs="Calibri"/>
                <w:color w:val="000000"/>
                <w:sz w:val="20"/>
                <w:szCs w:val="20"/>
              </w:rPr>
              <w:t>13</w:t>
            </w:r>
          </w:p>
        </w:tc>
        <w:tc>
          <w:tcPr>
            <w:tcW w:w="1620" w:type="dxa"/>
            <w:noWrap/>
            <w:vAlign w:val="center"/>
            <w:hideMark/>
          </w:tcPr>
          <w:p w14:paraId="54563592" w14:textId="77777777" w:rsidR="0091160B" w:rsidRPr="00D36D0C"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D36D0C">
              <w:rPr>
                <w:rFonts w:ascii="Times Roman" w:hAnsi="Times Roman" w:cs="Calibri"/>
                <w:color w:val="000000"/>
                <w:sz w:val="20"/>
                <w:szCs w:val="20"/>
              </w:rPr>
              <w:t>76,343,051 - 76,455,056</w:t>
            </w:r>
          </w:p>
        </w:tc>
        <w:tc>
          <w:tcPr>
            <w:tcW w:w="1350" w:type="dxa"/>
            <w:noWrap/>
            <w:vAlign w:val="center"/>
            <w:hideMark/>
          </w:tcPr>
          <w:p w14:paraId="0A51FD15" w14:textId="77777777" w:rsidR="0091160B" w:rsidRPr="00D36D0C"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D36D0C">
              <w:rPr>
                <w:rFonts w:ascii="Times Roman" w:hAnsi="Times Roman" w:cs="Calibri"/>
                <w:color w:val="000000"/>
                <w:sz w:val="20"/>
                <w:szCs w:val="20"/>
              </w:rPr>
              <w:t>Hearing difficulty</w:t>
            </w:r>
          </w:p>
        </w:tc>
        <w:tc>
          <w:tcPr>
            <w:tcW w:w="1440" w:type="dxa"/>
            <w:noWrap/>
            <w:vAlign w:val="center"/>
            <w:hideMark/>
          </w:tcPr>
          <w:p w14:paraId="0666B658" w14:textId="77777777" w:rsidR="0091160B" w:rsidRPr="00D36D0C"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iCs/>
                <w:color w:val="000000"/>
                <w:sz w:val="20"/>
                <w:szCs w:val="20"/>
              </w:rPr>
            </w:pPr>
            <w:r w:rsidRPr="00D36D0C">
              <w:rPr>
                <w:rFonts w:ascii="Times Roman" w:hAnsi="Times Roman" w:cs="Calibri"/>
                <w:iCs/>
                <w:color w:val="000000"/>
                <w:sz w:val="20"/>
                <w:szCs w:val="20"/>
              </w:rPr>
              <w:t>LMO7</w:t>
            </w:r>
          </w:p>
        </w:tc>
        <w:tc>
          <w:tcPr>
            <w:tcW w:w="1440" w:type="dxa"/>
            <w:noWrap/>
            <w:vAlign w:val="center"/>
            <w:hideMark/>
          </w:tcPr>
          <w:p w14:paraId="2D6E0BC9" w14:textId="77777777" w:rsidR="0091160B" w:rsidRPr="00D36D0C"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p>
        </w:tc>
        <w:tc>
          <w:tcPr>
            <w:tcW w:w="5760" w:type="dxa"/>
            <w:gridSpan w:val="2"/>
            <w:vAlign w:val="center"/>
          </w:tcPr>
          <w:p w14:paraId="71C6F23C" w14:textId="77777777" w:rsidR="0091160B" w:rsidRPr="00D36D0C" w:rsidRDefault="0091160B" w:rsidP="00BA219D">
            <w:pPr>
              <w:spacing w:line="240" w:lineRule="auto"/>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D36D0C">
              <w:rPr>
                <w:rFonts w:ascii="Times" w:hAnsi="Times" w:cs="Calibri"/>
                <w:iCs/>
                <w:color w:val="000000"/>
                <w:sz w:val="20"/>
                <w:szCs w:val="20"/>
              </w:rPr>
              <w:t>Lmo7</w:t>
            </w:r>
            <w:r w:rsidRPr="00D36D0C">
              <w:rPr>
                <w:rFonts w:ascii="Times" w:hAnsi="Times" w:cs="Calibri"/>
                <w:color w:val="000000"/>
                <w:sz w:val="20"/>
                <w:szCs w:val="20"/>
              </w:rPr>
              <w:t xml:space="preserve"> is abundant in the chick cuticular plate and </w:t>
            </w:r>
            <w:r w:rsidRPr="00D36D0C">
              <w:rPr>
                <w:rFonts w:ascii="Times" w:hAnsi="Times" w:cs="Calibri"/>
                <w:iCs/>
                <w:color w:val="000000"/>
                <w:sz w:val="20"/>
                <w:szCs w:val="20"/>
              </w:rPr>
              <w:t>Lmo7</w:t>
            </w:r>
            <w:r w:rsidRPr="00D36D0C">
              <w:rPr>
                <w:rFonts w:ascii="Times" w:hAnsi="Times" w:cs="Calibri"/>
                <w:color w:val="000000"/>
                <w:sz w:val="20"/>
                <w:szCs w:val="20"/>
              </w:rPr>
              <w:t xml:space="preserve"> knock out mice display F-actin deficiencies in the cuticular plate, cochlear tuning and sensitivity abnormalities, as well as late-onset progressive hearing loss</w:t>
            </w:r>
            <w:r>
              <w:rPr>
                <w:color w:val="000000"/>
                <w:sz w:val="20"/>
                <w:szCs w:val="20"/>
              </w:rPr>
              <w:t xml:space="preserve"> </w:t>
            </w:r>
            <w:r>
              <w:rPr>
                <w:noProof/>
                <w:color w:val="000000"/>
                <w:sz w:val="20"/>
                <w:szCs w:val="20"/>
              </w:rPr>
              <w:t>[80]</w:t>
            </w:r>
            <w:r w:rsidRPr="00D36D0C">
              <w:rPr>
                <w:rFonts w:ascii="Times" w:hAnsi="Times" w:cs="Calibri"/>
                <w:color w:val="000000"/>
                <w:sz w:val="20"/>
                <w:szCs w:val="20"/>
              </w:rPr>
              <w:t>.</w:t>
            </w:r>
          </w:p>
        </w:tc>
      </w:tr>
      <w:tr w:rsidR="0091160B" w:rsidRPr="008A7960" w14:paraId="7409C36C" w14:textId="77777777" w:rsidTr="00BA219D">
        <w:trPr>
          <w:gridAfter w:val="2"/>
          <w:wAfter w:w="1226" w:type="dxa"/>
          <w:trHeight w:val="32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7A8D8EE1" w14:textId="77777777" w:rsidR="0091160B" w:rsidRPr="00D36D0C" w:rsidRDefault="0091160B" w:rsidP="00BA219D">
            <w:pPr>
              <w:spacing w:line="240" w:lineRule="auto"/>
              <w:jc w:val="center"/>
              <w:rPr>
                <w:rFonts w:ascii="Times" w:hAnsi="Times" w:cs="Calibri"/>
                <w:b w:val="0"/>
                <w:bCs w:val="0"/>
                <w:color w:val="000000"/>
                <w:sz w:val="20"/>
                <w:szCs w:val="20"/>
              </w:rPr>
            </w:pPr>
            <w:r w:rsidRPr="00D36D0C">
              <w:rPr>
                <w:rFonts w:ascii="Times" w:hAnsi="Times" w:cs="Calibri"/>
                <w:b w:val="0"/>
                <w:bCs w:val="0"/>
                <w:color w:val="000000"/>
                <w:sz w:val="20"/>
                <w:szCs w:val="20"/>
              </w:rPr>
              <w:t>rs751007730</w:t>
            </w:r>
          </w:p>
        </w:tc>
        <w:tc>
          <w:tcPr>
            <w:tcW w:w="630" w:type="dxa"/>
            <w:vAlign w:val="center"/>
          </w:tcPr>
          <w:p w14:paraId="23AF53A3" w14:textId="77777777" w:rsidR="0091160B" w:rsidRPr="00D36D0C"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D36D0C">
              <w:rPr>
                <w:rFonts w:ascii="Times Roman" w:hAnsi="Times Roman" w:cs="Calibri"/>
                <w:color w:val="000000"/>
                <w:sz w:val="20"/>
                <w:szCs w:val="20"/>
              </w:rPr>
              <w:t>6</w:t>
            </w:r>
          </w:p>
        </w:tc>
        <w:tc>
          <w:tcPr>
            <w:tcW w:w="1620" w:type="dxa"/>
            <w:noWrap/>
            <w:vAlign w:val="center"/>
            <w:hideMark/>
          </w:tcPr>
          <w:p w14:paraId="18285E79" w14:textId="77777777" w:rsidR="0091160B" w:rsidRPr="00D36D0C"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D36D0C">
              <w:rPr>
                <w:rFonts w:ascii="Times Roman" w:hAnsi="Times Roman" w:cs="Calibri"/>
                <w:color w:val="000000"/>
                <w:sz w:val="20"/>
                <w:szCs w:val="20"/>
              </w:rPr>
              <w:t>109,080,100 - 109,080,100</w:t>
            </w:r>
          </w:p>
        </w:tc>
        <w:tc>
          <w:tcPr>
            <w:tcW w:w="1350" w:type="dxa"/>
            <w:noWrap/>
            <w:vAlign w:val="center"/>
            <w:hideMark/>
          </w:tcPr>
          <w:p w14:paraId="5FBCFBA8" w14:textId="77777777" w:rsidR="0091160B" w:rsidRPr="00D36D0C"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D36D0C">
              <w:rPr>
                <w:rFonts w:ascii="Times Roman" w:hAnsi="Times Roman" w:cs="Calibri"/>
                <w:color w:val="000000"/>
                <w:sz w:val="20"/>
                <w:szCs w:val="20"/>
              </w:rPr>
              <w:t>Hearing aid</w:t>
            </w:r>
          </w:p>
        </w:tc>
        <w:tc>
          <w:tcPr>
            <w:tcW w:w="1440" w:type="dxa"/>
            <w:noWrap/>
            <w:vAlign w:val="center"/>
            <w:hideMark/>
          </w:tcPr>
          <w:p w14:paraId="700F429B" w14:textId="77777777" w:rsidR="0091160B" w:rsidRPr="00D36D0C"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iCs/>
                <w:color w:val="000000"/>
                <w:sz w:val="20"/>
                <w:szCs w:val="20"/>
              </w:rPr>
            </w:pPr>
            <w:r w:rsidRPr="00D36D0C">
              <w:rPr>
                <w:rFonts w:ascii="Times" w:hAnsi="Times" w:cs="Calibri"/>
                <w:iCs/>
                <w:color w:val="000000"/>
                <w:sz w:val="20"/>
                <w:szCs w:val="20"/>
              </w:rPr>
              <w:t>FOXO3</w:t>
            </w:r>
          </w:p>
        </w:tc>
        <w:tc>
          <w:tcPr>
            <w:tcW w:w="1440" w:type="dxa"/>
            <w:vAlign w:val="center"/>
          </w:tcPr>
          <w:p w14:paraId="147B27B3" w14:textId="77777777" w:rsidR="0091160B" w:rsidRPr="00D36D0C"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p>
        </w:tc>
        <w:tc>
          <w:tcPr>
            <w:tcW w:w="5760" w:type="dxa"/>
            <w:gridSpan w:val="2"/>
            <w:vAlign w:val="center"/>
          </w:tcPr>
          <w:p w14:paraId="53AECD60" w14:textId="77777777" w:rsidR="0091160B" w:rsidRPr="0061584B" w:rsidRDefault="0091160B" w:rsidP="00BA219D">
            <w:pPr>
              <w:spacing w:line="240" w:lineRule="auto"/>
              <w:cnfStyle w:val="000000000000" w:firstRow="0" w:lastRow="0" w:firstColumn="0" w:lastColumn="0" w:oddVBand="0" w:evenVBand="0" w:oddHBand="0" w:evenHBand="0" w:firstRowFirstColumn="0" w:firstRowLastColumn="0" w:lastRowFirstColumn="0" w:lastRowLastColumn="0"/>
              <w:rPr>
                <w:color w:val="000000"/>
                <w:sz w:val="20"/>
                <w:szCs w:val="20"/>
              </w:rPr>
            </w:pPr>
            <w:r w:rsidRPr="00D36D0C">
              <w:rPr>
                <w:rFonts w:ascii="Times Roman" w:hAnsi="Times Roman" w:cs="Calibri"/>
                <w:color w:val="000000"/>
                <w:sz w:val="20"/>
                <w:szCs w:val="20"/>
              </w:rPr>
              <w:t xml:space="preserve">Foxo3 encodes a transcription factor, which is expressed on the mouse cochlea </w:t>
            </w:r>
            <w:r>
              <w:rPr>
                <w:color w:val="000000"/>
                <w:sz w:val="20"/>
                <w:szCs w:val="20"/>
              </w:rPr>
              <w:t xml:space="preserve"> </w:t>
            </w:r>
            <w:r>
              <w:rPr>
                <w:noProof/>
                <w:color w:val="000000"/>
                <w:sz w:val="20"/>
                <w:szCs w:val="20"/>
              </w:rPr>
              <w:t>[81]</w:t>
            </w:r>
            <w:r>
              <w:rPr>
                <w:rFonts w:ascii="Times Roman" w:hAnsi="Times Roman" w:cs="Calibri"/>
                <w:color w:val="000000"/>
                <w:sz w:val="20"/>
                <w:szCs w:val="20"/>
              </w:rPr>
              <w:t>. It has been asso</w:t>
            </w:r>
            <w:r w:rsidRPr="00D36D0C">
              <w:rPr>
                <w:rFonts w:ascii="Times Roman" w:hAnsi="Times Roman" w:cs="Calibri"/>
                <w:color w:val="000000"/>
                <w:sz w:val="20"/>
                <w:szCs w:val="20"/>
              </w:rPr>
              <w:t>ciated with noise-induced hearing loss in two studies on Chinese residents</w:t>
            </w:r>
            <w:r>
              <w:rPr>
                <w:color w:val="000000"/>
                <w:sz w:val="20"/>
                <w:szCs w:val="20"/>
              </w:rPr>
              <w:t xml:space="preserve"> </w:t>
            </w:r>
            <w:r>
              <w:rPr>
                <w:noProof/>
                <w:color w:val="000000"/>
                <w:sz w:val="20"/>
                <w:szCs w:val="20"/>
              </w:rPr>
              <w:t>[82, 83]</w:t>
            </w:r>
            <w:r w:rsidRPr="00D36D0C">
              <w:rPr>
                <w:rFonts w:ascii="Times Roman" w:hAnsi="Times Roman" w:cs="Calibri"/>
                <w:color w:val="000000"/>
                <w:sz w:val="20"/>
                <w:szCs w:val="20"/>
              </w:rPr>
              <w:t>. Foxo3 knock-out mice develop adult-onset hearing loss due to auditory neuropathy, i.e. the hearing loss could not be attributed to hair cell loss or dysfunction but rather appears to be caused by disturbed synaptic function</w:t>
            </w:r>
            <w:r>
              <w:rPr>
                <w:color w:val="000000"/>
                <w:sz w:val="20"/>
                <w:szCs w:val="20"/>
              </w:rPr>
              <w:t xml:space="preserve"> </w:t>
            </w:r>
            <w:r>
              <w:rPr>
                <w:noProof/>
                <w:color w:val="000000"/>
                <w:sz w:val="20"/>
                <w:szCs w:val="20"/>
              </w:rPr>
              <w:t>[81]</w:t>
            </w:r>
            <w:r w:rsidRPr="008A7960">
              <w:rPr>
                <w:rFonts w:ascii="Times Roman" w:hAnsi="Times Roman" w:cs="Calibri"/>
                <w:color w:val="000000"/>
                <w:sz w:val="20"/>
                <w:szCs w:val="20"/>
              </w:rPr>
              <w:t xml:space="preserve">. </w:t>
            </w:r>
            <w:r w:rsidRPr="008A7960">
              <w:rPr>
                <w:rFonts w:ascii="Times Roman" w:hAnsi="Times Roman" w:cs="Calibri"/>
                <w:i/>
                <w:iCs/>
                <w:color w:val="000000"/>
                <w:sz w:val="20"/>
                <w:szCs w:val="20"/>
              </w:rPr>
              <w:t>Foxo3</w:t>
            </w:r>
            <w:r w:rsidRPr="008A7960">
              <w:rPr>
                <w:rFonts w:ascii="Times Roman" w:hAnsi="Times Roman" w:cs="Calibri"/>
                <w:color w:val="000000"/>
                <w:sz w:val="20"/>
                <w:szCs w:val="20"/>
              </w:rPr>
              <w:t xml:space="preserve"> was also found to be downregulated in Cytidine monophosphate-N-acetylneuraminic acid hydroxylase (</w:t>
            </w:r>
            <w:r w:rsidRPr="008A7960">
              <w:rPr>
                <w:rFonts w:ascii="Times Roman" w:hAnsi="Times Roman" w:cs="Calibri"/>
                <w:i/>
                <w:iCs/>
                <w:color w:val="000000"/>
                <w:sz w:val="20"/>
                <w:szCs w:val="20"/>
              </w:rPr>
              <w:t>Cmah</w:t>
            </w:r>
            <w:r w:rsidRPr="008A7960">
              <w:rPr>
                <w:rFonts w:ascii="Times Roman" w:hAnsi="Times Roman" w:cs="Calibri"/>
                <w:color w:val="000000"/>
                <w:sz w:val="20"/>
                <w:szCs w:val="20"/>
              </w:rPr>
              <w:t>) null mice, which exhibit age-related hearing loss</w:t>
            </w:r>
            <w:r>
              <w:rPr>
                <w:color w:val="000000"/>
                <w:sz w:val="20"/>
                <w:szCs w:val="20"/>
              </w:rPr>
              <w:t xml:space="preserve"> </w:t>
            </w:r>
            <w:r>
              <w:rPr>
                <w:noProof/>
                <w:color w:val="000000"/>
                <w:sz w:val="20"/>
                <w:szCs w:val="20"/>
              </w:rPr>
              <w:t>[84]</w:t>
            </w:r>
            <w:r w:rsidRPr="008A7960">
              <w:rPr>
                <w:rFonts w:ascii="Times Roman" w:hAnsi="Times Roman" w:cs="Calibri"/>
                <w:color w:val="000000"/>
                <w:sz w:val="20"/>
                <w:szCs w:val="20"/>
              </w:rPr>
              <w:t xml:space="preserve">. In addition, cochlear </w:t>
            </w:r>
            <w:r w:rsidRPr="008A7960">
              <w:rPr>
                <w:rFonts w:ascii="Times Roman" w:hAnsi="Times Roman" w:cs="Calibri"/>
                <w:i/>
                <w:iCs/>
                <w:color w:val="000000"/>
                <w:sz w:val="20"/>
                <w:szCs w:val="20"/>
              </w:rPr>
              <w:t>Foxo3</w:t>
            </w:r>
            <w:r w:rsidRPr="008A7960">
              <w:rPr>
                <w:rFonts w:ascii="Times Roman" w:hAnsi="Times Roman" w:cs="Calibri"/>
                <w:color w:val="000000"/>
                <w:sz w:val="20"/>
                <w:szCs w:val="20"/>
              </w:rPr>
              <w:t xml:space="preserve"> expression was also upregulated in beta-catenin overexpressing mice, which are protected against neomycin-induced hair cell damage</w:t>
            </w:r>
            <w:r>
              <w:rPr>
                <w:color w:val="000000"/>
                <w:sz w:val="20"/>
                <w:szCs w:val="20"/>
              </w:rPr>
              <w:t xml:space="preserve"> </w:t>
            </w:r>
            <w:r>
              <w:rPr>
                <w:noProof/>
                <w:color w:val="000000"/>
                <w:sz w:val="20"/>
                <w:szCs w:val="20"/>
              </w:rPr>
              <w:t>[85]</w:t>
            </w:r>
            <w:r>
              <w:rPr>
                <w:color w:val="000000"/>
                <w:sz w:val="20"/>
                <w:szCs w:val="20"/>
              </w:rPr>
              <w:t>. Moderate noise-exposure also leads to sev</w:t>
            </w:r>
            <w:r w:rsidRPr="008A7960">
              <w:rPr>
                <w:rFonts w:ascii="Times Roman" w:hAnsi="Times Roman" w:cs="Calibri"/>
                <w:color w:val="000000"/>
                <w:sz w:val="20"/>
                <w:szCs w:val="20"/>
              </w:rPr>
              <w:t xml:space="preserve">ere hearing loss and outer hair cell death in </w:t>
            </w:r>
            <w:r w:rsidRPr="008A7960">
              <w:rPr>
                <w:rFonts w:ascii="Times Roman" w:hAnsi="Times Roman" w:cs="Calibri"/>
                <w:i/>
                <w:iCs/>
                <w:color w:val="000000"/>
                <w:sz w:val="20"/>
                <w:szCs w:val="20"/>
              </w:rPr>
              <w:t>Foxo3</w:t>
            </w:r>
            <w:r w:rsidRPr="008A7960">
              <w:rPr>
                <w:rFonts w:ascii="Times Roman" w:hAnsi="Times Roman" w:cs="Calibri"/>
                <w:color w:val="000000"/>
                <w:sz w:val="20"/>
                <w:szCs w:val="20"/>
              </w:rPr>
              <w:t xml:space="preserve"> knockout mice</w:t>
            </w:r>
            <w:r>
              <w:rPr>
                <w:color w:val="000000"/>
                <w:sz w:val="20"/>
                <w:szCs w:val="20"/>
              </w:rPr>
              <w:t xml:space="preserve"> </w:t>
            </w:r>
            <w:r>
              <w:rPr>
                <w:noProof/>
                <w:color w:val="000000"/>
                <w:sz w:val="20"/>
                <w:szCs w:val="20"/>
              </w:rPr>
              <w:t>[86]</w:t>
            </w:r>
            <w:r w:rsidRPr="008A7960">
              <w:rPr>
                <w:rFonts w:ascii="Times Roman" w:hAnsi="Times Roman" w:cs="Calibri"/>
                <w:color w:val="000000"/>
                <w:sz w:val="20"/>
                <w:szCs w:val="20"/>
              </w:rPr>
              <w:t>.</w:t>
            </w:r>
          </w:p>
        </w:tc>
      </w:tr>
      <w:tr w:rsidR="0091160B" w:rsidRPr="008A7960" w14:paraId="549479AC" w14:textId="77777777" w:rsidTr="00BA219D">
        <w:trPr>
          <w:gridAfter w:val="2"/>
          <w:cnfStyle w:val="000000100000" w:firstRow="0" w:lastRow="0" w:firstColumn="0" w:lastColumn="0" w:oddVBand="0" w:evenVBand="0" w:oddHBand="1" w:evenHBand="0" w:firstRowFirstColumn="0" w:firstRowLastColumn="0" w:lastRowFirstColumn="0" w:lastRowLastColumn="0"/>
          <w:wAfter w:w="1226" w:type="dxa"/>
          <w:trHeight w:val="32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359B077D" w14:textId="77777777" w:rsidR="0091160B" w:rsidRPr="008A7960" w:rsidRDefault="0091160B" w:rsidP="00BA219D">
            <w:pPr>
              <w:spacing w:line="240" w:lineRule="auto"/>
              <w:jc w:val="center"/>
              <w:rPr>
                <w:rFonts w:ascii="Times" w:hAnsi="Times" w:cs="Calibri"/>
                <w:b w:val="0"/>
                <w:bCs w:val="0"/>
                <w:color w:val="000000"/>
                <w:sz w:val="20"/>
                <w:szCs w:val="20"/>
              </w:rPr>
            </w:pPr>
            <w:r w:rsidRPr="008A7960">
              <w:rPr>
                <w:rFonts w:ascii="Times" w:hAnsi="Times" w:cs="Calibri"/>
                <w:b w:val="0"/>
                <w:bCs w:val="0"/>
                <w:color w:val="000000"/>
                <w:sz w:val="20"/>
                <w:szCs w:val="20"/>
              </w:rPr>
              <w:t>rs183870062</w:t>
            </w:r>
          </w:p>
        </w:tc>
        <w:tc>
          <w:tcPr>
            <w:tcW w:w="630" w:type="dxa"/>
            <w:vAlign w:val="center"/>
          </w:tcPr>
          <w:p w14:paraId="177B06A0"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6</w:t>
            </w:r>
          </w:p>
        </w:tc>
        <w:tc>
          <w:tcPr>
            <w:tcW w:w="1620" w:type="dxa"/>
            <w:noWrap/>
            <w:vAlign w:val="center"/>
            <w:hideMark/>
          </w:tcPr>
          <w:p w14:paraId="65B9F526"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156,398,495 - 156,398,495</w:t>
            </w:r>
          </w:p>
        </w:tc>
        <w:tc>
          <w:tcPr>
            <w:tcW w:w="1350" w:type="dxa"/>
            <w:noWrap/>
            <w:vAlign w:val="center"/>
            <w:hideMark/>
          </w:tcPr>
          <w:p w14:paraId="29FEA885"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Tinnitus</w:t>
            </w:r>
          </w:p>
        </w:tc>
        <w:tc>
          <w:tcPr>
            <w:tcW w:w="1440" w:type="dxa"/>
            <w:noWrap/>
            <w:vAlign w:val="center"/>
            <w:hideMark/>
          </w:tcPr>
          <w:p w14:paraId="2993B781"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i/>
                <w:iCs/>
                <w:color w:val="000000"/>
                <w:sz w:val="20"/>
                <w:szCs w:val="20"/>
              </w:rPr>
            </w:pPr>
            <w:r w:rsidRPr="008A7960">
              <w:rPr>
                <w:rFonts w:ascii="Times" w:hAnsi="Times" w:cs="Calibri"/>
                <w:i/>
                <w:iCs/>
                <w:color w:val="000000"/>
                <w:sz w:val="20"/>
                <w:szCs w:val="20"/>
              </w:rPr>
              <w:t>ARID1B</w:t>
            </w:r>
          </w:p>
        </w:tc>
        <w:tc>
          <w:tcPr>
            <w:tcW w:w="1440" w:type="dxa"/>
            <w:vAlign w:val="center"/>
          </w:tcPr>
          <w:p w14:paraId="22F3AAC1"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p>
        </w:tc>
        <w:tc>
          <w:tcPr>
            <w:tcW w:w="5760" w:type="dxa"/>
            <w:gridSpan w:val="2"/>
            <w:vAlign w:val="center"/>
          </w:tcPr>
          <w:p w14:paraId="78EA6E40" w14:textId="77777777" w:rsidR="0091160B" w:rsidRPr="008A7960" w:rsidRDefault="0091160B" w:rsidP="00BA219D">
            <w:pPr>
              <w:spacing w:line="240" w:lineRule="auto"/>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ARID1B disruption has been implicated in syndromes related to deletions on chromosome 6q25 that include hearing loss as one of the symptoms</w:t>
            </w:r>
            <w:r>
              <w:rPr>
                <w:color w:val="000000"/>
                <w:sz w:val="20"/>
                <w:szCs w:val="20"/>
              </w:rPr>
              <w:t xml:space="preserve"> </w:t>
            </w:r>
            <w:r>
              <w:rPr>
                <w:noProof/>
                <w:color w:val="000000"/>
                <w:sz w:val="20"/>
                <w:szCs w:val="20"/>
              </w:rPr>
              <w:t>[87, 88]</w:t>
            </w:r>
            <w:r w:rsidRPr="008A7960">
              <w:rPr>
                <w:rFonts w:ascii="Times Roman" w:hAnsi="Times Roman" w:cs="Calibri"/>
                <w:color w:val="000000"/>
                <w:sz w:val="20"/>
                <w:szCs w:val="20"/>
              </w:rPr>
              <w:t>.</w:t>
            </w:r>
          </w:p>
        </w:tc>
      </w:tr>
      <w:tr w:rsidR="0091160B" w:rsidRPr="008A7960" w14:paraId="6209240A" w14:textId="77777777" w:rsidTr="00BA219D">
        <w:trPr>
          <w:gridAfter w:val="2"/>
          <w:wAfter w:w="1226" w:type="dxa"/>
          <w:trHeight w:val="32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5F0C8F07" w14:textId="77777777" w:rsidR="0091160B" w:rsidRPr="008A7960" w:rsidRDefault="0091160B" w:rsidP="00BA219D">
            <w:pPr>
              <w:spacing w:line="240" w:lineRule="auto"/>
              <w:jc w:val="center"/>
              <w:rPr>
                <w:rFonts w:ascii="Times" w:hAnsi="Times" w:cs="Calibri"/>
                <w:b w:val="0"/>
                <w:bCs w:val="0"/>
                <w:color w:val="000000"/>
                <w:sz w:val="20"/>
                <w:szCs w:val="20"/>
              </w:rPr>
            </w:pPr>
            <w:r w:rsidRPr="008A7960">
              <w:rPr>
                <w:rFonts w:ascii="Times" w:hAnsi="Times" w:cs="Calibri"/>
                <w:b w:val="0"/>
                <w:bCs w:val="0"/>
                <w:color w:val="000000"/>
                <w:sz w:val="20"/>
                <w:szCs w:val="20"/>
              </w:rPr>
              <w:t>rs1806319</w:t>
            </w:r>
          </w:p>
        </w:tc>
        <w:tc>
          <w:tcPr>
            <w:tcW w:w="630" w:type="dxa"/>
            <w:vAlign w:val="center"/>
          </w:tcPr>
          <w:p w14:paraId="7FD7EDAF"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11</w:t>
            </w:r>
          </w:p>
        </w:tc>
        <w:tc>
          <w:tcPr>
            <w:tcW w:w="1620" w:type="dxa"/>
            <w:noWrap/>
            <w:vAlign w:val="center"/>
            <w:hideMark/>
          </w:tcPr>
          <w:p w14:paraId="19C6533B"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88,486,635 - 88,537,621</w:t>
            </w:r>
          </w:p>
        </w:tc>
        <w:tc>
          <w:tcPr>
            <w:tcW w:w="1350" w:type="dxa"/>
            <w:noWrap/>
            <w:vAlign w:val="center"/>
            <w:hideMark/>
          </w:tcPr>
          <w:p w14:paraId="6873AD43"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Hearing difficulty</w:t>
            </w:r>
          </w:p>
        </w:tc>
        <w:tc>
          <w:tcPr>
            <w:tcW w:w="1440" w:type="dxa"/>
            <w:noWrap/>
            <w:vAlign w:val="center"/>
            <w:hideMark/>
          </w:tcPr>
          <w:p w14:paraId="38CAD156"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GRM5</w:t>
            </w:r>
          </w:p>
        </w:tc>
        <w:tc>
          <w:tcPr>
            <w:tcW w:w="1440" w:type="dxa"/>
            <w:vAlign w:val="center"/>
          </w:tcPr>
          <w:p w14:paraId="57CD9C98"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p>
        </w:tc>
        <w:tc>
          <w:tcPr>
            <w:tcW w:w="5760" w:type="dxa"/>
            <w:gridSpan w:val="2"/>
            <w:vAlign w:val="center"/>
          </w:tcPr>
          <w:p w14:paraId="05FD5095" w14:textId="77777777" w:rsidR="0091160B" w:rsidRPr="008A7960" w:rsidRDefault="0091160B" w:rsidP="00BA219D">
            <w:pPr>
              <w:spacing w:line="240" w:lineRule="auto"/>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 xml:space="preserve">GRM5 encodes the metabolic glutamate receptor 5, a glutamate-activated G protein-coupled receptor. In rats, the </w:t>
            </w:r>
            <w:r w:rsidRPr="008A7960">
              <w:rPr>
                <w:rFonts w:ascii="Times Roman" w:hAnsi="Times Roman" w:cs="Calibri"/>
                <w:i/>
                <w:iCs/>
                <w:color w:val="000000"/>
                <w:sz w:val="20"/>
                <w:szCs w:val="20"/>
              </w:rPr>
              <w:t xml:space="preserve">Grm5 </w:t>
            </w:r>
            <w:r w:rsidRPr="008A7960">
              <w:rPr>
                <w:rFonts w:ascii="Times Roman" w:hAnsi="Times Roman" w:cs="Calibri"/>
                <w:color w:val="000000"/>
                <w:sz w:val="20"/>
                <w:szCs w:val="20"/>
              </w:rPr>
              <w:t>antagonist 2-methyl-6-(phenyl ethynyl)-pyridine (MPEP) was observed to block tetanus-induced acoustically-evoked potentials from the medial geniculate nucleus to the lateral nucleus of the amygdala</w:t>
            </w:r>
            <w:r>
              <w:rPr>
                <w:color w:val="000000"/>
                <w:sz w:val="20"/>
                <w:szCs w:val="20"/>
              </w:rPr>
              <w:t xml:space="preserve"> </w:t>
            </w:r>
            <w:r>
              <w:rPr>
                <w:noProof/>
                <w:color w:val="000000"/>
                <w:sz w:val="20"/>
                <w:szCs w:val="20"/>
              </w:rPr>
              <w:t>[89]</w:t>
            </w:r>
            <w:r w:rsidRPr="008A7960">
              <w:rPr>
                <w:rFonts w:ascii="Times Roman" w:hAnsi="Times Roman" w:cs="Calibri"/>
                <w:color w:val="000000"/>
                <w:sz w:val="20"/>
                <w:szCs w:val="20"/>
              </w:rPr>
              <w:t xml:space="preserve">. MPEP also inhibited the extinction of the startle response in rats in response to a startling sound </w:t>
            </w:r>
            <w:r>
              <w:rPr>
                <w:noProof/>
                <w:color w:val="000000"/>
                <w:sz w:val="20"/>
                <w:szCs w:val="20"/>
              </w:rPr>
              <w:t>[90]</w:t>
            </w:r>
            <w:r w:rsidRPr="008A7960">
              <w:rPr>
                <w:rFonts w:ascii="Times Roman" w:hAnsi="Times Roman" w:cs="Calibri"/>
                <w:color w:val="000000"/>
                <w:sz w:val="20"/>
                <w:szCs w:val="20"/>
              </w:rPr>
              <w:t>.</w:t>
            </w:r>
          </w:p>
        </w:tc>
      </w:tr>
      <w:tr w:rsidR="0091160B" w:rsidRPr="008A7960" w14:paraId="25C605F9" w14:textId="77777777" w:rsidTr="00BA219D">
        <w:trPr>
          <w:gridAfter w:val="6"/>
          <w:cnfStyle w:val="000000100000" w:firstRow="0" w:lastRow="0" w:firstColumn="0" w:lastColumn="0" w:oddVBand="0" w:evenVBand="0" w:oddHBand="1" w:evenHBand="0" w:firstRowFirstColumn="0" w:firstRowLastColumn="0" w:lastRowFirstColumn="0" w:lastRowLastColumn="0"/>
          <w:wAfter w:w="1226" w:type="dxa"/>
          <w:trHeight w:val="32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13B89184" w14:textId="77777777" w:rsidR="0091160B" w:rsidRPr="008A7960" w:rsidRDefault="0091160B" w:rsidP="00BA219D">
            <w:pPr>
              <w:spacing w:line="240" w:lineRule="auto"/>
              <w:jc w:val="center"/>
              <w:rPr>
                <w:rFonts w:ascii="Times" w:hAnsi="Times" w:cs="Calibri"/>
                <w:b w:val="0"/>
                <w:bCs w:val="0"/>
                <w:color w:val="000000"/>
                <w:sz w:val="20"/>
                <w:szCs w:val="20"/>
              </w:rPr>
            </w:pPr>
            <w:r w:rsidRPr="008A7960">
              <w:rPr>
                <w:rFonts w:ascii="Times" w:hAnsi="Times" w:cs="Calibri"/>
                <w:b w:val="0"/>
                <w:bCs w:val="0"/>
                <w:color w:val="000000"/>
                <w:sz w:val="20"/>
                <w:szCs w:val="20"/>
              </w:rPr>
              <w:t>rs7355485</w:t>
            </w:r>
          </w:p>
        </w:tc>
        <w:tc>
          <w:tcPr>
            <w:tcW w:w="630" w:type="dxa"/>
            <w:vAlign w:val="center"/>
          </w:tcPr>
          <w:p w14:paraId="2AB32E6D"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2</w:t>
            </w:r>
          </w:p>
        </w:tc>
        <w:tc>
          <w:tcPr>
            <w:tcW w:w="1620" w:type="dxa"/>
            <w:noWrap/>
            <w:vAlign w:val="center"/>
            <w:hideMark/>
          </w:tcPr>
          <w:p w14:paraId="3708CB4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14,473,058 - 14,534,949</w:t>
            </w:r>
          </w:p>
        </w:tc>
        <w:tc>
          <w:tcPr>
            <w:tcW w:w="1350" w:type="dxa"/>
            <w:noWrap/>
            <w:vAlign w:val="center"/>
            <w:hideMark/>
          </w:tcPr>
          <w:p w14:paraId="676B987E" w14:textId="77777777" w:rsidR="0091160B" w:rsidRPr="008A7960" w:rsidRDefault="0091160B" w:rsidP="00BA219D">
            <w:pPr>
              <w:spacing w:line="240" w:lineRule="auto"/>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Hearing.</w:t>
            </w:r>
          </w:p>
        </w:tc>
      </w:tr>
      <w:tr w:rsidR="0091160B" w:rsidRPr="008A7960" w14:paraId="413615DF" w14:textId="77777777" w:rsidTr="00BA219D">
        <w:trPr>
          <w:gridAfter w:val="2"/>
          <w:wAfter w:w="1226" w:type="dxa"/>
          <w:trHeight w:val="32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38DFE006" w14:textId="77777777" w:rsidR="0091160B" w:rsidRPr="008A7960" w:rsidRDefault="0091160B" w:rsidP="00BA219D">
            <w:pPr>
              <w:spacing w:line="240" w:lineRule="auto"/>
              <w:jc w:val="center"/>
              <w:rPr>
                <w:rFonts w:ascii="Times" w:hAnsi="Times" w:cs="Calibri"/>
                <w:b w:val="0"/>
                <w:bCs w:val="0"/>
                <w:color w:val="000000"/>
                <w:sz w:val="20"/>
                <w:szCs w:val="20"/>
              </w:rPr>
            </w:pPr>
            <w:r w:rsidRPr="008A7960">
              <w:rPr>
                <w:rFonts w:ascii="Times" w:hAnsi="Times" w:cs="Calibri"/>
                <w:b w:val="0"/>
                <w:bCs w:val="0"/>
                <w:color w:val="000000"/>
                <w:sz w:val="20"/>
                <w:szCs w:val="20"/>
              </w:rPr>
              <w:t>rs7355485</w:t>
            </w:r>
          </w:p>
        </w:tc>
        <w:tc>
          <w:tcPr>
            <w:tcW w:w="630" w:type="dxa"/>
            <w:vAlign w:val="center"/>
          </w:tcPr>
          <w:p w14:paraId="7FA2135A"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2</w:t>
            </w:r>
          </w:p>
        </w:tc>
        <w:tc>
          <w:tcPr>
            <w:tcW w:w="1620" w:type="dxa"/>
            <w:noWrap/>
            <w:vAlign w:val="center"/>
            <w:hideMark/>
          </w:tcPr>
          <w:p w14:paraId="07CD6759"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14,473,058 - 14,534,949</w:t>
            </w:r>
          </w:p>
        </w:tc>
        <w:tc>
          <w:tcPr>
            <w:tcW w:w="1350" w:type="dxa"/>
            <w:noWrap/>
            <w:vAlign w:val="center"/>
            <w:hideMark/>
          </w:tcPr>
          <w:p w14:paraId="6E027A5A"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Hearing difficulty</w:t>
            </w:r>
          </w:p>
        </w:tc>
        <w:tc>
          <w:tcPr>
            <w:tcW w:w="1440" w:type="dxa"/>
            <w:noWrap/>
            <w:vAlign w:val="center"/>
            <w:hideMark/>
          </w:tcPr>
          <w:p w14:paraId="701CB14C"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i/>
                <w:iCs/>
                <w:color w:val="000000"/>
                <w:sz w:val="20"/>
                <w:szCs w:val="20"/>
              </w:rPr>
            </w:pPr>
            <w:r w:rsidRPr="008A7960">
              <w:rPr>
                <w:rFonts w:ascii="Times" w:hAnsi="Times" w:cs="Calibri"/>
                <w:i/>
                <w:iCs/>
                <w:color w:val="000000"/>
                <w:sz w:val="20"/>
                <w:szCs w:val="20"/>
              </w:rPr>
              <w:t>LINC00276</w:t>
            </w:r>
          </w:p>
        </w:tc>
        <w:tc>
          <w:tcPr>
            <w:tcW w:w="1440" w:type="dxa"/>
            <w:noWrap/>
            <w:vAlign w:val="center"/>
            <w:hideMark/>
          </w:tcPr>
          <w:p w14:paraId="17CAB250"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DFNB47</w:t>
            </w:r>
            <w:r>
              <w:rPr>
                <w:rFonts w:ascii="Times Roman" w:hAnsi="Times Roman" w:cs="Calibri"/>
                <w:color w:val="000000"/>
                <w:sz w:val="20"/>
                <w:szCs w:val="20"/>
              </w:rPr>
              <w:t xml:space="preserve"> </w:t>
            </w:r>
            <w:r>
              <w:rPr>
                <w:noProof/>
                <w:color w:val="000000"/>
                <w:sz w:val="20"/>
                <w:szCs w:val="20"/>
              </w:rPr>
              <w:t>[91]</w:t>
            </w:r>
          </w:p>
        </w:tc>
        <w:tc>
          <w:tcPr>
            <w:tcW w:w="5760" w:type="dxa"/>
            <w:gridSpan w:val="2"/>
            <w:vAlign w:val="center"/>
          </w:tcPr>
          <w:p w14:paraId="56276AB9" w14:textId="77777777" w:rsidR="0091160B" w:rsidRPr="008A7960" w:rsidRDefault="0091160B" w:rsidP="00BA219D">
            <w:pPr>
              <w:spacing w:line="240" w:lineRule="auto"/>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DFNB47 is an autosomal recessive non-syndromic hearing loss locus that has been mapped to chromosome 2p24.3</w:t>
            </w:r>
            <w:r>
              <w:rPr>
                <w:color w:val="000000"/>
                <w:sz w:val="20"/>
                <w:szCs w:val="20"/>
              </w:rPr>
              <w:t xml:space="preserve"> </w:t>
            </w:r>
            <w:r>
              <w:rPr>
                <w:noProof/>
                <w:color w:val="000000"/>
                <w:sz w:val="20"/>
                <w:szCs w:val="20"/>
              </w:rPr>
              <w:t>[91, 92]</w:t>
            </w:r>
            <w:r w:rsidRPr="008A7960">
              <w:rPr>
                <w:rFonts w:ascii="Times" w:hAnsi="Times" w:cs="Calibri"/>
                <w:color w:val="000000"/>
                <w:sz w:val="20"/>
                <w:szCs w:val="20"/>
              </w:rPr>
              <w:t xml:space="preserve">. The GWAS locus is located in a gene desert, where </w:t>
            </w:r>
            <w:r w:rsidRPr="008A7960">
              <w:rPr>
                <w:rFonts w:ascii="Times" w:hAnsi="Times" w:cs="Calibri"/>
                <w:i/>
                <w:iCs/>
                <w:color w:val="000000"/>
                <w:sz w:val="20"/>
                <w:szCs w:val="20"/>
              </w:rPr>
              <w:t>LINC00276</w:t>
            </w:r>
            <w:r w:rsidRPr="008A7960">
              <w:rPr>
                <w:rFonts w:ascii="Times" w:hAnsi="Times" w:cs="Calibri"/>
                <w:color w:val="000000"/>
                <w:sz w:val="20"/>
                <w:szCs w:val="20"/>
              </w:rPr>
              <w:t xml:space="preserve"> is the closest transcript at ~70kb upstream. Bilateral hearing impairment was also </w:t>
            </w:r>
            <w:r w:rsidRPr="008A7960">
              <w:rPr>
                <w:rFonts w:ascii="Times" w:hAnsi="Times" w:cs="Calibri"/>
                <w:color w:val="000000"/>
                <w:sz w:val="20"/>
                <w:szCs w:val="20"/>
              </w:rPr>
              <w:lastRenderedPageBreak/>
              <w:t xml:space="preserve">present, along with other symptoms, in a 26-month-old girl with a </w:t>
            </w:r>
            <w:r w:rsidRPr="008A7960">
              <w:rPr>
                <w:rFonts w:ascii="Times" w:hAnsi="Times" w:cs="Calibri"/>
                <w:i/>
                <w:iCs/>
                <w:color w:val="000000"/>
                <w:sz w:val="20"/>
                <w:szCs w:val="20"/>
              </w:rPr>
              <w:t>de novo</w:t>
            </w:r>
            <w:r w:rsidRPr="008A7960">
              <w:rPr>
                <w:rFonts w:ascii="Times" w:hAnsi="Times" w:cs="Calibri"/>
                <w:color w:val="000000"/>
                <w:sz w:val="20"/>
                <w:szCs w:val="20"/>
              </w:rPr>
              <w:t xml:space="preserve"> 4.4 Mb microdeletion in chromosome 2p24.3-24.2 </w:t>
            </w:r>
            <w:r>
              <w:rPr>
                <w:noProof/>
                <w:color w:val="000000"/>
                <w:sz w:val="20"/>
                <w:szCs w:val="20"/>
              </w:rPr>
              <w:t>[93]</w:t>
            </w:r>
            <w:r w:rsidRPr="008A7960">
              <w:rPr>
                <w:rFonts w:ascii="Times" w:hAnsi="Times" w:cs="Calibri"/>
                <w:color w:val="000000"/>
                <w:sz w:val="20"/>
                <w:szCs w:val="20"/>
              </w:rPr>
              <w:t>.</w:t>
            </w:r>
          </w:p>
        </w:tc>
      </w:tr>
      <w:tr w:rsidR="0091160B" w:rsidRPr="008A7960" w14:paraId="08FB84C5" w14:textId="77777777" w:rsidTr="00BA219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52F1DD9C" w14:textId="77777777" w:rsidR="0091160B" w:rsidRPr="008A7960" w:rsidRDefault="0091160B" w:rsidP="00BA219D">
            <w:pPr>
              <w:spacing w:line="240" w:lineRule="auto"/>
              <w:jc w:val="center"/>
              <w:rPr>
                <w:rFonts w:ascii="Times" w:hAnsi="Times" w:cs="Calibri"/>
                <w:b w:val="0"/>
                <w:bCs w:val="0"/>
                <w:color w:val="000000"/>
                <w:sz w:val="20"/>
                <w:szCs w:val="20"/>
              </w:rPr>
            </w:pPr>
            <w:r w:rsidRPr="008A7960">
              <w:rPr>
                <w:rFonts w:ascii="Times" w:hAnsi="Times" w:cs="Calibri"/>
                <w:b w:val="0"/>
                <w:bCs w:val="0"/>
                <w:color w:val="000000"/>
                <w:sz w:val="20"/>
                <w:szCs w:val="20"/>
              </w:rPr>
              <w:t>rs776705997</w:t>
            </w:r>
          </w:p>
        </w:tc>
        <w:tc>
          <w:tcPr>
            <w:tcW w:w="630" w:type="dxa"/>
            <w:vAlign w:val="center"/>
          </w:tcPr>
          <w:p w14:paraId="23CF7C18"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16</w:t>
            </w:r>
          </w:p>
        </w:tc>
        <w:tc>
          <w:tcPr>
            <w:tcW w:w="1620" w:type="dxa"/>
            <w:noWrap/>
            <w:vAlign w:val="center"/>
            <w:hideMark/>
          </w:tcPr>
          <w:p w14:paraId="69D87710"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83,234,841 - 83,244,316</w:t>
            </w:r>
          </w:p>
        </w:tc>
        <w:tc>
          <w:tcPr>
            <w:tcW w:w="1350" w:type="dxa"/>
            <w:noWrap/>
            <w:vAlign w:val="center"/>
            <w:hideMark/>
          </w:tcPr>
          <w:p w14:paraId="305C928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Tinnitus</w:t>
            </w:r>
          </w:p>
        </w:tc>
        <w:tc>
          <w:tcPr>
            <w:tcW w:w="1440" w:type="dxa"/>
            <w:noWrap/>
            <w:vAlign w:val="center"/>
            <w:hideMark/>
          </w:tcPr>
          <w:p w14:paraId="6A6F2115"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CDH13</w:t>
            </w:r>
          </w:p>
        </w:tc>
        <w:tc>
          <w:tcPr>
            <w:tcW w:w="1440" w:type="dxa"/>
            <w:vAlign w:val="center"/>
          </w:tcPr>
          <w:p w14:paraId="4455181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p>
        </w:tc>
        <w:tc>
          <w:tcPr>
            <w:tcW w:w="5760" w:type="dxa"/>
            <w:gridSpan w:val="2"/>
            <w:noWrap/>
            <w:vAlign w:val="center"/>
            <w:hideMark/>
          </w:tcPr>
          <w:p w14:paraId="0F8B098C" w14:textId="77777777" w:rsidR="0091160B" w:rsidRPr="008A7960" w:rsidRDefault="0091160B" w:rsidP="00BA219D">
            <w:pPr>
              <w:spacing w:line="240" w:lineRule="auto"/>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CDH13 was implicated (P &lt; 10</w:t>
            </w:r>
            <w:r w:rsidRPr="008A7960">
              <w:rPr>
                <w:rFonts w:ascii="Times Roman" w:hAnsi="Times Roman" w:cs="Calibri"/>
                <w:color w:val="000000"/>
                <w:sz w:val="20"/>
                <w:szCs w:val="20"/>
                <w:vertAlign w:val="superscript"/>
              </w:rPr>
              <w:t>-7</w:t>
            </w:r>
            <w:r w:rsidRPr="008A7960">
              <w:rPr>
                <w:rFonts w:ascii="Times Roman" w:hAnsi="Times Roman" w:cs="Calibri"/>
                <w:color w:val="000000"/>
                <w:sz w:val="20"/>
                <w:szCs w:val="20"/>
              </w:rPr>
              <w:t>) in a GWAS on hearing loss on 3417 Europeans</w:t>
            </w:r>
            <w:r>
              <w:rPr>
                <w:color w:val="000000"/>
                <w:sz w:val="20"/>
                <w:szCs w:val="20"/>
              </w:rPr>
              <w:t xml:space="preserve"> </w:t>
            </w:r>
            <w:r>
              <w:rPr>
                <w:noProof/>
                <w:color w:val="000000"/>
                <w:sz w:val="20"/>
                <w:szCs w:val="20"/>
              </w:rPr>
              <w:t>[94]</w:t>
            </w:r>
            <w:r w:rsidRPr="008A7960">
              <w:rPr>
                <w:rFonts w:ascii="Times Roman" w:hAnsi="Times Roman" w:cs="Calibri"/>
                <w:color w:val="000000"/>
                <w:sz w:val="20"/>
                <w:szCs w:val="20"/>
              </w:rPr>
              <w:t>. Cdh13 was subsequently observed to be expressed in multiple cell types of the mouse cochlea: the inner and outer hair cells</w:t>
            </w:r>
            <w:r>
              <w:rPr>
                <w:color w:val="000000"/>
                <w:sz w:val="20"/>
                <w:szCs w:val="20"/>
              </w:rPr>
              <w:t xml:space="preserve"> </w:t>
            </w:r>
            <w:r>
              <w:rPr>
                <w:noProof/>
                <w:color w:val="000000"/>
                <w:sz w:val="20"/>
                <w:szCs w:val="20"/>
              </w:rPr>
              <w:t>[95]</w:t>
            </w:r>
            <w:r w:rsidRPr="008A7960">
              <w:rPr>
                <w:rFonts w:ascii="Times Roman" w:hAnsi="Times Roman" w:cs="Calibri"/>
                <w:color w:val="000000"/>
                <w:sz w:val="20"/>
                <w:szCs w:val="20"/>
              </w:rPr>
              <w:t>. Rs17195859-AA within CDH13 was also associated with audiometric measurements of hearing loss</w:t>
            </w:r>
            <w:r>
              <w:rPr>
                <w:color w:val="000000"/>
                <w:sz w:val="20"/>
                <w:szCs w:val="20"/>
              </w:rPr>
              <w:t xml:space="preserve"> </w:t>
            </w:r>
            <w:r>
              <w:rPr>
                <w:noProof/>
                <w:color w:val="000000"/>
                <w:sz w:val="20"/>
                <w:szCs w:val="20"/>
              </w:rPr>
              <w:t>[95]</w:t>
            </w:r>
            <w:r w:rsidRPr="008A7960">
              <w:rPr>
                <w:rFonts w:ascii="Times Roman" w:hAnsi="Times Roman" w:cs="Calibri"/>
                <w:color w:val="000000"/>
                <w:sz w:val="20"/>
                <w:szCs w:val="20"/>
              </w:rPr>
              <w:t>.</w:t>
            </w:r>
          </w:p>
        </w:tc>
        <w:tc>
          <w:tcPr>
            <w:tcW w:w="1226" w:type="dxa"/>
            <w:gridSpan w:val="2"/>
            <w:vAlign w:val="center"/>
          </w:tcPr>
          <w:p w14:paraId="63FA00BF"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p>
        </w:tc>
      </w:tr>
      <w:tr w:rsidR="0091160B" w:rsidRPr="008A7960" w14:paraId="0EE67D07" w14:textId="77777777" w:rsidTr="00BA219D">
        <w:trPr>
          <w:trHeight w:val="32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342123D4" w14:textId="77777777" w:rsidR="0091160B" w:rsidRPr="008A7960" w:rsidRDefault="0091160B" w:rsidP="00BA219D">
            <w:pPr>
              <w:spacing w:line="240" w:lineRule="auto"/>
              <w:jc w:val="center"/>
              <w:rPr>
                <w:rFonts w:ascii="Times" w:hAnsi="Times" w:cs="Calibri"/>
                <w:b w:val="0"/>
                <w:bCs w:val="0"/>
                <w:color w:val="000000"/>
                <w:sz w:val="20"/>
                <w:szCs w:val="20"/>
              </w:rPr>
            </w:pPr>
            <w:r w:rsidRPr="008A7960">
              <w:rPr>
                <w:rFonts w:ascii="Times" w:hAnsi="Times" w:cs="Calibri"/>
                <w:b w:val="0"/>
                <w:bCs w:val="0"/>
                <w:color w:val="000000"/>
                <w:sz w:val="20"/>
                <w:szCs w:val="20"/>
              </w:rPr>
              <w:t>rs149212248</w:t>
            </w:r>
          </w:p>
        </w:tc>
        <w:tc>
          <w:tcPr>
            <w:tcW w:w="630" w:type="dxa"/>
            <w:vAlign w:val="center"/>
          </w:tcPr>
          <w:p w14:paraId="76684092"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14</w:t>
            </w:r>
          </w:p>
        </w:tc>
        <w:tc>
          <w:tcPr>
            <w:tcW w:w="1620" w:type="dxa"/>
            <w:noWrap/>
            <w:vAlign w:val="center"/>
            <w:hideMark/>
          </w:tcPr>
          <w:p w14:paraId="188228F6"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92,015,285 - 92,015,285</w:t>
            </w:r>
          </w:p>
        </w:tc>
        <w:tc>
          <w:tcPr>
            <w:tcW w:w="1350" w:type="dxa"/>
            <w:noWrap/>
            <w:vAlign w:val="center"/>
            <w:hideMark/>
          </w:tcPr>
          <w:p w14:paraId="546A2C06"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Hearing aid</w:t>
            </w:r>
          </w:p>
        </w:tc>
        <w:tc>
          <w:tcPr>
            <w:tcW w:w="1440" w:type="dxa"/>
            <w:noWrap/>
            <w:vAlign w:val="center"/>
            <w:hideMark/>
          </w:tcPr>
          <w:p w14:paraId="0827C709"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CATSPERB</w:t>
            </w:r>
          </w:p>
        </w:tc>
        <w:tc>
          <w:tcPr>
            <w:tcW w:w="1440" w:type="dxa"/>
            <w:vAlign w:val="center"/>
          </w:tcPr>
          <w:p w14:paraId="790B6A79"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p>
        </w:tc>
        <w:tc>
          <w:tcPr>
            <w:tcW w:w="5760" w:type="dxa"/>
            <w:gridSpan w:val="2"/>
            <w:noWrap/>
            <w:vAlign w:val="center"/>
            <w:hideMark/>
          </w:tcPr>
          <w:p w14:paraId="4600ABBA" w14:textId="77777777" w:rsidR="0091160B" w:rsidRPr="00677AA1" w:rsidRDefault="0091160B" w:rsidP="00BA219D">
            <w:pPr>
              <w:spacing w:line="240" w:lineRule="auto"/>
              <w:cnfStyle w:val="000000000000" w:firstRow="0" w:lastRow="0" w:firstColumn="0" w:lastColumn="0" w:oddVBand="0" w:evenVBand="0" w:oddHBand="0" w:evenHBand="0" w:firstRowFirstColumn="0" w:firstRowLastColumn="0" w:lastRowFirstColumn="0" w:lastRowLastColumn="0"/>
              <w:rPr>
                <w:rFonts w:ascii="Times" w:hAnsi="Times"/>
                <w:sz w:val="20"/>
                <w:szCs w:val="20"/>
              </w:rPr>
            </w:pPr>
            <w:r w:rsidRPr="00677AA1">
              <w:rPr>
                <w:rFonts w:ascii="Times" w:hAnsi="Times" w:cs="Calibri"/>
                <w:i/>
                <w:iCs/>
                <w:color w:val="000000"/>
                <w:sz w:val="20"/>
                <w:szCs w:val="20"/>
              </w:rPr>
              <w:t>CATSPERB</w:t>
            </w:r>
            <w:r w:rsidRPr="00677AA1">
              <w:rPr>
                <w:rFonts w:ascii="Times" w:hAnsi="Times" w:cs="Calibri"/>
                <w:color w:val="000000"/>
                <w:sz w:val="20"/>
                <w:szCs w:val="20"/>
              </w:rPr>
              <w:t xml:space="preserve"> encodes a component of the 'cation channels of sperm' protein complex. Genetic variants in the functionally related </w:t>
            </w:r>
            <w:r w:rsidRPr="00677AA1">
              <w:rPr>
                <w:rFonts w:ascii="Times" w:hAnsi="Times" w:cs="Calibri"/>
                <w:i/>
                <w:iCs/>
                <w:color w:val="000000"/>
                <w:sz w:val="20"/>
                <w:szCs w:val="20"/>
              </w:rPr>
              <w:t>CATSPER2</w:t>
            </w:r>
            <w:r w:rsidRPr="00677AA1">
              <w:rPr>
                <w:rFonts w:ascii="Times" w:hAnsi="Times" w:cs="Calibri"/>
                <w:color w:val="000000"/>
                <w:sz w:val="20"/>
                <w:szCs w:val="20"/>
              </w:rPr>
              <w:t xml:space="preserve"> have been found to be causal for the </w:t>
            </w:r>
            <w:r w:rsidRPr="00677AA1">
              <w:rPr>
                <w:rFonts w:ascii="Times" w:hAnsi="Times" w:cs="Segoe UI"/>
                <w:color w:val="212121"/>
                <w:sz w:val="20"/>
                <w:szCs w:val="20"/>
                <w:shd w:val="clear" w:color="auto" w:fill="FFFFFF"/>
              </w:rPr>
              <w:t>deafness-infertility syndrome</w:t>
            </w:r>
            <w:r>
              <w:rPr>
                <w:color w:val="000000"/>
                <w:sz w:val="20"/>
                <w:szCs w:val="20"/>
              </w:rPr>
              <w:t xml:space="preserve"> </w:t>
            </w:r>
            <w:r>
              <w:rPr>
                <w:noProof/>
                <w:color w:val="000000"/>
                <w:sz w:val="20"/>
                <w:szCs w:val="20"/>
              </w:rPr>
              <w:t>[96]</w:t>
            </w:r>
            <w:r w:rsidRPr="00677AA1">
              <w:rPr>
                <w:rFonts w:ascii="Times" w:hAnsi="Times" w:cs="Segoe UI"/>
                <w:color w:val="212121"/>
                <w:sz w:val="20"/>
                <w:szCs w:val="20"/>
                <w:shd w:val="clear" w:color="auto" w:fill="FFFFFF"/>
              </w:rPr>
              <w:t xml:space="preserve">, and to be associated with hearing loss in a targeted sequencing study on candidate genes for hearing loss </w:t>
            </w:r>
            <w:r>
              <w:rPr>
                <w:noProof/>
                <w:color w:val="000000"/>
                <w:sz w:val="20"/>
                <w:szCs w:val="20"/>
              </w:rPr>
              <w:t>[38]</w:t>
            </w:r>
            <w:r w:rsidRPr="00677AA1">
              <w:rPr>
                <w:rFonts w:ascii="Times" w:hAnsi="Times" w:cs="Segoe UI"/>
                <w:color w:val="212121"/>
                <w:sz w:val="20"/>
                <w:szCs w:val="20"/>
                <w:shd w:val="clear" w:color="auto" w:fill="FFFFFF"/>
              </w:rPr>
              <w:t>.</w:t>
            </w:r>
          </w:p>
        </w:tc>
        <w:tc>
          <w:tcPr>
            <w:tcW w:w="1226" w:type="dxa"/>
            <w:gridSpan w:val="2"/>
            <w:vAlign w:val="center"/>
          </w:tcPr>
          <w:p w14:paraId="22C8DD82"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p>
        </w:tc>
      </w:tr>
      <w:tr w:rsidR="0091160B" w:rsidRPr="008A7960" w14:paraId="6D53A845" w14:textId="77777777" w:rsidTr="00BA219D">
        <w:trPr>
          <w:gridAfter w:val="3"/>
          <w:cnfStyle w:val="000000100000" w:firstRow="0" w:lastRow="0" w:firstColumn="0" w:lastColumn="0" w:oddVBand="0" w:evenVBand="0" w:oddHBand="1" w:evenHBand="0" w:firstRowFirstColumn="0" w:firstRowLastColumn="0" w:lastRowFirstColumn="0" w:lastRowLastColumn="0"/>
          <w:wAfter w:w="1282" w:type="dxa"/>
          <w:trHeight w:val="32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3B571CE2" w14:textId="77777777" w:rsidR="0091160B" w:rsidRPr="008A7960" w:rsidRDefault="0091160B" w:rsidP="00BA219D">
            <w:pPr>
              <w:spacing w:line="240" w:lineRule="auto"/>
              <w:jc w:val="center"/>
              <w:rPr>
                <w:rFonts w:ascii="Times" w:hAnsi="Times" w:cs="Calibri"/>
                <w:b w:val="0"/>
                <w:bCs w:val="0"/>
                <w:color w:val="000000"/>
                <w:sz w:val="20"/>
                <w:szCs w:val="20"/>
              </w:rPr>
            </w:pPr>
            <w:r w:rsidRPr="008A7960">
              <w:rPr>
                <w:rFonts w:ascii="Times" w:hAnsi="Times" w:cs="Calibri"/>
                <w:b w:val="0"/>
                <w:bCs w:val="0"/>
                <w:color w:val="000000"/>
                <w:sz w:val="20"/>
                <w:szCs w:val="20"/>
              </w:rPr>
              <w:t>rs143796236</w:t>
            </w:r>
          </w:p>
        </w:tc>
        <w:tc>
          <w:tcPr>
            <w:tcW w:w="630" w:type="dxa"/>
            <w:vAlign w:val="center"/>
          </w:tcPr>
          <w:p w14:paraId="17FBCB71"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17</w:t>
            </w:r>
          </w:p>
        </w:tc>
        <w:tc>
          <w:tcPr>
            <w:tcW w:w="1620" w:type="dxa"/>
            <w:noWrap/>
            <w:vAlign w:val="center"/>
            <w:hideMark/>
          </w:tcPr>
          <w:p w14:paraId="31B87083"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79,495,969 - 79,524,724</w:t>
            </w:r>
          </w:p>
        </w:tc>
        <w:tc>
          <w:tcPr>
            <w:tcW w:w="1350" w:type="dxa"/>
            <w:noWrap/>
            <w:vAlign w:val="center"/>
            <w:hideMark/>
          </w:tcPr>
          <w:p w14:paraId="0BC12FD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Hearing difficulty</w:t>
            </w:r>
          </w:p>
        </w:tc>
        <w:tc>
          <w:tcPr>
            <w:tcW w:w="1440" w:type="dxa"/>
            <w:noWrap/>
            <w:vAlign w:val="center"/>
            <w:hideMark/>
          </w:tcPr>
          <w:p w14:paraId="0D558502"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FSCN2</w:t>
            </w:r>
          </w:p>
        </w:tc>
        <w:tc>
          <w:tcPr>
            <w:tcW w:w="1440" w:type="dxa"/>
            <w:vAlign w:val="center"/>
          </w:tcPr>
          <w:p w14:paraId="24DC43CB"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p>
        </w:tc>
        <w:tc>
          <w:tcPr>
            <w:tcW w:w="5704" w:type="dxa"/>
            <w:vAlign w:val="center"/>
          </w:tcPr>
          <w:p w14:paraId="312180B7" w14:textId="77777777" w:rsidR="0091160B" w:rsidRPr="008A7960" w:rsidRDefault="0091160B" w:rsidP="00BA219D">
            <w:pPr>
              <w:spacing w:line="240" w:lineRule="auto"/>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i/>
                <w:iCs/>
                <w:color w:val="000000"/>
                <w:sz w:val="20"/>
                <w:szCs w:val="20"/>
              </w:rPr>
              <w:t>FSCN2</w:t>
            </w:r>
            <w:r w:rsidRPr="008A7960">
              <w:rPr>
                <w:rFonts w:ascii="Times Roman" w:hAnsi="Times Roman" w:cs="Calibri"/>
                <w:color w:val="000000"/>
                <w:sz w:val="20"/>
                <w:szCs w:val="20"/>
              </w:rPr>
              <w:t xml:space="preserve"> encodes the fascin 2 protein, which crosslinks actin to form filamentous bundles. A missense mutation in </w:t>
            </w:r>
            <w:r w:rsidRPr="008A7960">
              <w:rPr>
                <w:rFonts w:ascii="Times Roman" w:hAnsi="Times Roman" w:cs="Calibri"/>
                <w:i/>
                <w:iCs/>
                <w:color w:val="000000"/>
                <w:sz w:val="20"/>
                <w:szCs w:val="20"/>
              </w:rPr>
              <w:t>Fscn2</w:t>
            </w:r>
            <w:r w:rsidRPr="008A7960">
              <w:rPr>
                <w:rFonts w:ascii="Times Roman" w:hAnsi="Times Roman" w:cs="Calibri"/>
                <w:color w:val="000000"/>
                <w:sz w:val="20"/>
                <w:szCs w:val="20"/>
              </w:rPr>
              <w:t>, along with mutations in the stereocilia tip link protein cadherin 23, contribute to age-related hearing loss in DBA/2J mice. Fscn2 proteins are present in the retina and abundant in inner hair cell stereocilia, an concentrates near stereocilia tips</w:t>
            </w:r>
            <w:r>
              <w:rPr>
                <w:color w:val="000000"/>
                <w:sz w:val="20"/>
                <w:szCs w:val="20"/>
              </w:rPr>
              <w:t xml:space="preserve"> </w:t>
            </w:r>
            <w:r>
              <w:rPr>
                <w:noProof/>
                <w:color w:val="000000"/>
                <w:sz w:val="20"/>
                <w:szCs w:val="20"/>
              </w:rPr>
              <w:t>[97]</w:t>
            </w:r>
            <w:r w:rsidRPr="008A7960">
              <w:rPr>
                <w:rFonts w:ascii="Times Roman" w:hAnsi="Times Roman" w:cs="Calibri"/>
                <w:color w:val="000000"/>
                <w:sz w:val="20"/>
                <w:szCs w:val="20"/>
              </w:rPr>
              <w:t xml:space="preserve">. Introduction of </w:t>
            </w:r>
            <w:r w:rsidRPr="008A7960">
              <w:rPr>
                <w:rFonts w:ascii="Times Roman" w:hAnsi="Times Roman" w:cs="Calibri"/>
                <w:i/>
                <w:iCs/>
                <w:color w:val="000000"/>
                <w:sz w:val="20"/>
                <w:szCs w:val="20"/>
              </w:rPr>
              <w:t>Fscn2</w:t>
            </w:r>
            <w:r w:rsidRPr="008A7960">
              <w:rPr>
                <w:rFonts w:ascii="Times Roman" w:hAnsi="Times Roman" w:cs="Calibri"/>
                <w:color w:val="000000"/>
                <w:sz w:val="20"/>
                <w:szCs w:val="20"/>
              </w:rPr>
              <w:t xml:space="preserve"> mutations in C57BL/6J mice by genome editing with Transcription activator-like effector nuclease (TALEN) produced progressive hearing loss, along with degeneration of hair cells and loss of stereocilia</w:t>
            </w:r>
            <w:r>
              <w:rPr>
                <w:color w:val="000000"/>
                <w:sz w:val="20"/>
                <w:szCs w:val="20"/>
              </w:rPr>
              <w:t xml:space="preserve"> </w:t>
            </w:r>
            <w:r>
              <w:rPr>
                <w:noProof/>
                <w:color w:val="000000"/>
                <w:sz w:val="20"/>
                <w:szCs w:val="20"/>
              </w:rPr>
              <w:t>[98]</w:t>
            </w:r>
            <w:r w:rsidRPr="008A7960">
              <w:rPr>
                <w:rFonts w:ascii="Times Roman" w:hAnsi="Times Roman" w:cs="Calibri"/>
                <w:color w:val="000000"/>
                <w:sz w:val="20"/>
                <w:szCs w:val="20"/>
              </w:rPr>
              <w:t xml:space="preserve">. </w:t>
            </w:r>
            <w:r w:rsidRPr="008A7960">
              <w:rPr>
                <w:rFonts w:ascii="Times Roman" w:hAnsi="Times Roman" w:cs="Calibri"/>
                <w:i/>
                <w:iCs/>
                <w:color w:val="000000"/>
                <w:sz w:val="20"/>
                <w:szCs w:val="20"/>
              </w:rPr>
              <w:t>Fscn2</w:t>
            </w:r>
            <w:r w:rsidRPr="008A7960">
              <w:rPr>
                <w:rFonts w:ascii="Times Roman" w:hAnsi="Times Roman" w:cs="Calibri"/>
                <w:color w:val="000000"/>
                <w:sz w:val="20"/>
                <w:szCs w:val="20"/>
              </w:rPr>
              <w:t xml:space="preserve"> was also implicated in a mouse-GWAS for hearing loss</w:t>
            </w:r>
            <w:r>
              <w:rPr>
                <w:color w:val="000000"/>
                <w:sz w:val="20"/>
                <w:szCs w:val="20"/>
              </w:rPr>
              <w:t xml:space="preserve"> </w:t>
            </w:r>
            <w:r>
              <w:rPr>
                <w:noProof/>
                <w:color w:val="000000"/>
                <w:sz w:val="20"/>
                <w:szCs w:val="20"/>
              </w:rPr>
              <w:t>[99]</w:t>
            </w:r>
            <w:r w:rsidRPr="008A7960">
              <w:rPr>
                <w:rFonts w:ascii="Times Roman" w:hAnsi="Times Roman" w:cs="Calibri"/>
                <w:color w:val="000000"/>
                <w:sz w:val="20"/>
                <w:szCs w:val="20"/>
              </w:rPr>
              <w:t xml:space="preserve">. </w:t>
            </w:r>
            <w:r w:rsidRPr="008A7960">
              <w:rPr>
                <w:rFonts w:ascii="Times Roman" w:hAnsi="Times Roman" w:cs="Calibri"/>
                <w:i/>
                <w:iCs/>
                <w:color w:val="000000"/>
                <w:sz w:val="20"/>
                <w:szCs w:val="20"/>
              </w:rPr>
              <w:t>Fscn2</w:t>
            </w:r>
            <w:r w:rsidRPr="008A7960">
              <w:rPr>
                <w:rFonts w:ascii="Times Roman" w:hAnsi="Times Roman" w:cs="Calibri"/>
                <w:color w:val="000000"/>
                <w:sz w:val="20"/>
                <w:szCs w:val="20"/>
              </w:rPr>
              <w:t xml:space="preserve"> was also observed to be dynamically regulated during stereocilia growth </w:t>
            </w:r>
            <w:r>
              <w:rPr>
                <w:noProof/>
                <w:color w:val="000000"/>
                <w:sz w:val="20"/>
                <w:szCs w:val="20"/>
              </w:rPr>
              <w:t>[100]</w:t>
            </w:r>
            <w:r w:rsidRPr="008A7960">
              <w:rPr>
                <w:rFonts w:ascii="Times Roman" w:hAnsi="Times Roman" w:cs="Calibri"/>
                <w:color w:val="000000"/>
                <w:sz w:val="20"/>
                <w:szCs w:val="20"/>
              </w:rPr>
              <w:t>.</w:t>
            </w:r>
          </w:p>
        </w:tc>
      </w:tr>
      <w:tr w:rsidR="0091160B" w:rsidRPr="008A7960" w14:paraId="72913CFF" w14:textId="77777777" w:rsidTr="00BA219D">
        <w:trPr>
          <w:gridAfter w:val="2"/>
          <w:wAfter w:w="1226" w:type="dxa"/>
          <w:trHeight w:val="32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3D6B5D52" w14:textId="77777777" w:rsidR="0091160B" w:rsidRPr="008A7960" w:rsidRDefault="0091160B" w:rsidP="00BA219D">
            <w:pPr>
              <w:spacing w:line="240" w:lineRule="auto"/>
              <w:jc w:val="center"/>
              <w:rPr>
                <w:rFonts w:ascii="Times" w:hAnsi="Times" w:cs="Calibri"/>
                <w:b w:val="0"/>
                <w:bCs w:val="0"/>
                <w:color w:val="000000"/>
                <w:sz w:val="20"/>
                <w:szCs w:val="20"/>
              </w:rPr>
            </w:pPr>
            <w:r w:rsidRPr="008A7960">
              <w:rPr>
                <w:rFonts w:ascii="Times" w:hAnsi="Times" w:cs="Calibri"/>
                <w:b w:val="0"/>
                <w:bCs w:val="0"/>
                <w:color w:val="000000"/>
                <w:sz w:val="20"/>
                <w:szCs w:val="20"/>
              </w:rPr>
              <w:t>9:140862253_C_A</w:t>
            </w:r>
          </w:p>
        </w:tc>
        <w:tc>
          <w:tcPr>
            <w:tcW w:w="630" w:type="dxa"/>
            <w:vAlign w:val="center"/>
          </w:tcPr>
          <w:p w14:paraId="5AE7EF2D"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9</w:t>
            </w:r>
          </w:p>
        </w:tc>
        <w:tc>
          <w:tcPr>
            <w:tcW w:w="1620" w:type="dxa"/>
            <w:noWrap/>
            <w:vAlign w:val="center"/>
            <w:hideMark/>
          </w:tcPr>
          <w:p w14:paraId="0ECF69C4"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140,862,253 - 140,862,253</w:t>
            </w:r>
          </w:p>
        </w:tc>
        <w:tc>
          <w:tcPr>
            <w:tcW w:w="1350" w:type="dxa"/>
            <w:noWrap/>
            <w:vAlign w:val="center"/>
            <w:hideMark/>
          </w:tcPr>
          <w:p w14:paraId="46194491"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Tinnitus</w:t>
            </w:r>
          </w:p>
        </w:tc>
        <w:tc>
          <w:tcPr>
            <w:tcW w:w="1440" w:type="dxa"/>
            <w:noWrap/>
            <w:vAlign w:val="center"/>
            <w:hideMark/>
          </w:tcPr>
          <w:p w14:paraId="526849A3"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CACNA1B, TPRN</w:t>
            </w:r>
          </w:p>
        </w:tc>
        <w:tc>
          <w:tcPr>
            <w:tcW w:w="1440" w:type="dxa"/>
            <w:noWrap/>
            <w:vAlign w:val="center"/>
            <w:hideMark/>
          </w:tcPr>
          <w:p w14:paraId="05DDDFB0"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DFNB79</w:t>
            </w:r>
            <w:r>
              <w:rPr>
                <w:rFonts w:ascii="Times Roman" w:hAnsi="Times Roman" w:cs="Calibri"/>
                <w:color w:val="000000"/>
                <w:sz w:val="20"/>
                <w:szCs w:val="20"/>
              </w:rPr>
              <w:t xml:space="preserve"> </w:t>
            </w:r>
          </w:p>
          <w:p w14:paraId="2BDB24E0"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Pr>
                <w:noProof/>
                <w:color w:val="000000"/>
                <w:sz w:val="20"/>
                <w:szCs w:val="20"/>
              </w:rPr>
              <w:t>[97, 101]</w:t>
            </w:r>
            <w:r>
              <w:rPr>
                <w:color w:val="000000"/>
                <w:sz w:val="20"/>
                <w:szCs w:val="20"/>
              </w:rPr>
              <w:t xml:space="preserve"> </w:t>
            </w:r>
          </w:p>
        </w:tc>
        <w:tc>
          <w:tcPr>
            <w:tcW w:w="5760" w:type="dxa"/>
            <w:gridSpan w:val="2"/>
            <w:vAlign w:val="center"/>
          </w:tcPr>
          <w:p w14:paraId="11227939" w14:textId="77777777" w:rsidR="0091160B" w:rsidRPr="008A7960" w:rsidRDefault="0091160B" w:rsidP="00BA219D">
            <w:pPr>
              <w:spacing w:line="240" w:lineRule="auto"/>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DFNB79 is a nonsyndromic recessive deafness locus on chromosome 9q34.3 that spans 3.84Mb</w:t>
            </w:r>
            <w:r>
              <w:rPr>
                <w:color w:val="000000"/>
                <w:sz w:val="20"/>
                <w:szCs w:val="20"/>
              </w:rPr>
              <w:t xml:space="preserve"> </w:t>
            </w:r>
            <w:r>
              <w:rPr>
                <w:noProof/>
                <w:color w:val="000000"/>
                <w:sz w:val="20"/>
                <w:szCs w:val="20"/>
              </w:rPr>
              <w:t>[101]</w:t>
            </w:r>
            <w:r w:rsidRPr="008A7960">
              <w:rPr>
                <w:rFonts w:ascii="Times" w:hAnsi="Times" w:cs="Calibri"/>
                <w:color w:val="000000"/>
                <w:sz w:val="20"/>
                <w:szCs w:val="20"/>
              </w:rPr>
              <w:t xml:space="preserve">. </w:t>
            </w:r>
            <w:r w:rsidRPr="008A7960">
              <w:rPr>
                <w:rFonts w:ascii="Times" w:hAnsi="Times" w:cs="Calibri"/>
                <w:i/>
                <w:iCs/>
                <w:color w:val="000000"/>
                <w:sz w:val="20"/>
                <w:szCs w:val="20"/>
              </w:rPr>
              <w:t>TPRN</w:t>
            </w:r>
            <w:r w:rsidRPr="008A7960">
              <w:rPr>
                <w:rFonts w:ascii="Times" w:hAnsi="Times" w:cs="Calibri"/>
                <w:color w:val="000000"/>
                <w:sz w:val="20"/>
                <w:szCs w:val="20"/>
              </w:rPr>
              <w:t xml:space="preserve"> has been found to be causal for DFNB79</w:t>
            </w:r>
            <w:r>
              <w:rPr>
                <w:color w:val="000000"/>
                <w:sz w:val="20"/>
                <w:szCs w:val="20"/>
              </w:rPr>
              <w:t xml:space="preserve"> </w:t>
            </w:r>
            <w:r>
              <w:rPr>
                <w:noProof/>
                <w:color w:val="000000"/>
                <w:sz w:val="20"/>
                <w:szCs w:val="20"/>
              </w:rPr>
              <w:t>[97, 102]</w:t>
            </w:r>
            <w:r w:rsidRPr="008A7960">
              <w:rPr>
                <w:rFonts w:ascii="Times" w:hAnsi="Times" w:cs="Calibri"/>
                <w:color w:val="000000"/>
                <w:sz w:val="20"/>
                <w:szCs w:val="20"/>
              </w:rPr>
              <w:t>. This gene encodes a protein with unknown function. TPRN protein is expressed at the base of each stereocilia as they merge with the cuticula in outer and inner hair cells</w:t>
            </w:r>
            <w:r>
              <w:rPr>
                <w:color w:val="000000"/>
                <w:sz w:val="20"/>
                <w:szCs w:val="20"/>
              </w:rPr>
              <w:t xml:space="preserve"> </w:t>
            </w:r>
            <w:r>
              <w:rPr>
                <w:noProof/>
                <w:color w:val="000000"/>
                <w:sz w:val="20"/>
                <w:szCs w:val="20"/>
              </w:rPr>
              <w:t>[97]</w:t>
            </w:r>
            <w:r w:rsidRPr="008A7960">
              <w:rPr>
                <w:rFonts w:ascii="Times" w:hAnsi="Times" w:cs="Calibri"/>
                <w:color w:val="000000"/>
                <w:sz w:val="20"/>
                <w:szCs w:val="20"/>
              </w:rPr>
              <w:t xml:space="preserve">. In CBA/CaJ mice, </w:t>
            </w:r>
            <w:r w:rsidRPr="008A7960">
              <w:rPr>
                <w:rFonts w:ascii="Times" w:hAnsi="Times" w:cs="Calibri"/>
                <w:i/>
                <w:iCs/>
                <w:color w:val="000000"/>
                <w:sz w:val="20"/>
                <w:szCs w:val="20"/>
              </w:rPr>
              <w:t>Cacna1b</w:t>
            </w:r>
            <w:r w:rsidRPr="008A7960">
              <w:rPr>
                <w:rFonts w:ascii="Times" w:hAnsi="Times" w:cs="Calibri"/>
                <w:color w:val="000000"/>
                <w:sz w:val="20"/>
                <w:szCs w:val="20"/>
              </w:rPr>
              <w:t xml:space="preserve"> has been found to be expressed in spiral ganglion neurons </w:t>
            </w:r>
            <w:r>
              <w:rPr>
                <w:rFonts w:ascii="Times" w:hAnsi="Times" w:cs="Calibri"/>
                <w:noProof/>
                <w:color w:val="000000"/>
                <w:sz w:val="20"/>
                <w:szCs w:val="20"/>
              </w:rPr>
              <w:t>[103]</w:t>
            </w:r>
            <w:r>
              <w:rPr>
                <w:rFonts w:ascii="Times" w:hAnsi="Times" w:cs="Calibri"/>
                <w:color w:val="000000"/>
                <w:sz w:val="20"/>
                <w:szCs w:val="20"/>
              </w:rPr>
              <w:t xml:space="preserve"> </w:t>
            </w:r>
            <w:r w:rsidRPr="008A7960">
              <w:rPr>
                <w:rFonts w:ascii="Times" w:hAnsi="Times" w:cs="Calibri"/>
                <w:color w:val="000000"/>
                <w:sz w:val="20"/>
                <w:szCs w:val="20"/>
              </w:rPr>
              <w:t>and to be downregulated following noise exposure</w:t>
            </w:r>
            <w:r>
              <w:rPr>
                <w:color w:val="000000"/>
                <w:sz w:val="20"/>
                <w:szCs w:val="20"/>
              </w:rPr>
              <w:t xml:space="preserve"> </w:t>
            </w:r>
            <w:r>
              <w:rPr>
                <w:noProof/>
                <w:color w:val="000000"/>
                <w:sz w:val="20"/>
                <w:szCs w:val="20"/>
              </w:rPr>
              <w:t>[104]</w:t>
            </w:r>
            <w:r w:rsidRPr="008A7960">
              <w:rPr>
                <w:rFonts w:ascii="Times" w:hAnsi="Times" w:cs="Calibri"/>
                <w:color w:val="000000"/>
                <w:sz w:val="20"/>
                <w:szCs w:val="20"/>
              </w:rPr>
              <w:t>. CACNA1B, also known as,</w:t>
            </w:r>
            <w:r w:rsidRPr="008A7960">
              <w:rPr>
                <w:sz w:val="20"/>
                <w:szCs w:val="20"/>
              </w:rPr>
              <w:t xml:space="preserve"> the </w:t>
            </w:r>
            <w:r w:rsidRPr="008A7960">
              <w:rPr>
                <w:rFonts w:ascii="Times" w:hAnsi="Times" w:cs="Calibri"/>
                <w:color w:val="000000"/>
                <w:sz w:val="20"/>
                <w:szCs w:val="20"/>
              </w:rPr>
              <w:t xml:space="preserve">voltage-gated calcium channel subunit alpha Cav2.2, encodes a subunit of the voltage-dependent N-type calcium channel, which gives rise to neuronal N-type currents. </w:t>
            </w:r>
          </w:p>
        </w:tc>
      </w:tr>
      <w:tr w:rsidR="0091160B" w:rsidRPr="008A7960" w14:paraId="6D80F4A7" w14:textId="77777777" w:rsidTr="00BA219D">
        <w:trPr>
          <w:gridAfter w:val="2"/>
          <w:cnfStyle w:val="000000100000" w:firstRow="0" w:lastRow="0" w:firstColumn="0" w:lastColumn="0" w:oddVBand="0" w:evenVBand="0" w:oddHBand="1" w:evenHBand="0" w:firstRowFirstColumn="0" w:firstRowLastColumn="0" w:lastRowFirstColumn="0" w:lastRowLastColumn="0"/>
          <w:wAfter w:w="1226" w:type="dxa"/>
          <w:trHeight w:val="32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48DDF2CE" w14:textId="77777777" w:rsidR="0091160B" w:rsidRPr="008A7960" w:rsidRDefault="0091160B" w:rsidP="00BA219D">
            <w:pPr>
              <w:spacing w:line="240" w:lineRule="auto"/>
              <w:jc w:val="center"/>
              <w:rPr>
                <w:rFonts w:ascii="Times" w:hAnsi="Times" w:cs="Calibri"/>
                <w:b w:val="0"/>
                <w:bCs w:val="0"/>
                <w:color w:val="000000"/>
                <w:sz w:val="20"/>
                <w:szCs w:val="20"/>
              </w:rPr>
            </w:pPr>
            <w:r w:rsidRPr="008A7960">
              <w:rPr>
                <w:rFonts w:ascii="Times" w:hAnsi="Times" w:cs="Calibri"/>
                <w:b w:val="0"/>
                <w:bCs w:val="0"/>
                <w:color w:val="000000"/>
                <w:sz w:val="20"/>
                <w:szCs w:val="20"/>
              </w:rPr>
              <w:t>rs34859220</w:t>
            </w:r>
          </w:p>
        </w:tc>
        <w:tc>
          <w:tcPr>
            <w:tcW w:w="630" w:type="dxa"/>
            <w:vAlign w:val="center"/>
          </w:tcPr>
          <w:p w14:paraId="05B89F88"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4</w:t>
            </w:r>
          </w:p>
        </w:tc>
        <w:tc>
          <w:tcPr>
            <w:tcW w:w="1620" w:type="dxa"/>
            <w:noWrap/>
            <w:vAlign w:val="center"/>
          </w:tcPr>
          <w:p w14:paraId="16CCDDF4"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17,517,558 - 17,530,692</w:t>
            </w:r>
          </w:p>
        </w:tc>
        <w:tc>
          <w:tcPr>
            <w:tcW w:w="1350" w:type="dxa"/>
            <w:noWrap/>
            <w:vAlign w:val="center"/>
          </w:tcPr>
          <w:p w14:paraId="4C6BA04C"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Hearing difficulty</w:t>
            </w:r>
          </w:p>
        </w:tc>
        <w:tc>
          <w:tcPr>
            <w:tcW w:w="1440" w:type="dxa"/>
            <w:noWrap/>
            <w:vAlign w:val="center"/>
          </w:tcPr>
          <w:p w14:paraId="57F16876"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i/>
                <w:iCs/>
                <w:color w:val="000000"/>
                <w:sz w:val="20"/>
                <w:szCs w:val="20"/>
              </w:rPr>
            </w:pPr>
            <w:r w:rsidRPr="008A7960">
              <w:rPr>
                <w:rFonts w:ascii="Times" w:hAnsi="Times" w:cs="Calibri"/>
                <w:i/>
                <w:iCs/>
                <w:color w:val="000000"/>
                <w:sz w:val="20"/>
                <w:szCs w:val="20"/>
              </w:rPr>
              <w:t>CLRN2</w:t>
            </w:r>
          </w:p>
        </w:tc>
        <w:tc>
          <w:tcPr>
            <w:tcW w:w="1440" w:type="dxa"/>
            <w:noWrap/>
            <w:vAlign w:val="center"/>
          </w:tcPr>
          <w:p w14:paraId="63416370"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p>
        </w:tc>
        <w:tc>
          <w:tcPr>
            <w:tcW w:w="5760" w:type="dxa"/>
            <w:gridSpan w:val="2"/>
            <w:vAlign w:val="center"/>
          </w:tcPr>
          <w:p w14:paraId="5E90A118" w14:textId="77777777" w:rsidR="0091160B" w:rsidRPr="008A7960" w:rsidRDefault="0091160B" w:rsidP="00BA219D">
            <w:pPr>
              <w:spacing w:line="240" w:lineRule="auto"/>
              <w:cnfStyle w:val="000000100000" w:firstRow="0" w:lastRow="0" w:firstColumn="0" w:lastColumn="0" w:oddVBand="0" w:evenVBand="0" w:oddHBand="1" w:evenHBand="0" w:firstRowFirstColumn="0" w:firstRowLastColumn="0" w:lastRowFirstColumn="0" w:lastRowLastColumn="0"/>
              <w:rPr>
                <w:rFonts w:ascii="Times" w:hAnsi="Times" w:cs="Calibri"/>
                <w:color w:val="000000" w:themeColor="text1"/>
                <w:sz w:val="20"/>
                <w:szCs w:val="20"/>
              </w:rPr>
            </w:pPr>
            <w:r w:rsidRPr="008A7960">
              <w:rPr>
                <w:rFonts w:ascii="Times" w:hAnsi="Times" w:cs="Calibri"/>
                <w:i/>
                <w:iCs/>
                <w:color w:val="000000" w:themeColor="text1"/>
                <w:sz w:val="20"/>
                <w:szCs w:val="20"/>
              </w:rPr>
              <w:t>CLRN2</w:t>
            </w:r>
            <w:r w:rsidRPr="008A7960">
              <w:rPr>
                <w:rFonts w:ascii="Times" w:hAnsi="Times" w:cs="Calibri"/>
                <w:color w:val="000000" w:themeColor="text1"/>
                <w:sz w:val="20"/>
                <w:szCs w:val="20"/>
              </w:rPr>
              <w:t xml:space="preserve"> encodes clarin-2, which appears to belong to a superfamily of integral four-transmembrane glycoproteins. It was recently identified as critical for hearing by genetic screening in mice </w:t>
            </w:r>
            <w:r>
              <w:rPr>
                <w:rFonts w:ascii="Times" w:hAnsi="Times" w:cs="Calibri"/>
                <w:noProof/>
                <w:color w:val="000000" w:themeColor="text1"/>
                <w:sz w:val="20"/>
                <w:szCs w:val="20"/>
              </w:rPr>
              <w:t>[105]</w:t>
            </w:r>
            <w:r w:rsidRPr="008A7960">
              <w:rPr>
                <w:rFonts w:ascii="Times" w:hAnsi="Times" w:cs="Calibri"/>
                <w:color w:val="000000" w:themeColor="text1"/>
                <w:sz w:val="20"/>
                <w:szCs w:val="20"/>
              </w:rPr>
              <w:t xml:space="preserve">. </w:t>
            </w:r>
            <w:r w:rsidRPr="008A7960">
              <w:rPr>
                <w:rFonts w:ascii="Times" w:hAnsi="Times" w:cs="Calibri"/>
                <w:i/>
                <w:iCs/>
                <w:color w:val="000000" w:themeColor="text1"/>
                <w:sz w:val="20"/>
                <w:szCs w:val="20"/>
              </w:rPr>
              <w:t>Clrn2</w:t>
            </w:r>
            <w:r w:rsidRPr="008A7960">
              <w:rPr>
                <w:rFonts w:ascii="Times" w:hAnsi="Times" w:cs="Calibri"/>
                <w:color w:val="000000" w:themeColor="text1"/>
                <w:sz w:val="20"/>
                <w:szCs w:val="20"/>
              </w:rPr>
              <w:t xml:space="preserve"> knock-out mice develop progressive, early onset hearing loss. Clrn2 is also expressed in the stereocilia of the inner and outer hair cells and </w:t>
            </w:r>
            <w:r w:rsidRPr="008A7960">
              <w:rPr>
                <w:rFonts w:ascii="Times" w:hAnsi="Times" w:cs="Calibri"/>
                <w:color w:val="000000" w:themeColor="text1"/>
                <w:sz w:val="20"/>
                <w:szCs w:val="20"/>
              </w:rPr>
              <w:lastRenderedPageBreak/>
              <w:t>is critical for maintaining stereocilia bundle integrity and function</w:t>
            </w:r>
            <w:r>
              <w:rPr>
                <w:color w:val="000000"/>
                <w:sz w:val="20"/>
                <w:szCs w:val="20"/>
              </w:rPr>
              <w:t xml:space="preserve"> </w:t>
            </w:r>
            <w:r>
              <w:rPr>
                <w:noProof/>
                <w:color w:val="000000"/>
                <w:sz w:val="20"/>
                <w:szCs w:val="20"/>
              </w:rPr>
              <w:t>[106]</w:t>
            </w:r>
            <w:r w:rsidRPr="008A7960">
              <w:rPr>
                <w:rFonts w:ascii="Times" w:hAnsi="Times" w:cs="Calibri"/>
                <w:color w:val="000000" w:themeColor="text1"/>
                <w:sz w:val="20"/>
                <w:szCs w:val="20"/>
              </w:rPr>
              <w:t xml:space="preserve">. In addition, the paralog gene </w:t>
            </w:r>
            <w:r w:rsidRPr="008A7960">
              <w:rPr>
                <w:rFonts w:ascii="Times" w:hAnsi="Times" w:cs="Calibri"/>
                <w:i/>
                <w:iCs/>
                <w:color w:val="000000" w:themeColor="text1"/>
                <w:sz w:val="20"/>
                <w:szCs w:val="20"/>
              </w:rPr>
              <w:t>Clrn1</w:t>
            </w:r>
            <w:r w:rsidRPr="008A7960">
              <w:rPr>
                <w:rFonts w:ascii="Times" w:hAnsi="Times" w:cs="Calibri"/>
                <w:color w:val="000000" w:themeColor="text1"/>
                <w:sz w:val="20"/>
                <w:szCs w:val="20"/>
              </w:rPr>
              <w:t xml:space="preserve"> has previously been shown to also be expressed in the hair cells and associated ganglionic neurons. </w:t>
            </w:r>
            <w:r w:rsidRPr="00F3265A">
              <w:rPr>
                <w:rFonts w:ascii="Times" w:hAnsi="Times" w:cs="Calibri"/>
                <w:i/>
                <w:iCs/>
                <w:color w:val="000000" w:themeColor="text1"/>
                <w:sz w:val="20"/>
                <w:szCs w:val="20"/>
              </w:rPr>
              <w:t>Clrn1-/-</w:t>
            </w:r>
            <w:r w:rsidRPr="008A7960">
              <w:rPr>
                <w:rFonts w:ascii="Times" w:hAnsi="Times" w:cs="Calibri"/>
                <w:color w:val="000000" w:themeColor="text1"/>
                <w:sz w:val="20"/>
                <w:szCs w:val="20"/>
              </w:rPr>
              <w:t xml:space="preserve"> mice also develop progressive early-onset hearing loss that leads to deafness</w:t>
            </w:r>
            <w:r>
              <w:rPr>
                <w:color w:val="000000"/>
                <w:sz w:val="20"/>
                <w:szCs w:val="20"/>
              </w:rPr>
              <w:t xml:space="preserve"> </w:t>
            </w:r>
            <w:r>
              <w:rPr>
                <w:noProof/>
                <w:color w:val="000000"/>
                <w:sz w:val="20"/>
                <w:szCs w:val="20"/>
              </w:rPr>
              <w:t>[107]</w:t>
            </w:r>
            <w:r w:rsidRPr="008A7960">
              <w:rPr>
                <w:rFonts w:ascii="Times" w:hAnsi="Times" w:cs="Calibri"/>
                <w:color w:val="000000" w:themeColor="text1"/>
                <w:sz w:val="20"/>
                <w:szCs w:val="20"/>
              </w:rPr>
              <w:t>.</w:t>
            </w:r>
          </w:p>
        </w:tc>
      </w:tr>
      <w:tr w:rsidR="0091160B" w:rsidRPr="008A7960" w14:paraId="1ECF9FEC" w14:textId="77777777" w:rsidTr="00BA219D">
        <w:trPr>
          <w:gridAfter w:val="2"/>
          <w:wAfter w:w="1226" w:type="dxa"/>
          <w:trHeight w:val="320"/>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073689D5" w14:textId="77777777" w:rsidR="0091160B" w:rsidRPr="008A7960" w:rsidRDefault="0091160B" w:rsidP="00BA219D">
            <w:pPr>
              <w:spacing w:line="240" w:lineRule="auto"/>
              <w:jc w:val="center"/>
              <w:rPr>
                <w:rFonts w:ascii="Times" w:hAnsi="Times" w:cs="Calibri"/>
                <w:b w:val="0"/>
                <w:bCs w:val="0"/>
                <w:color w:val="000000"/>
                <w:sz w:val="20"/>
                <w:szCs w:val="20"/>
              </w:rPr>
            </w:pPr>
            <w:r w:rsidRPr="008A7960">
              <w:rPr>
                <w:rFonts w:ascii="Times" w:hAnsi="Times" w:cs="Calibri"/>
                <w:b w:val="0"/>
                <w:bCs w:val="0"/>
                <w:color w:val="000000"/>
                <w:sz w:val="20"/>
                <w:szCs w:val="20"/>
              </w:rPr>
              <w:t>rs17856487</w:t>
            </w:r>
          </w:p>
        </w:tc>
        <w:tc>
          <w:tcPr>
            <w:tcW w:w="630" w:type="dxa"/>
            <w:vAlign w:val="center"/>
          </w:tcPr>
          <w:p w14:paraId="525257DE"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22</w:t>
            </w:r>
          </w:p>
        </w:tc>
        <w:tc>
          <w:tcPr>
            <w:tcW w:w="1620" w:type="dxa"/>
            <w:noWrap/>
            <w:vAlign w:val="center"/>
          </w:tcPr>
          <w:p w14:paraId="3C01AEEC"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38,485,540 - 38,487,526</w:t>
            </w:r>
          </w:p>
        </w:tc>
        <w:tc>
          <w:tcPr>
            <w:tcW w:w="1350" w:type="dxa"/>
            <w:noWrap/>
            <w:vAlign w:val="center"/>
          </w:tcPr>
          <w:p w14:paraId="27A07452"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Hearing difficulty</w:t>
            </w:r>
          </w:p>
        </w:tc>
        <w:tc>
          <w:tcPr>
            <w:tcW w:w="1440" w:type="dxa"/>
            <w:noWrap/>
            <w:vAlign w:val="center"/>
          </w:tcPr>
          <w:p w14:paraId="519B266F"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i/>
                <w:iCs/>
                <w:color w:val="000000"/>
                <w:sz w:val="20"/>
                <w:szCs w:val="20"/>
              </w:rPr>
            </w:pPr>
            <w:r w:rsidRPr="008A7960">
              <w:rPr>
                <w:rFonts w:ascii="Times" w:hAnsi="Times" w:cs="Calibri"/>
                <w:i/>
                <w:iCs/>
                <w:color w:val="000000"/>
                <w:sz w:val="20"/>
                <w:szCs w:val="20"/>
              </w:rPr>
              <w:t>BAIAP2L2</w:t>
            </w:r>
          </w:p>
        </w:tc>
        <w:tc>
          <w:tcPr>
            <w:tcW w:w="1440" w:type="dxa"/>
            <w:noWrap/>
            <w:vAlign w:val="center"/>
          </w:tcPr>
          <w:p w14:paraId="481E5674"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p>
        </w:tc>
        <w:tc>
          <w:tcPr>
            <w:tcW w:w="5760" w:type="dxa"/>
            <w:gridSpan w:val="2"/>
            <w:vAlign w:val="center"/>
          </w:tcPr>
          <w:p w14:paraId="4EE769B8" w14:textId="77777777" w:rsidR="0091160B" w:rsidRPr="008A7960" w:rsidRDefault="0091160B" w:rsidP="00BA219D">
            <w:pPr>
              <w:spacing w:line="240" w:lineRule="auto"/>
              <w:cnfStyle w:val="000000000000" w:firstRow="0" w:lastRow="0" w:firstColumn="0" w:lastColumn="0" w:oddVBand="0" w:evenVBand="0" w:oddHBand="0" w:evenHBand="0" w:firstRowFirstColumn="0" w:firstRowLastColumn="0" w:lastRowFirstColumn="0" w:lastRowLastColumn="0"/>
              <w:rPr>
                <w:rFonts w:ascii="Times" w:hAnsi="Times" w:cs="Calibri"/>
                <w:color w:val="000000" w:themeColor="text1"/>
                <w:sz w:val="20"/>
                <w:szCs w:val="20"/>
              </w:rPr>
            </w:pPr>
            <w:r w:rsidRPr="008A7960">
              <w:rPr>
                <w:rFonts w:ascii="Times" w:hAnsi="Times" w:cs="Calibri"/>
                <w:i/>
                <w:iCs/>
                <w:color w:val="000000" w:themeColor="text1"/>
                <w:sz w:val="20"/>
                <w:szCs w:val="20"/>
              </w:rPr>
              <w:t xml:space="preserve">Baiap2l2 </w:t>
            </w:r>
            <w:r w:rsidRPr="008A7960">
              <w:rPr>
                <w:rFonts w:ascii="Times" w:hAnsi="Times" w:cs="Calibri"/>
                <w:color w:val="000000" w:themeColor="text1"/>
                <w:sz w:val="20"/>
                <w:szCs w:val="20"/>
              </w:rPr>
              <w:t>is expressed in the hair cell bundle in mice</w:t>
            </w:r>
            <w:r>
              <w:rPr>
                <w:rFonts w:ascii="Times" w:hAnsi="Times" w:cs="Calibri"/>
                <w:color w:val="000000" w:themeColor="text1"/>
                <w:sz w:val="20"/>
                <w:szCs w:val="20"/>
              </w:rPr>
              <w:t xml:space="preserve"> </w:t>
            </w:r>
            <w:r>
              <w:rPr>
                <w:noProof/>
                <w:color w:val="000000"/>
                <w:sz w:val="20"/>
                <w:szCs w:val="20"/>
              </w:rPr>
              <w:t>[108]</w:t>
            </w:r>
            <w:r w:rsidRPr="008A7960">
              <w:rPr>
                <w:rFonts w:ascii="Times" w:hAnsi="Times" w:cs="Calibri"/>
                <w:i/>
                <w:iCs/>
                <w:color w:val="000000" w:themeColor="text1"/>
                <w:sz w:val="20"/>
                <w:szCs w:val="20"/>
              </w:rPr>
              <w:t>.</w:t>
            </w:r>
            <w:r w:rsidRPr="008A7960">
              <w:rPr>
                <w:rFonts w:ascii="Times" w:hAnsi="Times" w:cs="Calibri"/>
                <w:color w:val="000000" w:themeColor="text1"/>
                <w:sz w:val="20"/>
                <w:szCs w:val="20"/>
              </w:rPr>
              <w:t xml:space="preserve"> </w:t>
            </w:r>
            <w:r w:rsidRPr="008A7960">
              <w:rPr>
                <w:rFonts w:ascii="Times" w:hAnsi="Times" w:cs="Calibri"/>
                <w:i/>
                <w:iCs/>
                <w:color w:val="000000" w:themeColor="text1"/>
                <w:sz w:val="20"/>
                <w:szCs w:val="20"/>
              </w:rPr>
              <w:t>Baiap2l2</w:t>
            </w:r>
            <w:r w:rsidRPr="008A7960">
              <w:rPr>
                <w:rFonts w:ascii="Times" w:hAnsi="Times" w:cs="Calibri"/>
                <w:color w:val="000000" w:themeColor="text1"/>
                <w:sz w:val="20"/>
                <w:szCs w:val="20"/>
              </w:rPr>
              <w:t xml:space="preserve"> Deficient mice lose the 2nd and 3rd row of the inner- and outer hair cell stereocilia</w:t>
            </w:r>
            <w:r>
              <w:rPr>
                <w:color w:val="000000"/>
                <w:sz w:val="20"/>
                <w:szCs w:val="20"/>
              </w:rPr>
              <w:t xml:space="preserve"> </w:t>
            </w:r>
            <w:r>
              <w:rPr>
                <w:noProof/>
                <w:color w:val="000000"/>
                <w:sz w:val="20"/>
                <w:szCs w:val="20"/>
              </w:rPr>
              <w:t>[108]</w:t>
            </w:r>
            <w:r w:rsidRPr="008A7960">
              <w:rPr>
                <w:rFonts w:ascii="Times" w:hAnsi="Times" w:cs="Calibri"/>
                <w:color w:val="000000" w:themeColor="text1"/>
                <w:sz w:val="20"/>
                <w:szCs w:val="20"/>
              </w:rPr>
              <w:t>.</w:t>
            </w:r>
          </w:p>
        </w:tc>
      </w:tr>
      <w:tr w:rsidR="0091160B" w:rsidRPr="008A7960" w14:paraId="5D4AB012" w14:textId="77777777" w:rsidTr="00BA219D">
        <w:trPr>
          <w:gridAfter w:val="2"/>
          <w:cnfStyle w:val="000000100000" w:firstRow="0" w:lastRow="0" w:firstColumn="0" w:lastColumn="0" w:oddVBand="0" w:evenVBand="0" w:oddHBand="1" w:evenHBand="0" w:firstRowFirstColumn="0" w:firstRowLastColumn="0" w:lastRowFirstColumn="0" w:lastRowLastColumn="0"/>
          <w:wAfter w:w="1226" w:type="dxa"/>
          <w:trHeight w:val="320"/>
        </w:trPr>
        <w:tc>
          <w:tcPr>
            <w:cnfStyle w:val="001000000000" w:firstRow="0" w:lastRow="0" w:firstColumn="1" w:lastColumn="0" w:oddVBand="0" w:evenVBand="0" w:oddHBand="0" w:evenHBand="0" w:firstRowFirstColumn="0" w:firstRowLastColumn="0" w:lastRowFirstColumn="0" w:lastRowLastColumn="0"/>
            <w:tcW w:w="1350" w:type="dxa"/>
            <w:tcBorders>
              <w:bottom w:val="single" w:sz="4" w:space="0" w:color="auto"/>
            </w:tcBorders>
            <w:vAlign w:val="center"/>
          </w:tcPr>
          <w:p w14:paraId="1E36DFAD" w14:textId="77777777" w:rsidR="0091160B" w:rsidRPr="008A7960" w:rsidRDefault="0091160B" w:rsidP="00BA219D">
            <w:pPr>
              <w:spacing w:line="240" w:lineRule="auto"/>
              <w:jc w:val="center"/>
              <w:rPr>
                <w:rFonts w:ascii="Times" w:hAnsi="Times" w:cs="Calibri"/>
                <w:b w:val="0"/>
                <w:bCs w:val="0"/>
                <w:color w:val="000000"/>
                <w:sz w:val="20"/>
                <w:szCs w:val="20"/>
              </w:rPr>
            </w:pPr>
            <w:r w:rsidRPr="008A7960">
              <w:rPr>
                <w:rFonts w:ascii="Times" w:hAnsi="Times" w:cs="Calibri"/>
                <w:b w:val="0"/>
                <w:bCs w:val="0"/>
                <w:color w:val="000000"/>
                <w:sz w:val="20"/>
                <w:szCs w:val="20"/>
              </w:rPr>
              <w:t>rs557019275</w:t>
            </w:r>
          </w:p>
        </w:tc>
        <w:tc>
          <w:tcPr>
            <w:tcW w:w="630" w:type="dxa"/>
            <w:tcBorders>
              <w:bottom w:val="single" w:sz="4" w:space="0" w:color="auto"/>
            </w:tcBorders>
            <w:vAlign w:val="center"/>
          </w:tcPr>
          <w:p w14:paraId="3A2FB981"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15</w:t>
            </w:r>
          </w:p>
        </w:tc>
        <w:tc>
          <w:tcPr>
            <w:tcW w:w="1620" w:type="dxa"/>
            <w:tcBorders>
              <w:bottom w:val="single" w:sz="4" w:space="0" w:color="auto"/>
            </w:tcBorders>
            <w:noWrap/>
            <w:vAlign w:val="center"/>
          </w:tcPr>
          <w:p w14:paraId="53EC528B"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88,476,019</w:t>
            </w:r>
          </w:p>
        </w:tc>
        <w:tc>
          <w:tcPr>
            <w:tcW w:w="1350" w:type="dxa"/>
            <w:tcBorders>
              <w:bottom w:val="single" w:sz="4" w:space="0" w:color="auto"/>
            </w:tcBorders>
            <w:noWrap/>
            <w:vAlign w:val="center"/>
          </w:tcPr>
          <w:p w14:paraId="2C277FA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Hearing aid use</w:t>
            </w:r>
          </w:p>
        </w:tc>
        <w:tc>
          <w:tcPr>
            <w:tcW w:w="1440" w:type="dxa"/>
            <w:tcBorders>
              <w:bottom w:val="single" w:sz="4" w:space="0" w:color="auto"/>
            </w:tcBorders>
            <w:noWrap/>
            <w:vAlign w:val="center"/>
          </w:tcPr>
          <w:p w14:paraId="025A003F"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i/>
                <w:iCs/>
                <w:color w:val="000000"/>
                <w:sz w:val="20"/>
                <w:szCs w:val="20"/>
              </w:rPr>
            </w:pPr>
            <w:r w:rsidRPr="008A7960">
              <w:rPr>
                <w:rFonts w:ascii="Times" w:hAnsi="Times" w:cs="Calibri"/>
                <w:i/>
                <w:iCs/>
                <w:color w:val="000000"/>
                <w:sz w:val="20"/>
                <w:szCs w:val="20"/>
              </w:rPr>
              <w:t>NTRK3</w:t>
            </w:r>
          </w:p>
        </w:tc>
        <w:tc>
          <w:tcPr>
            <w:tcW w:w="1440" w:type="dxa"/>
            <w:tcBorders>
              <w:bottom w:val="single" w:sz="4" w:space="0" w:color="auto"/>
            </w:tcBorders>
            <w:noWrap/>
            <w:vAlign w:val="center"/>
          </w:tcPr>
          <w:p w14:paraId="51C80FA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p>
        </w:tc>
        <w:tc>
          <w:tcPr>
            <w:tcW w:w="5760" w:type="dxa"/>
            <w:gridSpan w:val="2"/>
            <w:tcBorders>
              <w:bottom w:val="single" w:sz="4" w:space="0" w:color="auto"/>
            </w:tcBorders>
            <w:vAlign w:val="center"/>
          </w:tcPr>
          <w:p w14:paraId="030E7928" w14:textId="77777777" w:rsidR="0091160B" w:rsidRPr="008A7960" w:rsidRDefault="0091160B" w:rsidP="00BA219D">
            <w:pPr>
              <w:spacing w:line="240" w:lineRule="auto"/>
              <w:cnfStyle w:val="000000100000" w:firstRow="0" w:lastRow="0" w:firstColumn="0" w:lastColumn="0" w:oddVBand="0" w:evenVBand="0" w:oddHBand="1" w:evenHBand="0" w:firstRowFirstColumn="0" w:firstRowLastColumn="0" w:lastRowFirstColumn="0" w:lastRowLastColumn="0"/>
              <w:rPr>
                <w:rFonts w:ascii="Times" w:hAnsi="Times" w:cs="Calibri"/>
                <w:color w:val="000000" w:themeColor="text1"/>
                <w:sz w:val="20"/>
                <w:szCs w:val="20"/>
              </w:rPr>
            </w:pPr>
            <w:r w:rsidRPr="008A7960">
              <w:rPr>
                <w:rFonts w:ascii="Times" w:hAnsi="Times" w:cs="Calibri"/>
                <w:i/>
                <w:iCs/>
                <w:color w:val="000000" w:themeColor="text1"/>
                <w:sz w:val="20"/>
                <w:szCs w:val="20"/>
              </w:rPr>
              <w:t xml:space="preserve">Ntrk3 </w:t>
            </w:r>
            <w:r w:rsidRPr="008A7960">
              <w:rPr>
                <w:rFonts w:ascii="Times" w:hAnsi="Times" w:cs="Calibri"/>
                <w:color w:val="000000" w:themeColor="text1"/>
                <w:sz w:val="20"/>
                <w:szCs w:val="20"/>
              </w:rPr>
              <w:t xml:space="preserve">was upregulated in spiral ganglion neurons after kainate-induced lesions in an </w:t>
            </w:r>
            <w:r w:rsidRPr="008A7960">
              <w:rPr>
                <w:rFonts w:ascii="Times" w:hAnsi="Times" w:cs="Calibri"/>
                <w:i/>
                <w:iCs/>
                <w:color w:val="000000" w:themeColor="text1"/>
                <w:sz w:val="20"/>
                <w:szCs w:val="20"/>
              </w:rPr>
              <w:t>in vitro</w:t>
            </w:r>
            <w:r w:rsidRPr="008A7960">
              <w:rPr>
                <w:rFonts w:ascii="Times" w:hAnsi="Times" w:cs="Calibri"/>
                <w:color w:val="000000" w:themeColor="text1"/>
                <w:sz w:val="20"/>
                <w:szCs w:val="20"/>
              </w:rPr>
              <w:t xml:space="preserve"> model for auditory nerve regeneration in cochlear explants from P3-5 postnatal C57BL/6 mice</w:t>
            </w:r>
            <w:r>
              <w:rPr>
                <w:color w:val="000000"/>
                <w:sz w:val="20"/>
                <w:szCs w:val="20"/>
              </w:rPr>
              <w:t xml:space="preserve"> </w:t>
            </w:r>
            <w:r>
              <w:rPr>
                <w:noProof/>
                <w:color w:val="000000"/>
                <w:sz w:val="20"/>
                <w:szCs w:val="20"/>
              </w:rPr>
              <w:t>[106]</w:t>
            </w:r>
            <w:r w:rsidRPr="008A7960">
              <w:rPr>
                <w:rFonts w:ascii="Times" w:hAnsi="Times" w:cs="Calibri"/>
                <w:color w:val="000000" w:themeColor="text1"/>
                <w:sz w:val="20"/>
                <w:szCs w:val="20"/>
              </w:rPr>
              <w:t>.</w:t>
            </w:r>
          </w:p>
        </w:tc>
      </w:tr>
    </w:tbl>
    <w:p w14:paraId="155199C1" w14:textId="77777777" w:rsidR="0091160B" w:rsidRPr="008A7960" w:rsidRDefault="0091160B" w:rsidP="0091160B">
      <w:pPr>
        <w:spacing w:line="240" w:lineRule="auto"/>
        <w:ind w:left="-270" w:right="-360"/>
        <w:rPr>
          <w:sz w:val="20"/>
          <w:szCs w:val="20"/>
        </w:rPr>
      </w:pPr>
      <w:r w:rsidRPr="008A7960">
        <w:rPr>
          <w:sz w:val="20"/>
          <w:szCs w:val="20"/>
        </w:rPr>
        <w:t>The lead SNP, chromosome and positions are included for each locus along with the associated trait, the candidate causal gene as determined by bioinformatic analyses and a review of the literature (see methods). A brief description of previous hearing-related findings is included for each locus. *Loci that overlap with non-syndromic deafness loci are annotated with the corresponding locus nomenclature. DFNA - autosomal dominant nonsyndromic deafness, DFNB - autosomal recessive nonsyndromic deafness.</w:t>
      </w:r>
    </w:p>
    <w:p w14:paraId="76844B37" w14:textId="77777777" w:rsidR="0091160B" w:rsidRPr="008A7960" w:rsidRDefault="0091160B" w:rsidP="0091160B">
      <w:pPr>
        <w:autoSpaceDE/>
        <w:autoSpaceDN/>
        <w:adjustRightInd/>
        <w:spacing w:line="240" w:lineRule="auto"/>
        <w:jc w:val="left"/>
        <w:rPr>
          <w:sz w:val="20"/>
          <w:szCs w:val="20"/>
        </w:rPr>
      </w:pPr>
      <w:r w:rsidRPr="008A7960">
        <w:rPr>
          <w:sz w:val="20"/>
          <w:szCs w:val="20"/>
        </w:rPr>
        <w:br w:type="page"/>
      </w:r>
    </w:p>
    <w:p w14:paraId="4C466F78" w14:textId="77777777" w:rsidR="0091160B" w:rsidRPr="008A7960" w:rsidRDefault="0091160B" w:rsidP="0091160B">
      <w:pPr>
        <w:spacing w:line="240" w:lineRule="auto"/>
        <w:ind w:left="-567" w:right="-630"/>
        <w:rPr>
          <w:rFonts w:ascii="Times" w:hAnsi="Times"/>
          <w:sz w:val="22"/>
          <w:szCs w:val="22"/>
        </w:rPr>
      </w:pPr>
      <w:r w:rsidRPr="008A7960">
        <w:rPr>
          <w:rFonts w:ascii="Times" w:hAnsi="Times"/>
          <w:b/>
          <w:bCs/>
          <w:sz w:val="22"/>
          <w:szCs w:val="22"/>
        </w:rPr>
        <w:lastRenderedPageBreak/>
        <w:t xml:space="preserve">Table 4. </w:t>
      </w:r>
      <w:r w:rsidRPr="008A7960">
        <w:rPr>
          <w:rFonts w:ascii="Times" w:hAnsi="Times"/>
          <w:sz w:val="22"/>
          <w:szCs w:val="22"/>
        </w:rPr>
        <w:t>Non-synonymous</w:t>
      </w:r>
      <w:r w:rsidRPr="008A7960">
        <w:rPr>
          <w:rFonts w:ascii="Times" w:hAnsi="Times"/>
          <w:b/>
          <w:bCs/>
          <w:sz w:val="22"/>
          <w:szCs w:val="22"/>
        </w:rPr>
        <w:t xml:space="preserve"> </w:t>
      </w:r>
      <w:r w:rsidRPr="008A7960">
        <w:rPr>
          <w:rFonts w:ascii="Times" w:hAnsi="Times"/>
          <w:sz w:val="22"/>
          <w:szCs w:val="22"/>
        </w:rPr>
        <w:t xml:space="preserve">coding variants that were linked to genetic loci associated with hearing-related traits in the UK Biobank. </w:t>
      </w:r>
    </w:p>
    <w:tbl>
      <w:tblPr>
        <w:tblStyle w:val="ListTable1Light"/>
        <w:tblW w:w="14220" w:type="dxa"/>
        <w:tblInd w:w="-630" w:type="dxa"/>
        <w:tblLayout w:type="fixed"/>
        <w:tblLook w:val="04A0" w:firstRow="1" w:lastRow="0" w:firstColumn="1" w:lastColumn="0" w:noHBand="0" w:noVBand="1"/>
      </w:tblPr>
      <w:tblGrid>
        <w:gridCol w:w="1350"/>
        <w:gridCol w:w="630"/>
        <w:gridCol w:w="1529"/>
        <w:gridCol w:w="1351"/>
        <w:gridCol w:w="1260"/>
        <w:gridCol w:w="1620"/>
        <w:gridCol w:w="990"/>
        <w:gridCol w:w="1400"/>
        <w:gridCol w:w="1110"/>
        <w:gridCol w:w="1660"/>
        <w:gridCol w:w="1320"/>
      </w:tblGrid>
      <w:tr w:rsidR="0091160B" w:rsidRPr="008A7960" w14:paraId="692C2F82" w14:textId="77777777" w:rsidTr="00BA219D">
        <w:trPr>
          <w:cnfStyle w:val="100000000000" w:firstRow="1" w:lastRow="0" w:firstColumn="0" w:lastColumn="0" w:oddVBand="0" w:evenVBand="0" w:oddHBand="0"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50" w:type="dxa"/>
            <w:vAlign w:val="bottom"/>
          </w:tcPr>
          <w:p w14:paraId="452F3D6A" w14:textId="77777777" w:rsidR="0091160B" w:rsidRPr="008A7960" w:rsidRDefault="0091160B" w:rsidP="00BA219D">
            <w:pPr>
              <w:spacing w:line="240" w:lineRule="auto"/>
              <w:jc w:val="center"/>
              <w:rPr>
                <w:rFonts w:ascii="Times Roman" w:hAnsi="Times Roman" w:cs="Calibri"/>
                <w:color w:val="000000"/>
                <w:sz w:val="20"/>
                <w:szCs w:val="20"/>
              </w:rPr>
            </w:pPr>
            <w:r w:rsidRPr="008A7960">
              <w:rPr>
                <w:rFonts w:ascii="Times Roman" w:hAnsi="Times Roman" w:cs="Calibri"/>
                <w:color w:val="000000"/>
                <w:sz w:val="20"/>
                <w:szCs w:val="20"/>
              </w:rPr>
              <w:t>Lead SNP</w:t>
            </w:r>
          </w:p>
        </w:tc>
        <w:tc>
          <w:tcPr>
            <w:tcW w:w="630" w:type="dxa"/>
            <w:noWrap/>
            <w:vAlign w:val="bottom"/>
            <w:hideMark/>
          </w:tcPr>
          <w:p w14:paraId="4053D7C9"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Chr</w:t>
            </w:r>
          </w:p>
        </w:tc>
        <w:tc>
          <w:tcPr>
            <w:tcW w:w="1529" w:type="dxa"/>
            <w:noWrap/>
            <w:vAlign w:val="bottom"/>
            <w:hideMark/>
          </w:tcPr>
          <w:p w14:paraId="6B8A1069"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Locus</w:t>
            </w:r>
          </w:p>
        </w:tc>
        <w:tc>
          <w:tcPr>
            <w:tcW w:w="1351" w:type="dxa"/>
            <w:noWrap/>
            <w:vAlign w:val="bottom"/>
            <w:hideMark/>
          </w:tcPr>
          <w:p w14:paraId="2AA4768B"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Non-synonymous variant</w:t>
            </w:r>
          </w:p>
        </w:tc>
        <w:tc>
          <w:tcPr>
            <w:tcW w:w="1260" w:type="dxa"/>
            <w:noWrap/>
            <w:vAlign w:val="bottom"/>
            <w:hideMark/>
          </w:tcPr>
          <w:p w14:paraId="026489A4"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color w:val="000000"/>
                <w:sz w:val="20"/>
                <w:szCs w:val="20"/>
              </w:rPr>
              <w:t xml:space="preserve">Correlation with lead SNP </w:t>
            </w:r>
            <w:r w:rsidRPr="008A7960">
              <w:rPr>
                <w:rFonts w:ascii="Times Roman" w:hAnsi="Times Roman" w:cs="Calibri"/>
                <w:i/>
                <w:iCs/>
                <w:color w:val="000000"/>
                <w:sz w:val="20"/>
                <w:szCs w:val="20"/>
              </w:rPr>
              <w:t>(R</w:t>
            </w:r>
            <w:r w:rsidRPr="008A7960">
              <w:rPr>
                <w:rFonts w:ascii="Times Roman" w:hAnsi="Times Roman" w:cs="Calibri"/>
                <w:i/>
                <w:iCs/>
                <w:color w:val="000000"/>
                <w:sz w:val="20"/>
                <w:szCs w:val="20"/>
                <w:vertAlign w:val="superscript"/>
              </w:rPr>
              <w:t>2</w:t>
            </w:r>
            <w:r w:rsidRPr="008A7960">
              <w:rPr>
                <w:rFonts w:ascii="Times Roman" w:hAnsi="Times Roman" w:cs="Calibri"/>
                <w:i/>
                <w:iCs/>
                <w:color w:val="000000"/>
                <w:sz w:val="20"/>
                <w:szCs w:val="20"/>
              </w:rPr>
              <w:t>)</w:t>
            </w:r>
          </w:p>
        </w:tc>
        <w:tc>
          <w:tcPr>
            <w:tcW w:w="1620" w:type="dxa"/>
            <w:noWrap/>
            <w:vAlign w:val="bottom"/>
            <w:hideMark/>
          </w:tcPr>
          <w:p w14:paraId="66011591"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Gene name</w:t>
            </w:r>
          </w:p>
        </w:tc>
        <w:tc>
          <w:tcPr>
            <w:tcW w:w="990" w:type="dxa"/>
            <w:vAlign w:val="bottom"/>
          </w:tcPr>
          <w:p w14:paraId="52A55656"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Type</w:t>
            </w:r>
          </w:p>
        </w:tc>
        <w:tc>
          <w:tcPr>
            <w:tcW w:w="1400" w:type="dxa"/>
            <w:noWrap/>
            <w:vAlign w:val="bottom"/>
            <w:hideMark/>
          </w:tcPr>
          <w:p w14:paraId="2BEDF8FC"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SIFT prediction*</w:t>
            </w:r>
          </w:p>
        </w:tc>
        <w:tc>
          <w:tcPr>
            <w:tcW w:w="1110" w:type="dxa"/>
            <w:noWrap/>
            <w:vAlign w:val="bottom"/>
            <w:hideMark/>
          </w:tcPr>
          <w:p w14:paraId="6375A9EC"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SIFT score (range)*</w:t>
            </w:r>
          </w:p>
        </w:tc>
        <w:tc>
          <w:tcPr>
            <w:tcW w:w="1660" w:type="dxa"/>
            <w:noWrap/>
            <w:vAlign w:val="bottom"/>
            <w:hideMark/>
          </w:tcPr>
          <w:p w14:paraId="34049C6D"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PolyPhen-2 prediction**</w:t>
            </w:r>
          </w:p>
        </w:tc>
        <w:tc>
          <w:tcPr>
            <w:tcW w:w="1320" w:type="dxa"/>
            <w:noWrap/>
            <w:vAlign w:val="bottom"/>
            <w:hideMark/>
          </w:tcPr>
          <w:p w14:paraId="2FF1C556"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PolyPhen-2 score (range)**</w:t>
            </w:r>
          </w:p>
        </w:tc>
      </w:tr>
      <w:tr w:rsidR="0091160B" w:rsidRPr="008A7960" w14:paraId="3BD75A2E" w14:textId="77777777" w:rsidTr="00BA219D">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5F278210" w14:textId="77777777" w:rsidR="0091160B" w:rsidRPr="008A7960" w:rsidRDefault="0091160B" w:rsidP="00BA219D">
            <w:pPr>
              <w:spacing w:line="240" w:lineRule="auto"/>
              <w:jc w:val="center"/>
              <w:rPr>
                <w:rFonts w:ascii="Times Roman" w:hAnsi="Times Roman" w:cs="Calibri"/>
                <w:b w:val="0"/>
                <w:bCs w:val="0"/>
                <w:color w:val="000000"/>
                <w:sz w:val="20"/>
                <w:szCs w:val="20"/>
              </w:rPr>
            </w:pPr>
            <w:r w:rsidRPr="008A7960">
              <w:rPr>
                <w:rFonts w:ascii="Times Roman" w:hAnsi="Times Roman" w:cs="Calibri"/>
                <w:color w:val="000000"/>
                <w:sz w:val="20"/>
                <w:szCs w:val="20"/>
              </w:rPr>
              <w:t>rs139107036</w:t>
            </w:r>
          </w:p>
        </w:tc>
        <w:tc>
          <w:tcPr>
            <w:tcW w:w="630" w:type="dxa"/>
            <w:noWrap/>
            <w:vAlign w:val="center"/>
            <w:hideMark/>
          </w:tcPr>
          <w:p w14:paraId="09B598F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3</w:t>
            </w:r>
          </w:p>
        </w:tc>
        <w:tc>
          <w:tcPr>
            <w:tcW w:w="1529" w:type="dxa"/>
            <w:noWrap/>
            <w:vAlign w:val="center"/>
            <w:hideMark/>
          </w:tcPr>
          <w:p w14:paraId="16BA5749"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45,942,584 - 45,942,584</w:t>
            </w:r>
          </w:p>
        </w:tc>
        <w:tc>
          <w:tcPr>
            <w:tcW w:w="1351" w:type="dxa"/>
            <w:noWrap/>
            <w:vAlign w:val="center"/>
            <w:hideMark/>
          </w:tcPr>
          <w:p w14:paraId="05B3424C"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rs139107036</w:t>
            </w:r>
          </w:p>
        </w:tc>
        <w:tc>
          <w:tcPr>
            <w:tcW w:w="1260" w:type="dxa"/>
            <w:noWrap/>
            <w:vAlign w:val="center"/>
            <w:hideMark/>
          </w:tcPr>
          <w:p w14:paraId="4903089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1.00</w:t>
            </w:r>
          </w:p>
        </w:tc>
        <w:tc>
          <w:tcPr>
            <w:tcW w:w="1620" w:type="dxa"/>
            <w:noWrap/>
            <w:vAlign w:val="center"/>
            <w:hideMark/>
          </w:tcPr>
          <w:p w14:paraId="146E7948"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CCR9</w:t>
            </w:r>
          </w:p>
        </w:tc>
        <w:tc>
          <w:tcPr>
            <w:tcW w:w="990" w:type="dxa"/>
            <w:vAlign w:val="center"/>
          </w:tcPr>
          <w:p w14:paraId="6D2F7780"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missense</w:t>
            </w:r>
          </w:p>
        </w:tc>
        <w:tc>
          <w:tcPr>
            <w:tcW w:w="1400" w:type="dxa"/>
            <w:noWrap/>
            <w:vAlign w:val="center"/>
            <w:hideMark/>
          </w:tcPr>
          <w:p w14:paraId="51085A1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deleterious</w:t>
            </w:r>
          </w:p>
        </w:tc>
        <w:tc>
          <w:tcPr>
            <w:tcW w:w="1110" w:type="dxa"/>
            <w:noWrap/>
            <w:vAlign w:val="center"/>
            <w:hideMark/>
          </w:tcPr>
          <w:p w14:paraId="48760B09"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0.00</w:t>
            </w:r>
          </w:p>
        </w:tc>
        <w:tc>
          <w:tcPr>
            <w:tcW w:w="1660" w:type="dxa"/>
            <w:noWrap/>
            <w:vAlign w:val="center"/>
            <w:hideMark/>
          </w:tcPr>
          <w:p w14:paraId="739245D0"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probably damaging</w:t>
            </w:r>
          </w:p>
        </w:tc>
        <w:tc>
          <w:tcPr>
            <w:tcW w:w="1320" w:type="dxa"/>
            <w:noWrap/>
            <w:vAlign w:val="center"/>
            <w:hideMark/>
          </w:tcPr>
          <w:p w14:paraId="4D8D2BD5"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1.00</w:t>
            </w:r>
          </w:p>
        </w:tc>
      </w:tr>
      <w:tr w:rsidR="0091160B" w:rsidRPr="008A7960" w14:paraId="7D67E589" w14:textId="77777777" w:rsidTr="00BA219D">
        <w:trPr>
          <w:trHeight w:val="432"/>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4FAB5B58" w14:textId="77777777" w:rsidR="0091160B" w:rsidRPr="008A7960" w:rsidRDefault="0091160B" w:rsidP="00BA219D">
            <w:pPr>
              <w:spacing w:line="240" w:lineRule="auto"/>
              <w:jc w:val="center"/>
              <w:rPr>
                <w:rFonts w:ascii="Times Roman" w:hAnsi="Times Roman" w:cs="Calibri"/>
                <w:b w:val="0"/>
                <w:bCs w:val="0"/>
                <w:color w:val="000000"/>
                <w:sz w:val="20"/>
                <w:szCs w:val="20"/>
              </w:rPr>
            </w:pPr>
            <w:r w:rsidRPr="008A7960">
              <w:rPr>
                <w:rFonts w:ascii="Times Roman" w:hAnsi="Times Roman" w:cs="Calibri"/>
                <w:color w:val="000000"/>
                <w:sz w:val="20"/>
                <w:szCs w:val="20"/>
              </w:rPr>
              <w:t>rs151025335</w:t>
            </w:r>
          </w:p>
        </w:tc>
        <w:tc>
          <w:tcPr>
            <w:tcW w:w="630" w:type="dxa"/>
            <w:noWrap/>
            <w:vAlign w:val="center"/>
            <w:hideMark/>
          </w:tcPr>
          <w:p w14:paraId="7BDC277E"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6</w:t>
            </w:r>
          </w:p>
        </w:tc>
        <w:tc>
          <w:tcPr>
            <w:tcW w:w="1529" w:type="dxa"/>
            <w:noWrap/>
            <w:vAlign w:val="center"/>
            <w:hideMark/>
          </w:tcPr>
          <w:p w14:paraId="47E3F586"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32,454,348 - 32,607,906</w:t>
            </w:r>
          </w:p>
        </w:tc>
        <w:tc>
          <w:tcPr>
            <w:tcW w:w="1351" w:type="dxa"/>
            <w:noWrap/>
            <w:vAlign w:val="center"/>
            <w:hideMark/>
          </w:tcPr>
          <w:p w14:paraId="0F4EED20"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rs1130382</w:t>
            </w:r>
          </w:p>
        </w:tc>
        <w:tc>
          <w:tcPr>
            <w:tcW w:w="1260" w:type="dxa"/>
            <w:noWrap/>
            <w:vAlign w:val="center"/>
            <w:hideMark/>
          </w:tcPr>
          <w:p w14:paraId="61EB9720"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0.68</w:t>
            </w:r>
          </w:p>
        </w:tc>
        <w:tc>
          <w:tcPr>
            <w:tcW w:w="1620" w:type="dxa"/>
            <w:noWrap/>
            <w:vAlign w:val="center"/>
            <w:hideMark/>
          </w:tcPr>
          <w:p w14:paraId="261190CD"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HLA-DQB1</w:t>
            </w:r>
          </w:p>
        </w:tc>
        <w:tc>
          <w:tcPr>
            <w:tcW w:w="990" w:type="dxa"/>
            <w:vAlign w:val="center"/>
          </w:tcPr>
          <w:p w14:paraId="0AECCAB6"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missense</w:t>
            </w:r>
          </w:p>
        </w:tc>
        <w:tc>
          <w:tcPr>
            <w:tcW w:w="1400" w:type="dxa"/>
            <w:noWrap/>
            <w:vAlign w:val="center"/>
            <w:hideMark/>
          </w:tcPr>
          <w:p w14:paraId="39297179"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deleterious</w:t>
            </w:r>
          </w:p>
        </w:tc>
        <w:tc>
          <w:tcPr>
            <w:tcW w:w="1110" w:type="dxa"/>
            <w:noWrap/>
            <w:vAlign w:val="center"/>
            <w:hideMark/>
          </w:tcPr>
          <w:p w14:paraId="05F30222"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0.00</w:t>
            </w:r>
          </w:p>
        </w:tc>
        <w:tc>
          <w:tcPr>
            <w:tcW w:w="1660" w:type="dxa"/>
            <w:noWrap/>
            <w:vAlign w:val="center"/>
            <w:hideMark/>
          </w:tcPr>
          <w:p w14:paraId="56A5774A"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probably damaging</w:t>
            </w:r>
          </w:p>
        </w:tc>
        <w:tc>
          <w:tcPr>
            <w:tcW w:w="1320" w:type="dxa"/>
            <w:noWrap/>
            <w:vAlign w:val="center"/>
            <w:hideMark/>
          </w:tcPr>
          <w:p w14:paraId="24DE40C7"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1.00</w:t>
            </w:r>
          </w:p>
        </w:tc>
      </w:tr>
      <w:tr w:rsidR="0091160B" w:rsidRPr="008A7960" w14:paraId="2EFA9F56" w14:textId="77777777" w:rsidTr="00BA219D">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15DDB168" w14:textId="77777777" w:rsidR="0091160B" w:rsidRPr="008A7960" w:rsidRDefault="0091160B" w:rsidP="00BA219D">
            <w:pPr>
              <w:spacing w:line="240" w:lineRule="auto"/>
              <w:jc w:val="center"/>
              <w:rPr>
                <w:rFonts w:ascii="Times Roman" w:hAnsi="Times Roman" w:cs="Calibri"/>
                <w:b w:val="0"/>
                <w:bCs w:val="0"/>
                <w:color w:val="000000"/>
                <w:sz w:val="20"/>
                <w:szCs w:val="20"/>
              </w:rPr>
            </w:pPr>
            <w:r w:rsidRPr="008A7960">
              <w:rPr>
                <w:rFonts w:ascii="Times Roman" w:hAnsi="Times Roman" w:cs="Calibri"/>
                <w:color w:val="000000"/>
                <w:sz w:val="20"/>
                <w:szCs w:val="20"/>
              </w:rPr>
              <w:t>rs6902016</w:t>
            </w:r>
          </w:p>
        </w:tc>
        <w:tc>
          <w:tcPr>
            <w:tcW w:w="630" w:type="dxa"/>
            <w:noWrap/>
            <w:vAlign w:val="center"/>
            <w:hideMark/>
          </w:tcPr>
          <w:p w14:paraId="74EBA756"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6</w:t>
            </w:r>
          </w:p>
        </w:tc>
        <w:tc>
          <w:tcPr>
            <w:tcW w:w="1529" w:type="dxa"/>
            <w:noWrap/>
            <w:vAlign w:val="center"/>
            <w:hideMark/>
          </w:tcPr>
          <w:p w14:paraId="0F7F962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158,471,260 - 158,599,382</w:t>
            </w:r>
          </w:p>
        </w:tc>
        <w:tc>
          <w:tcPr>
            <w:tcW w:w="1351" w:type="dxa"/>
            <w:noWrap/>
            <w:vAlign w:val="center"/>
            <w:hideMark/>
          </w:tcPr>
          <w:p w14:paraId="2CB08FEB"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rs146694394</w:t>
            </w:r>
          </w:p>
        </w:tc>
        <w:tc>
          <w:tcPr>
            <w:tcW w:w="1260" w:type="dxa"/>
            <w:noWrap/>
            <w:vAlign w:val="center"/>
            <w:hideMark/>
          </w:tcPr>
          <w:p w14:paraId="0C8DE8DD"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0.62</w:t>
            </w:r>
          </w:p>
        </w:tc>
        <w:tc>
          <w:tcPr>
            <w:tcW w:w="1620" w:type="dxa"/>
            <w:noWrap/>
            <w:vAlign w:val="center"/>
            <w:hideMark/>
          </w:tcPr>
          <w:p w14:paraId="3B2B2C7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SYNJ2</w:t>
            </w:r>
          </w:p>
        </w:tc>
        <w:tc>
          <w:tcPr>
            <w:tcW w:w="990" w:type="dxa"/>
            <w:vAlign w:val="center"/>
          </w:tcPr>
          <w:p w14:paraId="0256BF2F"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missense</w:t>
            </w:r>
          </w:p>
        </w:tc>
        <w:tc>
          <w:tcPr>
            <w:tcW w:w="1400" w:type="dxa"/>
            <w:noWrap/>
            <w:vAlign w:val="center"/>
            <w:hideMark/>
          </w:tcPr>
          <w:p w14:paraId="54F126A5"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deleterious</w:t>
            </w:r>
          </w:p>
        </w:tc>
        <w:tc>
          <w:tcPr>
            <w:tcW w:w="1110" w:type="dxa"/>
            <w:noWrap/>
            <w:vAlign w:val="center"/>
            <w:hideMark/>
          </w:tcPr>
          <w:p w14:paraId="4264671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0.00</w:t>
            </w:r>
          </w:p>
        </w:tc>
        <w:tc>
          <w:tcPr>
            <w:tcW w:w="1660" w:type="dxa"/>
            <w:noWrap/>
            <w:vAlign w:val="center"/>
            <w:hideMark/>
          </w:tcPr>
          <w:p w14:paraId="20D43527"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probably damaging</w:t>
            </w:r>
          </w:p>
        </w:tc>
        <w:tc>
          <w:tcPr>
            <w:tcW w:w="1320" w:type="dxa"/>
            <w:noWrap/>
            <w:vAlign w:val="center"/>
            <w:hideMark/>
          </w:tcPr>
          <w:p w14:paraId="0807D171"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1.00</w:t>
            </w:r>
          </w:p>
        </w:tc>
      </w:tr>
      <w:tr w:rsidR="0091160B" w:rsidRPr="008A7960" w14:paraId="12165929" w14:textId="77777777" w:rsidTr="00BA219D">
        <w:trPr>
          <w:trHeight w:val="432"/>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5FBF846D" w14:textId="77777777" w:rsidR="0091160B" w:rsidRPr="008A7960" w:rsidRDefault="0091160B" w:rsidP="00BA219D">
            <w:pPr>
              <w:spacing w:line="240" w:lineRule="auto"/>
              <w:jc w:val="center"/>
              <w:rPr>
                <w:rFonts w:ascii="Times Roman" w:hAnsi="Times Roman" w:cs="Calibri"/>
                <w:b w:val="0"/>
                <w:bCs w:val="0"/>
                <w:color w:val="000000"/>
                <w:sz w:val="20"/>
                <w:szCs w:val="20"/>
              </w:rPr>
            </w:pPr>
            <w:r w:rsidRPr="008A7960">
              <w:rPr>
                <w:rFonts w:ascii="Times Roman" w:hAnsi="Times Roman" w:cs="Calibri"/>
                <w:color w:val="000000"/>
                <w:sz w:val="20"/>
                <w:szCs w:val="20"/>
              </w:rPr>
              <w:t>rs1806319</w:t>
            </w:r>
          </w:p>
        </w:tc>
        <w:tc>
          <w:tcPr>
            <w:tcW w:w="630" w:type="dxa"/>
            <w:noWrap/>
            <w:vAlign w:val="center"/>
            <w:hideMark/>
          </w:tcPr>
          <w:p w14:paraId="51482FCD"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11</w:t>
            </w:r>
          </w:p>
        </w:tc>
        <w:tc>
          <w:tcPr>
            <w:tcW w:w="1529" w:type="dxa"/>
            <w:noWrap/>
            <w:vAlign w:val="center"/>
            <w:hideMark/>
          </w:tcPr>
          <w:p w14:paraId="595E9C05"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88,543,715 - 89,162,175</w:t>
            </w:r>
          </w:p>
        </w:tc>
        <w:tc>
          <w:tcPr>
            <w:tcW w:w="1351" w:type="dxa"/>
            <w:noWrap/>
            <w:vAlign w:val="center"/>
            <w:hideMark/>
          </w:tcPr>
          <w:p w14:paraId="1D944FC6"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rs1126809</w:t>
            </w:r>
          </w:p>
        </w:tc>
        <w:tc>
          <w:tcPr>
            <w:tcW w:w="1260" w:type="dxa"/>
            <w:noWrap/>
            <w:vAlign w:val="center"/>
            <w:hideMark/>
          </w:tcPr>
          <w:p w14:paraId="5DC51E3E"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0.72</w:t>
            </w:r>
          </w:p>
        </w:tc>
        <w:tc>
          <w:tcPr>
            <w:tcW w:w="1620" w:type="dxa"/>
            <w:noWrap/>
            <w:vAlign w:val="center"/>
            <w:hideMark/>
          </w:tcPr>
          <w:p w14:paraId="6E261D04"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TYR</w:t>
            </w:r>
          </w:p>
        </w:tc>
        <w:tc>
          <w:tcPr>
            <w:tcW w:w="990" w:type="dxa"/>
            <w:vAlign w:val="center"/>
          </w:tcPr>
          <w:p w14:paraId="47342341"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missense</w:t>
            </w:r>
          </w:p>
        </w:tc>
        <w:tc>
          <w:tcPr>
            <w:tcW w:w="1400" w:type="dxa"/>
            <w:noWrap/>
            <w:vAlign w:val="center"/>
            <w:hideMark/>
          </w:tcPr>
          <w:p w14:paraId="363957BF"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deleterious</w:t>
            </w:r>
          </w:p>
        </w:tc>
        <w:tc>
          <w:tcPr>
            <w:tcW w:w="1110" w:type="dxa"/>
            <w:noWrap/>
            <w:vAlign w:val="center"/>
            <w:hideMark/>
          </w:tcPr>
          <w:p w14:paraId="50E7F9C6"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0.03</w:t>
            </w:r>
          </w:p>
        </w:tc>
        <w:tc>
          <w:tcPr>
            <w:tcW w:w="1660" w:type="dxa"/>
            <w:noWrap/>
            <w:vAlign w:val="center"/>
            <w:hideMark/>
          </w:tcPr>
          <w:p w14:paraId="6E661464"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probably damaging</w:t>
            </w:r>
          </w:p>
        </w:tc>
        <w:tc>
          <w:tcPr>
            <w:tcW w:w="1320" w:type="dxa"/>
            <w:noWrap/>
            <w:vAlign w:val="center"/>
            <w:hideMark/>
          </w:tcPr>
          <w:p w14:paraId="5D293D02"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0.99</w:t>
            </w:r>
          </w:p>
        </w:tc>
      </w:tr>
      <w:tr w:rsidR="0091160B" w:rsidRPr="008A7960" w14:paraId="5DE38293" w14:textId="77777777" w:rsidTr="00BA219D">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7E672ECA" w14:textId="77777777" w:rsidR="0091160B" w:rsidRPr="008A7960" w:rsidRDefault="0091160B" w:rsidP="00BA219D">
            <w:pPr>
              <w:spacing w:line="240" w:lineRule="auto"/>
              <w:jc w:val="center"/>
              <w:rPr>
                <w:rFonts w:ascii="Times Roman" w:hAnsi="Times Roman" w:cs="Calibri"/>
                <w:b w:val="0"/>
                <w:bCs w:val="0"/>
                <w:color w:val="000000"/>
                <w:sz w:val="20"/>
                <w:szCs w:val="20"/>
              </w:rPr>
            </w:pPr>
            <w:r w:rsidRPr="008A7960">
              <w:rPr>
                <w:rFonts w:ascii="Times Roman" w:hAnsi="Times Roman" w:cs="Calibri"/>
                <w:color w:val="000000"/>
                <w:sz w:val="20"/>
                <w:szCs w:val="20"/>
              </w:rPr>
              <w:t>rs143796236</w:t>
            </w:r>
          </w:p>
        </w:tc>
        <w:tc>
          <w:tcPr>
            <w:tcW w:w="630" w:type="dxa"/>
            <w:noWrap/>
            <w:vAlign w:val="center"/>
            <w:hideMark/>
          </w:tcPr>
          <w:p w14:paraId="577B04B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17</w:t>
            </w:r>
          </w:p>
        </w:tc>
        <w:tc>
          <w:tcPr>
            <w:tcW w:w="1529" w:type="dxa"/>
            <w:noWrap/>
            <w:vAlign w:val="center"/>
            <w:hideMark/>
          </w:tcPr>
          <w:p w14:paraId="25712B77"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79,495,969 - 79,524,724</w:t>
            </w:r>
          </w:p>
        </w:tc>
        <w:tc>
          <w:tcPr>
            <w:tcW w:w="1351" w:type="dxa"/>
            <w:noWrap/>
            <w:vAlign w:val="center"/>
            <w:hideMark/>
          </w:tcPr>
          <w:p w14:paraId="019D2A2F"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rs143796236</w:t>
            </w:r>
          </w:p>
        </w:tc>
        <w:tc>
          <w:tcPr>
            <w:tcW w:w="1260" w:type="dxa"/>
            <w:noWrap/>
            <w:vAlign w:val="center"/>
            <w:hideMark/>
          </w:tcPr>
          <w:p w14:paraId="0567F829"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1.00</w:t>
            </w:r>
          </w:p>
        </w:tc>
        <w:tc>
          <w:tcPr>
            <w:tcW w:w="1620" w:type="dxa"/>
            <w:noWrap/>
            <w:vAlign w:val="center"/>
            <w:hideMark/>
          </w:tcPr>
          <w:p w14:paraId="00A80162"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FSCN2</w:t>
            </w:r>
          </w:p>
        </w:tc>
        <w:tc>
          <w:tcPr>
            <w:tcW w:w="990" w:type="dxa"/>
            <w:vAlign w:val="center"/>
          </w:tcPr>
          <w:p w14:paraId="4849CC53"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missense</w:t>
            </w:r>
          </w:p>
        </w:tc>
        <w:tc>
          <w:tcPr>
            <w:tcW w:w="1400" w:type="dxa"/>
            <w:noWrap/>
            <w:vAlign w:val="center"/>
            <w:hideMark/>
          </w:tcPr>
          <w:p w14:paraId="52305DCD"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deleterious</w:t>
            </w:r>
          </w:p>
        </w:tc>
        <w:tc>
          <w:tcPr>
            <w:tcW w:w="1110" w:type="dxa"/>
            <w:noWrap/>
            <w:vAlign w:val="center"/>
            <w:hideMark/>
          </w:tcPr>
          <w:p w14:paraId="248B668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0.00</w:t>
            </w:r>
          </w:p>
        </w:tc>
        <w:tc>
          <w:tcPr>
            <w:tcW w:w="1660" w:type="dxa"/>
            <w:noWrap/>
            <w:vAlign w:val="center"/>
            <w:hideMark/>
          </w:tcPr>
          <w:p w14:paraId="12EA0A57"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probably damaging</w:t>
            </w:r>
          </w:p>
        </w:tc>
        <w:tc>
          <w:tcPr>
            <w:tcW w:w="1320" w:type="dxa"/>
            <w:noWrap/>
            <w:vAlign w:val="center"/>
            <w:hideMark/>
          </w:tcPr>
          <w:p w14:paraId="379B5A49"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0.97 - 0.99</w:t>
            </w:r>
          </w:p>
        </w:tc>
      </w:tr>
      <w:tr w:rsidR="0091160B" w:rsidRPr="008A7960" w14:paraId="4F5D2911" w14:textId="77777777" w:rsidTr="00BA219D">
        <w:trPr>
          <w:trHeight w:val="432"/>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7C153C5B" w14:textId="77777777" w:rsidR="0091160B" w:rsidRPr="008A7960" w:rsidRDefault="0091160B" w:rsidP="00BA219D">
            <w:pPr>
              <w:spacing w:line="240" w:lineRule="auto"/>
              <w:jc w:val="center"/>
              <w:rPr>
                <w:rFonts w:ascii="Times Roman" w:hAnsi="Times Roman" w:cs="Calibri"/>
                <w:b w:val="0"/>
                <w:bCs w:val="0"/>
                <w:color w:val="000000"/>
                <w:sz w:val="20"/>
                <w:szCs w:val="20"/>
              </w:rPr>
            </w:pPr>
            <w:r w:rsidRPr="008A7960">
              <w:rPr>
                <w:rFonts w:ascii="Times Roman" w:hAnsi="Times Roman" w:cs="Calibri"/>
                <w:color w:val="000000"/>
                <w:sz w:val="20"/>
                <w:szCs w:val="20"/>
              </w:rPr>
              <w:t>rs151025335</w:t>
            </w:r>
          </w:p>
        </w:tc>
        <w:tc>
          <w:tcPr>
            <w:tcW w:w="630" w:type="dxa"/>
            <w:noWrap/>
            <w:vAlign w:val="center"/>
            <w:hideMark/>
          </w:tcPr>
          <w:p w14:paraId="55B97208"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6</w:t>
            </w:r>
          </w:p>
        </w:tc>
        <w:tc>
          <w:tcPr>
            <w:tcW w:w="1529" w:type="dxa"/>
            <w:noWrap/>
            <w:vAlign w:val="center"/>
            <w:hideMark/>
          </w:tcPr>
          <w:p w14:paraId="46588A3A"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sz w:val="20"/>
                <w:szCs w:val="20"/>
              </w:rPr>
            </w:pPr>
            <w:r w:rsidRPr="008A7960">
              <w:rPr>
                <w:rFonts w:ascii="Times Roman" w:hAnsi="Times Roman" w:cs="Calibri"/>
                <w:color w:val="000000"/>
                <w:sz w:val="20"/>
                <w:szCs w:val="20"/>
              </w:rPr>
              <w:t>32,454,348 - 32,607,906</w:t>
            </w:r>
          </w:p>
        </w:tc>
        <w:tc>
          <w:tcPr>
            <w:tcW w:w="1351" w:type="dxa"/>
            <w:noWrap/>
            <w:vAlign w:val="center"/>
            <w:hideMark/>
          </w:tcPr>
          <w:p w14:paraId="4DBBAD6F"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rs1130381</w:t>
            </w:r>
          </w:p>
        </w:tc>
        <w:tc>
          <w:tcPr>
            <w:tcW w:w="1260" w:type="dxa"/>
            <w:noWrap/>
            <w:vAlign w:val="center"/>
            <w:hideMark/>
          </w:tcPr>
          <w:p w14:paraId="33F9576A"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0.68</w:t>
            </w:r>
          </w:p>
        </w:tc>
        <w:tc>
          <w:tcPr>
            <w:tcW w:w="1620" w:type="dxa"/>
            <w:noWrap/>
            <w:vAlign w:val="center"/>
            <w:hideMark/>
          </w:tcPr>
          <w:p w14:paraId="7F9B3A0C"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HLA-DQB1</w:t>
            </w:r>
          </w:p>
        </w:tc>
        <w:tc>
          <w:tcPr>
            <w:tcW w:w="990" w:type="dxa"/>
            <w:vAlign w:val="center"/>
          </w:tcPr>
          <w:p w14:paraId="010ED593"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missense</w:t>
            </w:r>
          </w:p>
        </w:tc>
        <w:tc>
          <w:tcPr>
            <w:tcW w:w="1400" w:type="dxa"/>
            <w:noWrap/>
            <w:vAlign w:val="center"/>
            <w:hideMark/>
          </w:tcPr>
          <w:p w14:paraId="31241B94"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deleterious - tolerated</w:t>
            </w:r>
          </w:p>
        </w:tc>
        <w:tc>
          <w:tcPr>
            <w:tcW w:w="1110" w:type="dxa"/>
            <w:noWrap/>
            <w:vAlign w:val="center"/>
            <w:hideMark/>
          </w:tcPr>
          <w:p w14:paraId="5142D8EE"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0.02 - 0-07</w:t>
            </w:r>
          </w:p>
        </w:tc>
        <w:tc>
          <w:tcPr>
            <w:tcW w:w="1660" w:type="dxa"/>
            <w:noWrap/>
            <w:vAlign w:val="center"/>
            <w:hideMark/>
          </w:tcPr>
          <w:p w14:paraId="0C88F17A"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benign</w:t>
            </w:r>
          </w:p>
        </w:tc>
        <w:tc>
          <w:tcPr>
            <w:tcW w:w="1320" w:type="dxa"/>
            <w:noWrap/>
            <w:vAlign w:val="center"/>
            <w:hideMark/>
          </w:tcPr>
          <w:p w14:paraId="7CA48A5E"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0.02- 0.15</w:t>
            </w:r>
          </w:p>
        </w:tc>
      </w:tr>
      <w:tr w:rsidR="0091160B" w:rsidRPr="008A7960" w14:paraId="360A83C8" w14:textId="77777777" w:rsidTr="00BA219D">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43FD40D3" w14:textId="77777777" w:rsidR="0091160B" w:rsidRPr="008A7960" w:rsidRDefault="0091160B" w:rsidP="00BA219D">
            <w:pPr>
              <w:spacing w:line="240" w:lineRule="auto"/>
              <w:jc w:val="center"/>
              <w:rPr>
                <w:rFonts w:ascii="Times Roman" w:hAnsi="Times Roman" w:cs="Calibri"/>
                <w:b w:val="0"/>
                <w:bCs w:val="0"/>
                <w:color w:val="000000"/>
                <w:sz w:val="20"/>
                <w:szCs w:val="20"/>
              </w:rPr>
            </w:pPr>
            <w:r w:rsidRPr="008A7960">
              <w:rPr>
                <w:rFonts w:ascii="Times Roman" w:hAnsi="Times Roman" w:cs="Calibri"/>
                <w:color w:val="000000"/>
                <w:sz w:val="20"/>
                <w:szCs w:val="20"/>
              </w:rPr>
              <w:t>rs9493627</w:t>
            </w:r>
          </w:p>
        </w:tc>
        <w:tc>
          <w:tcPr>
            <w:tcW w:w="630" w:type="dxa"/>
            <w:noWrap/>
            <w:vAlign w:val="center"/>
            <w:hideMark/>
          </w:tcPr>
          <w:p w14:paraId="65ACBBB6"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6</w:t>
            </w:r>
          </w:p>
        </w:tc>
        <w:tc>
          <w:tcPr>
            <w:tcW w:w="1529" w:type="dxa"/>
            <w:noWrap/>
            <w:vAlign w:val="center"/>
            <w:hideMark/>
          </w:tcPr>
          <w:p w14:paraId="2EAA25E3"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133,789,728 - 133,836,188</w:t>
            </w:r>
          </w:p>
        </w:tc>
        <w:tc>
          <w:tcPr>
            <w:tcW w:w="1351" w:type="dxa"/>
            <w:noWrap/>
            <w:vAlign w:val="center"/>
            <w:hideMark/>
          </w:tcPr>
          <w:p w14:paraId="507C371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rs9493627</w:t>
            </w:r>
          </w:p>
        </w:tc>
        <w:tc>
          <w:tcPr>
            <w:tcW w:w="1260" w:type="dxa"/>
            <w:noWrap/>
            <w:vAlign w:val="center"/>
            <w:hideMark/>
          </w:tcPr>
          <w:p w14:paraId="485ABEC8"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1.00</w:t>
            </w:r>
          </w:p>
        </w:tc>
        <w:tc>
          <w:tcPr>
            <w:tcW w:w="1620" w:type="dxa"/>
            <w:noWrap/>
            <w:vAlign w:val="center"/>
            <w:hideMark/>
          </w:tcPr>
          <w:p w14:paraId="5C55CC6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EYA4</w:t>
            </w:r>
          </w:p>
        </w:tc>
        <w:tc>
          <w:tcPr>
            <w:tcW w:w="990" w:type="dxa"/>
            <w:vAlign w:val="center"/>
          </w:tcPr>
          <w:p w14:paraId="629086A1"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missense</w:t>
            </w:r>
          </w:p>
        </w:tc>
        <w:tc>
          <w:tcPr>
            <w:tcW w:w="1400" w:type="dxa"/>
            <w:noWrap/>
            <w:vAlign w:val="center"/>
            <w:hideMark/>
          </w:tcPr>
          <w:p w14:paraId="5D89B331"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deleterious - tolerated</w:t>
            </w:r>
          </w:p>
        </w:tc>
        <w:tc>
          <w:tcPr>
            <w:tcW w:w="1110" w:type="dxa"/>
            <w:noWrap/>
            <w:vAlign w:val="center"/>
            <w:hideMark/>
          </w:tcPr>
          <w:p w14:paraId="06AC3D70"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0.00 - 0.22</w:t>
            </w:r>
          </w:p>
        </w:tc>
        <w:tc>
          <w:tcPr>
            <w:tcW w:w="1660" w:type="dxa"/>
            <w:noWrap/>
            <w:vAlign w:val="center"/>
            <w:hideMark/>
          </w:tcPr>
          <w:p w14:paraId="18BDB4F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benign - probably damaging</w:t>
            </w:r>
          </w:p>
        </w:tc>
        <w:tc>
          <w:tcPr>
            <w:tcW w:w="1320" w:type="dxa"/>
            <w:noWrap/>
            <w:vAlign w:val="center"/>
            <w:hideMark/>
          </w:tcPr>
          <w:p w14:paraId="40D492A4"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0.30 - 0.99</w:t>
            </w:r>
          </w:p>
        </w:tc>
      </w:tr>
      <w:tr w:rsidR="0091160B" w:rsidRPr="008A7960" w14:paraId="3DEE9642" w14:textId="77777777" w:rsidTr="00BA219D">
        <w:trPr>
          <w:trHeight w:val="432"/>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4C6E6034" w14:textId="77777777" w:rsidR="0091160B" w:rsidRPr="008A7960" w:rsidRDefault="0091160B" w:rsidP="00BA219D">
            <w:pPr>
              <w:spacing w:line="240" w:lineRule="auto"/>
              <w:jc w:val="center"/>
              <w:rPr>
                <w:rFonts w:ascii="Times Roman" w:hAnsi="Times Roman" w:cs="Calibri"/>
                <w:b w:val="0"/>
                <w:bCs w:val="0"/>
                <w:color w:val="000000"/>
                <w:sz w:val="20"/>
                <w:szCs w:val="20"/>
              </w:rPr>
            </w:pPr>
            <w:r w:rsidRPr="008A7960">
              <w:rPr>
                <w:rFonts w:ascii="Times Roman" w:hAnsi="Times Roman" w:cs="Calibri"/>
                <w:color w:val="000000"/>
                <w:sz w:val="20"/>
                <w:szCs w:val="20"/>
              </w:rPr>
              <w:t>rs17856487</w:t>
            </w:r>
          </w:p>
        </w:tc>
        <w:tc>
          <w:tcPr>
            <w:tcW w:w="630" w:type="dxa"/>
            <w:noWrap/>
            <w:vAlign w:val="center"/>
            <w:hideMark/>
          </w:tcPr>
          <w:p w14:paraId="416D8ED8"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22</w:t>
            </w:r>
          </w:p>
        </w:tc>
        <w:tc>
          <w:tcPr>
            <w:tcW w:w="1529" w:type="dxa"/>
            <w:noWrap/>
            <w:vAlign w:val="center"/>
            <w:hideMark/>
          </w:tcPr>
          <w:p w14:paraId="230DDA26"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38,485,540 - 38,487,526</w:t>
            </w:r>
          </w:p>
        </w:tc>
        <w:tc>
          <w:tcPr>
            <w:tcW w:w="1351" w:type="dxa"/>
            <w:noWrap/>
            <w:vAlign w:val="center"/>
            <w:hideMark/>
          </w:tcPr>
          <w:p w14:paraId="6576A9F0"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rs4289289</w:t>
            </w:r>
          </w:p>
        </w:tc>
        <w:tc>
          <w:tcPr>
            <w:tcW w:w="1260" w:type="dxa"/>
            <w:noWrap/>
            <w:vAlign w:val="center"/>
            <w:hideMark/>
          </w:tcPr>
          <w:p w14:paraId="146236A1"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0.68</w:t>
            </w:r>
          </w:p>
        </w:tc>
        <w:tc>
          <w:tcPr>
            <w:tcW w:w="1620" w:type="dxa"/>
            <w:noWrap/>
            <w:vAlign w:val="center"/>
            <w:hideMark/>
          </w:tcPr>
          <w:p w14:paraId="16D67B2F"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SLC16A8</w:t>
            </w:r>
          </w:p>
        </w:tc>
        <w:tc>
          <w:tcPr>
            <w:tcW w:w="990" w:type="dxa"/>
            <w:vAlign w:val="center"/>
          </w:tcPr>
          <w:p w14:paraId="3D40727F"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missense</w:t>
            </w:r>
          </w:p>
        </w:tc>
        <w:tc>
          <w:tcPr>
            <w:tcW w:w="1400" w:type="dxa"/>
            <w:noWrap/>
            <w:vAlign w:val="center"/>
            <w:hideMark/>
          </w:tcPr>
          <w:p w14:paraId="6C75435B"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deleterious - tolerated</w:t>
            </w:r>
          </w:p>
        </w:tc>
        <w:tc>
          <w:tcPr>
            <w:tcW w:w="1110" w:type="dxa"/>
            <w:noWrap/>
            <w:vAlign w:val="center"/>
            <w:hideMark/>
          </w:tcPr>
          <w:p w14:paraId="69A5F65D"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0.02 - 0.41</w:t>
            </w:r>
          </w:p>
        </w:tc>
        <w:tc>
          <w:tcPr>
            <w:tcW w:w="1660" w:type="dxa"/>
            <w:noWrap/>
            <w:vAlign w:val="center"/>
            <w:hideMark/>
          </w:tcPr>
          <w:p w14:paraId="1EE934D0"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benign</w:t>
            </w:r>
          </w:p>
        </w:tc>
        <w:tc>
          <w:tcPr>
            <w:tcW w:w="1320" w:type="dxa"/>
            <w:noWrap/>
            <w:vAlign w:val="center"/>
            <w:hideMark/>
          </w:tcPr>
          <w:p w14:paraId="739BE008"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0.00 - 0.30</w:t>
            </w:r>
          </w:p>
        </w:tc>
      </w:tr>
      <w:tr w:rsidR="0091160B" w:rsidRPr="008A7960" w14:paraId="760D55CE" w14:textId="77777777" w:rsidTr="00BA219D">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0507257E" w14:textId="77777777" w:rsidR="0091160B" w:rsidRPr="008A7960" w:rsidRDefault="0091160B" w:rsidP="00BA219D">
            <w:pPr>
              <w:spacing w:line="240" w:lineRule="auto"/>
              <w:jc w:val="center"/>
              <w:rPr>
                <w:rFonts w:ascii="Times Roman" w:hAnsi="Times Roman" w:cs="Calibri"/>
                <w:b w:val="0"/>
                <w:bCs w:val="0"/>
                <w:color w:val="000000"/>
                <w:sz w:val="20"/>
                <w:szCs w:val="20"/>
              </w:rPr>
            </w:pPr>
            <w:r w:rsidRPr="008A7960">
              <w:rPr>
                <w:rFonts w:ascii="Times Roman" w:hAnsi="Times Roman" w:cs="Calibri"/>
                <w:color w:val="000000"/>
                <w:sz w:val="20"/>
                <w:szCs w:val="20"/>
              </w:rPr>
              <w:t>rs36062310</w:t>
            </w:r>
          </w:p>
        </w:tc>
        <w:tc>
          <w:tcPr>
            <w:tcW w:w="630" w:type="dxa"/>
            <w:noWrap/>
            <w:vAlign w:val="center"/>
            <w:hideMark/>
          </w:tcPr>
          <w:p w14:paraId="7E35F922"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22</w:t>
            </w:r>
          </w:p>
        </w:tc>
        <w:tc>
          <w:tcPr>
            <w:tcW w:w="1529" w:type="dxa"/>
            <w:noWrap/>
            <w:vAlign w:val="center"/>
            <w:hideMark/>
          </w:tcPr>
          <w:p w14:paraId="77A38D8D"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50,940,710 - 51,229,656</w:t>
            </w:r>
          </w:p>
        </w:tc>
        <w:tc>
          <w:tcPr>
            <w:tcW w:w="1351" w:type="dxa"/>
            <w:noWrap/>
            <w:vAlign w:val="center"/>
            <w:hideMark/>
          </w:tcPr>
          <w:p w14:paraId="587A5255"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rs36062310</w:t>
            </w:r>
          </w:p>
        </w:tc>
        <w:tc>
          <w:tcPr>
            <w:tcW w:w="1260" w:type="dxa"/>
            <w:noWrap/>
            <w:vAlign w:val="center"/>
            <w:hideMark/>
          </w:tcPr>
          <w:p w14:paraId="67B5674F"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1.00</w:t>
            </w:r>
          </w:p>
        </w:tc>
        <w:tc>
          <w:tcPr>
            <w:tcW w:w="1620" w:type="dxa"/>
            <w:noWrap/>
            <w:vAlign w:val="center"/>
            <w:hideMark/>
          </w:tcPr>
          <w:p w14:paraId="35493923"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KLHDC7B</w:t>
            </w:r>
          </w:p>
        </w:tc>
        <w:tc>
          <w:tcPr>
            <w:tcW w:w="990" w:type="dxa"/>
            <w:vAlign w:val="center"/>
          </w:tcPr>
          <w:p w14:paraId="5521BBB8"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missense</w:t>
            </w:r>
          </w:p>
        </w:tc>
        <w:tc>
          <w:tcPr>
            <w:tcW w:w="1400" w:type="dxa"/>
            <w:noWrap/>
            <w:vAlign w:val="center"/>
            <w:hideMark/>
          </w:tcPr>
          <w:p w14:paraId="0A2B710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deleterious - tolerated</w:t>
            </w:r>
          </w:p>
        </w:tc>
        <w:tc>
          <w:tcPr>
            <w:tcW w:w="1110" w:type="dxa"/>
            <w:noWrap/>
            <w:vAlign w:val="center"/>
            <w:hideMark/>
          </w:tcPr>
          <w:p w14:paraId="3F9C5563"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0.04 - 0.31</w:t>
            </w:r>
          </w:p>
        </w:tc>
        <w:tc>
          <w:tcPr>
            <w:tcW w:w="1660" w:type="dxa"/>
            <w:noWrap/>
            <w:vAlign w:val="center"/>
            <w:hideMark/>
          </w:tcPr>
          <w:p w14:paraId="6B849F1D"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benign - probably damaging</w:t>
            </w:r>
          </w:p>
        </w:tc>
        <w:tc>
          <w:tcPr>
            <w:tcW w:w="1320" w:type="dxa"/>
            <w:noWrap/>
            <w:vAlign w:val="center"/>
            <w:hideMark/>
          </w:tcPr>
          <w:p w14:paraId="59D907C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0.04 - 1.00</w:t>
            </w:r>
          </w:p>
        </w:tc>
      </w:tr>
      <w:tr w:rsidR="0091160B" w:rsidRPr="008A7960" w14:paraId="1612C1B1" w14:textId="77777777" w:rsidTr="00BA219D">
        <w:trPr>
          <w:trHeight w:val="432"/>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78A1B638" w14:textId="77777777" w:rsidR="0091160B" w:rsidRPr="008A7960" w:rsidRDefault="0091160B" w:rsidP="00BA219D">
            <w:pPr>
              <w:spacing w:line="240" w:lineRule="auto"/>
              <w:jc w:val="center"/>
              <w:rPr>
                <w:rFonts w:ascii="Times Roman" w:hAnsi="Times Roman" w:cs="Calibri"/>
                <w:b w:val="0"/>
                <w:bCs w:val="0"/>
                <w:color w:val="000000"/>
                <w:sz w:val="20"/>
                <w:szCs w:val="20"/>
              </w:rPr>
            </w:pPr>
            <w:r w:rsidRPr="008A7960">
              <w:rPr>
                <w:rFonts w:ascii="Times Roman" w:hAnsi="Times Roman" w:cs="Calibri"/>
                <w:color w:val="000000"/>
                <w:sz w:val="20"/>
                <w:szCs w:val="20"/>
              </w:rPr>
              <w:t>rs34859220</w:t>
            </w:r>
          </w:p>
        </w:tc>
        <w:tc>
          <w:tcPr>
            <w:tcW w:w="630" w:type="dxa"/>
            <w:noWrap/>
            <w:vAlign w:val="center"/>
            <w:hideMark/>
          </w:tcPr>
          <w:p w14:paraId="6ED8823E"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4</w:t>
            </w:r>
          </w:p>
        </w:tc>
        <w:tc>
          <w:tcPr>
            <w:tcW w:w="1529" w:type="dxa"/>
            <w:noWrap/>
            <w:vAlign w:val="center"/>
            <w:hideMark/>
          </w:tcPr>
          <w:p w14:paraId="03098721"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17,517,558 - 17,530,692</w:t>
            </w:r>
          </w:p>
        </w:tc>
        <w:tc>
          <w:tcPr>
            <w:tcW w:w="1351" w:type="dxa"/>
            <w:noWrap/>
            <w:vAlign w:val="center"/>
            <w:hideMark/>
          </w:tcPr>
          <w:p w14:paraId="1F91A12E"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rs13147559</w:t>
            </w:r>
          </w:p>
        </w:tc>
        <w:tc>
          <w:tcPr>
            <w:tcW w:w="1260" w:type="dxa"/>
            <w:noWrap/>
            <w:vAlign w:val="center"/>
            <w:hideMark/>
          </w:tcPr>
          <w:p w14:paraId="30E1314A"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0.99</w:t>
            </w:r>
          </w:p>
        </w:tc>
        <w:tc>
          <w:tcPr>
            <w:tcW w:w="1620" w:type="dxa"/>
            <w:noWrap/>
            <w:vAlign w:val="center"/>
            <w:hideMark/>
          </w:tcPr>
          <w:p w14:paraId="4A2CAA9D"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CLRN2</w:t>
            </w:r>
          </w:p>
        </w:tc>
        <w:tc>
          <w:tcPr>
            <w:tcW w:w="990" w:type="dxa"/>
            <w:vAlign w:val="center"/>
          </w:tcPr>
          <w:p w14:paraId="2E9A34DC"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missense</w:t>
            </w:r>
          </w:p>
        </w:tc>
        <w:tc>
          <w:tcPr>
            <w:tcW w:w="1400" w:type="dxa"/>
            <w:noWrap/>
            <w:vAlign w:val="center"/>
            <w:hideMark/>
          </w:tcPr>
          <w:p w14:paraId="6CEA9E02"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tolerated</w:t>
            </w:r>
          </w:p>
        </w:tc>
        <w:tc>
          <w:tcPr>
            <w:tcW w:w="1110" w:type="dxa"/>
            <w:noWrap/>
            <w:vAlign w:val="center"/>
            <w:hideMark/>
          </w:tcPr>
          <w:p w14:paraId="7FBC9481"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0.06</w:t>
            </w:r>
          </w:p>
        </w:tc>
        <w:tc>
          <w:tcPr>
            <w:tcW w:w="1660" w:type="dxa"/>
            <w:noWrap/>
            <w:vAlign w:val="center"/>
            <w:hideMark/>
          </w:tcPr>
          <w:p w14:paraId="009A1AB8"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possibly damaging</w:t>
            </w:r>
          </w:p>
        </w:tc>
        <w:tc>
          <w:tcPr>
            <w:tcW w:w="1320" w:type="dxa"/>
            <w:noWrap/>
            <w:vAlign w:val="center"/>
            <w:hideMark/>
          </w:tcPr>
          <w:p w14:paraId="32FFB014"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0.53</w:t>
            </w:r>
          </w:p>
        </w:tc>
      </w:tr>
      <w:tr w:rsidR="0091160B" w:rsidRPr="008A7960" w14:paraId="57F68E11" w14:textId="77777777" w:rsidTr="00BA219D">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689D5AC8" w14:textId="77777777" w:rsidR="0091160B" w:rsidRPr="008A7960" w:rsidRDefault="0091160B" w:rsidP="00BA219D">
            <w:pPr>
              <w:spacing w:line="240" w:lineRule="auto"/>
              <w:jc w:val="center"/>
              <w:rPr>
                <w:rFonts w:ascii="Times Roman" w:hAnsi="Times Roman" w:cs="Calibri"/>
                <w:b w:val="0"/>
                <w:bCs w:val="0"/>
                <w:color w:val="000000"/>
                <w:sz w:val="20"/>
                <w:szCs w:val="20"/>
              </w:rPr>
            </w:pPr>
            <w:r w:rsidRPr="008A7960">
              <w:rPr>
                <w:rFonts w:ascii="Times Roman" w:hAnsi="Times Roman" w:cs="Calibri"/>
                <w:color w:val="000000"/>
                <w:sz w:val="20"/>
                <w:szCs w:val="20"/>
              </w:rPr>
              <w:t>rs36089056</w:t>
            </w:r>
          </w:p>
        </w:tc>
        <w:tc>
          <w:tcPr>
            <w:tcW w:w="630" w:type="dxa"/>
            <w:noWrap/>
            <w:vAlign w:val="center"/>
            <w:hideMark/>
          </w:tcPr>
          <w:p w14:paraId="77B0AB0B"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w:t>
            </w:r>
          </w:p>
        </w:tc>
        <w:tc>
          <w:tcPr>
            <w:tcW w:w="1529" w:type="dxa"/>
            <w:noWrap/>
            <w:vAlign w:val="center"/>
            <w:hideMark/>
          </w:tcPr>
          <w:p w14:paraId="4F9EBB3B"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46,027,355 - 46,598,273</w:t>
            </w:r>
          </w:p>
        </w:tc>
        <w:tc>
          <w:tcPr>
            <w:tcW w:w="1351" w:type="dxa"/>
            <w:noWrap/>
            <w:vAlign w:val="center"/>
            <w:hideMark/>
          </w:tcPr>
          <w:p w14:paraId="1781B88D"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rs1707336</w:t>
            </w:r>
          </w:p>
        </w:tc>
        <w:tc>
          <w:tcPr>
            <w:tcW w:w="1260" w:type="dxa"/>
            <w:noWrap/>
            <w:vAlign w:val="center"/>
            <w:hideMark/>
          </w:tcPr>
          <w:p w14:paraId="6691C533"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0.99</w:t>
            </w:r>
          </w:p>
        </w:tc>
        <w:tc>
          <w:tcPr>
            <w:tcW w:w="1620" w:type="dxa"/>
            <w:noWrap/>
            <w:vAlign w:val="center"/>
            <w:hideMark/>
          </w:tcPr>
          <w:p w14:paraId="0147166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MAST2</w:t>
            </w:r>
          </w:p>
        </w:tc>
        <w:tc>
          <w:tcPr>
            <w:tcW w:w="990" w:type="dxa"/>
            <w:vAlign w:val="center"/>
          </w:tcPr>
          <w:p w14:paraId="1F338EA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missense</w:t>
            </w:r>
          </w:p>
        </w:tc>
        <w:tc>
          <w:tcPr>
            <w:tcW w:w="1400" w:type="dxa"/>
            <w:noWrap/>
            <w:vAlign w:val="center"/>
            <w:hideMark/>
          </w:tcPr>
          <w:p w14:paraId="17F4E568"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tolerated</w:t>
            </w:r>
          </w:p>
        </w:tc>
        <w:tc>
          <w:tcPr>
            <w:tcW w:w="1110" w:type="dxa"/>
            <w:noWrap/>
            <w:vAlign w:val="center"/>
            <w:hideMark/>
          </w:tcPr>
          <w:p w14:paraId="29117700"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0.37 - 0.65</w:t>
            </w:r>
          </w:p>
        </w:tc>
        <w:tc>
          <w:tcPr>
            <w:tcW w:w="1660" w:type="dxa"/>
            <w:noWrap/>
            <w:vAlign w:val="center"/>
            <w:hideMark/>
          </w:tcPr>
          <w:p w14:paraId="1E0EFD47"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benign - probably damaging</w:t>
            </w:r>
          </w:p>
        </w:tc>
        <w:tc>
          <w:tcPr>
            <w:tcW w:w="1320" w:type="dxa"/>
            <w:noWrap/>
            <w:vAlign w:val="center"/>
            <w:hideMark/>
          </w:tcPr>
          <w:p w14:paraId="40174673"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0.18 - 1.00</w:t>
            </w:r>
          </w:p>
        </w:tc>
      </w:tr>
      <w:tr w:rsidR="0091160B" w:rsidRPr="008A7960" w14:paraId="453282C6" w14:textId="77777777" w:rsidTr="00BA219D">
        <w:trPr>
          <w:trHeight w:val="432"/>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28B51412" w14:textId="77777777" w:rsidR="0091160B" w:rsidRPr="008A7960" w:rsidRDefault="0091160B" w:rsidP="00BA219D">
            <w:pPr>
              <w:spacing w:line="240" w:lineRule="auto"/>
              <w:jc w:val="center"/>
              <w:rPr>
                <w:rFonts w:ascii="Times Roman" w:hAnsi="Times Roman" w:cs="Calibri"/>
                <w:b w:val="0"/>
                <w:bCs w:val="0"/>
                <w:color w:val="000000"/>
                <w:sz w:val="20"/>
                <w:szCs w:val="20"/>
              </w:rPr>
            </w:pPr>
            <w:r w:rsidRPr="008A7960">
              <w:rPr>
                <w:rFonts w:ascii="Times Roman" w:hAnsi="Times Roman" w:cs="Calibri"/>
                <w:color w:val="000000"/>
                <w:sz w:val="20"/>
                <w:szCs w:val="20"/>
              </w:rPr>
              <w:t>rs2339607</w:t>
            </w:r>
          </w:p>
        </w:tc>
        <w:tc>
          <w:tcPr>
            <w:tcW w:w="630" w:type="dxa"/>
            <w:noWrap/>
            <w:vAlign w:val="center"/>
            <w:hideMark/>
          </w:tcPr>
          <w:p w14:paraId="45CFAD9D"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5</w:t>
            </w:r>
          </w:p>
        </w:tc>
        <w:tc>
          <w:tcPr>
            <w:tcW w:w="1529" w:type="dxa"/>
            <w:noWrap/>
            <w:vAlign w:val="center"/>
            <w:hideMark/>
          </w:tcPr>
          <w:p w14:paraId="4B4426EB"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72,922,376 - 73,198,901</w:t>
            </w:r>
          </w:p>
        </w:tc>
        <w:tc>
          <w:tcPr>
            <w:tcW w:w="1351" w:type="dxa"/>
            <w:noWrap/>
            <w:vAlign w:val="center"/>
            <w:hideMark/>
          </w:tcPr>
          <w:p w14:paraId="1095D8C5"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rs7714670</w:t>
            </w:r>
          </w:p>
        </w:tc>
        <w:tc>
          <w:tcPr>
            <w:tcW w:w="1260" w:type="dxa"/>
            <w:noWrap/>
            <w:vAlign w:val="center"/>
            <w:hideMark/>
          </w:tcPr>
          <w:p w14:paraId="5FA9B769"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0.89</w:t>
            </w:r>
          </w:p>
        </w:tc>
        <w:tc>
          <w:tcPr>
            <w:tcW w:w="1620" w:type="dxa"/>
            <w:noWrap/>
            <w:vAlign w:val="center"/>
            <w:hideMark/>
          </w:tcPr>
          <w:p w14:paraId="0CEE19AE"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ARHGEF28</w:t>
            </w:r>
          </w:p>
        </w:tc>
        <w:tc>
          <w:tcPr>
            <w:tcW w:w="990" w:type="dxa"/>
            <w:vAlign w:val="center"/>
          </w:tcPr>
          <w:p w14:paraId="255BD638"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missense</w:t>
            </w:r>
          </w:p>
        </w:tc>
        <w:tc>
          <w:tcPr>
            <w:tcW w:w="1400" w:type="dxa"/>
            <w:noWrap/>
            <w:vAlign w:val="center"/>
            <w:hideMark/>
          </w:tcPr>
          <w:p w14:paraId="4F35EA0D"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tolerated</w:t>
            </w:r>
          </w:p>
        </w:tc>
        <w:tc>
          <w:tcPr>
            <w:tcW w:w="1110" w:type="dxa"/>
            <w:noWrap/>
            <w:vAlign w:val="center"/>
            <w:hideMark/>
          </w:tcPr>
          <w:p w14:paraId="6260C80B"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0.37 - 0.47</w:t>
            </w:r>
          </w:p>
        </w:tc>
        <w:tc>
          <w:tcPr>
            <w:tcW w:w="1660" w:type="dxa"/>
            <w:noWrap/>
            <w:vAlign w:val="center"/>
            <w:hideMark/>
          </w:tcPr>
          <w:p w14:paraId="35E7273D"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benign</w:t>
            </w:r>
          </w:p>
        </w:tc>
        <w:tc>
          <w:tcPr>
            <w:tcW w:w="1320" w:type="dxa"/>
            <w:noWrap/>
            <w:vAlign w:val="center"/>
            <w:hideMark/>
          </w:tcPr>
          <w:p w14:paraId="7FD90F72"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0.00</w:t>
            </w:r>
          </w:p>
        </w:tc>
      </w:tr>
      <w:tr w:rsidR="0091160B" w:rsidRPr="008A7960" w14:paraId="52D2BA59" w14:textId="77777777" w:rsidTr="00BA219D">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3DCFB13C" w14:textId="77777777" w:rsidR="0091160B" w:rsidRPr="008A7960" w:rsidRDefault="0091160B" w:rsidP="00BA219D">
            <w:pPr>
              <w:spacing w:line="240" w:lineRule="auto"/>
              <w:jc w:val="center"/>
              <w:rPr>
                <w:rFonts w:ascii="Times Roman" w:hAnsi="Times Roman" w:cs="Calibri"/>
                <w:b w:val="0"/>
                <w:bCs w:val="0"/>
                <w:color w:val="000000"/>
                <w:sz w:val="20"/>
                <w:szCs w:val="20"/>
              </w:rPr>
            </w:pPr>
            <w:r w:rsidRPr="008A7960">
              <w:rPr>
                <w:rFonts w:ascii="Times Roman" w:hAnsi="Times Roman" w:cs="Calibri"/>
                <w:color w:val="000000"/>
                <w:sz w:val="20"/>
                <w:szCs w:val="20"/>
              </w:rPr>
              <w:t>rs2339607</w:t>
            </w:r>
          </w:p>
        </w:tc>
        <w:tc>
          <w:tcPr>
            <w:tcW w:w="630" w:type="dxa"/>
            <w:noWrap/>
            <w:vAlign w:val="center"/>
            <w:hideMark/>
          </w:tcPr>
          <w:p w14:paraId="63CF1353"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5</w:t>
            </w:r>
          </w:p>
        </w:tc>
        <w:tc>
          <w:tcPr>
            <w:tcW w:w="1529" w:type="dxa"/>
            <w:noWrap/>
            <w:vAlign w:val="center"/>
            <w:hideMark/>
          </w:tcPr>
          <w:p w14:paraId="1A2550C3"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8A7960">
              <w:rPr>
                <w:rFonts w:ascii="Times Roman" w:hAnsi="Times Roman" w:cs="Calibri"/>
                <w:color w:val="000000"/>
                <w:sz w:val="20"/>
                <w:szCs w:val="20"/>
              </w:rPr>
              <w:t>72,922,376 - 73,198,901</w:t>
            </w:r>
          </w:p>
        </w:tc>
        <w:tc>
          <w:tcPr>
            <w:tcW w:w="1351" w:type="dxa"/>
            <w:noWrap/>
            <w:vAlign w:val="center"/>
            <w:hideMark/>
          </w:tcPr>
          <w:p w14:paraId="24981B1D"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rs6453022</w:t>
            </w:r>
          </w:p>
        </w:tc>
        <w:tc>
          <w:tcPr>
            <w:tcW w:w="1260" w:type="dxa"/>
            <w:noWrap/>
            <w:vAlign w:val="center"/>
            <w:hideMark/>
          </w:tcPr>
          <w:p w14:paraId="7A54EBF1"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0.75</w:t>
            </w:r>
          </w:p>
        </w:tc>
        <w:tc>
          <w:tcPr>
            <w:tcW w:w="1620" w:type="dxa"/>
            <w:noWrap/>
            <w:vAlign w:val="center"/>
            <w:hideMark/>
          </w:tcPr>
          <w:p w14:paraId="26EC7689"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ARHGEF28</w:t>
            </w:r>
          </w:p>
        </w:tc>
        <w:tc>
          <w:tcPr>
            <w:tcW w:w="990" w:type="dxa"/>
            <w:vAlign w:val="center"/>
          </w:tcPr>
          <w:p w14:paraId="588C3485"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missense</w:t>
            </w:r>
          </w:p>
        </w:tc>
        <w:tc>
          <w:tcPr>
            <w:tcW w:w="1400" w:type="dxa"/>
            <w:noWrap/>
            <w:vAlign w:val="center"/>
            <w:hideMark/>
          </w:tcPr>
          <w:p w14:paraId="15C7A87D"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tolerated</w:t>
            </w:r>
          </w:p>
        </w:tc>
        <w:tc>
          <w:tcPr>
            <w:tcW w:w="1110" w:type="dxa"/>
            <w:noWrap/>
            <w:vAlign w:val="center"/>
            <w:hideMark/>
          </w:tcPr>
          <w:p w14:paraId="2797728B"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0.29 - 0.67</w:t>
            </w:r>
          </w:p>
        </w:tc>
        <w:tc>
          <w:tcPr>
            <w:tcW w:w="1660" w:type="dxa"/>
            <w:noWrap/>
            <w:vAlign w:val="center"/>
            <w:hideMark/>
          </w:tcPr>
          <w:p w14:paraId="7811FBA2"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benign</w:t>
            </w:r>
          </w:p>
        </w:tc>
        <w:tc>
          <w:tcPr>
            <w:tcW w:w="1320" w:type="dxa"/>
            <w:noWrap/>
            <w:vAlign w:val="center"/>
            <w:hideMark/>
          </w:tcPr>
          <w:p w14:paraId="64EF7E72"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0.00</w:t>
            </w:r>
          </w:p>
        </w:tc>
      </w:tr>
      <w:tr w:rsidR="0091160B" w:rsidRPr="008A7960" w14:paraId="2FBCCB79" w14:textId="77777777" w:rsidTr="00BA219D">
        <w:trPr>
          <w:trHeight w:val="432"/>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7943C77D" w14:textId="77777777" w:rsidR="0091160B" w:rsidRPr="008A7960" w:rsidRDefault="0091160B" w:rsidP="00BA219D">
            <w:pPr>
              <w:spacing w:line="240" w:lineRule="auto"/>
              <w:jc w:val="center"/>
              <w:rPr>
                <w:rFonts w:ascii="Times Roman" w:hAnsi="Times Roman" w:cs="Calibri"/>
                <w:b w:val="0"/>
                <w:bCs w:val="0"/>
                <w:color w:val="000000"/>
                <w:sz w:val="20"/>
                <w:szCs w:val="20"/>
              </w:rPr>
            </w:pPr>
            <w:r w:rsidRPr="008A7960">
              <w:rPr>
                <w:rFonts w:ascii="Times Roman" w:hAnsi="Times Roman" w:cs="Calibri"/>
                <w:color w:val="000000"/>
                <w:sz w:val="20"/>
                <w:szCs w:val="20"/>
              </w:rPr>
              <w:t>rs553448379</w:t>
            </w:r>
          </w:p>
        </w:tc>
        <w:tc>
          <w:tcPr>
            <w:tcW w:w="630" w:type="dxa"/>
            <w:noWrap/>
            <w:vAlign w:val="center"/>
            <w:hideMark/>
          </w:tcPr>
          <w:p w14:paraId="3848FA7A"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6</w:t>
            </w:r>
          </w:p>
        </w:tc>
        <w:tc>
          <w:tcPr>
            <w:tcW w:w="1529" w:type="dxa"/>
            <w:noWrap/>
            <w:vAlign w:val="center"/>
            <w:hideMark/>
          </w:tcPr>
          <w:p w14:paraId="62BDDBBB"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43,260,660 - 43,408,005</w:t>
            </w:r>
          </w:p>
        </w:tc>
        <w:tc>
          <w:tcPr>
            <w:tcW w:w="1351" w:type="dxa"/>
            <w:noWrap/>
            <w:vAlign w:val="center"/>
            <w:hideMark/>
          </w:tcPr>
          <w:p w14:paraId="28A384BA"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rs2242416</w:t>
            </w:r>
          </w:p>
        </w:tc>
        <w:tc>
          <w:tcPr>
            <w:tcW w:w="1260" w:type="dxa"/>
            <w:noWrap/>
            <w:vAlign w:val="center"/>
            <w:hideMark/>
          </w:tcPr>
          <w:p w14:paraId="2427ADB6"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0.99</w:t>
            </w:r>
          </w:p>
        </w:tc>
        <w:tc>
          <w:tcPr>
            <w:tcW w:w="1620" w:type="dxa"/>
            <w:noWrap/>
            <w:vAlign w:val="center"/>
            <w:hideMark/>
          </w:tcPr>
          <w:p w14:paraId="213FE64D"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CRIP3</w:t>
            </w:r>
          </w:p>
        </w:tc>
        <w:tc>
          <w:tcPr>
            <w:tcW w:w="990" w:type="dxa"/>
            <w:vAlign w:val="center"/>
          </w:tcPr>
          <w:p w14:paraId="2B72E0E1"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missense</w:t>
            </w:r>
          </w:p>
        </w:tc>
        <w:tc>
          <w:tcPr>
            <w:tcW w:w="1400" w:type="dxa"/>
            <w:noWrap/>
            <w:vAlign w:val="center"/>
            <w:hideMark/>
          </w:tcPr>
          <w:p w14:paraId="7129E776"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tolerated</w:t>
            </w:r>
          </w:p>
        </w:tc>
        <w:tc>
          <w:tcPr>
            <w:tcW w:w="1110" w:type="dxa"/>
            <w:noWrap/>
            <w:vAlign w:val="center"/>
            <w:hideMark/>
          </w:tcPr>
          <w:p w14:paraId="6FA17DE5"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0.39-0.50</w:t>
            </w:r>
          </w:p>
        </w:tc>
        <w:tc>
          <w:tcPr>
            <w:tcW w:w="1660" w:type="dxa"/>
            <w:noWrap/>
            <w:vAlign w:val="center"/>
            <w:hideMark/>
          </w:tcPr>
          <w:p w14:paraId="2167A6EA"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benign</w:t>
            </w:r>
          </w:p>
        </w:tc>
        <w:tc>
          <w:tcPr>
            <w:tcW w:w="1320" w:type="dxa"/>
            <w:noWrap/>
            <w:vAlign w:val="center"/>
            <w:hideMark/>
          </w:tcPr>
          <w:p w14:paraId="207B2811"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0.34 - 0.05</w:t>
            </w:r>
          </w:p>
        </w:tc>
      </w:tr>
      <w:tr w:rsidR="0091160B" w:rsidRPr="008A7960" w14:paraId="130CF916" w14:textId="77777777" w:rsidTr="00BA219D">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78D6BCBE" w14:textId="77777777" w:rsidR="0091160B" w:rsidRPr="008A7960" w:rsidRDefault="0091160B" w:rsidP="00BA219D">
            <w:pPr>
              <w:spacing w:line="240" w:lineRule="auto"/>
              <w:jc w:val="center"/>
              <w:rPr>
                <w:rFonts w:ascii="Times Roman" w:hAnsi="Times Roman" w:cs="Calibri"/>
                <w:b w:val="0"/>
                <w:bCs w:val="0"/>
                <w:color w:val="000000"/>
                <w:sz w:val="20"/>
                <w:szCs w:val="20"/>
              </w:rPr>
            </w:pPr>
            <w:r w:rsidRPr="008A7960">
              <w:rPr>
                <w:rFonts w:ascii="Times Roman" w:hAnsi="Times Roman" w:cs="Calibri"/>
                <w:color w:val="000000"/>
                <w:sz w:val="20"/>
                <w:szCs w:val="20"/>
              </w:rPr>
              <w:t>rs777434300</w:t>
            </w:r>
          </w:p>
        </w:tc>
        <w:tc>
          <w:tcPr>
            <w:tcW w:w="630" w:type="dxa"/>
            <w:noWrap/>
            <w:vAlign w:val="center"/>
            <w:hideMark/>
          </w:tcPr>
          <w:p w14:paraId="6113B26B"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7</w:t>
            </w:r>
          </w:p>
        </w:tc>
        <w:tc>
          <w:tcPr>
            <w:tcW w:w="1529" w:type="dxa"/>
            <w:noWrap/>
            <w:vAlign w:val="center"/>
            <w:hideMark/>
          </w:tcPr>
          <w:p w14:paraId="4BB09434"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138,483,551 - 138,505,777</w:t>
            </w:r>
          </w:p>
        </w:tc>
        <w:tc>
          <w:tcPr>
            <w:tcW w:w="1351" w:type="dxa"/>
            <w:noWrap/>
            <w:vAlign w:val="center"/>
            <w:hideMark/>
          </w:tcPr>
          <w:p w14:paraId="503266DB"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rs61729750</w:t>
            </w:r>
          </w:p>
        </w:tc>
        <w:tc>
          <w:tcPr>
            <w:tcW w:w="1260" w:type="dxa"/>
            <w:noWrap/>
            <w:vAlign w:val="center"/>
            <w:hideMark/>
          </w:tcPr>
          <w:p w14:paraId="38A0C2D7"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0.82</w:t>
            </w:r>
          </w:p>
        </w:tc>
        <w:tc>
          <w:tcPr>
            <w:tcW w:w="1620" w:type="dxa"/>
            <w:noWrap/>
            <w:vAlign w:val="center"/>
            <w:hideMark/>
          </w:tcPr>
          <w:p w14:paraId="0A5F7F6F"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TMEM213</w:t>
            </w:r>
          </w:p>
        </w:tc>
        <w:tc>
          <w:tcPr>
            <w:tcW w:w="990" w:type="dxa"/>
            <w:vAlign w:val="center"/>
          </w:tcPr>
          <w:p w14:paraId="0CA88A30"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missense</w:t>
            </w:r>
          </w:p>
        </w:tc>
        <w:tc>
          <w:tcPr>
            <w:tcW w:w="1400" w:type="dxa"/>
            <w:noWrap/>
            <w:vAlign w:val="center"/>
            <w:hideMark/>
          </w:tcPr>
          <w:p w14:paraId="38CA0424"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tolerated</w:t>
            </w:r>
          </w:p>
        </w:tc>
        <w:tc>
          <w:tcPr>
            <w:tcW w:w="1110" w:type="dxa"/>
            <w:noWrap/>
            <w:vAlign w:val="center"/>
            <w:hideMark/>
          </w:tcPr>
          <w:p w14:paraId="390DB577"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0.66 - 1.00</w:t>
            </w:r>
          </w:p>
        </w:tc>
        <w:tc>
          <w:tcPr>
            <w:tcW w:w="1660" w:type="dxa"/>
            <w:noWrap/>
            <w:vAlign w:val="center"/>
            <w:hideMark/>
          </w:tcPr>
          <w:p w14:paraId="5DF76EA5"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benign</w:t>
            </w:r>
          </w:p>
        </w:tc>
        <w:tc>
          <w:tcPr>
            <w:tcW w:w="1320" w:type="dxa"/>
            <w:noWrap/>
            <w:vAlign w:val="center"/>
            <w:hideMark/>
          </w:tcPr>
          <w:p w14:paraId="785C96A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0.00</w:t>
            </w:r>
          </w:p>
        </w:tc>
      </w:tr>
      <w:tr w:rsidR="0091160B" w:rsidRPr="008A7960" w14:paraId="3500EF4C" w14:textId="77777777" w:rsidTr="00BA219D">
        <w:trPr>
          <w:trHeight w:val="432"/>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73BC883F" w14:textId="77777777" w:rsidR="0091160B" w:rsidRPr="008A7960" w:rsidRDefault="0091160B" w:rsidP="00BA219D">
            <w:pPr>
              <w:spacing w:line="240" w:lineRule="auto"/>
              <w:jc w:val="center"/>
              <w:rPr>
                <w:rFonts w:ascii="Times Roman" w:hAnsi="Times Roman" w:cs="Calibri"/>
                <w:b w:val="0"/>
                <w:bCs w:val="0"/>
                <w:color w:val="000000"/>
                <w:sz w:val="20"/>
                <w:szCs w:val="20"/>
              </w:rPr>
            </w:pPr>
            <w:r w:rsidRPr="008A7960">
              <w:rPr>
                <w:rFonts w:ascii="Times Roman" w:hAnsi="Times Roman" w:cs="Calibri"/>
                <w:color w:val="000000"/>
                <w:sz w:val="20"/>
                <w:szCs w:val="20"/>
              </w:rPr>
              <w:t>rs1558804</w:t>
            </w:r>
          </w:p>
        </w:tc>
        <w:tc>
          <w:tcPr>
            <w:tcW w:w="630" w:type="dxa"/>
            <w:noWrap/>
            <w:vAlign w:val="center"/>
            <w:hideMark/>
          </w:tcPr>
          <w:p w14:paraId="22C3CF20"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12</w:t>
            </w:r>
          </w:p>
        </w:tc>
        <w:tc>
          <w:tcPr>
            <w:tcW w:w="1529" w:type="dxa"/>
            <w:noWrap/>
            <w:vAlign w:val="center"/>
            <w:hideMark/>
          </w:tcPr>
          <w:p w14:paraId="4CEDCA61"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109,788,598 - 110,042,348</w:t>
            </w:r>
          </w:p>
        </w:tc>
        <w:tc>
          <w:tcPr>
            <w:tcW w:w="1351" w:type="dxa"/>
            <w:noWrap/>
            <w:vAlign w:val="center"/>
            <w:hideMark/>
          </w:tcPr>
          <w:p w14:paraId="5979B737"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rs7298565</w:t>
            </w:r>
          </w:p>
        </w:tc>
        <w:tc>
          <w:tcPr>
            <w:tcW w:w="1260" w:type="dxa"/>
            <w:noWrap/>
            <w:vAlign w:val="center"/>
            <w:hideMark/>
          </w:tcPr>
          <w:p w14:paraId="2D7699DD"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0.71</w:t>
            </w:r>
          </w:p>
        </w:tc>
        <w:tc>
          <w:tcPr>
            <w:tcW w:w="1620" w:type="dxa"/>
            <w:noWrap/>
            <w:vAlign w:val="center"/>
            <w:hideMark/>
          </w:tcPr>
          <w:p w14:paraId="39F987CE"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UBE3B</w:t>
            </w:r>
          </w:p>
        </w:tc>
        <w:tc>
          <w:tcPr>
            <w:tcW w:w="990" w:type="dxa"/>
            <w:vAlign w:val="center"/>
          </w:tcPr>
          <w:p w14:paraId="34DBBF7B"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missense</w:t>
            </w:r>
          </w:p>
        </w:tc>
        <w:tc>
          <w:tcPr>
            <w:tcW w:w="1400" w:type="dxa"/>
            <w:noWrap/>
            <w:vAlign w:val="center"/>
            <w:hideMark/>
          </w:tcPr>
          <w:p w14:paraId="6D4D9CC2"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tolerated</w:t>
            </w:r>
          </w:p>
        </w:tc>
        <w:tc>
          <w:tcPr>
            <w:tcW w:w="1110" w:type="dxa"/>
            <w:noWrap/>
            <w:vAlign w:val="center"/>
            <w:hideMark/>
          </w:tcPr>
          <w:p w14:paraId="5583BED4"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0.97 - 1.00</w:t>
            </w:r>
          </w:p>
        </w:tc>
        <w:tc>
          <w:tcPr>
            <w:tcW w:w="1660" w:type="dxa"/>
            <w:noWrap/>
            <w:vAlign w:val="center"/>
            <w:hideMark/>
          </w:tcPr>
          <w:p w14:paraId="3A3CAAB3"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benign</w:t>
            </w:r>
          </w:p>
        </w:tc>
        <w:tc>
          <w:tcPr>
            <w:tcW w:w="1320" w:type="dxa"/>
            <w:noWrap/>
            <w:vAlign w:val="center"/>
            <w:hideMark/>
          </w:tcPr>
          <w:p w14:paraId="446D6D25"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0.00</w:t>
            </w:r>
          </w:p>
        </w:tc>
      </w:tr>
      <w:tr w:rsidR="0091160B" w:rsidRPr="008A7960" w14:paraId="280FF3EF" w14:textId="77777777" w:rsidTr="00BA219D">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7FE8FBB1" w14:textId="77777777" w:rsidR="0091160B" w:rsidRPr="008A7960" w:rsidRDefault="0091160B" w:rsidP="00BA219D">
            <w:pPr>
              <w:spacing w:line="240" w:lineRule="auto"/>
              <w:jc w:val="center"/>
              <w:rPr>
                <w:rFonts w:ascii="Times Roman" w:hAnsi="Times Roman" w:cs="Calibri"/>
                <w:b w:val="0"/>
                <w:bCs w:val="0"/>
                <w:color w:val="000000"/>
                <w:sz w:val="20"/>
                <w:szCs w:val="20"/>
              </w:rPr>
            </w:pPr>
            <w:r w:rsidRPr="008A7960">
              <w:rPr>
                <w:rFonts w:ascii="Times Roman" w:hAnsi="Times Roman" w:cs="Calibri"/>
                <w:color w:val="000000"/>
                <w:sz w:val="20"/>
                <w:szCs w:val="20"/>
              </w:rPr>
              <w:t>rs1558804</w:t>
            </w:r>
          </w:p>
        </w:tc>
        <w:tc>
          <w:tcPr>
            <w:tcW w:w="630" w:type="dxa"/>
            <w:noWrap/>
            <w:vAlign w:val="center"/>
            <w:hideMark/>
          </w:tcPr>
          <w:p w14:paraId="280CA146"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12</w:t>
            </w:r>
          </w:p>
        </w:tc>
        <w:tc>
          <w:tcPr>
            <w:tcW w:w="1529" w:type="dxa"/>
            <w:noWrap/>
            <w:vAlign w:val="center"/>
            <w:hideMark/>
          </w:tcPr>
          <w:p w14:paraId="0793CA88"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8A7960">
              <w:rPr>
                <w:rFonts w:ascii="Times Roman" w:hAnsi="Times Roman" w:cs="Calibri"/>
                <w:color w:val="000000"/>
                <w:sz w:val="20"/>
                <w:szCs w:val="20"/>
              </w:rPr>
              <w:t>109,788,598 - 110,042,348</w:t>
            </w:r>
          </w:p>
        </w:tc>
        <w:tc>
          <w:tcPr>
            <w:tcW w:w="1351" w:type="dxa"/>
            <w:noWrap/>
            <w:vAlign w:val="center"/>
            <w:hideMark/>
          </w:tcPr>
          <w:p w14:paraId="4BCD7D8D"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rs9593</w:t>
            </w:r>
          </w:p>
        </w:tc>
        <w:tc>
          <w:tcPr>
            <w:tcW w:w="1260" w:type="dxa"/>
            <w:noWrap/>
            <w:vAlign w:val="center"/>
            <w:hideMark/>
          </w:tcPr>
          <w:p w14:paraId="25566244"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0.71</w:t>
            </w:r>
          </w:p>
        </w:tc>
        <w:tc>
          <w:tcPr>
            <w:tcW w:w="1620" w:type="dxa"/>
            <w:noWrap/>
            <w:vAlign w:val="center"/>
            <w:hideMark/>
          </w:tcPr>
          <w:p w14:paraId="7E048E96"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MMAB</w:t>
            </w:r>
          </w:p>
        </w:tc>
        <w:tc>
          <w:tcPr>
            <w:tcW w:w="990" w:type="dxa"/>
            <w:vAlign w:val="center"/>
          </w:tcPr>
          <w:p w14:paraId="0FDF0010"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missense</w:t>
            </w:r>
          </w:p>
        </w:tc>
        <w:tc>
          <w:tcPr>
            <w:tcW w:w="1400" w:type="dxa"/>
            <w:noWrap/>
            <w:vAlign w:val="center"/>
            <w:hideMark/>
          </w:tcPr>
          <w:p w14:paraId="79122B1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tolerated</w:t>
            </w:r>
          </w:p>
        </w:tc>
        <w:tc>
          <w:tcPr>
            <w:tcW w:w="1110" w:type="dxa"/>
            <w:noWrap/>
            <w:vAlign w:val="center"/>
            <w:hideMark/>
          </w:tcPr>
          <w:p w14:paraId="490D1EC6"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0.10 - 1.00</w:t>
            </w:r>
          </w:p>
        </w:tc>
        <w:tc>
          <w:tcPr>
            <w:tcW w:w="1660" w:type="dxa"/>
            <w:noWrap/>
            <w:vAlign w:val="center"/>
            <w:hideMark/>
          </w:tcPr>
          <w:p w14:paraId="17627BF5"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benign</w:t>
            </w:r>
          </w:p>
        </w:tc>
        <w:tc>
          <w:tcPr>
            <w:tcW w:w="1320" w:type="dxa"/>
            <w:noWrap/>
            <w:vAlign w:val="center"/>
            <w:hideMark/>
          </w:tcPr>
          <w:p w14:paraId="383A1A4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0.00</w:t>
            </w:r>
          </w:p>
        </w:tc>
      </w:tr>
      <w:tr w:rsidR="0091160B" w:rsidRPr="008A7960" w14:paraId="08D88C84" w14:textId="77777777" w:rsidTr="00BA219D">
        <w:trPr>
          <w:trHeight w:val="432"/>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070DEA40" w14:textId="77777777" w:rsidR="0091160B" w:rsidRPr="008A7960" w:rsidRDefault="0091160B" w:rsidP="00BA219D">
            <w:pPr>
              <w:spacing w:line="240" w:lineRule="auto"/>
              <w:jc w:val="center"/>
              <w:rPr>
                <w:rFonts w:ascii="Times Roman" w:hAnsi="Times Roman" w:cs="Calibri"/>
                <w:b w:val="0"/>
                <w:bCs w:val="0"/>
                <w:color w:val="000000"/>
                <w:sz w:val="20"/>
                <w:szCs w:val="20"/>
              </w:rPr>
            </w:pPr>
            <w:r w:rsidRPr="008A7960">
              <w:rPr>
                <w:rFonts w:ascii="Times Roman" w:hAnsi="Times Roman" w:cs="Calibri"/>
                <w:color w:val="000000"/>
                <w:sz w:val="20"/>
                <w:szCs w:val="20"/>
              </w:rPr>
              <w:t>rs920701</w:t>
            </w:r>
          </w:p>
        </w:tc>
        <w:tc>
          <w:tcPr>
            <w:tcW w:w="630" w:type="dxa"/>
            <w:noWrap/>
            <w:vAlign w:val="center"/>
            <w:hideMark/>
          </w:tcPr>
          <w:p w14:paraId="3BE0453C"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13</w:t>
            </w:r>
          </w:p>
        </w:tc>
        <w:tc>
          <w:tcPr>
            <w:tcW w:w="1529" w:type="dxa"/>
            <w:noWrap/>
            <w:vAlign w:val="center"/>
            <w:hideMark/>
          </w:tcPr>
          <w:p w14:paraId="25CCDA2D"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76,343,051 - 76,455,056</w:t>
            </w:r>
          </w:p>
        </w:tc>
        <w:tc>
          <w:tcPr>
            <w:tcW w:w="1351" w:type="dxa"/>
            <w:noWrap/>
            <w:vAlign w:val="center"/>
            <w:hideMark/>
          </w:tcPr>
          <w:p w14:paraId="3EDABFD9"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rs7986131</w:t>
            </w:r>
          </w:p>
        </w:tc>
        <w:tc>
          <w:tcPr>
            <w:tcW w:w="1260" w:type="dxa"/>
            <w:noWrap/>
            <w:vAlign w:val="center"/>
            <w:hideMark/>
          </w:tcPr>
          <w:p w14:paraId="68FEB6F4"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0.63</w:t>
            </w:r>
          </w:p>
        </w:tc>
        <w:tc>
          <w:tcPr>
            <w:tcW w:w="1620" w:type="dxa"/>
            <w:noWrap/>
            <w:vAlign w:val="center"/>
            <w:hideMark/>
          </w:tcPr>
          <w:p w14:paraId="0EBDA7A7"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LMO7</w:t>
            </w:r>
          </w:p>
        </w:tc>
        <w:tc>
          <w:tcPr>
            <w:tcW w:w="990" w:type="dxa"/>
            <w:vAlign w:val="center"/>
          </w:tcPr>
          <w:p w14:paraId="1CD5728F"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missense</w:t>
            </w:r>
          </w:p>
        </w:tc>
        <w:tc>
          <w:tcPr>
            <w:tcW w:w="1400" w:type="dxa"/>
            <w:noWrap/>
            <w:vAlign w:val="center"/>
            <w:hideMark/>
          </w:tcPr>
          <w:p w14:paraId="439896F7"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tolerated</w:t>
            </w:r>
          </w:p>
        </w:tc>
        <w:tc>
          <w:tcPr>
            <w:tcW w:w="1110" w:type="dxa"/>
            <w:noWrap/>
            <w:vAlign w:val="center"/>
            <w:hideMark/>
          </w:tcPr>
          <w:p w14:paraId="4FE4525A"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1.00</w:t>
            </w:r>
          </w:p>
        </w:tc>
        <w:tc>
          <w:tcPr>
            <w:tcW w:w="1660" w:type="dxa"/>
            <w:noWrap/>
            <w:vAlign w:val="center"/>
            <w:hideMark/>
          </w:tcPr>
          <w:p w14:paraId="0538319F"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benign</w:t>
            </w:r>
          </w:p>
        </w:tc>
        <w:tc>
          <w:tcPr>
            <w:tcW w:w="1320" w:type="dxa"/>
            <w:noWrap/>
            <w:vAlign w:val="center"/>
            <w:hideMark/>
          </w:tcPr>
          <w:p w14:paraId="57D45BF4"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0.00</w:t>
            </w:r>
          </w:p>
        </w:tc>
      </w:tr>
      <w:tr w:rsidR="0091160B" w:rsidRPr="008A7960" w14:paraId="74782981" w14:textId="77777777" w:rsidTr="00BA219D">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76935481" w14:textId="77777777" w:rsidR="0091160B" w:rsidRPr="008A7960" w:rsidRDefault="0091160B" w:rsidP="00BA219D">
            <w:pPr>
              <w:spacing w:line="240" w:lineRule="auto"/>
              <w:jc w:val="center"/>
              <w:rPr>
                <w:rFonts w:ascii="Times Roman" w:hAnsi="Times Roman" w:cs="Calibri"/>
                <w:b w:val="0"/>
                <w:bCs w:val="0"/>
                <w:color w:val="000000"/>
                <w:sz w:val="20"/>
                <w:szCs w:val="20"/>
              </w:rPr>
            </w:pPr>
            <w:r w:rsidRPr="008A7960">
              <w:rPr>
                <w:rFonts w:ascii="Times Roman" w:hAnsi="Times Roman" w:cs="Calibri"/>
                <w:color w:val="000000"/>
                <w:sz w:val="20"/>
                <w:szCs w:val="20"/>
              </w:rPr>
              <w:lastRenderedPageBreak/>
              <w:t>rs17671352</w:t>
            </w:r>
          </w:p>
        </w:tc>
        <w:tc>
          <w:tcPr>
            <w:tcW w:w="630" w:type="dxa"/>
            <w:noWrap/>
            <w:vAlign w:val="center"/>
            <w:hideMark/>
          </w:tcPr>
          <w:p w14:paraId="0D1DCDA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17</w:t>
            </w:r>
          </w:p>
        </w:tc>
        <w:tc>
          <w:tcPr>
            <w:tcW w:w="1529" w:type="dxa"/>
            <w:noWrap/>
            <w:vAlign w:val="center"/>
            <w:hideMark/>
          </w:tcPr>
          <w:p w14:paraId="4B684694"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7,116,154 - 7,172,609</w:t>
            </w:r>
          </w:p>
        </w:tc>
        <w:tc>
          <w:tcPr>
            <w:tcW w:w="1351" w:type="dxa"/>
            <w:noWrap/>
            <w:vAlign w:val="center"/>
            <w:hideMark/>
          </w:tcPr>
          <w:p w14:paraId="7A6888B5"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rs4562</w:t>
            </w:r>
          </w:p>
        </w:tc>
        <w:tc>
          <w:tcPr>
            <w:tcW w:w="1260" w:type="dxa"/>
            <w:noWrap/>
            <w:vAlign w:val="center"/>
            <w:hideMark/>
          </w:tcPr>
          <w:p w14:paraId="17518C01"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0.83</w:t>
            </w:r>
          </w:p>
        </w:tc>
        <w:tc>
          <w:tcPr>
            <w:tcW w:w="1620" w:type="dxa"/>
            <w:noWrap/>
            <w:vAlign w:val="center"/>
            <w:hideMark/>
          </w:tcPr>
          <w:p w14:paraId="2E74CCC5"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CLDN7</w:t>
            </w:r>
          </w:p>
        </w:tc>
        <w:tc>
          <w:tcPr>
            <w:tcW w:w="990" w:type="dxa"/>
            <w:vAlign w:val="center"/>
          </w:tcPr>
          <w:p w14:paraId="51E06334"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missense</w:t>
            </w:r>
          </w:p>
        </w:tc>
        <w:tc>
          <w:tcPr>
            <w:tcW w:w="1400" w:type="dxa"/>
            <w:noWrap/>
            <w:vAlign w:val="center"/>
            <w:hideMark/>
          </w:tcPr>
          <w:p w14:paraId="284AA03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tolerated</w:t>
            </w:r>
          </w:p>
        </w:tc>
        <w:tc>
          <w:tcPr>
            <w:tcW w:w="1110" w:type="dxa"/>
            <w:noWrap/>
            <w:vAlign w:val="center"/>
            <w:hideMark/>
          </w:tcPr>
          <w:p w14:paraId="51F19ED8"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0.52</w:t>
            </w:r>
          </w:p>
        </w:tc>
        <w:tc>
          <w:tcPr>
            <w:tcW w:w="1660" w:type="dxa"/>
            <w:noWrap/>
            <w:vAlign w:val="center"/>
            <w:hideMark/>
          </w:tcPr>
          <w:p w14:paraId="3D67B323"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benign</w:t>
            </w:r>
          </w:p>
        </w:tc>
        <w:tc>
          <w:tcPr>
            <w:tcW w:w="1320" w:type="dxa"/>
            <w:noWrap/>
            <w:vAlign w:val="center"/>
            <w:hideMark/>
          </w:tcPr>
          <w:p w14:paraId="4E502A6B"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0.00</w:t>
            </w:r>
          </w:p>
        </w:tc>
      </w:tr>
      <w:tr w:rsidR="0091160B" w:rsidRPr="008A7960" w14:paraId="481DDFB3" w14:textId="77777777" w:rsidTr="00BA219D">
        <w:trPr>
          <w:trHeight w:val="432"/>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40DD2383" w14:textId="77777777" w:rsidR="0091160B" w:rsidRPr="008A7960" w:rsidRDefault="0091160B" w:rsidP="00BA219D">
            <w:pPr>
              <w:spacing w:line="240" w:lineRule="auto"/>
              <w:jc w:val="center"/>
              <w:rPr>
                <w:rFonts w:ascii="Times Roman" w:hAnsi="Times Roman" w:cs="Calibri"/>
                <w:b w:val="0"/>
                <w:bCs w:val="0"/>
                <w:color w:val="000000"/>
                <w:sz w:val="20"/>
                <w:szCs w:val="20"/>
              </w:rPr>
            </w:pPr>
            <w:r w:rsidRPr="008A7960">
              <w:rPr>
                <w:rFonts w:ascii="Times Roman" w:hAnsi="Times Roman" w:cs="Calibri"/>
                <w:color w:val="000000"/>
                <w:sz w:val="20"/>
                <w:szCs w:val="20"/>
              </w:rPr>
              <w:t>rs739138</w:t>
            </w:r>
          </w:p>
        </w:tc>
        <w:tc>
          <w:tcPr>
            <w:tcW w:w="630" w:type="dxa"/>
            <w:noWrap/>
            <w:vAlign w:val="center"/>
            <w:hideMark/>
          </w:tcPr>
          <w:p w14:paraId="7EA836EC"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22</w:t>
            </w:r>
          </w:p>
        </w:tc>
        <w:tc>
          <w:tcPr>
            <w:tcW w:w="1529" w:type="dxa"/>
            <w:noWrap/>
            <w:vAlign w:val="center"/>
            <w:hideMark/>
          </w:tcPr>
          <w:p w14:paraId="164FEFE0"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38,116,507 - 38,157,805</w:t>
            </w:r>
          </w:p>
        </w:tc>
        <w:tc>
          <w:tcPr>
            <w:tcW w:w="1351" w:type="dxa"/>
            <w:noWrap/>
            <w:vAlign w:val="center"/>
            <w:hideMark/>
          </w:tcPr>
          <w:p w14:paraId="13B22CD5"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rs739138</w:t>
            </w:r>
          </w:p>
        </w:tc>
        <w:tc>
          <w:tcPr>
            <w:tcW w:w="1260" w:type="dxa"/>
            <w:noWrap/>
            <w:vAlign w:val="center"/>
            <w:hideMark/>
          </w:tcPr>
          <w:p w14:paraId="356EB3A8"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1.00</w:t>
            </w:r>
          </w:p>
        </w:tc>
        <w:tc>
          <w:tcPr>
            <w:tcW w:w="1620" w:type="dxa"/>
            <w:noWrap/>
            <w:vAlign w:val="center"/>
            <w:hideMark/>
          </w:tcPr>
          <w:p w14:paraId="72EF0A6C"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TRIOBP</w:t>
            </w:r>
          </w:p>
        </w:tc>
        <w:tc>
          <w:tcPr>
            <w:tcW w:w="990" w:type="dxa"/>
            <w:vAlign w:val="center"/>
          </w:tcPr>
          <w:p w14:paraId="576FBBA2"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missense</w:t>
            </w:r>
          </w:p>
        </w:tc>
        <w:tc>
          <w:tcPr>
            <w:tcW w:w="1400" w:type="dxa"/>
            <w:noWrap/>
            <w:vAlign w:val="center"/>
            <w:hideMark/>
          </w:tcPr>
          <w:p w14:paraId="747E0CFE"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tolerated</w:t>
            </w:r>
          </w:p>
        </w:tc>
        <w:tc>
          <w:tcPr>
            <w:tcW w:w="1110" w:type="dxa"/>
            <w:noWrap/>
            <w:vAlign w:val="center"/>
            <w:hideMark/>
          </w:tcPr>
          <w:p w14:paraId="22C54FA1"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1.00</w:t>
            </w:r>
          </w:p>
        </w:tc>
        <w:tc>
          <w:tcPr>
            <w:tcW w:w="1660" w:type="dxa"/>
            <w:noWrap/>
            <w:vAlign w:val="center"/>
            <w:hideMark/>
          </w:tcPr>
          <w:p w14:paraId="068CA7F0"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benign</w:t>
            </w:r>
          </w:p>
        </w:tc>
        <w:tc>
          <w:tcPr>
            <w:tcW w:w="1320" w:type="dxa"/>
            <w:noWrap/>
            <w:vAlign w:val="center"/>
            <w:hideMark/>
          </w:tcPr>
          <w:p w14:paraId="5D134A7F"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0.00</w:t>
            </w:r>
          </w:p>
        </w:tc>
      </w:tr>
      <w:tr w:rsidR="0091160B" w:rsidRPr="008A7960" w14:paraId="6591A442" w14:textId="77777777" w:rsidTr="00BA219D">
        <w:trPr>
          <w:cnfStyle w:val="000000100000" w:firstRow="0" w:lastRow="0" w:firstColumn="0" w:lastColumn="0" w:oddVBand="0" w:evenVBand="0" w:oddHBand="1" w:evenHBand="0" w:firstRowFirstColumn="0" w:firstRowLastColumn="0" w:lastRowFirstColumn="0" w:lastRowLastColumn="0"/>
          <w:trHeight w:val="432"/>
        </w:trPr>
        <w:tc>
          <w:tcPr>
            <w:cnfStyle w:val="001000000000" w:firstRow="0" w:lastRow="0" w:firstColumn="1" w:lastColumn="0" w:oddVBand="0" w:evenVBand="0" w:oddHBand="0" w:evenHBand="0" w:firstRowFirstColumn="0" w:firstRowLastColumn="0" w:lastRowFirstColumn="0" w:lastRowLastColumn="0"/>
            <w:tcW w:w="1350" w:type="dxa"/>
            <w:vAlign w:val="center"/>
          </w:tcPr>
          <w:p w14:paraId="3D1BAFA4" w14:textId="77777777" w:rsidR="0091160B" w:rsidRPr="008A7960" w:rsidRDefault="0091160B" w:rsidP="00BA219D">
            <w:pPr>
              <w:spacing w:line="240" w:lineRule="auto"/>
              <w:jc w:val="center"/>
              <w:rPr>
                <w:rFonts w:ascii="Times Roman" w:hAnsi="Times Roman" w:cs="Calibri"/>
                <w:b w:val="0"/>
                <w:bCs w:val="0"/>
                <w:color w:val="000000"/>
                <w:sz w:val="20"/>
                <w:szCs w:val="20"/>
              </w:rPr>
            </w:pPr>
            <w:r w:rsidRPr="008A7960">
              <w:rPr>
                <w:rFonts w:ascii="Times Roman" w:hAnsi="Times Roman" w:cs="Calibri"/>
                <w:color w:val="000000"/>
                <w:sz w:val="20"/>
                <w:szCs w:val="20"/>
              </w:rPr>
              <w:t>rs739138</w:t>
            </w:r>
          </w:p>
        </w:tc>
        <w:tc>
          <w:tcPr>
            <w:tcW w:w="630" w:type="dxa"/>
            <w:noWrap/>
            <w:vAlign w:val="center"/>
            <w:hideMark/>
          </w:tcPr>
          <w:p w14:paraId="6A2E09B5"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22</w:t>
            </w:r>
          </w:p>
        </w:tc>
        <w:tc>
          <w:tcPr>
            <w:tcW w:w="1529" w:type="dxa"/>
            <w:noWrap/>
            <w:vAlign w:val="center"/>
            <w:hideMark/>
          </w:tcPr>
          <w:p w14:paraId="03374A83"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sz w:val="20"/>
                <w:szCs w:val="20"/>
              </w:rPr>
            </w:pPr>
            <w:r w:rsidRPr="008A7960">
              <w:rPr>
                <w:rFonts w:ascii="Times Roman" w:hAnsi="Times Roman" w:cs="Calibri"/>
                <w:color w:val="000000"/>
                <w:sz w:val="20"/>
                <w:szCs w:val="20"/>
              </w:rPr>
              <w:t>38,116,507 - 38,157,805</w:t>
            </w:r>
          </w:p>
        </w:tc>
        <w:tc>
          <w:tcPr>
            <w:tcW w:w="1351" w:type="dxa"/>
            <w:noWrap/>
            <w:vAlign w:val="center"/>
            <w:hideMark/>
          </w:tcPr>
          <w:p w14:paraId="7B322A53"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rs17856487</w:t>
            </w:r>
          </w:p>
        </w:tc>
        <w:tc>
          <w:tcPr>
            <w:tcW w:w="1260" w:type="dxa"/>
            <w:noWrap/>
            <w:vAlign w:val="center"/>
            <w:hideMark/>
          </w:tcPr>
          <w:p w14:paraId="4E8EAED6"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1.00</w:t>
            </w:r>
          </w:p>
        </w:tc>
        <w:tc>
          <w:tcPr>
            <w:tcW w:w="1620" w:type="dxa"/>
            <w:noWrap/>
            <w:vAlign w:val="center"/>
            <w:hideMark/>
          </w:tcPr>
          <w:p w14:paraId="52D61BE3"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i/>
                <w:iCs/>
                <w:color w:val="000000"/>
                <w:sz w:val="20"/>
                <w:szCs w:val="20"/>
              </w:rPr>
            </w:pPr>
            <w:r w:rsidRPr="008A7960">
              <w:rPr>
                <w:rFonts w:ascii="Times Roman" w:hAnsi="Times Roman" w:cs="Calibri"/>
                <w:i/>
                <w:iCs/>
                <w:color w:val="000000"/>
                <w:sz w:val="20"/>
                <w:szCs w:val="20"/>
              </w:rPr>
              <w:t>BAIAP2L2</w:t>
            </w:r>
          </w:p>
        </w:tc>
        <w:tc>
          <w:tcPr>
            <w:tcW w:w="990" w:type="dxa"/>
            <w:vAlign w:val="center"/>
          </w:tcPr>
          <w:p w14:paraId="7AF8ACA0"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missense</w:t>
            </w:r>
          </w:p>
        </w:tc>
        <w:tc>
          <w:tcPr>
            <w:tcW w:w="1400" w:type="dxa"/>
            <w:noWrap/>
            <w:vAlign w:val="center"/>
            <w:hideMark/>
          </w:tcPr>
          <w:p w14:paraId="31037C2C"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tolerated</w:t>
            </w:r>
          </w:p>
        </w:tc>
        <w:tc>
          <w:tcPr>
            <w:tcW w:w="1110" w:type="dxa"/>
            <w:noWrap/>
            <w:vAlign w:val="center"/>
            <w:hideMark/>
          </w:tcPr>
          <w:p w14:paraId="6DBF7C2C"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0.45 - 0.50</w:t>
            </w:r>
          </w:p>
        </w:tc>
        <w:tc>
          <w:tcPr>
            <w:tcW w:w="1660" w:type="dxa"/>
            <w:noWrap/>
            <w:vAlign w:val="center"/>
            <w:hideMark/>
          </w:tcPr>
          <w:p w14:paraId="660B9C2B"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benign</w:t>
            </w:r>
          </w:p>
        </w:tc>
        <w:tc>
          <w:tcPr>
            <w:tcW w:w="1320" w:type="dxa"/>
            <w:noWrap/>
            <w:vAlign w:val="center"/>
            <w:hideMark/>
          </w:tcPr>
          <w:p w14:paraId="667304F2"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0.00</w:t>
            </w:r>
          </w:p>
        </w:tc>
      </w:tr>
    </w:tbl>
    <w:p w14:paraId="1F576AD8" w14:textId="77777777" w:rsidR="0091160B" w:rsidRPr="008A7960" w:rsidRDefault="0091160B" w:rsidP="0091160B">
      <w:pPr>
        <w:spacing w:line="240" w:lineRule="auto"/>
        <w:ind w:left="-630" w:right="-630"/>
        <w:rPr>
          <w:rFonts w:ascii="Times" w:hAnsi="Times"/>
          <w:color w:val="000000" w:themeColor="text1"/>
          <w:sz w:val="20"/>
          <w:szCs w:val="20"/>
          <w:shd w:val="clear" w:color="auto" w:fill="FFFFFF"/>
        </w:rPr>
      </w:pPr>
      <w:r w:rsidRPr="008A7960">
        <w:rPr>
          <w:rFonts w:ascii="Times" w:hAnsi="Times"/>
          <w:sz w:val="20"/>
          <w:szCs w:val="20"/>
        </w:rPr>
        <w:t xml:space="preserve">The lead SNP and coordinates are reported for each locus. The non-synonymous variant is reported along with its correlation with the lead SNP, the gene within which it is located, as well as SIFT </w:t>
      </w:r>
      <w:r>
        <w:rPr>
          <w:rFonts w:ascii="Times" w:hAnsi="Times"/>
          <w:noProof/>
          <w:sz w:val="20"/>
          <w:szCs w:val="20"/>
        </w:rPr>
        <w:t>[109]</w:t>
      </w:r>
      <w:r>
        <w:rPr>
          <w:rFonts w:ascii="Times" w:hAnsi="Times"/>
          <w:sz w:val="20"/>
          <w:szCs w:val="20"/>
        </w:rPr>
        <w:t xml:space="preserve"> </w:t>
      </w:r>
      <w:r w:rsidRPr="008A7960">
        <w:rPr>
          <w:rFonts w:ascii="Times" w:hAnsi="Times"/>
          <w:sz w:val="20"/>
          <w:szCs w:val="20"/>
        </w:rPr>
        <w:t xml:space="preserve">and PolyPhen-2 </w:t>
      </w:r>
      <w:r>
        <w:rPr>
          <w:rFonts w:ascii="Times" w:hAnsi="Times"/>
          <w:noProof/>
          <w:sz w:val="20"/>
          <w:szCs w:val="20"/>
        </w:rPr>
        <w:t>[110]</w:t>
      </w:r>
      <w:r>
        <w:rPr>
          <w:rFonts w:ascii="Times" w:hAnsi="Times"/>
          <w:sz w:val="20"/>
          <w:szCs w:val="20"/>
        </w:rPr>
        <w:t xml:space="preserve"> </w:t>
      </w:r>
      <w:r w:rsidRPr="008A7960">
        <w:rPr>
          <w:rFonts w:ascii="Times" w:hAnsi="Times"/>
          <w:sz w:val="20"/>
          <w:szCs w:val="20"/>
        </w:rPr>
        <w:t>prediction scores and qualitative descriptors as accessed from Ensembl.org. *SIFT performs prediction of functional consequenc</w:t>
      </w:r>
      <w:r w:rsidRPr="008A7960">
        <w:rPr>
          <w:rFonts w:ascii="Times" w:hAnsi="Times"/>
          <w:color w:val="000000" w:themeColor="text1"/>
          <w:sz w:val="20"/>
          <w:szCs w:val="20"/>
        </w:rPr>
        <w:t>es of genetic variants based on sequence homology</w:t>
      </w:r>
      <w:r>
        <w:rPr>
          <w:color w:val="000000"/>
          <w:sz w:val="20"/>
          <w:szCs w:val="20"/>
        </w:rPr>
        <w:t xml:space="preserve"> </w:t>
      </w:r>
      <w:r>
        <w:rPr>
          <w:rFonts w:ascii="Times" w:hAnsi="Times"/>
          <w:noProof/>
          <w:sz w:val="20"/>
          <w:szCs w:val="20"/>
        </w:rPr>
        <w:t>[109]</w:t>
      </w:r>
      <w:r w:rsidRPr="008A7960">
        <w:rPr>
          <w:rFonts w:ascii="Times" w:hAnsi="Times"/>
          <w:color w:val="000000" w:themeColor="text1"/>
          <w:sz w:val="20"/>
          <w:szCs w:val="20"/>
        </w:rPr>
        <w:t xml:space="preserve">. For Ensembl, </w:t>
      </w:r>
      <w:r w:rsidRPr="008A7960">
        <w:rPr>
          <w:rFonts w:ascii="Times" w:hAnsi="Times"/>
          <w:color w:val="000000" w:themeColor="text1"/>
          <w:sz w:val="20"/>
          <w:szCs w:val="20"/>
          <w:shd w:val="clear" w:color="auto" w:fill="FFFFFF"/>
        </w:rPr>
        <w:t>SIFT version 5.2.2 was run and the software was allowed to select homologous sequences by adding the most similar sequence from a database of protein sequences iteratively to the until conservation in the region of interest decreases, in contrast to manually supplying a batch of related protein sequences. UniRef90 (release November 2014) was supplied as the protein database. The SIFT score corresponds to the normalized probability that the amino acid change is tolerated. Consequently, scores near zero are more likely to be deleterious. The qualitative descriptor was supplied by Ensembl and substitutions with a score &lt; 0.05 were considered "deleterious". **PolyPhen-2 performs prediction of functional consequences of genetic substitutions based on several sequence- and structure-based features</w:t>
      </w:r>
      <w:r>
        <w:rPr>
          <w:color w:val="000000"/>
          <w:sz w:val="20"/>
          <w:szCs w:val="20"/>
        </w:rPr>
        <w:t xml:space="preserve"> </w:t>
      </w:r>
      <w:r>
        <w:rPr>
          <w:rFonts w:ascii="Times" w:hAnsi="Times"/>
          <w:noProof/>
          <w:sz w:val="20"/>
          <w:szCs w:val="20"/>
        </w:rPr>
        <w:t>[110]</w:t>
      </w:r>
      <w:r w:rsidRPr="008A7960">
        <w:rPr>
          <w:rFonts w:ascii="Times" w:hAnsi="Times"/>
          <w:color w:val="000000" w:themeColor="text1"/>
          <w:sz w:val="20"/>
          <w:szCs w:val="20"/>
          <w:shd w:val="clear" w:color="auto" w:fill="FFFFFF"/>
        </w:rPr>
        <w:t xml:space="preserve">. For Ensembl, PolyPhen-2 version 2.2.2, release 405c was run following all instructions from the authors and using the UniProtKB UniRef100 (release October 2013) non-redundant protein set as the protein database and DSSP (snapshot 22 Nov 2013) and PDB (snapshot 22 Nov 2013) as the structural databases. The PolyPhen-2 score represents the probability that a substitution is damaging. Values near one predicted to more likely be damaging. The qualitative cutoffs are: 0 - 0.446: "Benign", 0.446 - 0.908: "Possibly Damaging", and 0.908 - 1.000: "Probably "Damaging". </w:t>
      </w:r>
    </w:p>
    <w:p w14:paraId="77AAA566" w14:textId="77777777" w:rsidR="0091160B" w:rsidRPr="008A7960" w:rsidRDefault="0091160B" w:rsidP="0091160B">
      <w:pPr>
        <w:rPr>
          <w:rFonts w:ascii="Times" w:hAnsi="Times"/>
          <w:color w:val="000000" w:themeColor="text1"/>
          <w:sz w:val="20"/>
          <w:szCs w:val="20"/>
          <w:shd w:val="clear" w:color="auto" w:fill="FFFFFF"/>
        </w:rPr>
      </w:pPr>
      <w:r w:rsidRPr="008A7960">
        <w:rPr>
          <w:rFonts w:ascii="Times" w:hAnsi="Times"/>
          <w:color w:val="000000" w:themeColor="text1"/>
          <w:sz w:val="20"/>
          <w:szCs w:val="20"/>
          <w:shd w:val="clear" w:color="auto" w:fill="FFFFFF"/>
        </w:rPr>
        <w:br w:type="page"/>
      </w:r>
    </w:p>
    <w:p w14:paraId="68983E73" w14:textId="77777777" w:rsidR="0091160B" w:rsidRPr="008A7960" w:rsidRDefault="0091160B" w:rsidP="0091160B">
      <w:pPr>
        <w:spacing w:line="240" w:lineRule="auto"/>
        <w:ind w:right="-450"/>
        <w:rPr>
          <w:rFonts w:ascii="Times" w:hAnsi="Times"/>
        </w:rPr>
      </w:pPr>
      <w:r w:rsidRPr="008A7960">
        <w:rPr>
          <w:rFonts w:ascii="Times" w:hAnsi="Times"/>
          <w:b/>
          <w:bCs/>
        </w:rPr>
        <w:lastRenderedPageBreak/>
        <w:t xml:space="preserve">Table 5. </w:t>
      </w:r>
      <w:r w:rsidRPr="008A7960">
        <w:rPr>
          <w:rFonts w:ascii="Times" w:hAnsi="Times"/>
        </w:rPr>
        <w:t xml:space="preserve">Expression quantitative trait loci (eQTLs) that were found to be linked to genetic loci associated with hearing related traits in the UK Biobank. </w:t>
      </w:r>
    </w:p>
    <w:tbl>
      <w:tblPr>
        <w:tblStyle w:val="ListTable2"/>
        <w:tblW w:w="13409" w:type="dxa"/>
        <w:tblLayout w:type="fixed"/>
        <w:tblLook w:val="04A0" w:firstRow="1" w:lastRow="0" w:firstColumn="1" w:lastColumn="0" w:noHBand="0" w:noVBand="1"/>
      </w:tblPr>
      <w:tblGrid>
        <w:gridCol w:w="1225"/>
        <w:gridCol w:w="125"/>
        <w:gridCol w:w="437"/>
        <w:gridCol w:w="125"/>
        <w:gridCol w:w="1212"/>
        <w:gridCol w:w="125"/>
        <w:gridCol w:w="1161"/>
        <w:gridCol w:w="2606"/>
        <w:gridCol w:w="107"/>
        <w:gridCol w:w="1486"/>
        <w:gridCol w:w="107"/>
        <w:gridCol w:w="4586"/>
        <w:gridCol w:w="107"/>
      </w:tblGrid>
      <w:tr w:rsidR="0091160B" w:rsidRPr="008A7960" w14:paraId="0543098A" w14:textId="77777777" w:rsidTr="00BA219D">
        <w:trPr>
          <w:gridAfter w:val="1"/>
          <w:cnfStyle w:val="100000000000" w:firstRow="1" w:lastRow="0" w:firstColumn="0" w:lastColumn="0" w:oddVBand="0" w:evenVBand="0" w:oddHBand="0" w:evenHBand="0" w:firstRowFirstColumn="0" w:firstRowLastColumn="0" w:lastRowFirstColumn="0" w:lastRowLastColumn="0"/>
          <w:wAfter w:w="107" w:type="dxa"/>
          <w:trHeight w:val="320"/>
        </w:trPr>
        <w:tc>
          <w:tcPr>
            <w:cnfStyle w:val="001000000000" w:firstRow="0" w:lastRow="0" w:firstColumn="1" w:lastColumn="0" w:oddVBand="0" w:evenVBand="0" w:oddHBand="0" w:evenHBand="0" w:firstRowFirstColumn="0" w:firstRowLastColumn="0" w:lastRowFirstColumn="0" w:lastRowLastColumn="0"/>
            <w:tcW w:w="1225" w:type="dxa"/>
            <w:tcBorders>
              <w:top w:val="nil"/>
            </w:tcBorders>
            <w:noWrap/>
            <w:vAlign w:val="bottom"/>
            <w:hideMark/>
          </w:tcPr>
          <w:p w14:paraId="33A0C07B" w14:textId="77777777" w:rsidR="0091160B" w:rsidRPr="008A7960" w:rsidRDefault="0091160B" w:rsidP="00BA219D">
            <w:pPr>
              <w:spacing w:line="240" w:lineRule="auto"/>
              <w:rPr>
                <w:rFonts w:ascii="Times" w:hAnsi="Times" w:cs="Calibri"/>
                <w:color w:val="000000"/>
                <w:sz w:val="20"/>
                <w:szCs w:val="20"/>
              </w:rPr>
            </w:pPr>
            <w:r w:rsidRPr="008A7960">
              <w:rPr>
                <w:rFonts w:ascii="Times" w:hAnsi="Times" w:cs="Calibri"/>
                <w:color w:val="000000"/>
                <w:sz w:val="20"/>
                <w:szCs w:val="20"/>
              </w:rPr>
              <w:t>Lead SNP</w:t>
            </w:r>
          </w:p>
        </w:tc>
        <w:tc>
          <w:tcPr>
            <w:tcW w:w="562" w:type="dxa"/>
            <w:gridSpan w:val="2"/>
            <w:tcBorders>
              <w:top w:val="nil"/>
            </w:tcBorders>
            <w:noWrap/>
            <w:vAlign w:val="bottom"/>
            <w:hideMark/>
          </w:tcPr>
          <w:p w14:paraId="39050E71"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Chr</w:t>
            </w:r>
          </w:p>
        </w:tc>
        <w:tc>
          <w:tcPr>
            <w:tcW w:w="1337" w:type="dxa"/>
            <w:gridSpan w:val="2"/>
            <w:tcBorders>
              <w:top w:val="nil"/>
            </w:tcBorders>
            <w:noWrap/>
            <w:vAlign w:val="bottom"/>
            <w:hideMark/>
          </w:tcPr>
          <w:p w14:paraId="1207E423"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Locus</w:t>
            </w:r>
          </w:p>
        </w:tc>
        <w:tc>
          <w:tcPr>
            <w:tcW w:w="1286" w:type="dxa"/>
            <w:gridSpan w:val="2"/>
            <w:tcBorders>
              <w:top w:val="nil"/>
              <w:right w:val="single" w:sz="4" w:space="0" w:color="auto"/>
            </w:tcBorders>
            <w:noWrap/>
            <w:vAlign w:val="bottom"/>
            <w:hideMark/>
          </w:tcPr>
          <w:p w14:paraId="53C7D972"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Phenotype</w:t>
            </w:r>
          </w:p>
        </w:tc>
        <w:tc>
          <w:tcPr>
            <w:tcW w:w="2606" w:type="dxa"/>
            <w:tcBorders>
              <w:top w:val="nil"/>
              <w:left w:val="single" w:sz="4" w:space="0" w:color="auto"/>
            </w:tcBorders>
            <w:noWrap/>
            <w:vAlign w:val="bottom"/>
            <w:hideMark/>
          </w:tcPr>
          <w:p w14:paraId="34EDD63D"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Linked eQTLs</w:t>
            </w:r>
          </w:p>
        </w:tc>
        <w:tc>
          <w:tcPr>
            <w:tcW w:w="1593" w:type="dxa"/>
            <w:gridSpan w:val="2"/>
            <w:tcBorders>
              <w:top w:val="nil"/>
            </w:tcBorders>
            <w:vAlign w:val="bottom"/>
          </w:tcPr>
          <w:p w14:paraId="2340A440" w14:textId="77777777" w:rsidR="0091160B" w:rsidRPr="008A7960" w:rsidRDefault="0091160B" w:rsidP="00BA219D">
            <w:pPr>
              <w:spacing w:line="240" w:lineRule="auto"/>
              <w:ind w:right="93"/>
              <w:jc w:val="cente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Regulated gene(s)</w:t>
            </w:r>
          </w:p>
        </w:tc>
        <w:tc>
          <w:tcPr>
            <w:tcW w:w="4693" w:type="dxa"/>
            <w:gridSpan w:val="2"/>
            <w:tcBorders>
              <w:top w:val="nil"/>
            </w:tcBorders>
            <w:noWrap/>
            <w:vAlign w:val="bottom"/>
            <w:hideMark/>
          </w:tcPr>
          <w:p w14:paraId="01E9E6AC" w14:textId="77777777" w:rsidR="0091160B" w:rsidRPr="008A7960" w:rsidRDefault="0091160B" w:rsidP="00BA219D">
            <w:pPr>
              <w:spacing w:line="240" w:lineRule="auto"/>
              <w:ind w:right="93"/>
              <w:jc w:val="cente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Tissues</w:t>
            </w:r>
          </w:p>
        </w:tc>
      </w:tr>
      <w:tr w:rsidR="0091160B" w:rsidRPr="008A7960" w14:paraId="71CEF11A" w14:textId="77777777" w:rsidTr="00BA219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0" w:type="dxa"/>
            <w:gridSpan w:val="2"/>
            <w:noWrap/>
            <w:vAlign w:val="center"/>
            <w:hideMark/>
          </w:tcPr>
          <w:p w14:paraId="77D19753" w14:textId="77777777" w:rsidR="0091160B" w:rsidRPr="008A7960" w:rsidRDefault="0091160B" w:rsidP="00BA219D">
            <w:pPr>
              <w:spacing w:line="240" w:lineRule="auto"/>
              <w:rPr>
                <w:rFonts w:ascii="Times" w:hAnsi="Times" w:cs="Calibri"/>
                <w:b w:val="0"/>
                <w:bCs w:val="0"/>
                <w:color w:val="000000"/>
                <w:sz w:val="20"/>
                <w:szCs w:val="20"/>
              </w:rPr>
            </w:pPr>
            <w:r w:rsidRPr="008A7960">
              <w:rPr>
                <w:rFonts w:ascii="Times" w:hAnsi="Times" w:cs="Calibri"/>
                <w:b w:val="0"/>
                <w:bCs w:val="0"/>
                <w:color w:val="000000"/>
                <w:sz w:val="20"/>
                <w:szCs w:val="20"/>
              </w:rPr>
              <w:t>rs36089056</w:t>
            </w:r>
          </w:p>
        </w:tc>
        <w:tc>
          <w:tcPr>
            <w:tcW w:w="562" w:type="dxa"/>
            <w:gridSpan w:val="2"/>
            <w:noWrap/>
            <w:vAlign w:val="center"/>
            <w:hideMark/>
          </w:tcPr>
          <w:p w14:paraId="3EA731B8"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1</w:t>
            </w:r>
          </w:p>
        </w:tc>
        <w:tc>
          <w:tcPr>
            <w:tcW w:w="1337" w:type="dxa"/>
            <w:gridSpan w:val="2"/>
            <w:noWrap/>
            <w:vAlign w:val="center"/>
            <w:hideMark/>
          </w:tcPr>
          <w:p w14:paraId="2F2B4406"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46,027,355 - 46,598,273</w:t>
            </w:r>
          </w:p>
        </w:tc>
        <w:tc>
          <w:tcPr>
            <w:tcW w:w="1161" w:type="dxa"/>
            <w:tcBorders>
              <w:right w:val="single" w:sz="4" w:space="0" w:color="auto"/>
            </w:tcBorders>
            <w:noWrap/>
            <w:vAlign w:val="center"/>
            <w:hideMark/>
          </w:tcPr>
          <w:p w14:paraId="29DD6E67"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Hearing difficulty</w:t>
            </w:r>
          </w:p>
        </w:tc>
        <w:tc>
          <w:tcPr>
            <w:tcW w:w="2713" w:type="dxa"/>
            <w:gridSpan w:val="2"/>
            <w:tcBorders>
              <w:left w:val="single" w:sz="4" w:space="0" w:color="auto"/>
            </w:tcBorders>
            <w:noWrap/>
            <w:vAlign w:val="center"/>
            <w:hideMark/>
          </w:tcPr>
          <w:p w14:paraId="2EE11F30"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rs6429576, rs12027345, rs11211188, rs7526532, rs12565042, rs10789475, rs9787208, rs12144263, 1:46372564 CTT C, rs11211251, rs199555086</w:t>
            </w:r>
          </w:p>
        </w:tc>
        <w:tc>
          <w:tcPr>
            <w:tcW w:w="1593" w:type="dxa"/>
            <w:gridSpan w:val="2"/>
            <w:vAlign w:val="center"/>
          </w:tcPr>
          <w:p w14:paraId="0D765001" w14:textId="77777777" w:rsidR="0091160B" w:rsidRPr="008A7960" w:rsidRDefault="0091160B" w:rsidP="00BA219D">
            <w:pPr>
              <w:spacing w:line="240" w:lineRule="auto"/>
              <w:ind w:right="93"/>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i/>
                <w:iCs/>
                <w:color w:val="000000"/>
                <w:sz w:val="20"/>
                <w:szCs w:val="20"/>
              </w:rPr>
              <w:t>IPP, MAST2, PIK3R3</w:t>
            </w:r>
          </w:p>
        </w:tc>
        <w:tc>
          <w:tcPr>
            <w:tcW w:w="4693" w:type="dxa"/>
            <w:gridSpan w:val="2"/>
            <w:noWrap/>
            <w:vAlign w:val="center"/>
            <w:hideMark/>
          </w:tcPr>
          <w:p w14:paraId="0EE7E87E" w14:textId="77777777" w:rsidR="0091160B" w:rsidRPr="008A7960" w:rsidRDefault="0091160B" w:rsidP="00BA219D">
            <w:pPr>
              <w:spacing w:line="240" w:lineRule="auto"/>
              <w:ind w:right="93"/>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Thyroid, Heart Atrial Appendage, Esophagus Muscularis, Heart Left Ventricle, Whole Blood, Cells Transformed fibroblasts, Adipose Subcutaneous, Colon Sigmoid, Lung, Artery Aorta, Uterus, Artery Tibial, Nerve Tibial.</w:t>
            </w:r>
          </w:p>
        </w:tc>
      </w:tr>
      <w:tr w:rsidR="0091160B" w:rsidRPr="008A7960" w14:paraId="6D9CDA74" w14:textId="77777777" w:rsidTr="00BA219D">
        <w:trPr>
          <w:trHeight w:val="320"/>
        </w:trPr>
        <w:tc>
          <w:tcPr>
            <w:cnfStyle w:val="001000000000" w:firstRow="0" w:lastRow="0" w:firstColumn="1" w:lastColumn="0" w:oddVBand="0" w:evenVBand="0" w:oddHBand="0" w:evenHBand="0" w:firstRowFirstColumn="0" w:firstRowLastColumn="0" w:lastRowFirstColumn="0" w:lastRowLastColumn="0"/>
            <w:tcW w:w="1350" w:type="dxa"/>
            <w:gridSpan w:val="2"/>
            <w:noWrap/>
            <w:vAlign w:val="center"/>
            <w:hideMark/>
          </w:tcPr>
          <w:p w14:paraId="2B046FA7" w14:textId="77777777" w:rsidR="0091160B" w:rsidRPr="008A7960" w:rsidRDefault="0091160B" w:rsidP="00BA219D">
            <w:pPr>
              <w:spacing w:line="240" w:lineRule="auto"/>
              <w:rPr>
                <w:rFonts w:ascii="Times" w:hAnsi="Times" w:cs="Calibri"/>
                <w:b w:val="0"/>
                <w:bCs w:val="0"/>
                <w:color w:val="000000"/>
                <w:sz w:val="20"/>
                <w:szCs w:val="20"/>
              </w:rPr>
            </w:pPr>
            <w:r w:rsidRPr="008A7960">
              <w:rPr>
                <w:rFonts w:ascii="Times" w:hAnsi="Times" w:cs="Calibri"/>
                <w:b w:val="0"/>
                <w:bCs w:val="0"/>
                <w:color w:val="000000"/>
                <w:sz w:val="20"/>
                <w:szCs w:val="20"/>
              </w:rPr>
              <w:t>rs1981809</w:t>
            </w:r>
          </w:p>
        </w:tc>
        <w:tc>
          <w:tcPr>
            <w:tcW w:w="562" w:type="dxa"/>
            <w:gridSpan w:val="2"/>
            <w:noWrap/>
            <w:vAlign w:val="center"/>
            <w:hideMark/>
          </w:tcPr>
          <w:p w14:paraId="643C2139"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5</w:t>
            </w:r>
          </w:p>
        </w:tc>
        <w:tc>
          <w:tcPr>
            <w:tcW w:w="1337" w:type="dxa"/>
            <w:gridSpan w:val="2"/>
            <w:noWrap/>
            <w:vAlign w:val="center"/>
            <w:hideMark/>
          </w:tcPr>
          <w:p w14:paraId="71D37374"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72,838,222 - 72,995,701</w:t>
            </w:r>
          </w:p>
        </w:tc>
        <w:tc>
          <w:tcPr>
            <w:tcW w:w="1161" w:type="dxa"/>
            <w:tcBorders>
              <w:right w:val="single" w:sz="4" w:space="0" w:color="auto"/>
            </w:tcBorders>
            <w:noWrap/>
            <w:vAlign w:val="center"/>
            <w:hideMark/>
          </w:tcPr>
          <w:p w14:paraId="58010A9F"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Hearing difficulty</w:t>
            </w:r>
          </w:p>
        </w:tc>
        <w:tc>
          <w:tcPr>
            <w:tcW w:w="2713" w:type="dxa"/>
            <w:gridSpan w:val="2"/>
            <w:tcBorders>
              <w:left w:val="single" w:sz="4" w:space="0" w:color="auto"/>
            </w:tcBorders>
            <w:noWrap/>
            <w:vAlign w:val="center"/>
            <w:hideMark/>
          </w:tcPr>
          <w:p w14:paraId="3B015BBD"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rs11386152, rs3822452, rs10942676, rs35211645, rs6890164</w:t>
            </w:r>
          </w:p>
        </w:tc>
        <w:tc>
          <w:tcPr>
            <w:tcW w:w="1593" w:type="dxa"/>
            <w:gridSpan w:val="2"/>
            <w:vAlign w:val="center"/>
          </w:tcPr>
          <w:p w14:paraId="3E2943AB" w14:textId="77777777" w:rsidR="0091160B" w:rsidRPr="008A7960" w:rsidRDefault="0091160B" w:rsidP="00BA219D">
            <w:pPr>
              <w:spacing w:line="240" w:lineRule="auto"/>
              <w:ind w:right="93"/>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i/>
                <w:iCs/>
                <w:color w:val="000000"/>
                <w:sz w:val="20"/>
                <w:szCs w:val="20"/>
              </w:rPr>
              <w:t>UTP15, ARGHEF28</w:t>
            </w:r>
          </w:p>
        </w:tc>
        <w:tc>
          <w:tcPr>
            <w:tcW w:w="4693" w:type="dxa"/>
            <w:gridSpan w:val="2"/>
            <w:noWrap/>
            <w:vAlign w:val="center"/>
            <w:hideMark/>
          </w:tcPr>
          <w:p w14:paraId="5015C113" w14:textId="77777777" w:rsidR="0091160B" w:rsidRPr="008A7960" w:rsidRDefault="0091160B" w:rsidP="00BA219D">
            <w:pPr>
              <w:spacing w:line="240" w:lineRule="auto"/>
              <w:ind w:right="93"/>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Nerve Tibial, Adipose Subcutaneous, Thyroid, Artery Tibial.</w:t>
            </w:r>
          </w:p>
        </w:tc>
      </w:tr>
      <w:tr w:rsidR="0091160B" w:rsidRPr="008A7960" w14:paraId="708B9240" w14:textId="77777777" w:rsidTr="00BA219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0" w:type="dxa"/>
            <w:gridSpan w:val="2"/>
            <w:noWrap/>
            <w:vAlign w:val="center"/>
            <w:hideMark/>
          </w:tcPr>
          <w:p w14:paraId="35758B34" w14:textId="77777777" w:rsidR="0091160B" w:rsidRPr="008A7960" w:rsidRDefault="0091160B" w:rsidP="00BA219D">
            <w:pPr>
              <w:spacing w:line="240" w:lineRule="auto"/>
              <w:rPr>
                <w:rFonts w:ascii="Times" w:hAnsi="Times" w:cs="Calibri"/>
                <w:b w:val="0"/>
                <w:bCs w:val="0"/>
                <w:color w:val="000000"/>
                <w:sz w:val="20"/>
                <w:szCs w:val="20"/>
              </w:rPr>
            </w:pPr>
            <w:r w:rsidRPr="008A7960">
              <w:rPr>
                <w:rFonts w:ascii="Times" w:hAnsi="Times" w:cs="Calibri"/>
                <w:b w:val="0"/>
                <w:bCs w:val="0"/>
                <w:color w:val="000000"/>
                <w:sz w:val="20"/>
                <w:szCs w:val="20"/>
              </w:rPr>
              <w:t>rs13171669</w:t>
            </w:r>
          </w:p>
        </w:tc>
        <w:tc>
          <w:tcPr>
            <w:tcW w:w="562" w:type="dxa"/>
            <w:gridSpan w:val="2"/>
            <w:noWrap/>
            <w:vAlign w:val="center"/>
            <w:hideMark/>
          </w:tcPr>
          <w:p w14:paraId="796A157D"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5</w:t>
            </w:r>
          </w:p>
        </w:tc>
        <w:tc>
          <w:tcPr>
            <w:tcW w:w="1337" w:type="dxa"/>
            <w:gridSpan w:val="2"/>
            <w:noWrap/>
            <w:vAlign w:val="center"/>
            <w:hideMark/>
          </w:tcPr>
          <w:p w14:paraId="75C7672D"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148,562,829 - 148,615,946</w:t>
            </w:r>
          </w:p>
        </w:tc>
        <w:tc>
          <w:tcPr>
            <w:tcW w:w="1161" w:type="dxa"/>
            <w:tcBorders>
              <w:right w:val="single" w:sz="4" w:space="0" w:color="auto"/>
            </w:tcBorders>
            <w:noWrap/>
            <w:vAlign w:val="center"/>
            <w:hideMark/>
          </w:tcPr>
          <w:p w14:paraId="7DCE1278"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Hearing difficulty</w:t>
            </w:r>
          </w:p>
        </w:tc>
        <w:tc>
          <w:tcPr>
            <w:tcW w:w="2713" w:type="dxa"/>
            <w:gridSpan w:val="2"/>
            <w:tcBorders>
              <w:left w:val="single" w:sz="4" w:space="0" w:color="auto"/>
            </w:tcBorders>
            <w:noWrap/>
            <w:vAlign w:val="center"/>
            <w:hideMark/>
          </w:tcPr>
          <w:p w14:paraId="65A77FCD"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rs13171669</w:t>
            </w:r>
          </w:p>
        </w:tc>
        <w:tc>
          <w:tcPr>
            <w:tcW w:w="1593" w:type="dxa"/>
            <w:gridSpan w:val="2"/>
            <w:vAlign w:val="center"/>
          </w:tcPr>
          <w:p w14:paraId="65DEBF33" w14:textId="77777777" w:rsidR="0091160B" w:rsidRPr="008A7960" w:rsidRDefault="0091160B" w:rsidP="00BA219D">
            <w:pPr>
              <w:spacing w:line="240" w:lineRule="auto"/>
              <w:ind w:right="93"/>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i/>
                <w:iCs/>
                <w:color w:val="000000"/>
                <w:sz w:val="20"/>
                <w:szCs w:val="20"/>
              </w:rPr>
              <w:t>ABLIM3</w:t>
            </w:r>
          </w:p>
        </w:tc>
        <w:tc>
          <w:tcPr>
            <w:tcW w:w="4693" w:type="dxa"/>
            <w:gridSpan w:val="2"/>
            <w:noWrap/>
            <w:vAlign w:val="center"/>
            <w:hideMark/>
          </w:tcPr>
          <w:p w14:paraId="2D59FEAA" w14:textId="77777777" w:rsidR="0091160B" w:rsidRPr="008A7960" w:rsidRDefault="0091160B" w:rsidP="00BA219D">
            <w:pPr>
              <w:spacing w:line="240" w:lineRule="auto"/>
              <w:ind w:right="93"/>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Cerebellum, Cerebellar Hemisphere, Hippocampus</w:t>
            </w:r>
          </w:p>
        </w:tc>
      </w:tr>
      <w:tr w:rsidR="0091160B" w:rsidRPr="008A7960" w14:paraId="19107D76" w14:textId="77777777" w:rsidTr="00BA219D">
        <w:trPr>
          <w:trHeight w:val="320"/>
        </w:trPr>
        <w:tc>
          <w:tcPr>
            <w:cnfStyle w:val="001000000000" w:firstRow="0" w:lastRow="0" w:firstColumn="1" w:lastColumn="0" w:oddVBand="0" w:evenVBand="0" w:oddHBand="0" w:evenHBand="0" w:firstRowFirstColumn="0" w:firstRowLastColumn="0" w:lastRowFirstColumn="0" w:lastRowLastColumn="0"/>
            <w:tcW w:w="1350" w:type="dxa"/>
            <w:gridSpan w:val="2"/>
            <w:noWrap/>
            <w:vAlign w:val="center"/>
            <w:hideMark/>
          </w:tcPr>
          <w:p w14:paraId="3576A0EE" w14:textId="77777777" w:rsidR="0091160B" w:rsidRPr="008A7960" w:rsidRDefault="0091160B" w:rsidP="00BA219D">
            <w:pPr>
              <w:spacing w:line="240" w:lineRule="auto"/>
              <w:rPr>
                <w:rFonts w:ascii="Times" w:hAnsi="Times" w:cs="Calibri"/>
                <w:b w:val="0"/>
                <w:bCs w:val="0"/>
                <w:color w:val="000000"/>
                <w:sz w:val="20"/>
                <w:szCs w:val="20"/>
              </w:rPr>
            </w:pPr>
            <w:r w:rsidRPr="008A7960">
              <w:rPr>
                <w:rFonts w:ascii="Times" w:hAnsi="Times" w:cs="Calibri"/>
                <w:b w:val="0"/>
                <w:bCs w:val="0"/>
                <w:color w:val="000000"/>
                <w:sz w:val="20"/>
                <w:szCs w:val="20"/>
              </w:rPr>
              <w:t>rs553448379</w:t>
            </w:r>
          </w:p>
        </w:tc>
        <w:tc>
          <w:tcPr>
            <w:tcW w:w="562" w:type="dxa"/>
            <w:gridSpan w:val="2"/>
            <w:noWrap/>
            <w:vAlign w:val="center"/>
            <w:hideMark/>
          </w:tcPr>
          <w:p w14:paraId="230891B8"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6</w:t>
            </w:r>
          </w:p>
        </w:tc>
        <w:tc>
          <w:tcPr>
            <w:tcW w:w="1337" w:type="dxa"/>
            <w:gridSpan w:val="2"/>
            <w:noWrap/>
            <w:vAlign w:val="center"/>
            <w:hideMark/>
          </w:tcPr>
          <w:p w14:paraId="1ACB0FB8"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43,260,660 - 43,408,005</w:t>
            </w:r>
          </w:p>
        </w:tc>
        <w:tc>
          <w:tcPr>
            <w:tcW w:w="1161" w:type="dxa"/>
            <w:tcBorders>
              <w:right w:val="single" w:sz="4" w:space="0" w:color="auto"/>
            </w:tcBorders>
            <w:noWrap/>
            <w:vAlign w:val="center"/>
            <w:hideMark/>
          </w:tcPr>
          <w:p w14:paraId="7B26D171"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Hearing difficulty</w:t>
            </w:r>
          </w:p>
        </w:tc>
        <w:tc>
          <w:tcPr>
            <w:tcW w:w="2713" w:type="dxa"/>
            <w:gridSpan w:val="2"/>
            <w:tcBorders>
              <w:left w:val="single" w:sz="4" w:space="0" w:color="auto"/>
            </w:tcBorders>
            <w:noWrap/>
            <w:vAlign w:val="center"/>
            <w:hideMark/>
          </w:tcPr>
          <w:p w14:paraId="1B3DE6D2"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rs1574430, rs2254303</w:t>
            </w:r>
          </w:p>
        </w:tc>
        <w:tc>
          <w:tcPr>
            <w:tcW w:w="1593" w:type="dxa"/>
            <w:gridSpan w:val="2"/>
            <w:vAlign w:val="center"/>
          </w:tcPr>
          <w:p w14:paraId="30CCC90D" w14:textId="77777777" w:rsidR="0091160B" w:rsidRPr="008A7960" w:rsidRDefault="0091160B" w:rsidP="00BA219D">
            <w:pPr>
              <w:spacing w:line="240" w:lineRule="auto"/>
              <w:ind w:right="93"/>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i/>
                <w:iCs/>
                <w:color w:val="000000"/>
                <w:sz w:val="20"/>
                <w:szCs w:val="20"/>
              </w:rPr>
              <w:t>SLC22A7, CRIP3</w:t>
            </w:r>
          </w:p>
        </w:tc>
        <w:tc>
          <w:tcPr>
            <w:tcW w:w="4693" w:type="dxa"/>
            <w:gridSpan w:val="2"/>
            <w:noWrap/>
            <w:vAlign w:val="center"/>
            <w:hideMark/>
          </w:tcPr>
          <w:p w14:paraId="3B49CB7E" w14:textId="77777777" w:rsidR="0091160B" w:rsidRPr="008A7960" w:rsidRDefault="0091160B" w:rsidP="00BA219D">
            <w:pPr>
              <w:spacing w:line="240" w:lineRule="auto"/>
              <w:ind w:right="93"/>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Testis, Heart Left Ventricle</w:t>
            </w:r>
          </w:p>
        </w:tc>
      </w:tr>
      <w:tr w:rsidR="0091160B" w:rsidRPr="008A7960" w14:paraId="5A3B757B" w14:textId="77777777" w:rsidTr="00BA219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0" w:type="dxa"/>
            <w:gridSpan w:val="2"/>
            <w:noWrap/>
            <w:vAlign w:val="center"/>
            <w:hideMark/>
          </w:tcPr>
          <w:p w14:paraId="28A9E5CB" w14:textId="77777777" w:rsidR="0091160B" w:rsidRPr="008A7960" w:rsidRDefault="0091160B" w:rsidP="00BA219D">
            <w:pPr>
              <w:spacing w:line="240" w:lineRule="auto"/>
              <w:rPr>
                <w:rFonts w:ascii="Times" w:hAnsi="Times" w:cs="Calibri"/>
                <w:b w:val="0"/>
                <w:bCs w:val="0"/>
                <w:color w:val="000000"/>
                <w:sz w:val="20"/>
                <w:szCs w:val="20"/>
              </w:rPr>
            </w:pPr>
            <w:r w:rsidRPr="008A7960">
              <w:rPr>
                <w:rFonts w:ascii="Times" w:hAnsi="Times" w:cs="Calibri"/>
                <w:b w:val="0"/>
                <w:bCs w:val="0"/>
                <w:color w:val="000000"/>
                <w:sz w:val="20"/>
                <w:szCs w:val="20"/>
              </w:rPr>
              <w:t>rs1558804</w:t>
            </w:r>
          </w:p>
        </w:tc>
        <w:tc>
          <w:tcPr>
            <w:tcW w:w="562" w:type="dxa"/>
            <w:gridSpan w:val="2"/>
            <w:noWrap/>
            <w:vAlign w:val="center"/>
            <w:hideMark/>
          </w:tcPr>
          <w:p w14:paraId="18E172F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12</w:t>
            </w:r>
          </w:p>
        </w:tc>
        <w:tc>
          <w:tcPr>
            <w:tcW w:w="1337" w:type="dxa"/>
            <w:gridSpan w:val="2"/>
            <w:noWrap/>
            <w:vAlign w:val="center"/>
            <w:hideMark/>
          </w:tcPr>
          <w:p w14:paraId="1C053060"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109,788,598 - 110,042,348</w:t>
            </w:r>
          </w:p>
        </w:tc>
        <w:tc>
          <w:tcPr>
            <w:tcW w:w="1161" w:type="dxa"/>
            <w:tcBorders>
              <w:right w:val="single" w:sz="4" w:space="0" w:color="auto"/>
            </w:tcBorders>
            <w:noWrap/>
            <w:vAlign w:val="center"/>
            <w:hideMark/>
          </w:tcPr>
          <w:p w14:paraId="0E1D8BE6"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Hearing difficulty</w:t>
            </w:r>
          </w:p>
        </w:tc>
        <w:tc>
          <w:tcPr>
            <w:tcW w:w="2713" w:type="dxa"/>
            <w:gridSpan w:val="2"/>
            <w:tcBorders>
              <w:left w:val="single" w:sz="4" w:space="0" w:color="auto"/>
            </w:tcBorders>
            <w:noWrap/>
            <w:vAlign w:val="center"/>
            <w:hideMark/>
          </w:tcPr>
          <w:p w14:paraId="1E8CB2CD"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rs7313797, rs3742015</w:t>
            </w:r>
          </w:p>
        </w:tc>
        <w:tc>
          <w:tcPr>
            <w:tcW w:w="1593" w:type="dxa"/>
            <w:gridSpan w:val="2"/>
            <w:vAlign w:val="center"/>
          </w:tcPr>
          <w:p w14:paraId="16B41773" w14:textId="77777777" w:rsidR="0091160B" w:rsidRPr="008A7960" w:rsidRDefault="0091160B" w:rsidP="00BA219D">
            <w:pPr>
              <w:spacing w:line="240" w:lineRule="auto"/>
              <w:ind w:right="93"/>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i/>
                <w:iCs/>
                <w:color w:val="000000"/>
                <w:sz w:val="20"/>
                <w:szCs w:val="20"/>
              </w:rPr>
              <w:t>MMAB</w:t>
            </w:r>
          </w:p>
        </w:tc>
        <w:tc>
          <w:tcPr>
            <w:tcW w:w="4693" w:type="dxa"/>
            <w:gridSpan w:val="2"/>
            <w:noWrap/>
            <w:vAlign w:val="center"/>
            <w:hideMark/>
          </w:tcPr>
          <w:p w14:paraId="15F45A5E" w14:textId="77777777" w:rsidR="0091160B" w:rsidRPr="008A7960" w:rsidRDefault="0091160B" w:rsidP="00BA219D">
            <w:pPr>
              <w:spacing w:line="240" w:lineRule="auto"/>
              <w:ind w:right="93"/>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Thyroid, Colon Transverse.</w:t>
            </w:r>
          </w:p>
        </w:tc>
      </w:tr>
      <w:tr w:rsidR="0091160B" w:rsidRPr="008A7960" w14:paraId="6AA0E8A0" w14:textId="77777777" w:rsidTr="00BA219D">
        <w:trPr>
          <w:trHeight w:val="320"/>
        </w:trPr>
        <w:tc>
          <w:tcPr>
            <w:cnfStyle w:val="001000000000" w:firstRow="0" w:lastRow="0" w:firstColumn="1" w:lastColumn="0" w:oddVBand="0" w:evenVBand="0" w:oddHBand="0" w:evenHBand="0" w:firstRowFirstColumn="0" w:firstRowLastColumn="0" w:lastRowFirstColumn="0" w:lastRowLastColumn="0"/>
            <w:tcW w:w="1350" w:type="dxa"/>
            <w:gridSpan w:val="2"/>
            <w:noWrap/>
            <w:vAlign w:val="center"/>
            <w:hideMark/>
          </w:tcPr>
          <w:p w14:paraId="3616C567" w14:textId="77777777" w:rsidR="0091160B" w:rsidRPr="008A7960" w:rsidRDefault="0091160B" w:rsidP="00BA219D">
            <w:pPr>
              <w:spacing w:line="240" w:lineRule="auto"/>
              <w:rPr>
                <w:rFonts w:ascii="Times" w:hAnsi="Times" w:cs="Calibri"/>
                <w:b w:val="0"/>
                <w:bCs w:val="0"/>
                <w:color w:val="000000"/>
                <w:sz w:val="20"/>
                <w:szCs w:val="20"/>
              </w:rPr>
            </w:pPr>
            <w:r w:rsidRPr="008A7960">
              <w:rPr>
                <w:rFonts w:ascii="Times" w:hAnsi="Times" w:cs="Calibri"/>
                <w:b w:val="0"/>
                <w:bCs w:val="0"/>
                <w:color w:val="000000"/>
                <w:sz w:val="20"/>
                <w:szCs w:val="20"/>
              </w:rPr>
              <w:t>rs17671352</w:t>
            </w:r>
          </w:p>
        </w:tc>
        <w:tc>
          <w:tcPr>
            <w:tcW w:w="562" w:type="dxa"/>
            <w:gridSpan w:val="2"/>
            <w:noWrap/>
            <w:vAlign w:val="center"/>
            <w:hideMark/>
          </w:tcPr>
          <w:p w14:paraId="229FD277"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17</w:t>
            </w:r>
          </w:p>
        </w:tc>
        <w:tc>
          <w:tcPr>
            <w:tcW w:w="1337" w:type="dxa"/>
            <w:gridSpan w:val="2"/>
            <w:noWrap/>
            <w:vAlign w:val="center"/>
            <w:hideMark/>
          </w:tcPr>
          <w:p w14:paraId="6859F519"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7,116,154 - 7,172,609</w:t>
            </w:r>
          </w:p>
        </w:tc>
        <w:tc>
          <w:tcPr>
            <w:tcW w:w="1161" w:type="dxa"/>
            <w:tcBorders>
              <w:right w:val="single" w:sz="4" w:space="0" w:color="auto"/>
            </w:tcBorders>
            <w:noWrap/>
            <w:vAlign w:val="center"/>
            <w:hideMark/>
          </w:tcPr>
          <w:p w14:paraId="5E1CA010"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Hearing difficulty</w:t>
            </w:r>
          </w:p>
        </w:tc>
        <w:tc>
          <w:tcPr>
            <w:tcW w:w="2713" w:type="dxa"/>
            <w:gridSpan w:val="2"/>
            <w:tcBorders>
              <w:left w:val="single" w:sz="4" w:space="0" w:color="auto"/>
            </w:tcBorders>
            <w:noWrap/>
            <w:vAlign w:val="center"/>
            <w:hideMark/>
          </w:tcPr>
          <w:p w14:paraId="0B3579CE"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rs929229, rs35224044, rs507506, rs739669, rs222851, rs34926505, rs2654186, rs414206, rs62059170, rs2074219, rs427784, rs2106842, 17:7165395 CG C, rs34958987, rs749977065</w:t>
            </w:r>
          </w:p>
        </w:tc>
        <w:tc>
          <w:tcPr>
            <w:tcW w:w="1593" w:type="dxa"/>
            <w:gridSpan w:val="2"/>
            <w:vAlign w:val="center"/>
          </w:tcPr>
          <w:p w14:paraId="1D8E8E35" w14:textId="77777777" w:rsidR="0091160B" w:rsidRPr="008A7960" w:rsidRDefault="0091160B" w:rsidP="00BA219D">
            <w:pPr>
              <w:spacing w:line="240" w:lineRule="auto"/>
              <w:ind w:right="93"/>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i/>
                <w:iCs/>
                <w:color w:val="000000"/>
                <w:sz w:val="20"/>
                <w:szCs w:val="20"/>
              </w:rPr>
              <w:t>ELP5, ACADVL, CTDNEP1, CLDN7</w:t>
            </w:r>
          </w:p>
        </w:tc>
        <w:tc>
          <w:tcPr>
            <w:tcW w:w="4693" w:type="dxa"/>
            <w:gridSpan w:val="2"/>
            <w:noWrap/>
            <w:vAlign w:val="center"/>
            <w:hideMark/>
          </w:tcPr>
          <w:p w14:paraId="00F24DD7" w14:textId="77777777" w:rsidR="0091160B" w:rsidRPr="008A7960" w:rsidRDefault="0091160B" w:rsidP="00BA219D">
            <w:pPr>
              <w:spacing w:line="240" w:lineRule="auto"/>
              <w:ind w:right="93"/>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Adipose Subcutaneous, Artery Tibial, Whole Blood, Colon Sigmoid, Lung, Muscle Skeletal, Artery Aorta, Thyroid, Heart Left Ventricle, Esophagus Mucosa, Heart Atrial Appendage, Esophagus Muscularis, Testis, Stomach, Nerve Tibial, Cells Transformed fibroblasts, Adipose Visceral Omentum, Spleen.</w:t>
            </w:r>
          </w:p>
        </w:tc>
      </w:tr>
      <w:tr w:rsidR="0091160B" w:rsidRPr="008A7960" w14:paraId="73E48ED8" w14:textId="77777777" w:rsidTr="00BA219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350" w:type="dxa"/>
            <w:gridSpan w:val="2"/>
            <w:noWrap/>
            <w:vAlign w:val="center"/>
            <w:hideMark/>
          </w:tcPr>
          <w:p w14:paraId="3A0932D2" w14:textId="77777777" w:rsidR="0091160B" w:rsidRPr="008A7960" w:rsidRDefault="0091160B" w:rsidP="00BA219D">
            <w:pPr>
              <w:spacing w:line="240" w:lineRule="auto"/>
              <w:rPr>
                <w:rFonts w:ascii="Times" w:hAnsi="Times" w:cs="Calibri"/>
                <w:b w:val="0"/>
                <w:bCs w:val="0"/>
                <w:color w:val="000000"/>
                <w:sz w:val="20"/>
                <w:szCs w:val="20"/>
              </w:rPr>
            </w:pPr>
            <w:r w:rsidRPr="008A7960">
              <w:rPr>
                <w:rFonts w:ascii="Times" w:hAnsi="Times" w:cs="Calibri"/>
                <w:b w:val="0"/>
                <w:bCs w:val="0"/>
                <w:color w:val="000000"/>
                <w:sz w:val="20"/>
                <w:szCs w:val="20"/>
              </w:rPr>
              <w:t>rs11152089</w:t>
            </w:r>
          </w:p>
        </w:tc>
        <w:tc>
          <w:tcPr>
            <w:tcW w:w="562" w:type="dxa"/>
            <w:gridSpan w:val="2"/>
            <w:noWrap/>
            <w:vAlign w:val="center"/>
            <w:hideMark/>
          </w:tcPr>
          <w:p w14:paraId="0DEF686D"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18</w:t>
            </w:r>
          </w:p>
        </w:tc>
        <w:tc>
          <w:tcPr>
            <w:tcW w:w="1337" w:type="dxa"/>
            <w:gridSpan w:val="2"/>
            <w:noWrap/>
            <w:vAlign w:val="center"/>
            <w:hideMark/>
          </w:tcPr>
          <w:p w14:paraId="3485D1AD"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52,598,090 - 52,638,831</w:t>
            </w:r>
          </w:p>
        </w:tc>
        <w:tc>
          <w:tcPr>
            <w:tcW w:w="1161" w:type="dxa"/>
            <w:tcBorders>
              <w:right w:val="single" w:sz="4" w:space="0" w:color="auto"/>
            </w:tcBorders>
            <w:noWrap/>
            <w:vAlign w:val="center"/>
            <w:hideMark/>
          </w:tcPr>
          <w:p w14:paraId="0CC9968B"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Hearing difficulty</w:t>
            </w:r>
          </w:p>
        </w:tc>
        <w:tc>
          <w:tcPr>
            <w:tcW w:w="2713" w:type="dxa"/>
            <w:gridSpan w:val="2"/>
            <w:tcBorders>
              <w:left w:val="single" w:sz="4" w:space="0" w:color="auto"/>
            </w:tcBorders>
            <w:noWrap/>
            <w:vAlign w:val="center"/>
            <w:hideMark/>
          </w:tcPr>
          <w:p w14:paraId="2CA10AEB"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rs4445975, rs1344011, rs72928899, rs199681604</w:t>
            </w:r>
          </w:p>
        </w:tc>
        <w:tc>
          <w:tcPr>
            <w:tcW w:w="1593" w:type="dxa"/>
            <w:gridSpan w:val="2"/>
            <w:vAlign w:val="center"/>
          </w:tcPr>
          <w:p w14:paraId="392CAA98" w14:textId="77777777" w:rsidR="0091160B" w:rsidRPr="008A7960" w:rsidRDefault="0091160B" w:rsidP="00BA219D">
            <w:pPr>
              <w:spacing w:line="240" w:lineRule="auto"/>
              <w:ind w:right="93"/>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i/>
                <w:iCs/>
                <w:color w:val="000000"/>
                <w:sz w:val="20"/>
                <w:szCs w:val="20"/>
              </w:rPr>
              <w:t>CCDC68</w:t>
            </w:r>
          </w:p>
        </w:tc>
        <w:tc>
          <w:tcPr>
            <w:tcW w:w="4693" w:type="dxa"/>
            <w:gridSpan w:val="2"/>
            <w:noWrap/>
            <w:vAlign w:val="center"/>
            <w:hideMark/>
          </w:tcPr>
          <w:p w14:paraId="01995F2A" w14:textId="77777777" w:rsidR="0091160B" w:rsidRPr="008A7960" w:rsidRDefault="0091160B" w:rsidP="00BA219D">
            <w:pPr>
              <w:spacing w:line="240" w:lineRule="auto"/>
              <w:ind w:right="93"/>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20"/>
                <w:szCs w:val="20"/>
              </w:rPr>
            </w:pPr>
            <w:r w:rsidRPr="008A7960">
              <w:rPr>
                <w:rFonts w:ascii="Times" w:hAnsi="Times" w:cs="Calibri"/>
                <w:color w:val="000000"/>
                <w:sz w:val="20"/>
                <w:szCs w:val="20"/>
              </w:rPr>
              <w:t>Muscle Skeletal, Thyroid, Heart Left Ventricle, Esophagus Muscularis.</w:t>
            </w:r>
          </w:p>
        </w:tc>
      </w:tr>
    </w:tbl>
    <w:p w14:paraId="2248E457" w14:textId="77777777" w:rsidR="0091160B" w:rsidRPr="008A7960" w:rsidRDefault="0091160B" w:rsidP="0091160B">
      <w:pPr>
        <w:spacing w:line="240" w:lineRule="auto"/>
        <w:ind w:right="-360"/>
        <w:rPr>
          <w:rFonts w:ascii="Times" w:hAnsi="Times"/>
          <w:sz w:val="20"/>
          <w:szCs w:val="20"/>
        </w:rPr>
      </w:pPr>
      <w:r w:rsidRPr="008A7960">
        <w:rPr>
          <w:rFonts w:ascii="Times" w:hAnsi="Times"/>
          <w:sz w:val="20"/>
          <w:szCs w:val="20"/>
        </w:rPr>
        <w:t>The lead SNP, chromosome (Chr), locus coordinates and phenotype are presented for each locus. See the methods section for details on how eQTLs were determined to be linked to the genetic loci that were determined to be associated with hearing related traits. All eQTLs and regulated genes are presented. All tissues where eQTL regulated gene expression has been observed in the GTEx database is presented.</w:t>
      </w:r>
    </w:p>
    <w:p w14:paraId="616CA3F6" w14:textId="77777777" w:rsidR="0091160B" w:rsidRPr="008A7960" w:rsidRDefault="0091160B" w:rsidP="0091160B">
      <w:pPr>
        <w:rPr>
          <w:rFonts w:ascii="Times" w:hAnsi="Times"/>
          <w:sz w:val="22"/>
          <w:szCs w:val="22"/>
        </w:rPr>
      </w:pPr>
      <w:r w:rsidRPr="008A7960">
        <w:rPr>
          <w:rFonts w:ascii="Times" w:hAnsi="Times"/>
          <w:sz w:val="22"/>
          <w:szCs w:val="22"/>
        </w:rPr>
        <w:br w:type="page"/>
      </w:r>
    </w:p>
    <w:p w14:paraId="1FDB03B7" w14:textId="77777777" w:rsidR="0091160B" w:rsidRPr="008A7960" w:rsidRDefault="0091160B" w:rsidP="0091160B">
      <w:pPr>
        <w:ind w:left="-709"/>
        <w:rPr>
          <w:rFonts w:ascii="Times" w:hAnsi="Times"/>
          <w:b/>
          <w:bCs/>
        </w:rPr>
      </w:pPr>
      <w:r w:rsidRPr="008A7960">
        <w:rPr>
          <w:rFonts w:ascii="Times" w:hAnsi="Times"/>
          <w:b/>
          <w:bCs/>
        </w:rPr>
        <w:lastRenderedPageBreak/>
        <w:t>Table 6. Summary of expression patterns of candidate proteins in other mammals.</w:t>
      </w:r>
    </w:p>
    <w:tbl>
      <w:tblPr>
        <w:tblStyle w:val="ListTable1Light-Accent3"/>
        <w:tblW w:w="14743" w:type="dxa"/>
        <w:tblInd w:w="-709" w:type="dxa"/>
        <w:tblLayout w:type="fixed"/>
        <w:tblLook w:val="04A0" w:firstRow="1" w:lastRow="0" w:firstColumn="1" w:lastColumn="0" w:noHBand="0" w:noVBand="1"/>
      </w:tblPr>
      <w:tblGrid>
        <w:gridCol w:w="1530"/>
        <w:gridCol w:w="597"/>
        <w:gridCol w:w="900"/>
        <w:gridCol w:w="990"/>
        <w:gridCol w:w="961"/>
        <w:gridCol w:w="693"/>
        <w:gridCol w:w="810"/>
        <w:gridCol w:w="804"/>
        <w:gridCol w:w="6"/>
        <w:gridCol w:w="720"/>
        <w:gridCol w:w="720"/>
        <w:gridCol w:w="767"/>
        <w:gridCol w:w="1134"/>
        <w:gridCol w:w="630"/>
        <w:gridCol w:w="929"/>
        <w:gridCol w:w="900"/>
        <w:gridCol w:w="900"/>
        <w:gridCol w:w="752"/>
      </w:tblGrid>
      <w:tr w:rsidR="0091160B" w:rsidRPr="008A7960" w14:paraId="238BC7D4" w14:textId="77777777" w:rsidTr="00BA219D">
        <w:trPr>
          <w:cnfStyle w:val="100000000000" w:firstRow="1" w:lastRow="0" w:firstColumn="0" w:lastColumn="0" w:oddVBand="0" w:evenVBand="0" w:oddHBand="0" w:evenHBand="0" w:firstRowFirstColumn="0" w:firstRowLastColumn="0" w:lastRowFirstColumn="0" w:lastRowLastColumn="0"/>
          <w:trHeight w:val="252"/>
        </w:trPr>
        <w:tc>
          <w:tcPr>
            <w:cnfStyle w:val="001000000000" w:firstRow="0" w:lastRow="0" w:firstColumn="1" w:lastColumn="0" w:oddVBand="0" w:evenVBand="0" w:oddHBand="0" w:evenHBand="0" w:firstRowFirstColumn="0" w:firstRowLastColumn="0" w:lastRowFirstColumn="0" w:lastRowLastColumn="0"/>
            <w:tcW w:w="1530" w:type="dxa"/>
            <w:tcBorders>
              <w:bottom w:val="single" w:sz="4" w:space="0" w:color="auto"/>
              <w:right w:val="single" w:sz="4" w:space="0" w:color="auto"/>
            </w:tcBorders>
            <w:shd w:val="clear" w:color="auto" w:fill="auto"/>
            <w:noWrap/>
            <w:hideMark/>
          </w:tcPr>
          <w:p w14:paraId="302A33CF" w14:textId="77777777" w:rsidR="0091160B" w:rsidRPr="008A7960" w:rsidRDefault="0091160B" w:rsidP="00BA219D">
            <w:pPr>
              <w:spacing w:line="240" w:lineRule="auto"/>
              <w:jc w:val="center"/>
              <w:rPr>
                <w:rFonts w:ascii="Times" w:hAnsi="Times"/>
                <w:b w:val="0"/>
                <w:bCs w:val="0"/>
                <w:sz w:val="18"/>
                <w:szCs w:val="18"/>
              </w:rPr>
            </w:pPr>
          </w:p>
        </w:tc>
        <w:tc>
          <w:tcPr>
            <w:tcW w:w="1497" w:type="dxa"/>
            <w:gridSpan w:val="2"/>
            <w:tcBorders>
              <w:bottom w:val="single" w:sz="4" w:space="0" w:color="auto"/>
              <w:right w:val="single" w:sz="4" w:space="0" w:color="auto"/>
            </w:tcBorders>
            <w:shd w:val="clear" w:color="auto" w:fill="auto"/>
          </w:tcPr>
          <w:p w14:paraId="5E126C1B"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18"/>
                <w:szCs w:val="18"/>
              </w:rPr>
            </w:pPr>
            <w:r>
              <w:rPr>
                <w:rFonts w:ascii="Times" w:hAnsi="Times" w:cs="Calibri"/>
                <w:color w:val="000000"/>
                <w:sz w:val="18"/>
                <w:szCs w:val="18"/>
              </w:rPr>
              <w:t>Other discrete structures/cells</w:t>
            </w:r>
          </w:p>
        </w:tc>
        <w:tc>
          <w:tcPr>
            <w:tcW w:w="990" w:type="dxa"/>
            <w:tcBorders>
              <w:left w:val="single" w:sz="4" w:space="0" w:color="auto"/>
              <w:bottom w:val="single" w:sz="4" w:space="0" w:color="auto"/>
              <w:right w:val="single" w:sz="4" w:space="0" w:color="auto"/>
            </w:tcBorders>
            <w:shd w:val="clear" w:color="auto" w:fill="auto"/>
            <w:noWrap/>
            <w:vAlign w:val="bottom"/>
            <w:hideMark/>
          </w:tcPr>
          <w:p w14:paraId="03CA34D5"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Spiral Ganglion</w:t>
            </w:r>
          </w:p>
        </w:tc>
        <w:tc>
          <w:tcPr>
            <w:tcW w:w="3268" w:type="dxa"/>
            <w:gridSpan w:val="4"/>
            <w:tcBorders>
              <w:left w:val="single" w:sz="4" w:space="0" w:color="auto"/>
              <w:bottom w:val="single" w:sz="4" w:space="0" w:color="auto"/>
              <w:right w:val="single" w:sz="4" w:space="0" w:color="auto"/>
            </w:tcBorders>
            <w:shd w:val="clear" w:color="auto" w:fill="auto"/>
            <w:vAlign w:val="bottom"/>
          </w:tcPr>
          <w:p w14:paraId="7F598DDE"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Inner and outer hair cells</w:t>
            </w:r>
          </w:p>
        </w:tc>
        <w:tc>
          <w:tcPr>
            <w:tcW w:w="7458" w:type="dxa"/>
            <w:gridSpan w:val="10"/>
            <w:tcBorders>
              <w:left w:val="single" w:sz="4" w:space="0" w:color="auto"/>
              <w:bottom w:val="single" w:sz="4" w:space="0" w:color="auto"/>
            </w:tcBorders>
            <w:shd w:val="clear" w:color="auto" w:fill="auto"/>
            <w:vAlign w:val="bottom"/>
          </w:tcPr>
          <w:p w14:paraId="29A46A39" w14:textId="77777777" w:rsidR="0091160B" w:rsidRPr="008A7960" w:rsidRDefault="0091160B" w:rsidP="00BA219D">
            <w:pPr>
              <w:spacing w:line="240" w:lineRule="auto"/>
              <w:ind w:right="-240"/>
              <w:jc w:val="center"/>
              <w:cnfStyle w:val="100000000000" w:firstRow="1"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Supporting cells of the membranous labyrinth</w:t>
            </w:r>
          </w:p>
        </w:tc>
      </w:tr>
      <w:tr w:rsidR="0091160B" w:rsidRPr="008A7960" w14:paraId="1C2DBABF" w14:textId="77777777" w:rsidTr="00BA219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30" w:type="dxa"/>
            <w:tcBorders>
              <w:top w:val="single" w:sz="4" w:space="0" w:color="auto"/>
              <w:bottom w:val="single" w:sz="4" w:space="0" w:color="auto"/>
              <w:right w:val="single" w:sz="4" w:space="0" w:color="auto"/>
            </w:tcBorders>
            <w:shd w:val="clear" w:color="auto" w:fill="auto"/>
            <w:noWrap/>
            <w:vAlign w:val="bottom"/>
            <w:hideMark/>
          </w:tcPr>
          <w:p w14:paraId="447DCF8E" w14:textId="77777777" w:rsidR="0091160B" w:rsidRPr="008A7960" w:rsidRDefault="0091160B" w:rsidP="00BA219D">
            <w:pPr>
              <w:spacing w:line="240" w:lineRule="auto"/>
              <w:rPr>
                <w:rFonts w:ascii="Times" w:hAnsi="Times" w:cs="Calibri"/>
                <w:color w:val="000000"/>
                <w:sz w:val="18"/>
                <w:szCs w:val="18"/>
              </w:rPr>
            </w:pPr>
            <w:r w:rsidRPr="008A7960">
              <w:rPr>
                <w:rFonts w:ascii="Times" w:hAnsi="Times" w:cs="Calibri"/>
                <w:color w:val="000000"/>
                <w:sz w:val="18"/>
                <w:szCs w:val="18"/>
              </w:rPr>
              <w:t>Protein</w:t>
            </w:r>
          </w:p>
        </w:tc>
        <w:tc>
          <w:tcPr>
            <w:tcW w:w="597" w:type="dxa"/>
            <w:tcBorders>
              <w:top w:val="single" w:sz="4" w:space="0" w:color="auto"/>
              <w:bottom w:val="single" w:sz="4" w:space="0" w:color="auto"/>
            </w:tcBorders>
            <w:shd w:val="clear" w:color="auto" w:fill="auto"/>
          </w:tcPr>
          <w:p w14:paraId="299055A0"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Pr>
                <w:rFonts w:ascii="Times" w:hAnsi="Times" w:cs="Calibri"/>
                <w:color w:val="000000"/>
                <w:sz w:val="18"/>
                <w:szCs w:val="18"/>
              </w:rPr>
              <w:t>Otic plate</w:t>
            </w:r>
          </w:p>
        </w:tc>
        <w:tc>
          <w:tcPr>
            <w:tcW w:w="900" w:type="dxa"/>
            <w:tcBorders>
              <w:top w:val="single" w:sz="4" w:space="0" w:color="auto"/>
              <w:bottom w:val="single" w:sz="4" w:space="0" w:color="auto"/>
              <w:right w:val="single" w:sz="4" w:space="0" w:color="auto"/>
            </w:tcBorders>
            <w:shd w:val="clear" w:color="auto" w:fill="auto"/>
            <w:vAlign w:val="bottom"/>
          </w:tcPr>
          <w:p w14:paraId="2131A934"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Cochlear melano-cytes</w:t>
            </w:r>
          </w:p>
        </w:tc>
        <w:tc>
          <w:tcPr>
            <w:tcW w:w="9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934EDB6"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Neuronal cells</w:t>
            </w:r>
          </w:p>
        </w:tc>
        <w:tc>
          <w:tcPr>
            <w:tcW w:w="961" w:type="dxa"/>
            <w:tcBorders>
              <w:top w:val="single" w:sz="4" w:space="0" w:color="auto"/>
              <w:left w:val="single" w:sz="4" w:space="0" w:color="auto"/>
              <w:bottom w:val="single" w:sz="4" w:space="0" w:color="auto"/>
            </w:tcBorders>
            <w:shd w:val="clear" w:color="auto" w:fill="auto"/>
            <w:vAlign w:val="bottom"/>
          </w:tcPr>
          <w:p w14:paraId="4E900CF9"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Cuticular plates</w:t>
            </w:r>
          </w:p>
        </w:tc>
        <w:tc>
          <w:tcPr>
            <w:tcW w:w="693" w:type="dxa"/>
            <w:tcBorders>
              <w:top w:val="single" w:sz="4" w:space="0" w:color="auto"/>
              <w:bottom w:val="single" w:sz="4" w:space="0" w:color="auto"/>
            </w:tcBorders>
            <w:shd w:val="clear" w:color="auto" w:fill="auto"/>
            <w:vAlign w:val="bottom"/>
          </w:tcPr>
          <w:p w14:paraId="074E8C98"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Stereo-cilia</w:t>
            </w:r>
          </w:p>
        </w:tc>
        <w:tc>
          <w:tcPr>
            <w:tcW w:w="810" w:type="dxa"/>
            <w:tcBorders>
              <w:top w:val="single" w:sz="4" w:space="0" w:color="auto"/>
              <w:bottom w:val="single" w:sz="4" w:space="0" w:color="auto"/>
            </w:tcBorders>
            <w:shd w:val="clear" w:color="auto" w:fill="auto"/>
            <w:vAlign w:val="bottom"/>
          </w:tcPr>
          <w:p w14:paraId="6B74586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Nucleus</w:t>
            </w:r>
          </w:p>
        </w:tc>
        <w:tc>
          <w:tcPr>
            <w:tcW w:w="810" w:type="dxa"/>
            <w:gridSpan w:val="2"/>
            <w:tcBorders>
              <w:top w:val="single" w:sz="4" w:space="0" w:color="auto"/>
              <w:bottom w:val="single" w:sz="4" w:space="0" w:color="auto"/>
              <w:right w:val="single" w:sz="4" w:space="0" w:color="auto"/>
            </w:tcBorders>
            <w:shd w:val="clear" w:color="auto" w:fill="auto"/>
            <w:vAlign w:val="bottom"/>
          </w:tcPr>
          <w:p w14:paraId="6970D95C"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Cytosol</w:t>
            </w:r>
          </w:p>
        </w:tc>
        <w:tc>
          <w:tcPr>
            <w:tcW w:w="720" w:type="dxa"/>
            <w:tcBorders>
              <w:top w:val="single" w:sz="4" w:space="0" w:color="auto"/>
              <w:left w:val="single" w:sz="4" w:space="0" w:color="auto"/>
              <w:bottom w:val="single" w:sz="4" w:space="0" w:color="auto"/>
            </w:tcBorders>
            <w:shd w:val="clear" w:color="auto" w:fill="auto"/>
            <w:noWrap/>
            <w:vAlign w:val="bottom"/>
            <w:hideMark/>
          </w:tcPr>
          <w:p w14:paraId="294F8C32"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Inner sulcus cells</w:t>
            </w:r>
          </w:p>
        </w:tc>
        <w:tc>
          <w:tcPr>
            <w:tcW w:w="720" w:type="dxa"/>
            <w:tcBorders>
              <w:top w:val="single" w:sz="4" w:space="0" w:color="auto"/>
              <w:bottom w:val="single" w:sz="4" w:space="0" w:color="auto"/>
            </w:tcBorders>
            <w:shd w:val="clear" w:color="auto" w:fill="auto"/>
            <w:noWrap/>
            <w:vAlign w:val="bottom"/>
            <w:hideMark/>
          </w:tcPr>
          <w:p w14:paraId="6BC2119C"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Inter-dental cells</w:t>
            </w:r>
          </w:p>
        </w:tc>
        <w:tc>
          <w:tcPr>
            <w:tcW w:w="767" w:type="dxa"/>
            <w:tcBorders>
              <w:top w:val="single" w:sz="4" w:space="0" w:color="auto"/>
              <w:bottom w:val="single" w:sz="4" w:space="0" w:color="auto"/>
            </w:tcBorders>
            <w:shd w:val="clear" w:color="auto" w:fill="auto"/>
            <w:vAlign w:val="bottom"/>
          </w:tcPr>
          <w:p w14:paraId="0F2A7766"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Border cells</w:t>
            </w:r>
          </w:p>
        </w:tc>
        <w:tc>
          <w:tcPr>
            <w:tcW w:w="1134" w:type="dxa"/>
            <w:tcBorders>
              <w:top w:val="single" w:sz="4" w:space="0" w:color="auto"/>
              <w:bottom w:val="single" w:sz="4" w:space="0" w:color="auto"/>
            </w:tcBorders>
            <w:shd w:val="clear" w:color="auto" w:fill="auto"/>
            <w:vAlign w:val="bottom"/>
          </w:tcPr>
          <w:p w14:paraId="6B3342EB"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Phalangeal cells</w:t>
            </w:r>
          </w:p>
        </w:tc>
        <w:tc>
          <w:tcPr>
            <w:tcW w:w="630" w:type="dxa"/>
            <w:tcBorders>
              <w:top w:val="single" w:sz="4" w:space="0" w:color="auto"/>
              <w:bottom w:val="single" w:sz="4" w:space="0" w:color="auto"/>
            </w:tcBorders>
            <w:shd w:val="clear" w:color="auto" w:fill="auto"/>
            <w:noWrap/>
            <w:vAlign w:val="bottom"/>
            <w:hideMark/>
          </w:tcPr>
          <w:p w14:paraId="289B1A6C"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Pillar cells</w:t>
            </w:r>
          </w:p>
        </w:tc>
        <w:tc>
          <w:tcPr>
            <w:tcW w:w="929" w:type="dxa"/>
            <w:tcBorders>
              <w:top w:val="single" w:sz="4" w:space="0" w:color="auto"/>
              <w:bottom w:val="single" w:sz="4" w:space="0" w:color="auto"/>
            </w:tcBorders>
            <w:shd w:val="clear" w:color="auto" w:fill="auto"/>
            <w:noWrap/>
            <w:vAlign w:val="bottom"/>
            <w:hideMark/>
          </w:tcPr>
          <w:p w14:paraId="61516E2F"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Deiters’ cells</w:t>
            </w:r>
          </w:p>
        </w:tc>
        <w:tc>
          <w:tcPr>
            <w:tcW w:w="900" w:type="dxa"/>
            <w:tcBorders>
              <w:top w:val="single" w:sz="4" w:space="0" w:color="auto"/>
              <w:bottom w:val="single" w:sz="4" w:space="0" w:color="auto"/>
            </w:tcBorders>
            <w:shd w:val="clear" w:color="auto" w:fill="auto"/>
            <w:noWrap/>
            <w:vAlign w:val="bottom"/>
            <w:hideMark/>
          </w:tcPr>
          <w:p w14:paraId="0BFCEFD2"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Hensen's cells</w:t>
            </w:r>
          </w:p>
        </w:tc>
        <w:tc>
          <w:tcPr>
            <w:tcW w:w="900" w:type="dxa"/>
            <w:tcBorders>
              <w:top w:val="single" w:sz="4" w:space="0" w:color="auto"/>
              <w:bottom w:val="single" w:sz="4" w:space="0" w:color="auto"/>
            </w:tcBorders>
            <w:shd w:val="clear" w:color="auto" w:fill="auto"/>
            <w:vAlign w:val="bottom"/>
          </w:tcPr>
          <w:p w14:paraId="0189109A" w14:textId="77777777" w:rsidR="0091160B" w:rsidRPr="008A7960" w:rsidRDefault="0091160B" w:rsidP="00BA219D">
            <w:pPr>
              <w:spacing w:line="240" w:lineRule="auto"/>
              <w:ind w:right="-207"/>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Boettcher cells</w:t>
            </w:r>
          </w:p>
        </w:tc>
        <w:tc>
          <w:tcPr>
            <w:tcW w:w="752" w:type="dxa"/>
            <w:tcBorders>
              <w:top w:val="single" w:sz="4" w:space="0" w:color="auto"/>
              <w:bottom w:val="single" w:sz="4" w:space="0" w:color="auto"/>
            </w:tcBorders>
            <w:shd w:val="clear" w:color="auto" w:fill="auto"/>
            <w:noWrap/>
            <w:vAlign w:val="bottom"/>
            <w:hideMark/>
          </w:tcPr>
          <w:p w14:paraId="024E9819" w14:textId="77777777" w:rsidR="0091160B" w:rsidRPr="008A7960" w:rsidRDefault="0091160B" w:rsidP="00BA219D">
            <w:pPr>
              <w:spacing w:line="240" w:lineRule="auto"/>
              <w:ind w:right="-109"/>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Cells of Claudius</w:t>
            </w:r>
          </w:p>
        </w:tc>
      </w:tr>
      <w:tr w:rsidR="0091160B" w:rsidRPr="008A7960" w14:paraId="5543C594" w14:textId="77777777" w:rsidTr="00BA219D">
        <w:trPr>
          <w:trHeight w:val="320"/>
        </w:trPr>
        <w:tc>
          <w:tcPr>
            <w:cnfStyle w:val="001000000000" w:firstRow="0" w:lastRow="0" w:firstColumn="1" w:lastColumn="0" w:oddVBand="0" w:evenVBand="0" w:oddHBand="0" w:evenHBand="0" w:firstRowFirstColumn="0" w:firstRowLastColumn="0" w:lastRowFirstColumn="0" w:lastRowLastColumn="0"/>
            <w:tcW w:w="1530" w:type="dxa"/>
            <w:tcBorders>
              <w:top w:val="single" w:sz="4" w:space="0" w:color="auto"/>
              <w:right w:val="single" w:sz="4" w:space="0" w:color="auto"/>
            </w:tcBorders>
            <w:shd w:val="clear" w:color="auto" w:fill="auto"/>
            <w:noWrap/>
            <w:vAlign w:val="center"/>
            <w:hideMark/>
          </w:tcPr>
          <w:p w14:paraId="2161F130" w14:textId="77777777" w:rsidR="0091160B" w:rsidRPr="00C067BB" w:rsidRDefault="0091160B" w:rsidP="00BA219D">
            <w:pPr>
              <w:spacing w:line="240" w:lineRule="auto"/>
              <w:rPr>
                <w:rFonts w:ascii="Times" w:hAnsi="Times" w:cs="Calibri"/>
                <w:color w:val="000000"/>
                <w:sz w:val="20"/>
                <w:szCs w:val="20"/>
              </w:rPr>
            </w:pPr>
            <w:r w:rsidRPr="00C067BB">
              <w:rPr>
                <w:rFonts w:ascii="Times" w:hAnsi="Times" w:cs="Calibri"/>
                <w:b w:val="0"/>
                <w:bCs w:val="0"/>
                <w:color w:val="000000"/>
                <w:sz w:val="18"/>
                <w:szCs w:val="18"/>
              </w:rPr>
              <w:t xml:space="preserve">EYA4* </w:t>
            </w:r>
            <w:sdt>
              <w:sdtPr>
                <w:rPr>
                  <w:color w:val="000000"/>
                  <w:sz w:val="18"/>
                  <w:szCs w:val="18"/>
                </w:rPr>
                <w:tag w:val="MENDELEY_CITATION_v3_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"/>
                <w:id w:val="-365061753"/>
                <w:placeholder>
                  <w:docPart w:val="5AD4B3C12ADC664089BB4D0E12686824"/>
                </w:placeholder>
              </w:sdtPr>
              <w:sdtEndPr>
                <w:rPr>
                  <w:sz w:val="20"/>
                  <w:szCs w:val="20"/>
                </w:rPr>
              </w:sdtEndPr>
              <w:sdtContent>
                <w:r w:rsidRPr="00C52A3E">
                  <w:rPr>
                    <w:b w:val="0"/>
                    <w:color w:val="000000"/>
                    <w:sz w:val="18"/>
                    <w:szCs w:val="18"/>
                  </w:rPr>
                  <w:t>[2]</w:t>
                </w:r>
              </w:sdtContent>
            </w:sdt>
          </w:p>
        </w:tc>
        <w:tc>
          <w:tcPr>
            <w:tcW w:w="597" w:type="dxa"/>
            <w:tcBorders>
              <w:top w:val="single" w:sz="4" w:space="0" w:color="auto"/>
            </w:tcBorders>
            <w:shd w:val="clear" w:color="auto" w:fill="auto"/>
          </w:tcPr>
          <w:p w14:paraId="456E87AE"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p>
        </w:tc>
        <w:tc>
          <w:tcPr>
            <w:tcW w:w="900" w:type="dxa"/>
            <w:tcBorders>
              <w:top w:val="single" w:sz="4" w:space="0" w:color="auto"/>
              <w:right w:val="single" w:sz="4" w:space="0" w:color="auto"/>
            </w:tcBorders>
            <w:shd w:val="clear" w:color="auto" w:fill="auto"/>
            <w:vAlign w:val="center"/>
          </w:tcPr>
          <w:p w14:paraId="3C57FA1C"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90" w:type="dxa"/>
            <w:tcBorders>
              <w:top w:val="single" w:sz="4" w:space="0" w:color="auto"/>
              <w:left w:val="single" w:sz="4" w:space="0" w:color="auto"/>
              <w:right w:val="single" w:sz="4" w:space="0" w:color="auto"/>
            </w:tcBorders>
            <w:shd w:val="clear" w:color="auto" w:fill="auto"/>
            <w:noWrap/>
            <w:vAlign w:val="center"/>
            <w:hideMark/>
          </w:tcPr>
          <w:p w14:paraId="1622E8E1"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61" w:type="dxa"/>
            <w:tcBorders>
              <w:top w:val="single" w:sz="4" w:space="0" w:color="auto"/>
              <w:left w:val="single" w:sz="4" w:space="0" w:color="auto"/>
            </w:tcBorders>
            <w:shd w:val="clear" w:color="auto" w:fill="auto"/>
            <w:vAlign w:val="center"/>
          </w:tcPr>
          <w:p w14:paraId="544CB802"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693" w:type="dxa"/>
            <w:tcBorders>
              <w:top w:val="single" w:sz="4" w:space="0" w:color="auto"/>
            </w:tcBorders>
            <w:shd w:val="clear" w:color="auto" w:fill="auto"/>
            <w:vAlign w:val="center"/>
          </w:tcPr>
          <w:p w14:paraId="1E3C0E61"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810" w:type="dxa"/>
            <w:tcBorders>
              <w:top w:val="single" w:sz="4" w:space="0" w:color="auto"/>
            </w:tcBorders>
            <w:shd w:val="clear" w:color="auto" w:fill="auto"/>
            <w:vAlign w:val="center"/>
          </w:tcPr>
          <w:p w14:paraId="01005710"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810" w:type="dxa"/>
            <w:gridSpan w:val="2"/>
            <w:tcBorders>
              <w:top w:val="single" w:sz="4" w:space="0" w:color="auto"/>
              <w:right w:val="single" w:sz="4" w:space="0" w:color="auto"/>
            </w:tcBorders>
            <w:shd w:val="clear" w:color="auto" w:fill="auto"/>
            <w:vAlign w:val="center"/>
          </w:tcPr>
          <w:p w14:paraId="0518C0A8"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720" w:type="dxa"/>
            <w:tcBorders>
              <w:top w:val="single" w:sz="4" w:space="0" w:color="auto"/>
              <w:left w:val="single" w:sz="4" w:space="0" w:color="auto"/>
            </w:tcBorders>
            <w:shd w:val="clear" w:color="auto" w:fill="auto"/>
            <w:noWrap/>
            <w:vAlign w:val="center"/>
            <w:hideMark/>
          </w:tcPr>
          <w:p w14:paraId="21A39738"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720" w:type="dxa"/>
            <w:tcBorders>
              <w:top w:val="single" w:sz="4" w:space="0" w:color="auto"/>
            </w:tcBorders>
            <w:shd w:val="clear" w:color="auto" w:fill="auto"/>
            <w:noWrap/>
            <w:vAlign w:val="center"/>
            <w:hideMark/>
          </w:tcPr>
          <w:p w14:paraId="1BED086F"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767" w:type="dxa"/>
            <w:tcBorders>
              <w:top w:val="single" w:sz="4" w:space="0" w:color="auto"/>
            </w:tcBorders>
            <w:shd w:val="clear" w:color="auto" w:fill="auto"/>
            <w:vAlign w:val="center"/>
          </w:tcPr>
          <w:p w14:paraId="6F6950A4"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1134" w:type="dxa"/>
            <w:tcBorders>
              <w:top w:val="single" w:sz="4" w:space="0" w:color="auto"/>
            </w:tcBorders>
            <w:shd w:val="clear" w:color="auto" w:fill="auto"/>
            <w:vAlign w:val="center"/>
          </w:tcPr>
          <w:p w14:paraId="3647A29F"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630" w:type="dxa"/>
            <w:tcBorders>
              <w:top w:val="single" w:sz="4" w:space="0" w:color="auto"/>
            </w:tcBorders>
            <w:shd w:val="clear" w:color="auto" w:fill="auto"/>
            <w:noWrap/>
            <w:vAlign w:val="center"/>
            <w:hideMark/>
          </w:tcPr>
          <w:p w14:paraId="7536735E"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29" w:type="dxa"/>
            <w:tcBorders>
              <w:top w:val="single" w:sz="4" w:space="0" w:color="auto"/>
            </w:tcBorders>
            <w:shd w:val="clear" w:color="auto" w:fill="auto"/>
            <w:noWrap/>
            <w:vAlign w:val="center"/>
            <w:hideMark/>
          </w:tcPr>
          <w:p w14:paraId="44F4D389"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00" w:type="dxa"/>
            <w:tcBorders>
              <w:top w:val="single" w:sz="4" w:space="0" w:color="auto"/>
            </w:tcBorders>
            <w:shd w:val="clear" w:color="auto" w:fill="auto"/>
            <w:noWrap/>
            <w:vAlign w:val="center"/>
            <w:hideMark/>
          </w:tcPr>
          <w:p w14:paraId="7F64084E"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00" w:type="dxa"/>
            <w:tcBorders>
              <w:top w:val="single" w:sz="4" w:space="0" w:color="auto"/>
            </w:tcBorders>
            <w:shd w:val="clear" w:color="auto" w:fill="auto"/>
            <w:vAlign w:val="center"/>
          </w:tcPr>
          <w:p w14:paraId="3B9F9ADD"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752" w:type="dxa"/>
            <w:tcBorders>
              <w:top w:val="single" w:sz="4" w:space="0" w:color="auto"/>
            </w:tcBorders>
            <w:shd w:val="clear" w:color="auto" w:fill="auto"/>
            <w:noWrap/>
            <w:vAlign w:val="center"/>
            <w:hideMark/>
          </w:tcPr>
          <w:p w14:paraId="7504D3F1"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r>
      <w:tr w:rsidR="0091160B" w:rsidRPr="008A7960" w14:paraId="33AD4C98" w14:textId="77777777" w:rsidTr="00BA219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30" w:type="dxa"/>
            <w:tcBorders>
              <w:right w:val="single" w:sz="4" w:space="0" w:color="auto"/>
            </w:tcBorders>
            <w:shd w:val="clear" w:color="auto" w:fill="auto"/>
            <w:noWrap/>
            <w:vAlign w:val="center"/>
            <w:hideMark/>
          </w:tcPr>
          <w:p w14:paraId="23FF9084" w14:textId="77777777" w:rsidR="0091160B" w:rsidRPr="008A7960" w:rsidRDefault="0091160B" w:rsidP="00BA219D">
            <w:pPr>
              <w:spacing w:line="240" w:lineRule="auto"/>
              <w:rPr>
                <w:rFonts w:ascii="Times" w:hAnsi="Times" w:cs="Calibri"/>
                <w:b w:val="0"/>
                <w:bCs w:val="0"/>
                <w:color w:val="000000"/>
                <w:sz w:val="18"/>
                <w:szCs w:val="18"/>
              </w:rPr>
            </w:pPr>
            <w:r w:rsidRPr="008A7960">
              <w:rPr>
                <w:rFonts w:ascii="Times" w:hAnsi="Times" w:cs="Calibri"/>
                <w:b w:val="0"/>
                <w:bCs w:val="0"/>
                <w:sz w:val="18"/>
                <w:szCs w:val="18"/>
              </w:rPr>
              <w:t>LMX1A</w:t>
            </w:r>
            <w:r w:rsidRPr="008A7960">
              <w:rPr>
                <w:rFonts w:ascii="Times" w:hAnsi="Times" w:cs="Calibri"/>
                <w:b w:val="0"/>
                <w:bCs w:val="0"/>
                <w:i/>
                <w:iCs/>
                <w:sz w:val="18"/>
                <w:szCs w:val="18"/>
                <w:vertAlign w:val="superscript"/>
              </w:rPr>
              <w:t>a</w:t>
            </w:r>
          </w:p>
        </w:tc>
        <w:tc>
          <w:tcPr>
            <w:tcW w:w="597" w:type="dxa"/>
            <w:shd w:val="clear" w:color="auto" w:fill="auto"/>
          </w:tcPr>
          <w:p w14:paraId="1E57D1F3"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00" w:type="dxa"/>
            <w:tcBorders>
              <w:right w:val="single" w:sz="4" w:space="0" w:color="auto"/>
            </w:tcBorders>
            <w:shd w:val="clear" w:color="auto" w:fill="auto"/>
            <w:vAlign w:val="center"/>
          </w:tcPr>
          <w:p w14:paraId="2A1E2162"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90" w:type="dxa"/>
            <w:tcBorders>
              <w:left w:val="single" w:sz="4" w:space="0" w:color="auto"/>
              <w:right w:val="single" w:sz="4" w:space="0" w:color="auto"/>
            </w:tcBorders>
            <w:shd w:val="clear" w:color="auto" w:fill="auto"/>
            <w:noWrap/>
            <w:vAlign w:val="center"/>
            <w:hideMark/>
          </w:tcPr>
          <w:p w14:paraId="60F378B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61" w:type="dxa"/>
            <w:tcBorders>
              <w:left w:val="single" w:sz="4" w:space="0" w:color="auto"/>
            </w:tcBorders>
            <w:shd w:val="clear" w:color="auto" w:fill="auto"/>
            <w:vAlign w:val="center"/>
          </w:tcPr>
          <w:p w14:paraId="776B6663"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693" w:type="dxa"/>
            <w:shd w:val="clear" w:color="auto" w:fill="auto"/>
            <w:vAlign w:val="center"/>
          </w:tcPr>
          <w:p w14:paraId="6E43D69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810" w:type="dxa"/>
            <w:shd w:val="clear" w:color="auto" w:fill="auto"/>
            <w:vAlign w:val="center"/>
          </w:tcPr>
          <w:p w14:paraId="3B8CCED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810" w:type="dxa"/>
            <w:gridSpan w:val="2"/>
            <w:tcBorders>
              <w:right w:val="single" w:sz="4" w:space="0" w:color="auto"/>
            </w:tcBorders>
            <w:shd w:val="clear" w:color="auto" w:fill="auto"/>
            <w:vAlign w:val="center"/>
          </w:tcPr>
          <w:p w14:paraId="23E8533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720" w:type="dxa"/>
            <w:tcBorders>
              <w:left w:val="single" w:sz="4" w:space="0" w:color="auto"/>
            </w:tcBorders>
            <w:shd w:val="clear" w:color="auto" w:fill="auto"/>
            <w:noWrap/>
            <w:vAlign w:val="center"/>
            <w:hideMark/>
          </w:tcPr>
          <w:p w14:paraId="22CE4765"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720" w:type="dxa"/>
            <w:shd w:val="clear" w:color="auto" w:fill="auto"/>
            <w:noWrap/>
            <w:vAlign w:val="center"/>
            <w:hideMark/>
          </w:tcPr>
          <w:p w14:paraId="5E95A74F"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767" w:type="dxa"/>
            <w:shd w:val="clear" w:color="auto" w:fill="auto"/>
            <w:vAlign w:val="center"/>
          </w:tcPr>
          <w:p w14:paraId="2E4075B1"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1134" w:type="dxa"/>
            <w:shd w:val="clear" w:color="auto" w:fill="auto"/>
            <w:vAlign w:val="center"/>
          </w:tcPr>
          <w:p w14:paraId="79EFC1AB"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630" w:type="dxa"/>
            <w:shd w:val="clear" w:color="auto" w:fill="auto"/>
            <w:noWrap/>
            <w:vAlign w:val="center"/>
            <w:hideMark/>
          </w:tcPr>
          <w:p w14:paraId="7DE5AA10"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29" w:type="dxa"/>
            <w:shd w:val="clear" w:color="auto" w:fill="auto"/>
            <w:noWrap/>
            <w:vAlign w:val="center"/>
            <w:hideMark/>
          </w:tcPr>
          <w:p w14:paraId="6EBA2C35"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00" w:type="dxa"/>
            <w:shd w:val="clear" w:color="auto" w:fill="auto"/>
            <w:noWrap/>
            <w:vAlign w:val="center"/>
            <w:hideMark/>
          </w:tcPr>
          <w:p w14:paraId="773EEBF4"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00" w:type="dxa"/>
            <w:shd w:val="clear" w:color="auto" w:fill="auto"/>
            <w:vAlign w:val="center"/>
          </w:tcPr>
          <w:p w14:paraId="43EEF5D6"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752" w:type="dxa"/>
            <w:shd w:val="clear" w:color="auto" w:fill="auto"/>
            <w:noWrap/>
            <w:vAlign w:val="center"/>
            <w:hideMark/>
          </w:tcPr>
          <w:p w14:paraId="4159F8DF"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r>
      <w:tr w:rsidR="0091160B" w:rsidRPr="008A7960" w14:paraId="13746801" w14:textId="77777777" w:rsidTr="00BA219D">
        <w:trPr>
          <w:trHeight w:val="320"/>
        </w:trPr>
        <w:tc>
          <w:tcPr>
            <w:cnfStyle w:val="001000000000" w:firstRow="0" w:lastRow="0" w:firstColumn="1" w:lastColumn="0" w:oddVBand="0" w:evenVBand="0" w:oddHBand="0" w:evenHBand="0" w:firstRowFirstColumn="0" w:firstRowLastColumn="0" w:lastRowFirstColumn="0" w:lastRowLastColumn="0"/>
            <w:tcW w:w="1530" w:type="dxa"/>
            <w:tcBorders>
              <w:right w:val="single" w:sz="4" w:space="0" w:color="auto"/>
            </w:tcBorders>
            <w:shd w:val="clear" w:color="auto" w:fill="auto"/>
            <w:noWrap/>
            <w:vAlign w:val="center"/>
            <w:hideMark/>
          </w:tcPr>
          <w:p w14:paraId="1A6024EF" w14:textId="77777777" w:rsidR="0091160B" w:rsidRPr="008A7960" w:rsidRDefault="0091160B" w:rsidP="00BA219D">
            <w:pPr>
              <w:spacing w:line="240" w:lineRule="auto"/>
              <w:rPr>
                <w:rFonts w:ascii="Times" w:hAnsi="Times" w:cs="Calibri"/>
                <w:color w:val="000000"/>
                <w:sz w:val="18"/>
                <w:szCs w:val="18"/>
                <w:vertAlign w:val="superscript"/>
              </w:rPr>
            </w:pPr>
            <w:r w:rsidRPr="008A7960">
              <w:rPr>
                <w:rFonts w:ascii="Times" w:hAnsi="Times" w:cs="Calibri"/>
                <w:b w:val="0"/>
                <w:bCs w:val="0"/>
                <w:color w:val="000000"/>
                <w:sz w:val="18"/>
                <w:szCs w:val="18"/>
              </w:rPr>
              <w:t>PTK2/FAK</w:t>
            </w:r>
            <w:r w:rsidRPr="008A7960">
              <w:rPr>
                <w:rFonts w:ascii="Times" w:hAnsi="Times" w:cs="Calibri"/>
                <w:b w:val="0"/>
                <w:bCs w:val="0"/>
                <w:color w:val="000000"/>
                <w:sz w:val="18"/>
                <w:szCs w:val="18"/>
                <w:vertAlign w:val="superscript"/>
              </w:rPr>
              <w:t xml:space="preserve"># </w:t>
            </w:r>
          </w:p>
        </w:tc>
        <w:tc>
          <w:tcPr>
            <w:tcW w:w="597" w:type="dxa"/>
            <w:shd w:val="clear" w:color="auto" w:fill="auto"/>
          </w:tcPr>
          <w:p w14:paraId="7575A3C3"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p>
        </w:tc>
        <w:tc>
          <w:tcPr>
            <w:tcW w:w="900" w:type="dxa"/>
            <w:tcBorders>
              <w:right w:val="single" w:sz="4" w:space="0" w:color="auto"/>
            </w:tcBorders>
            <w:shd w:val="clear" w:color="auto" w:fill="auto"/>
            <w:vAlign w:val="center"/>
          </w:tcPr>
          <w:p w14:paraId="3D185FDC"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90" w:type="dxa"/>
            <w:tcBorders>
              <w:left w:val="single" w:sz="4" w:space="0" w:color="auto"/>
              <w:right w:val="single" w:sz="4" w:space="0" w:color="auto"/>
            </w:tcBorders>
            <w:shd w:val="clear" w:color="auto" w:fill="auto"/>
            <w:noWrap/>
            <w:vAlign w:val="center"/>
            <w:hideMark/>
          </w:tcPr>
          <w:p w14:paraId="6B2243AD"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61" w:type="dxa"/>
            <w:tcBorders>
              <w:left w:val="single" w:sz="4" w:space="0" w:color="auto"/>
            </w:tcBorders>
            <w:shd w:val="clear" w:color="auto" w:fill="auto"/>
            <w:vAlign w:val="center"/>
          </w:tcPr>
          <w:p w14:paraId="1C8B2C00"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693" w:type="dxa"/>
            <w:shd w:val="clear" w:color="auto" w:fill="auto"/>
            <w:vAlign w:val="center"/>
          </w:tcPr>
          <w:p w14:paraId="2223C20F"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810" w:type="dxa"/>
            <w:shd w:val="clear" w:color="auto" w:fill="auto"/>
            <w:vAlign w:val="center"/>
          </w:tcPr>
          <w:p w14:paraId="50D88CEB"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810" w:type="dxa"/>
            <w:gridSpan w:val="2"/>
            <w:tcBorders>
              <w:right w:val="single" w:sz="4" w:space="0" w:color="auto"/>
            </w:tcBorders>
            <w:shd w:val="clear" w:color="auto" w:fill="auto"/>
            <w:vAlign w:val="center"/>
          </w:tcPr>
          <w:p w14:paraId="1EA2FA8D"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720" w:type="dxa"/>
            <w:tcBorders>
              <w:left w:val="single" w:sz="4" w:space="0" w:color="auto"/>
            </w:tcBorders>
            <w:shd w:val="clear" w:color="auto" w:fill="auto"/>
            <w:noWrap/>
            <w:vAlign w:val="center"/>
            <w:hideMark/>
          </w:tcPr>
          <w:p w14:paraId="6D72AB44"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720" w:type="dxa"/>
            <w:shd w:val="clear" w:color="auto" w:fill="auto"/>
            <w:noWrap/>
            <w:vAlign w:val="center"/>
            <w:hideMark/>
          </w:tcPr>
          <w:p w14:paraId="63214ACF"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767" w:type="dxa"/>
            <w:shd w:val="clear" w:color="auto" w:fill="auto"/>
            <w:vAlign w:val="center"/>
          </w:tcPr>
          <w:p w14:paraId="0F3FD1D3"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1134" w:type="dxa"/>
            <w:shd w:val="clear" w:color="auto" w:fill="auto"/>
            <w:vAlign w:val="center"/>
          </w:tcPr>
          <w:p w14:paraId="1E615157"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630" w:type="dxa"/>
            <w:shd w:val="clear" w:color="auto" w:fill="auto"/>
            <w:noWrap/>
            <w:vAlign w:val="center"/>
            <w:hideMark/>
          </w:tcPr>
          <w:p w14:paraId="167A273D"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929" w:type="dxa"/>
            <w:shd w:val="clear" w:color="auto" w:fill="auto"/>
            <w:noWrap/>
            <w:vAlign w:val="center"/>
            <w:hideMark/>
          </w:tcPr>
          <w:p w14:paraId="673FFE37"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00" w:type="dxa"/>
            <w:shd w:val="clear" w:color="auto" w:fill="auto"/>
            <w:noWrap/>
            <w:vAlign w:val="center"/>
            <w:hideMark/>
          </w:tcPr>
          <w:p w14:paraId="1D086085"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00" w:type="dxa"/>
            <w:shd w:val="clear" w:color="auto" w:fill="auto"/>
            <w:vAlign w:val="center"/>
          </w:tcPr>
          <w:p w14:paraId="656B8E4E"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752" w:type="dxa"/>
            <w:shd w:val="clear" w:color="auto" w:fill="auto"/>
            <w:noWrap/>
            <w:vAlign w:val="center"/>
            <w:hideMark/>
          </w:tcPr>
          <w:p w14:paraId="6A3F24D1"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r>
      <w:tr w:rsidR="0091160B" w:rsidRPr="008A7960" w14:paraId="0D48D015" w14:textId="77777777" w:rsidTr="00BA219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30" w:type="dxa"/>
            <w:tcBorders>
              <w:right w:val="single" w:sz="4" w:space="0" w:color="auto"/>
            </w:tcBorders>
            <w:shd w:val="clear" w:color="auto" w:fill="auto"/>
            <w:noWrap/>
            <w:vAlign w:val="center"/>
            <w:hideMark/>
          </w:tcPr>
          <w:p w14:paraId="73C6AE6D" w14:textId="77777777" w:rsidR="0091160B" w:rsidRPr="008A7960" w:rsidRDefault="0091160B" w:rsidP="00BA219D">
            <w:pPr>
              <w:spacing w:line="240" w:lineRule="auto"/>
              <w:rPr>
                <w:rFonts w:ascii="Times" w:hAnsi="Times" w:cs="Calibri"/>
                <w:b w:val="0"/>
                <w:bCs w:val="0"/>
                <w:color w:val="000000"/>
                <w:sz w:val="18"/>
                <w:szCs w:val="18"/>
              </w:rPr>
            </w:pPr>
            <w:r w:rsidRPr="008A7960">
              <w:rPr>
                <w:rFonts w:ascii="Times" w:hAnsi="Times" w:cs="Calibri"/>
                <w:b w:val="0"/>
                <w:bCs w:val="0"/>
                <w:sz w:val="18"/>
                <w:szCs w:val="18"/>
              </w:rPr>
              <w:t>UBE3B**</w:t>
            </w:r>
          </w:p>
        </w:tc>
        <w:tc>
          <w:tcPr>
            <w:tcW w:w="597" w:type="dxa"/>
            <w:shd w:val="clear" w:color="auto" w:fill="auto"/>
          </w:tcPr>
          <w:p w14:paraId="281E710D"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p>
        </w:tc>
        <w:tc>
          <w:tcPr>
            <w:tcW w:w="900" w:type="dxa"/>
            <w:tcBorders>
              <w:right w:val="single" w:sz="4" w:space="0" w:color="auto"/>
            </w:tcBorders>
            <w:shd w:val="clear" w:color="auto" w:fill="auto"/>
            <w:vAlign w:val="center"/>
          </w:tcPr>
          <w:p w14:paraId="32E3D777"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p>
        </w:tc>
        <w:tc>
          <w:tcPr>
            <w:tcW w:w="990" w:type="dxa"/>
            <w:tcBorders>
              <w:left w:val="single" w:sz="4" w:space="0" w:color="auto"/>
              <w:right w:val="single" w:sz="4" w:space="0" w:color="auto"/>
            </w:tcBorders>
            <w:shd w:val="clear" w:color="auto" w:fill="auto"/>
            <w:noWrap/>
            <w:vAlign w:val="center"/>
            <w:hideMark/>
          </w:tcPr>
          <w:p w14:paraId="69CDBE9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p>
        </w:tc>
        <w:tc>
          <w:tcPr>
            <w:tcW w:w="961" w:type="dxa"/>
            <w:tcBorders>
              <w:left w:val="single" w:sz="4" w:space="0" w:color="auto"/>
            </w:tcBorders>
            <w:shd w:val="clear" w:color="auto" w:fill="auto"/>
            <w:vAlign w:val="center"/>
          </w:tcPr>
          <w:p w14:paraId="15161A00"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p>
        </w:tc>
        <w:tc>
          <w:tcPr>
            <w:tcW w:w="693" w:type="dxa"/>
            <w:shd w:val="clear" w:color="auto" w:fill="auto"/>
            <w:vAlign w:val="center"/>
          </w:tcPr>
          <w:p w14:paraId="0BF035BD"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p>
        </w:tc>
        <w:tc>
          <w:tcPr>
            <w:tcW w:w="810" w:type="dxa"/>
            <w:shd w:val="clear" w:color="auto" w:fill="auto"/>
            <w:vAlign w:val="center"/>
          </w:tcPr>
          <w:p w14:paraId="194A4EE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p>
        </w:tc>
        <w:tc>
          <w:tcPr>
            <w:tcW w:w="810" w:type="dxa"/>
            <w:gridSpan w:val="2"/>
            <w:tcBorders>
              <w:right w:val="single" w:sz="4" w:space="0" w:color="auto"/>
            </w:tcBorders>
            <w:shd w:val="clear" w:color="auto" w:fill="auto"/>
            <w:vAlign w:val="center"/>
          </w:tcPr>
          <w:p w14:paraId="52C2CDF0"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p>
        </w:tc>
        <w:tc>
          <w:tcPr>
            <w:tcW w:w="720" w:type="dxa"/>
            <w:tcBorders>
              <w:left w:val="single" w:sz="4" w:space="0" w:color="auto"/>
            </w:tcBorders>
            <w:shd w:val="clear" w:color="auto" w:fill="auto"/>
            <w:noWrap/>
            <w:vAlign w:val="center"/>
            <w:hideMark/>
          </w:tcPr>
          <w:p w14:paraId="166342FC"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p>
        </w:tc>
        <w:tc>
          <w:tcPr>
            <w:tcW w:w="720" w:type="dxa"/>
            <w:shd w:val="clear" w:color="auto" w:fill="auto"/>
            <w:noWrap/>
            <w:vAlign w:val="center"/>
            <w:hideMark/>
          </w:tcPr>
          <w:p w14:paraId="790D8C5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p>
        </w:tc>
        <w:tc>
          <w:tcPr>
            <w:tcW w:w="767" w:type="dxa"/>
            <w:shd w:val="clear" w:color="auto" w:fill="auto"/>
            <w:vAlign w:val="center"/>
          </w:tcPr>
          <w:p w14:paraId="17CEF5A6"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p>
        </w:tc>
        <w:tc>
          <w:tcPr>
            <w:tcW w:w="1134" w:type="dxa"/>
            <w:shd w:val="clear" w:color="auto" w:fill="auto"/>
            <w:vAlign w:val="center"/>
          </w:tcPr>
          <w:p w14:paraId="79B2B2C0"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p>
        </w:tc>
        <w:tc>
          <w:tcPr>
            <w:tcW w:w="630" w:type="dxa"/>
            <w:shd w:val="clear" w:color="auto" w:fill="auto"/>
            <w:noWrap/>
            <w:vAlign w:val="center"/>
            <w:hideMark/>
          </w:tcPr>
          <w:p w14:paraId="57805A99"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p>
        </w:tc>
        <w:tc>
          <w:tcPr>
            <w:tcW w:w="929" w:type="dxa"/>
            <w:shd w:val="clear" w:color="auto" w:fill="auto"/>
            <w:noWrap/>
            <w:vAlign w:val="center"/>
            <w:hideMark/>
          </w:tcPr>
          <w:p w14:paraId="72207A51"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p>
        </w:tc>
        <w:tc>
          <w:tcPr>
            <w:tcW w:w="900" w:type="dxa"/>
            <w:shd w:val="clear" w:color="auto" w:fill="auto"/>
            <w:noWrap/>
            <w:vAlign w:val="center"/>
            <w:hideMark/>
          </w:tcPr>
          <w:p w14:paraId="6301745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p>
        </w:tc>
        <w:tc>
          <w:tcPr>
            <w:tcW w:w="900" w:type="dxa"/>
            <w:shd w:val="clear" w:color="auto" w:fill="auto"/>
            <w:vAlign w:val="center"/>
          </w:tcPr>
          <w:p w14:paraId="49D99582"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p>
        </w:tc>
        <w:tc>
          <w:tcPr>
            <w:tcW w:w="752" w:type="dxa"/>
            <w:shd w:val="clear" w:color="auto" w:fill="auto"/>
            <w:noWrap/>
            <w:vAlign w:val="center"/>
            <w:hideMark/>
          </w:tcPr>
          <w:p w14:paraId="3B497CE2"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p>
        </w:tc>
      </w:tr>
      <w:tr w:rsidR="0091160B" w:rsidRPr="008A7960" w14:paraId="640374EE" w14:textId="77777777" w:rsidTr="00BA219D">
        <w:trPr>
          <w:trHeight w:val="320"/>
        </w:trPr>
        <w:tc>
          <w:tcPr>
            <w:cnfStyle w:val="001000000000" w:firstRow="0" w:lastRow="0" w:firstColumn="1" w:lastColumn="0" w:oddVBand="0" w:evenVBand="0" w:oddHBand="0" w:evenHBand="0" w:firstRowFirstColumn="0" w:firstRowLastColumn="0" w:lastRowFirstColumn="0" w:lastRowLastColumn="0"/>
            <w:tcW w:w="1530" w:type="dxa"/>
            <w:tcBorders>
              <w:right w:val="single" w:sz="4" w:space="0" w:color="auto"/>
            </w:tcBorders>
            <w:shd w:val="clear" w:color="auto" w:fill="auto"/>
            <w:noWrap/>
            <w:vAlign w:val="center"/>
            <w:hideMark/>
          </w:tcPr>
          <w:p w14:paraId="3D637146" w14:textId="77777777" w:rsidR="0091160B" w:rsidRPr="008A7960" w:rsidRDefault="0091160B" w:rsidP="00BA219D">
            <w:pPr>
              <w:spacing w:line="240" w:lineRule="auto"/>
              <w:rPr>
                <w:rFonts w:ascii="Times" w:hAnsi="Times" w:cs="Calibri"/>
                <w:b w:val="0"/>
                <w:bCs w:val="0"/>
                <w:color w:val="000000"/>
                <w:sz w:val="18"/>
                <w:szCs w:val="18"/>
              </w:rPr>
            </w:pPr>
            <w:r w:rsidRPr="008A7960">
              <w:rPr>
                <w:rFonts w:ascii="Times" w:hAnsi="Times" w:cs="Calibri"/>
                <w:b w:val="0"/>
                <w:bCs w:val="0"/>
                <w:sz w:val="18"/>
                <w:szCs w:val="18"/>
              </w:rPr>
              <w:t>MMP2</w:t>
            </w:r>
            <w:r w:rsidRPr="008A7960">
              <w:rPr>
                <w:rFonts w:ascii="Times" w:hAnsi="Times" w:cs="Calibri"/>
                <w:b w:val="0"/>
                <w:bCs w:val="0"/>
                <w:sz w:val="18"/>
                <w:szCs w:val="18"/>
                <w:vertAlign w:val="superscript"/>
              </w:rPr>
              <w:t>##</w:t>
            </w:r>
          </w:p>
        </w:tc>
        <w:tc>
          <w:tcPr>
            <w:tcW w:w="597" w:type="dxa"/>
            <w:shd w:val="clear" w:color="auto" w:fill="auto"/>
          </w:tcPr>
          <w:p w14:paraId="2AFD5463"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p>
        </w:tc>
        <w:tc>
          <w:tcPr>
            <w:tcW w:w="900" w:type="dxa"/>
            <w:tcBorders>
              <w:right w:val="single" w:sz="4" w:space="0" w:color="auto"/>
            </w:tcBorders>
            <w:shd w:val="clear" w:color="auto" w:fill="auto"/>
            <w:vAlign w:val="center"/>
          </w:tcPr>
          <w:p w14:paraId="539B1828"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90" w:type="dxa"/>
            <w:tcBorders>
              <w:left w:val="single" w:sz="4" w:space="0" w:color="auto"/>
              <w:right w:val="single" w:sz="4" w:space="0" w:color="auto"/>
            </w:tcBorders>
            <w:shd w:val="clear" w:color="auto" w:fill="auto"/>
            <w:noWrap/>
            <w:vAlign w:val="center"/>
            <w:hideMark/>
          </w:tcPr>
          <w:p w14:paraId="7FFA873A"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61" w:type="dxa"/>
            <w:tcBorders>
              <w:left w:val="single" w:sz="4" w:space="0" w:color="auto"/>
            </w:tcBorders>
            <w:shd w:val="clear" w:color="auto" w:fill="auto"/>
            <w:vAlign w:val="center"/>
          </w:tcPr>
          <w:p w14:paraId="4922ADF6"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693" w:type="dxa"/>
            <w:shd w:val="clear" w:color="auto" w:fill="auto"/>
            <w:vAlign w:val="center"/>
          </w:tcPr>
          <w:p w14:paraId="527893CD"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810" w:type="dxa"/>
            <w:shd w:val="clear" w:color="auto" w:fill="auto"/>
            <w:vAlign w:val="center"/>
          </w:tcPr>
          <w:p w14:paraId="76CB0CB7"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810" w:type="dxa"/>
            <w:gridSpan w:val="2"/>
            <w:tcBorders>
              <w:right w:val="single" w:sz="4" w:space="0" w:color="auto"/>
            </w:tcBorders>
            <w:shd w:val="clear" w:color="auto" w:fill="auto"/>
            <w:vAlign w:val="center"/>
          </w:tcPr>
          <w:p w14:paraId="66B3C23D"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720" w:type="dxa"/>
            <w:tcBorders>
              <w:left w:val="single" w:sz="4" w:space="0" w:color="auto"/>
            </w:tcBorders>
            <w:shd w:val="clear" w:color="auto" w:fill="auto"/>
            <w:noWrap/>
            <w:vAlign w:val="center"/>
            <w:hideMark/>
          </w:tcPr>
          <w:p w14:paraId="192F7E72"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720" w:type="dxa"/>
            <w:shd w:val="clear" w:color="auto" w:fill="auto"/>
            <w:noWrap/>
            <w:vAlign w:val="center"/>
            <w:hideMark/>
          </w:tcPr>
          <w:p w14:paraId="4E129E8D"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767" w:type="dxa"/>
            <w:shd w:val="clear" w:color="auto" w:fill="auto"/>
            <w:vAlign w:val="center"/>
          </w:tcPr>
          <w:p w14:paraId="3B595779"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1134" w:type="dxa"/>
            <w:shd w:val="clear" w:color="auto" w:fill="auto"/>
            <w:vAlign w:val="center"/>
          </w:tcPr>
          <w:p w14:paraId="6D7D8509"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630" w:type="dxa"/>
            <w:shd w:val="clear" w:color="auto" w:fill="auto"/>
            <w:noWrap/>
            <w:vAlign w:val="center"/>
            <w:hideMark/>
          </w:tcPr>
          <w:p w14:paraId="0365A06F"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29" w:type="dxa"/>
            <w:shd w:val="clear" w:color="auto" w:fill="auto"/>
            <w:noWrap/>
            <w:vAlign w:val="center"/>
            <w:hideMark/>
          </w:tcPr>
          <w:p w14:paraId="6CC88708"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00" w:type="dxa"/>
            <w:shd w:val="clear" w:color="auto" w:fill="auto"/>
            <w:noWrap/>
            <w:vAlign w:val="center"/>
            <w:hideMark/>
          </w:tcPr>
          <w:p w14:paraId="63F12D66"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00" w:type="dxa"/>
            <w:shd w:val="clear" w:color="auto" w:fill="auto"/>
            <w:vAlign w:val="center"/>
          </w:tcPr>
          <w:p w14:paraId="366786AF"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752" w:type="dxa"/>
            <w:shd w:val="clear" w:color="auto" w:fill="auto"/>
            <w:noWrap/>
            <w:vAlign w:val="center"/>
            <w:hideMark/>
          </w:tcPr>
          <w:p w14:paraId="3CA6BF3E"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r>
      <w:tr w:rsidR="0091160B" w:rsidRPr="008A7960" w14:paraId="6E73A977" w14:textId="77777777" w:rsidTr="00BA219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30" w:type="dxa"/>
            <w:tcBorders>
              <w:right w:val="single" w:sz="4" w:space="0" w:color="auto"/>
            </w:tcBorders>
            <w:shd w:val="clear" w:color="auto" w:fill="auto"/>
            <w:noWrap/>
            <w:vAlign w:val="center"/>
            <w:hideMark/>
          </w:tcPr>
          <w:p w14:paraId="73A9AC45" w14:textId="77777777" w:rsidR="0091160B" w:rsidRPr="008A7960" w:rsidRDefault="0091160B" w:rsidP="00BA219D">
            <w:pPr>
              <w:spacing w:line="240" w:lineRule="auto"/>
              <w:rPr>
                <w:rFonts w:ascii="Times" w:hAnsi="Times" w:cs="Calibri"/>
                <w:b w:val="0"/>
                <w:bCs w:val="0"/>
                <w:color w:val="000000"/>
                <w:sz w:val="18"/>
                <w:szCs w:val="18"/>
              </w:rPr>
            </w:pPr>
            <w:r w:rsidRPr="008A7960">
              <w:rPr>
                <w:rFonts w:ascii="Times" w:hAnsi="Times" w:cs="Calibri"/>
                <w:b w:val="0"/>
                <w:bCs w:val="0"/>
                <w:sz w:val="18"/>
                <w:szCs w:val="18"/>
              </w:rPr>
              <w:t>SYNJ2</w:t>
            </w:r>
            <w:r w:rsidRPr="008A7960">
              <w:rPr>
                <w:rFonts w:ascii="Times" w:hAnsi="Times" w:cs="Calibri"/>
                <w:b w:val="0"/>
                <w:bCs w:val="0"/>
                <w:i/>
                <w:iCs/>
                <w:sz w:val="18"/>
                <w:szCs w:val="18"/>
                <w:vertAlign w:val="superscript"/>
              </w:rPr>
              <w:t>b</w:t>
            </w:r>
          </w:p>
        </w:tc>
        <w:tc>
          <w:tcPr>
            <w:tcW w:w="597" w:type="dxa"/>
            <w:shd w:val="clear" w:color="auto" w:fill="auto"/>
          </w:tcPr>
          <w:p w14:paraId="4F42BCC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p>
        </w:tc>
        <w:tc>
          <w:tcPr>
            <w:tcW w:w="900" w:type="dxa"/>
            <w:tcBorders>
              <w:right w:val="single" w:sz="4" w:space="0" w:color="auto"/>
            </w:tcBorders>
            <w:shd w:val="clear" w:color="auto" w:fill="auto"/>
            <w:vAlign w:val="center"/>
          </w:tcPr>
          <w:p w14:paraId="4E51769C"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90" w:type="dxa"/>
            <w:tcBorders>
              <w:left w:val="single" w:sz="4" w:space="0" w:color="auto"/>
              <w:right w:val="single" w:sz="4" w:space="0" w:color="auto"/>
            </w:tcBorders>
            <w:shd w:val="clear" w:color="auto" w:fill="auto"/>
            <w:noWrap/>
            <w:vAlign w:val="center"/>
            <w:hideMark/>
          </w:tcPr>
          <w:p w14:paraId="264027B9"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61" w:type="dxa"/>
            <w:tcBorders>
              <w:left w:val="single" w:sz="4" w:space="0" w:color="auto"/>
            </w:tcBorders>
            <w:shd w:val="clear" w:color="auto" w:fill="auto"/>
            <w:vAlign w:val="center"/>
          </w:tcPr>
          <w:p w14:paraId="0640B103"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693" w:type="dxa"/>
            <w:shd w:val="clear" w:color="auto" w:fill="auto"/>
            <w:vAlign w:val="center"/>
          </w:tcPr>
          <w:p w14:paraId="7AD37A88"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810" w:type="dxa"/>
            <w:shd w:val="clear" w:color="auto" w:fill="auto"/>
            <w:vAlign w:val="center"/>
          </w:tcPr>
          <w:p w14:paraId="1E10A753"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810" w:type="dxa"/>
            <w:gridSpan w:val="2"/>
            <w:tcBorders>
              <w:right w:val="single" w:sz="4" w:space="0" w:color="auto"/>
            </w:tcBorders>
            <w:shd w:val="clear" w:color="auto" w:fill="auto"/>
            <w:vAlign w:val="center"/>
          </w:tcPr>
          <w:p w14:paraId="7FEFCEA0"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720" w:type="dxa"/>
            <w:tcBorders>
              <w:left w:val="single" w:sz="4" w:space="0" w:color="auto"/>
            </w:tcBorders>
            <w:shd w:val="clear" w:color="auto" w:fill="auto"/>
            <w:noWrap/>
            <w:vAlign w:val="center"/>
            <w:hideMark/>
          </w:tcPr>
          <w:p w14:paraId="2DD6C829"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720" w:type="dxa"/>
            <w:shd w:val="clear" w:color="auto" w:fill="auto"/>
            <w:noWrap/>
            <w:vAlign w:val="center"/>
            <w:hideMark/>
          </w:tcPr>
          <w:p w14:paraId="23C9A670"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767" w:type="dxa"/>
            <w:shd w:val="clear" w:color="auto" w:fill="auto"/>
            <w:vAlign w:val="center"/>
          </w:tcPr>
          <w:p w14:paraId="0A02CC7D"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1134" w:type="dxa"/>
            <w:shd w:val="clear" w:color="auto" w:fill="auto"/>
            <w:vAlign w:val="center"/>
          </w:tcPr>
          <w:p w14:paraId="286B9AEC"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630" w:type="dxa"/>
            <w:shd w:val="clear" w:color="auto" w:fill="auto"/>
            <w:noWrap/>
            <w:vAlign w:val="center"/>
            <w:hideMark/>
          </w:tcPr>
          <w:p w14:paraId="43231C76"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29" w:type="dxa"/>
            <w:shd w:val="clear" w:color="auto" w:fill="auto"/>
            <w:noWrap/>
            <w:vAlign w:val="center"/>
            <w:hideMark/>
          </w:tcPr>
          <w:p w14:paraId="3507B4B5"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00" w:type="dxa"/>
            <w:shd w:val="clear" w:color="auto" w:fill="auto"/>
            <w:noWrap/>
            <w:vAlign w:val="center"/>
            <w:hideMark/>
          </w:tcPr>
          <w:p w14:paraId="03AC556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00" w:type="dxa"/>
            <w:shd w:val="clear" w:color="auto" w:fill="auto"/>
            <w:vAlign w:val="center"/>
          </w:tcPr>
          <w:p w14:paraId="05560FF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752" w:type="dxa"/>
            <w:shd w:val="clear" w:color="auto" w:fill="auto"/>
            <w:noWrap/>
            <w:vAlign w:val="center"/>
            <w:hideMark/>
          </w:tcPr>
          <w:p w14:paraId="51B02B22"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r>
      <w:tr w:rsidR="0091160B" w:rsidRPr="008A7960" w14:paraId="472F9A7C" w14:textId="77777777" w:rsidTr="00BA219D">
        <w:trPr>
          <w:trHeight w:val="320"/>
        </w:trPr>
        <w:tc>
          <w:tcPr>
            <w:cnfStyle w:val="001000000000" w:firstRow="0" w:lastRow="0" w:firstColumn="1" w:lastColumn="0" w:oddVBand="0" w:evenVBand="0" w:oddHBand="0" w:evenHBand="0" w:firstRowFirstColumn="0" w:firstRowLastColumn="0" w:lastRowFirstColumn="0" w:lastRowLastColumn="0"/>
            <w:tcW w:w="1530" w:type="dxa"/>
            <w:tcBorders>
              <w:right w:val="single" w:sz="4" w:space="0" w:color="auto"/>
            </w:tcBorders>
            <w:shd w:val="clear" w:color="auto" w:fill="auto"/>
            <w:noWrap/>
            <w:vAlign w:val="center"/>
            <w:hideMark/>
          </w:tcPr>
          <w:p w14:paraId="66392C92" w14:textId="77777777" w:rsidR="0091160B" w:rsidRPr="008A7960" w:rsidRDefault="0091160B" w:rsidP="00BA219D">
            <w:pPr>
              <w:spacing w:line="240" w:lineRule="auto"/>
              <w:rPr>
                <w:rFonts w:ascii="Times" w:hAnsi="Times" w:cs="Calibri"/>
                <w:b w:val="0"/>
                <w:bCs w:val="0"/>
                <w:color w:val="000000"/>
                <w:sz w:val="18"/>
                <w:szCs w:val="18"/>
              </w:rPr>
            </w:pPr>
            <w:r w:rsidRPr="008A7960">
              <w:rPr>
                <w:rFonts w:ascii="Times" w:hAnsi="Times" w:cs="Calibri"/>
                <w:b w:val="0"/>
                <w:bCs w:val="0"/>
                <w:sz w:val="18"/>
                <w:szCs w:val="18"/>
              </w:rPr>
              <w:t>GRM5**</w:t>
            </w:r>
          </w:p>
        </w:tc>
        <w:tc>
          <w:tcPr>
            <w:tcW w:w="597" w:type="dxa"/>
            <w:shd w:val="clear" w:color="auto" w:fill="auto"/>
            <w:vAlign w:val="center"/>
          </w:tcPr>
          <w:p w14:paraId="3A6FBE12"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900" w:type="dxa"/>
            <w:tcBorders>
              <w:right w:val="single" w:sz="4" w:space="0" w:color="auto"/>
            </w:tcBorders>
            <w:shd w:val="clear" w:color="auto" w:fill="auto"/>
            <w:vAlign w:val="center"/>
          </w:tcPr>
          <w:p w14:paraId="6BDB9AFE"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990" w:type="dxa"/>
            <w:tcBorders>
              <w:left w:val="single" w:sz="4" w:space="0" w:color="auto"/>
              <w:right w:val="single" w:sz="4" w:space="0" w:color="auto"/>
            </w:tcBorders>
            <w:shd w:val="clear" w:color="auto" w:fill="auto"/>
            <w:noWrap/>
            <w:vAlign w:val="center"/>
            <w:hideMark/>
          </w:tcPr>
          <w:p w14:paraId="62D5F609"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961" w:type="dxa"/>
            <w:tcBorders>
              <w:left w:val="single" w:sz="4" w:space="0" w:color="auto"/>
            </w:tcBorders>
            <w:shd w:val="clear" w:color="auto" w:fill="auto"/>
            <w:vAlign w:val="center"/>
          </w:tcPr>
          <w:p w14:paraId="454CA989"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693" w:type="dxa"/>
            <w:shd w:val="clear" w:color="auto" w:fill="auto"/>
            <w:vAlign w:val="center"/>
          </w:tcPr>
          <w:p w14:paraId="2910C6AF"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810" w:type="dxa"/>
            <w:shd w:val="clear" w:color="auto" w:fill="auto"/>
            <w:vAlign w:val="center"/>
          </w:tcPr>
          <w:p w14:paraId="03A30038"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810" w:type="dxa"/>
            <w:gridSpan w:val="2"/>
            <w:tcBorders>
              <w:right w:val="single" w:sz="4" w:space="0" w:color="auto"/>
            </w:tcBorders>
            <w:shd w:val="clear" w:color="auto" w:fill="auto"/>
            <w:vAlign w:val="center"/>
          </w:tcPr>
          <w:p w14:paraId="1F4C1340"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720" w:type="dxa"/>
            <w:tcBorders>
              <w:left w:val="single" w:sz="4" w:space="0" w:color="auto"/>
            </w:tcBorders>
            <w:shd w:val="clear" w:color="auto" w:fill="auto"/>
            <w:noWrap/>
            <w:vAlign w:val="center"/>
            <w:hideMark/>
          </w:tcPr>
          <w:p w14:paraId="448B4CDA"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720" w:type="dxa"/>
            <w:shd w:val="clear" w:color="auto" w:fill="auto"/>
            <w:noWrap/>
            <w:vAlign w:val="center"/>
            <w:hideMark/>
          </w:tcPr>
          <w:p w14:paraId="2F100F6D"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767" w:type="dxa"/>
            <w:shd w:val="clear" w:color="auto" w:fill="auto"/>
            <w:vAlign w:val="center"/>
          </w:tcPr>
          <w:p w14:paraId="162CA656"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1134" w:type="dxa"/>
            <w:shd w:val="clear" w:color="auto" w:fill="auto"/>
            <w:vAlign w:val="center"/>
          </w:tcPr>
          <w:p w14:paraId="49F5EDA2"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630" w:type="dxa"/>
            <w:shd w:val="clear" w:color="auto" w:fill="auto"/>
            <w:noWrap/>
            <w:vAlign w:val="center"/>
            <w:hideMark/>
          </w:tcPr>
          <w:p w14:paraId="7AAA491F"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929" w:type="dxa"/>
            <w:shd w:val="clear" w:color="auto" w:fill="auto"/>
            <w:noWrap/>
            <w:vAlign w:val="center"/>
            <w:hideMark/>
          </w:tcPr>
          <w:p w14:paraId="71C43254"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900" w:type="dxa"/>
            <w:shd w:val="clear" w:color="auto" w:fill="auto"/>
            <w:noWrap/>
            <w:vAlign w:val="center"/>
            <w:hideMark/>
          </w:tcPr>
          <w:p w14:paraId="0ECBBB54"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900" w:type="dxa"/>
            <w:shd w:val="clear" w:color="auto" w:fill="auto"/>
            <w:vAlign w:val="center"/>
          </w:tcPr>
          <w:p w14:paraId="38DE2DE7"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752" w:type="dxa"/>
            <w:shd w:val="clear" w:color="auto" w:fill="auto"/>
            <w:noWrap/>
            <w:vAlign w:val="center"/>
            <w:hideMark/>
          </w:tcPr>
          <w:p w14:paraId="3E93CD16"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r>
      <w:tr w:rsidR="0091160B" w:rsidRPr="008A7960" w14:paraId="116F5E95" w14:textId="77777777" w:rsidTr="00BA219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30" w:type="dxa"/>
            <w:tcBorders>
              <w:right w:val="single" w:sz="4" w:space="0" w:color="auto"/>
            </w:tcBorders>
            <w:shd w:val="clear" w:color="auto" w:fill="auto"/>
            <w:noWrap/>
            <w:vAlign w:val="center"/>
            <w:hideMark/>
          </w:tcPr>
          <w:p w14:paraId="08466A8E" w14:textId="77777777" w:rsidR="0091160B" w:rsidRPr="008A7960" w:rsidRDefault="0091160B" w:rsidP="00BA219D">
            <w:pPr>
              <w:spacing w:line="240" w:lineRule="auto"/>
              <w:rPr>
                <w:rFonts w:ascii="Times" w:hAnsi="Times" w:cs="Calibri"/>
                <w:b w:val="0"/>
                <w:bCs w:val="0"/>
                <w:color w:val="000000"/>
                <w:sz w:val="18"/>
                <w:szCs w:val="18"/>
              </w:rPr>
            </w:pPr>
            <w:r w:rsidRPr="008A7960">
              <w:rPr>
                <w:rFonts w:ascii="Times" w:hAnsi="Times" w:cs="Calibri"/>
                <w:b w:val="0"/>
                <w:bCs w:val="0"/>
                <w:sz w:val="18"/>
                <w:szCs w:val="18"/>
              </w:rPr>
              <w:t>TRIOBP</w:t>
            </w:r>
          </w:p>
        </w:tc>
        <w:tc>
          <w:tcPr>
            <w:tcW w:w="597" w:type="dxa"/>
            <w:shd w:val="clear" w:color="auto" w:fill="auto"/>
          </w:tcPr>
          <w:p w14:paraId="10728575"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p>
        </w:tc>
        <w:tc>
          <w:tcPr>
            <w:tcW w:w="900" w:type="dxa"/>
            <w:tcBorders>
              <w:right w:val="single" w:sz="4" w:space="0" w:color="auto"/>
            </w:tcBorders>
            <w:shd w:val="clear" w:color="auto" w:fill="auto"/>
            <w:vAlign w:val="center"/>
          </w:tcPr>
          <w:p w14:paraId="14769201"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90" w:type="dxa"/>
            <w:tcBorders>
              <w:left w:val="single" w:sz="4" w:space="0" w:color="auto"/>
              <w:right w:val="single" w:sz="4" w:space="0" w:color="auto"/>
            </w:tcBorders>
            <w:shd w:val="clear" w:color="auto" w:fill="auto"/>
            <w:noWrap/>
            <w:vAlign w:val="center"/>
            <w:hideMark/>
          </w:tcPr>
          <w:p w14:paraId="23CBE231"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61" w:type="dxa"/>
            <w:tcBorders>
              <w:left w:val="single" w:sz="4" w:space="0" w:color="auto"/>
            </w:tcBorders>
            <w:shd w:val="clear" w:color="auto" w:fill="auto"/>
            <w:vAlign w:val="center"/>
          </w:tcPr>
          <w:p w14:paraId="5FB1439F"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693" w:type="dxa"/>
            <w:shd w:val="clear" w:color="auto" w:fill="auto"/>
            <w:vAlign w:val="center"/>
          </w:tcPr>
          <w:p w14:paraId="2E7C1217"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810" w:type="dxa"/>
            <w:shd w:val="clear" w:color="auto" w:fill="auto"/>
            <w:vAlign w:val="center"/>
          </w:tcPr>
          <w:p w14:paraId="68CEC256"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810" w:type="dxa"/>
            <w:gridSpan w:val="2"/>
            <w:tcBorders>
              <w:right w:val="single" w:sz="4" w:space="0" w:color="auto"/>
            </w:tcBorders>
            <w:shd w:val="clear" w:color="auto" w:fill="auto"/>
            <w:vAlign w:val="center"/>
          </w:tcPr>
          <w:p w14:paraId="5F02501B"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720" w:type="dxa"/>
            <w:tcBorders>
              <w:left w:val="single" w:sz="4" w:space="0" w:color="auto"/>
            </w:tcBorders>
            <w:shd w:val="clear" w:color="auto" w:fill="auto"/>
            <w:noWrap/>
            <w:vAlign w:val="center"/>
            <w:hideMark/>
          </w:tcPr>
          <w:p w14:paraId="76C8071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720" w:type="dxa"/>
            <w:shd w:val="clear" w:color="auto" w:fill="auto"/>
            <w:noWrap/>
            <w:vAlign w:val="center"/>
            <w:hideMark/>
          </w:tcPr>
          <w:p w14:paraId="72C574D7"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767" w:type="dxa"/>
            <w:shd w:val="clear" w:color="auto" w:fill="auto"/>
            <w:vAlign w:val="center"/>
          </w:tcPr>
          <w:p w14:paraId="1C205AD0"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1134" w:type="dxa"/>
            <w:shd w:val="clear" w:color="auto" w:fill="auto"/>
            <w:vAlign w:val="center"/>
          </w:tcPr>
          <w:p w14:paraId="20489709"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630" w:type="dxa"/>
            <w:shd w:val="clear" w:color="auto" w:fill="auto"/>
            <w:noWrap/>
            <w:vAlign w:val="center"/>
            <w:hideMark/>
          </w:tcPr>
          <w:p w14:paraId="1BD6F3F6"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29" w:type="dxa"/>
            <w:shd w:val="clear" w:color="auto" w:fill="auto"/>
            <w:noWrap/>
            <w:vAlign w:val="center"/>
            <w:hideMark/>
          </w:tcPr>
          <w:p w14:paraId="2059E6FB"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00" w:type="dxa"/>
            <w:shd w:val="clear" w:color="auto" w:fill="auto"/>
            <w:noWrap/>
            <w:vAlign w:val="center"/>
            <w:hideMark/>
          </w:tcPr>
          <w:p w14:paraId="33FEF105"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900" w:type="dxa"/>
            <w:shd w:val="clear" w:color="auto" w:fill="auto"/>
            <w:vAlign w:val="center"/>
          </w:tcPr>
          <w:p w14:paraId="56710B61"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752" w:type="dxa"/>
            <w:shd w:val="clear" w:color="auto" w:fill="auto"/>
            <w:noWrap/>
            <w:vAlign w:val="center"/>
            <w:hideMark/>
          </w:tcPr>
          <w:p w14:paraId="49CE7BC7"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r>
      <w:tr w:rsidR="0091160B" w:rsidRPr="008A7960" w14:paraId="1A84337A" w14:textId="77777777" w:rsidTr="00BA219D">
        <w:trPr>
          <w:trHeight w:val="320"/>
        </w:trPr>
        <w:tc>
          <w:tcPr>
            <w:cnfStyle w:val="001000000000" w:firstRow="0" w:lastRow="0" w:firstColumn="1" w:lastColumn="0" w:oddVBand="0" w:evenVBand="0" w:oddHBand="0" w:evenHBand="0" w:firstRowFirstColumn="0" w:firstRowLastColumn="0" w:lastRowFirstColumn="0" w:lastRowLastColumn="0"/>
            <w:tcW w:w="1530" w:type="dxa"/>
            <w:tcBorders>
              <w:right w:val="single" w:sz="4" w:space="0" w:color="auto"/>
            </w:tcBorders>
            <w:shd w:val="clear" w:color="auto" w:fill="auto"/>
            <w:noWrap/>
            <w:vAlign w:val="center"/>
            <w:hideMark/>
          </w:tcPr>
          <w:p w14:paraId="788C3312" w14:textId="77777777" w:rsidR="0091160B" w:rsidRPr="008A7960" w:rsidRDefault="0091160B" w:rsidP="00BA219D">
            <w:pPr>
              <w:spacing w:line="240" w:lineRule="auto"/>
              <w:rPr>
                <w:rFonts w:ascii="Times" w:hAnsi="Times" w:cs="Calibri"/>
                <w:b w:val="0"/>
                <w:bCs w:val="0"/>
                <w:color w:val="000000"/>
                <w:sz w:val="18"/>
                <w:szCs w:val="18"/>
              </w:rPr>
            </w:pPr>
            <w:r w:rsidRPr="008A7960">
              <w:rPr>
                <w:rFonts w:ascii="Times" w:hAnsi="Times" w:cs="Calibri"/>
                <w:b w:val="0"/>
                <w:bCs w:val="0"/>
                <w:color w:val="000000"/>
                <w:sz w:val="18"/>
                <w:szCs w:val="18"/>
              </w:rPr>
              <w:t>LMO7</w:t>
            </w:r>
          </w:p>
        </w:tc>
        <w:tc>
          <w:tcPr>
            <w:tcW w:w="597" w:type="dxa"/>
            <w:shd w:val="clear" w:color="auto" w:fill="auto"/>
          </w:tcPr>
          <w:p w14:paraId="35903B8A"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p>
        </w:tc>
        <w:tc>
          <w:tcPr>
            <w:tcW w:w="900" w:type="dxa"/>
            <w:tcBorders>
              <w:right w:val="single" w:sz="4" w:space="0" w:color="auto"/>
            </w:tcBorders>
            <w:shd w:val="clear" w:color="auto" w:fill="auto"/>
            <w:vAlign w:val="center"/>
          </w:tcPr>
          <w:p w14:paraId="7948FCAA"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i/>
                <w:iCs/>
                <w:color w:val="000000"/>
                <w:sz w:val="18"/>
                <w:szCs w:val="18"/>
              </w:rPr>
            </w:pPr>
            <w:r w:rsidRPr="008A7960">
              <w:rPr>
                <w:rFonts w:ascii="Times" w:hAnsi="Times"/>
                <w:sz w:val="18"/>
                <w:szCs w:val="18"/>
              </w:rPr>
              <w:t>-</w:t>
            </w:r>
          </w:p>
        </w:tc>
        <w:tc>
          <w:tcPr>
            <w:tcW w:w="990" w:type="dxa"/>
            <w:tcBorders>
              <w:left w:val="single" w:sz="4" w:space="0" w:color="auto"/>
              <w:right w:val="single" w:sz="4" w:space="0" w:color="auto"/>
            </w:tcBorders>
            <w:shd w:val="clear" w:color="auto" w:fill="auto"/>
            <w:noWrap/>
            <w:vAlign w:val="center"/>
            <w:hideMark/>
          </w:tcPr>
          <w:p w14:paraId="0011F64E"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i/>
                <w:iCs/>
                <w:color w:val="000000"/>
                <w:sz w:val="18"/>
                <w:szCs w:val="18"/>
              </w:rPr>
            </w:pPr>
            <w:r w:rsidRPr="008A7960">
              <w:rPr>
                <w:rFonts w:ascii="Times" w:hAnsi="Times" w:cs="Calibri"/>
                <w:i/>
                <w:iCs/>
                <w:color w:val="000000"/>
                <w:sz w:val="18"/>
                <w:szCs w:val="18"/>
              </w:rPr>
              <w:t>-</w:t>
            </w:r>
          </w:p>
        </w:tc>
        <w:tc>
          <w:tcPr>
            <w:tcW w:w="961" w:type="dxa"/>
            <w:tcBorders>
              <w:left w:val="single" w:sz="4" w:space="0" w:color="auto"/>
            </w:tcBorders>
            <w:shd w:val="clear" w:color="auto" w:fill="auto"/>
            <w:vAlign w:val="center"/>
          </w:tcPr>
          <w:p w14:paraId="4C22BB38"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693" w:type="dxa"/>
            <w:shd w:val="clear" w:color="auto" w:fill="auto"/>
            <w:vAlign w:val="center"/>
          </w:tcPr>
          <w:p w14:paraId="6B75259D"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810" w:type="dxa"/>
            <w:shd w:val="clear" w:color="auto" w:fill="auto"/>
            <w:vAlign w:val="center"/>
          </w:tcPr>
          <w:p w14:paraId="0830F073"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810" w:type="dxa"/>
            <w:gridSpan w:val="2"/>
            <w:tcBorders>
              <w:right w:val="single" w:sz="4" w:space="0" w:color="auto"/>
            </w:tcBorders>
            <w:shd w:val="clear" w:color="auto" w:fill="auto"/>
            <w:vAlign w:val="center"/>
          </w:tcPr>
          <w:p w14:paraId="58851B5B"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720" w:type="dxa"/>
            <w:tcBorders>
              <w:left w:val="single" w:sz="4" w:space="0" w:color="auto"/>
            </w:tcBorders>
            <w:shd w:val="clear" w:color="auto" w:fill="auto"/>
            <w:noWrap/>
            <w:vAlign w:val="center"/>
            <w:hideMark/>
          </w:tcPr>
          <w:p w14:paraId="05775904"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w:t>
            </w:r>
          </w:p>
        </w:tc>
        <w:tc>
          <w:tcPr>
            <w:tcW w:w="720" w:type="dxa"/>
            <w:shd w:val="clear" w:color="auto" w:fill="auto"/>
            <w:noWrap/>
            <w:vAlign w:val="center"/>
            <w:hideMark/>
          </w:tcPr>
          <w:p w14:paraId="4E9E9198"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767" w:type="dxa"/>
            <w:shd w:val="clear" w:color="auto" w:fill="auto"/>
            <w:vAlign w:val="center"/>
          </w:tcPr>
          <w:p w14:paraId="34445554"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1134" w:type="dxa"/>
            <w:shd w:val="clear" w:color="auto" w:fill="auto"/>
            <w:vAlign w:val="center"/>
          </w:tcPr>
          <w:p w14:paraId="3C8A3A94"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630" w:type="dxa"/>
            <w:shd w:val="clear" w:color="auto" w:fill="auto"/>
            <w:noWrap/>
            <w:vAlign w:val="center"/>
            <w:hideMark/>
          </w:tcPr>
          <w:p w14:paraId="1DF6090C"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929" w:type="dxa"/>
            <w:shd w:val="clear" w:color="auto" w:fill="auto"/>
            <w:noWrap/>
            <w:vAlign w:val="center"/>
            <w:hideMark/>
          </w:tcPr>
          <w:p w14:paraId="02C5DD91"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900" w:type="dxa"/>
            <w:shd w:val="clear" w:color="auto" w:fill="auto"/>
            <w:noWrap/>
            <w:vAlign w:val="center"/>
            <w:hideMark/>
          </w:tcPr>
          <w:p w14:paraId="7BD1ACBC"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900" w:type="dxa"/>
            <w:shd w:val="clear" w:color="auto" w:fill="auto"/>
            <w:vAlign w:val="center"/>
          </w:tcPr>
          <w:p w14:paraId="35DC96D2"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752" w:type="dxa"/>
            <w:shd w:val="clear" w:color="auto" w:fill="auto"/>
            <w:noWrap/>
            <w:vAlign w:val="center"/>
            <w:hideMark/>
          </w:tcPr>
          <w:p w14:paraId="6A92BDB2"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sz w:val="18"/>
                <w:szCs w:val="18"/>
              </w:rPr>
              <w:t>-</w:t>
            </w:r>
          </w:p>
        </w:tc>
      </w:tr>
      <w:tr w:rsidR="0091160B" w:rsidRPr="008A7960" w14:paraId="4A75EC7F" w14:textId="77777777" w:rsidTr="00BA219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30" w:type="dxa"/>
            <w:tcBorders>
              <w:right w:val="single" w:sz="4" w:space="0" w:color="auto"/>
            </w:tcBorders>
            <w:shd w:val="clear" w:color="auto" w:fill="auto"/>
            <w:noWrap/>
            <w:vAlign w:val="center"/>
            <w:hideMark/>
          </w:tcPr>
          <w:p w14:paraId="5CB792AE" w14:textId="77777777" w:rsidR="0091160B" w:rsidRPr="008A7960" w:rsidRDefault="0091160B" w:rsidP="00BA219D">
            <w:pPr>
              <w:spacing w:line="240" w:lineRule="auto"/>
              <w:rPr>
                <w:rFonts w:ascii="Times" w:hAnsi="Times" w:cs="Calibri"/>
                <w:b w:val="0"/>
                <w:bCs w:val="0"/>
                <w:color w:val="000000"/>
                <w:sz w:val="18"/>
                <w:szCs w:val="18"/>
              </w:rPr>
            </w:pPr>
            <w:r w:rsidRPr="008A7960">
              <w:rPr>
                <w:rFonts w:ascii="Times" w:hAnsi="Times" w:cs="Calibri"/>
                <w:b w:val="0"/>
                <w:bCs w:val="0"/>
                <w:sz w:val="18"/>
                <w:szCs w:val="18"/>
              </w:rPr>
              <w:t>NOX4**</w:t>
            </w:r>
          </w:p>
        </w:tc>
        <w:tc>
          <w:tcPr>
            <w:tcW w:w="597" w:type="dxa"/>
            <w:shd w:val="clear" w:color="auto" w:fill="auto"/>
            <w:vAlign w:val="center"/>
          </w:tcPr>
          <w:p w14:paraId="0983025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900" w:type="dxa"/>
            <w:tcBorders>
              <w:right w:val="single" w:sz="4" w:space="0" w:color="auto"/>
            </w:tcBorders>
            <w:shd w:val="clear" w:color="auto" w:fill="auto"/>
            <w:vAlign w:val="center"/>
          </w:tcPr>
          <w:p w14:paraId="01FE8BDF"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990" w:type="dxa"/>
            <w:tcBorders>
              <w:left w:val="single" w:sz="4" w:space="0" w:color="auto"/>
              <w:right w:val="single" w:sz="4" w:space="0" w:color="auto"/>
            </w:tcBorders>
            <w:shd w:val="clear" w:color="auto" w:fill="auto"/>
            <w:noWrap/>
            <w:vAlign w:val="center"/>
            <w:hideMark/>
          </w:tcPr>
          <w:p w14:paraId="1D489493"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961" w:type="dxa"/>
            <w:tcBorders>
              <w:left w:val="single" w:sz="4" w:space="0" w:color="auto"/>
            </w:tcBorders>
            <w:shd w:val="clear" w:color="auto" w:fill="auto"/>
            <w:vAlign w:val="center"/>
          </w:tcPr>
          <w:p w14:paraId="0478857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693" w:type="dxa"/>
            <w:shd w:val="clear" w:color="auto" w:fill="auto"/>
            <w:vAlign w:val="center"/>
          </w:tcPr>
          <w:p w14:paraId="1EA55B09"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810" w:type="dxa"/>
            <w:shd w:val="clear" w:color="auto" w:fill="auto"/>
            <w:vAlign w:val="center"/>
          </w:tcPr>
          <w:p w14:paraId="48A22736"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810" w:type="dxa"/>
            <w:gridSpan w:val="2"/>
            <w:tcBorders>
              <w:right w:val="single" w:sz="4" w:space="0" w:color="auto"/>
            </w:tcBorders>
            <w:shd w:val="clear" w:color="auto" w:fill="auto"/>
            <w:vAlign w:val="center"/>
          </w:tcPr>
          <w:p w14:paraId="0FC70C46"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720" w:type="dxa"/>
            <w:tcBorders>
              <w:left w:val="single" w:sz="4" w:space="0" w:color="auto"/>
            </w:tcBorders>
            <w:shd w:val="clear" w:color="auto" w:fill="auto"/>
            <w:noWrap/>
            <w:vAlign w:val="center"/>
            <w:hideMark/>
          </w:tcPr>
          <w:p w14:paraId="622EA21C"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720" w:type="dxa"/>
            <w:shd w:val="clear" w:color="auto" w:fill="auto"/>
            <w:noWrap/>
            <w:vAlign w:val="center"/>
            <w:hideMark/>
          </w:tcPr>
          <w:p w14:paraId="320DED5B"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767" w:type="dxa"/>
            <w:shd w:val="clear" w:color="auto" w:fill="auto"/>
            <w:vAlign w:val="center"/>
          </w:tcPr>
          <w:p w14:paraId="5B578616"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1134" w:type="dxa"/>
            <w:shd w:val="clear" w:color="auto" w:fill="auto"/>
            <w:vAlign w:val="center"/>
          </w:tcPr>
          <w:p w14:paraId="47BFE584"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630" w:type="dxa"/>
            <w:shd w:val="clear" w:color="auto" w:fill="auto"/>
            <w:noWrap/>
            <w:vAlign w:val="center"/>
            <w:hideMark/>
          </w:tcPr>
          <w:p w14:paraId="27D4C588"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929" w:type="dxa"/>
            <w:shd w:val="clear" w:color="auto" w:fill="auto"/>
            <w:noWrap/>
            <w:vAlign w:val="center"/>
            <w:hideMark/>
          </w:tcPr>
          <w:p w14:paraId="28AABE4F"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900" w:type="dxa"/>
            <w:shd w:val="clear" w:color="auto" w:fill="auto"/>
            <w:noWrap/>
            <w:vAlign w:val="center"/>
            <w:hideMark/>
          </w:tcPr>
          <w:p w14:paraId="3953B69D"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900" w:type="dxa"/>
            <w:shd w:val="clear" w:color="auto" w:fill="auto"/>
            <w:vAlign w:val="center"/>
          </w:tcPr>
          <w:p w14:paraId="5B917DAD"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c>
          <w:tcPr>
            <w:tcW w:w="752" w:type="dxa"/>
            <w:shd w:val="clear" w:color="auto" w:fill="auto"/>
            <w:noWrap/>
            <w:vAlign w:val="center"/>
            <w:hideMark/>
          </w:tcPr>
          <w:p w14:paraId="778F2B1D"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color w:val="000000"/>
                <w:sz w:val="18"/>
                <w:szCs w:val="18"/>
              </w:rPr>
            </w:pPr>
            <w:r w:rsidRPr="008A7960">
              <w:rPr>
                <w:rFonts w:ascii="Times" w:hAnsi="Times" w:cs="Calibri"/>
                <w:color w:val="000000"/>
                <w:sz w:val="18"/>
                <w:szCs w:val="18"/>
              </w:rPr>
              <w:t>NA</w:t>
            </w:r>
          </w:p>
        </w:tc>
      </w:tr>
      <w:tr w:rsidR="0091160B" w:rsidRPr="008A7960" w14:paraId="7B815D31" w14:textId="77777777" w:rsidTr="00BA219D">
        <w:trPr>
          <w:trHeight w:val="320"/>
        </w:trPr>
        <w:tc>
          <w:tcPr>
            <w:cnfStyle w:val="001000000000" w:firstRow="0" w:lastRow="0" w:firstColumn="1" w:lastColumn="0" w:oddVBand="0" w:evenVBand="0" w:oddHBand="0" w:evenHBand="0" w:firstRowFirstColumn="0" w:firstRowLastColumn="0" w:lastRowFirstColumn="0" w:lastRowLastColumn="0"/>
            <w:tcW w:w="1530" w:type="dxa"/>
            <w:tcBorders>
              <w:right w:val="single" w:sz="4" w:space="0" w:color="auto"/>
            </w:tcBorders>
            <w:shd w:val="clear" w:color="auto" w:fill="auto"/>
            <w:noWrap/>
            <w:vAlign w:val="center"/>
            <w:hideMark/>
          </w:tcPr>
          <w:p w14:paraId="28FEB2CF" w14:textId="77777777" w:rsidR="0091160B" w:rsidRPr="008A7960" w:rsidRDefault="0091160B" w:rsidP="00BA219D">
            <w:pPr>
              <w:spacing w:line="240" w:lineRule="auto"/>
              <w:rPr>
                <w:rFonts w:ascii="Times" w:hAnsi="Times" w:cs="Calibri"/>
                <w:b w:val="0"/>
                <w:bCs w:val="0"/>
                <w:color w:val="000000"/>
                <w:sz w:val="18"/>
                <w:szCs w:val="18"/>
              </w:rPr>
            </w:pPr>
            <w:r w:rsidRPr="008A7960">
              <w:rPr>
                <w:rFonts w:ascii="Times" w:hAnsi="Times" w:cs="Calibri"/>
                <w:b w:val="0"/>
                <w:bCs w:val="0"/>
                <w:color w:val="000000"/>
                <w:sz w:val="18"/>
                <w:szCs w:val="18"/>
              </w:rPr>
              <w:t>MMAB**</w:t>
            </w:r>
          </w:p>
        </w:tc>
        <w:tc>
          <w:tcPr>
            <w:tcW w:w="597" w:type="dxa"/>
            <w:shd w:val="clear" w:color="auto" w:fill="auto"/>
            <w:vAlign w:val="center"/>
          </w:tcPr>
          <w:p w14:paraId="4E1E6D8A"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i/>
                <w:iCs/>
                <w:color w:val="000000"/>
                <w:sz w:val="18"/>
                <w:szCs w:val="18"/>
              </w:rPr>
            </w:pPr>
            <w:r w:rsidRPr="008A7960">
              <w:rPr>
                <w:rFonts w:ascii="Times" w:hAnsi="Times" w:cs="Calibri"/>
                <w:color w:val="000000"/>
                <w:sz w:val="18"/>
                <w:szCs w:val="18"/>
              </w:rPr>
              <w:t>NA</w:t>
            </w:r>
          </w:p>
        </w:tc>
        <w:tc>
          <w:tcPr>
            <w:tcW w:w="900" w:type="dxa"/>
            <w:tcBorders>
              <w:right w:val="single" w:sz="4" w:space="0" w:color="auto"/>
            </w:tcBorders>
            <w:shd w:val="clear" w:color="auto" w:fill="auto"/>
            <w:vAlign w:val="center"/>
          </w:tcPr>
          <w:p w14:paraId="005D25C5"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i/>
                <w:iCs/>
                <w:color w:val="000000"/>
                <w:sz w:val="18"/>
                <w:szCs w:val="18"/>
              </w:rPr>
            </w:pPr>
            <w:r w:rsidRPr="008A7960">
              <w:rPr>
                <w:rFonts w:ascii="Times" w:hAnsi="Times" w:cs="Calibri"/>
                <w:color w:val="000000"/>
                <w:sz w:val="18"/>
                <w:szCs w:val="18"/>
              </w:rPr>
              <w:t>NA</w:t>
            </w:r>
          </w:p>
        </w:tc>
        <w:tc>
          <w:tcPr>
            <w:tcW w:w="990" w:type="dxa"/>
            <w:tcBorders>
              <w:left w:val="single" w:sz="4" w:space="0" w:color="auto"/>
              <w:right w:val="single" w:sz="4" w:space="0" w:color="auto"/>
            </w:tcBorders>
            <w:shd w:val="clear" w:color="auto" w:fill="auto"/>
            <w:noWrap/>
            <w:vAlign w:val="center"/>
            <w:hideMark/>
          </w:tcPr>
          <w:p w14:paraId="107EB9DB"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cs="Calibri"/>
                <w:i/>
                <w:iCs/>
                <w:color w:val="000000"/>
                <w:sz w:val="18"/>
                <w:szCs w:val="18"/>
              </w:rPr>
            </w:pPr>
            <w:r w:rsidRPr="008A7960">
              <w:rPr>
                <w:rFonts w:ascii="Times" w:hAnsi="Times" w:cs="Calibri"/>
                <w:color w:val="000000"/>
                <w:sz w:val="18"/>
                <w:szCs w:val="18"/>
              </w:rPr>
              <w:t>NA</w:t>
            </w:r>
          </w:p>
        </w:tc>
        <w:tc>
          <w:tcPr>
            <w:tcW w:w="961" w:type="dxa"/>
            <w:tcBorders>
              <w:left w:val="single" w:sz="4" w:space="0" w:color="auto"/>
            </w:tcBorders>
            <w:shd w:val="clear" w:color="auto" w:fill="auto"/>
            <w:vAlign w:val="center"/>
          </w:tcPr>
          <w:p w14:paraId="68ACBE61"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cs="Calibri"/>
                <w:color w:val="000000"/>
                <w:sz w:val="18"/>
                <w:szCs w:val="18"/>
              </w:rPr>
              <w:t>NA</w:t>
            </w:r>
          </w:p>
        </w:tc>
        <w:tc>
          <w:tcPr>
            <w:tcW w:w="693" w:type="dxa"/>
            <w:shd w:val="clear" w:color="auto" w:fill="auto"/>
            <w:vAlign w:val="center"/>
          </w:tcPr>
          <w:p w14:paraId="461083CF"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cs="Calibri"/>
                <w:color w:val="000000"/>
                <w:sz w:val="18"/>
                <w:szCs w:val="18"/>
              </w:rPr>
              <w:t>NA</w:t>
            </w:r>
          </w:p>
        </w:tc>
        <w:tc>
          <w:tcPr>
            <w:tcW w:w="810" w:type="dxa"/>
            <w:shd w:val="clear" w:color="auto" w:fill="auto"/>
            <w:vAlign w:val="center"/>
          </w:tcPr>
          <w:p w14:paraId="029D6FD3"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cs="Calibri"/>
                <w:color w:val="000000"/>
                <w:sz w:val="18"/>
                <w:szCs w:val="18"/>
              </w:rPr>
              <w:t>NA</w:t>
            </w:r>
          </w:p>
        </w:tc>
        <w:tc>
          <w:tcPr>
            <w:tcW w:w="810" w:type="dxa"/>
            <w:gridSpan w:val="2"/>
            <w:tcBorders>
              <w:right w:val="single" w:sz="4" w:space="0" w:color="auto"/>
            </w:tcBorders>
            <w:shd w:val="clear" w:color="auto" w:fill="auto"/>
            <w:vAlign w:val="center"/>
          </w:tcPr>
          <w:p w14:paraId="6CD79A09"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cs="Calibri"/>
                <w:color w:val="000000"/>
                <w:sz w:val="18"/>
                <w:szCs w:val="18"/>
              </w:rPr>
              <w:t>NA</w:t>
            </w:r>
          </w:p>
        </w:tc>
        <w:tc>
          <w:tcPr>
            <w:tcW w:w="720" w:type="dxa"/>
            <w:tcBorders>
              <w:left w:val="single" w:sz="4" w:space="0" w:color="auto"/>
            </w:tcBorders>
            <w:shd w:val="clear" w:color="auto" w:fill="auto"/>
            <w:noWrap/>
            <w:vAlign w:val="center"/>
            <w:hideMark/>
          </w:tcPr>
          <w:p w14:paraId="263D47CE"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cs="Calibri"/>
                <w:color w:val="000000"/>
                <w:sz w:val="18"/>
                <w:szCs w:val="18"/>
              </w:rPr>
              <w:t>NA</w:t>
            </w:r>
          </w:p>
        </w:tc>
        <w:tc>
          <w:tcPr>
            <w:tcW w:w="720" w:type="dxa"/>
            <w:shd w:val="clear" w:color="auto" w:fill="auto"/>
            <w:noWrap/>
            <w:vAlign w:val="center"/>
            <w:hideMark/>
          </w:tcPr>
          <w:p w14:paraId="17F8700C"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cs="Calibri"/>
                <w:color w:val="000000"/>
                <w:sz w:val="18"/>
                <w:szCs w:val="18"/>
              </w:rPr>
              <w:t>NA</w:t>
            </w:r>
          </w:p>
        </w:tc>
        <w:tc>
          <w:tcPr>
            <w:tcW w:w="767" w:type="dxa"/>
            <w:shd w:val="clear" w:color="auto" w:fill="auto"/>
            <w:vAlign w:val="center"/>
          </w:tcPr>
          <w:p w14:paraId="30EF3767"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cs="Calibri"/>
                <w:color w:val="000000"/>
                <w:sz w:val="18"/>
                <w:szCs w:val="18"/>
              </w:rPr>
              <w:t>NA</w:t>
            </w:r>
          </w:p>
        </w:tc>
        <w:tc>
          <w:tcPr>
            <w:tcW w:w="1134" w:type="dxa"/>
            <w:shd w:val="clear" w:color="auto" w:fill="auto"/>
            <w:vAlign w:val="center"/>
          </w:tcPr>
          <w:p w14:paraId="642D495A"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cs="Calibri"/>
                <w:color w:val="000000"/>
                <w:sz w:val="18"/>
                <w:szCs w:val="18"/>
              </w:rPr>
              <w:t>NA</w:t>
            </w:r>
          </w:p>
        </w:tc>
        <w:tc>
          <w:tcPr>
            <w:tcW w:w="630" w:type="dxa"/>
            <w:shd w:val="clear" w:color="auto" w:fill="auto"/>
            <w:noWrap/>
            <w:vAlign w:val="center"/>
            <w:hideMark/>
          </w:tcPr>
          <w:p w14:paraId="3863E0DB"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cs="Calibri"/>
                <w:color w:val="000000"/>
                <w:sz w:val="18"/>
                <w:szCs w:val="18"/>
              </w:rPr>
              <w:t>NA</w:t>
            </w:r>
          </w:p>
        </w:tc>
        <w:tc>
          <w:tcPr>
            <w:tcW w:w="929" w:type="dxa"/>
            <w:shd w:val="clear" w:color="auto" w:fill="auto"/>
            <w:noWrap/>
            <w:vAlign w:val="center"/>
            <w:hideMark/>
          </w:tcPr>
          <w:p w14:paraId="6AB5FF42"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cs="Calibri"/>
                <w:color w:val="000000"/>
                <w:sz w:val="18"/>
                <w:szCs w:val="18"/>
              </w:rPr>
              <w:t>NA</w:t>
            </w:r>
          </w:p>
        </w:tc>
        <w:tc>
          <w:tcPr>
            <w:tcW w:w="900" w:type="dxa"/>
            <w:shd w:val="clear" w:color="auto" w:fill="auto"/>
            <w:noWrap/>
            <w:vAlign w:val="center"/>
            <w:hideMark/>
          </w:tcPr>
          <w:p w14:paraId="630E6EAD"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cs="Calibri"/>
                <w:color w:val="000000"/>
                <w:sz w:val="18"/>
                <w:szCs w:val="18"/>
              </w:rPr>
              <w:t>NA</w:t>
            </w:r>
          </w:p>
        </w:tc>
        <w:tc>
          <w:tcPr>
            <w:tcW w:w="900" w:type="dxa"/>
            <w:shd w:val="clear" w:color="auto" w:fill="auto"/>
            <w:vAlign w:val="center"/>
          </w:tcPr>
          <w:p w14:paraId="3BB8CBAC"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cs="Calibri"/>
                <w:color w:val="000000"/>
                <w:sz w:val="18"/>
                <w:szCs w:val="18"/>
              </w:rPr>
              <w:t>NA</w:t>
            </w:r>
          </w:p>
        </w:tc>
        <w:tc>
          <w:tcPr>
            <w:tcW w:w="752" w:type="dxa"/>
            <w:shd w:val="clear" w:color="auto" w:fill="auto"/>
            <w:noWrap/>
            <w:vAlign w:val="center"/>
            <w:hideMark/>
          </w:tcPr>
          <w:p w14:paraId="3B6A63BF"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hAnsi="Times"/>
                <w:sz w:val="18"/>
                <w:szCs w:val="18"/>
              </w:rPr>
            </w:pPr>
            <w:r w:rsidRPr="008A7960">
              <w:rPr>
                <w:rFonts w:ascii="Times" w:hAnsi="Times" w:cs="Calibri"/>
                <w:color w:val="000000"/>
                <w:sz w:val="18"/>
                <w:szCs w:val="18"/>
              </w:rPr>
              <w:t>NA</w:t>
            </w:r>
          </w:p>
        </w:tc>
      </w:tr>
      <w:tr w:rsidR="0091160B" w:rsidRPr="008A7960" w14:paraId="58A5DCDE" w14:textId="77777777" w:rsidTr="00BA219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530" w:type="dxa"/>
            <w:tcBorders>
              <w:bottom w:val="single" w:sz="4" w:space="0" w:color="auto"/>
              <w:right w:val="single" w:sz="4" w:space="0" w:color="auto"/>
            </w:tcBorders>
            <w:shd w:val="clear" w:color="auto" w:fill="auto"/>
            <w:noWrap/>
            <w:vAlign w:val="center"/>
            <w:hideMark/>
          </w:tcPr>
          <w:p w14:paraId="2CE11398" w14:textId="77777777" w:rsidR="0091160B" w:rsidRPr="008A7960" w:rsidRDefault="0091160B" w:rsidP="00BA219D">
            <w:pPr>
              <w:spacing w:line="240" w:lineRule="auto"/>
              <w:rPr>
                <w:rFonts w:ascii="Times" w:hAnsi="Times" w:cs="Calibri"/>
                <w:b w:val="0"/>
                <w:bCs w:val="0"/>
                <w:color w:val="000000"/>
                <w:sz w:val="18"/>
                <w:szCs w:val="18"/>
              </w:rPr>
            </w:pPr>
            <w:r w:rsidRPr="008A7960">
              <w:rPr>
                <w:rFonts w:ascii="Times" w:hAnsi="Times" w:cs="Calibri"/>
                <w:b w:val="0"/>
                <w:bCs w:val="0"/>
                <w:color w:val="000000"/>
                <w:sz w:val="18"/>
                <w:szCs w:val="18"/>
              </w:rPr>
              <w:t>TYR</w:t>
            </w:r>
            <w:r w:rsidRPr="008A7960">
              <w:rPr>
                <w:rFonts w:ascii="Times" w:hAnsi="Times" w:cs="Calibri"/>
                <w:b w:val="0"/>
                <w:bCs w:val="0"/>
                <w:i/>
                <w:iCs/>
                <w:color w:val="000000"/>
                <w:sz w:val="18"/>
                <w:szCs w:val="18"/>
                <w:vertAlign w:val="superscript"/>
              </w:rPr>
              <w:t>c</w:t>
            </w:r>
          </w:p>
        </w:tc>
        <w:tc>
          <w:tcPr>
            <w:tcW w:w="597" w:type="dxa"/>
            <w:tcBorders>
              <w:bottom w:val="single" w:sz="4" w:space="0" w:color="auto"/>
            </w:tcBorders>
            <w:shd w:val="clear" w:color="auto" w:fill="auto"/>
          </w:tcPr>
          <w:p w14:paraId="51B96C2F"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i/>
                <w:iCs/>
                <w:color w:val="000000"/>
                <w:sz w:val="18"/>
                <w:szCs w:val="18"/>
              </w:rPr>
            </w:pPr>
          </w:p>
        </w:tc>
        <w:tc>
          <w:tcPr>
            <w:tcW w:w="900" w:type="dxa"/>
            <w:tcBorders>
              <w:bottom w:val="single" w:sz="4" w:space="0" w:color="auto"/>
              <w:right w:val="single" w:sz="4" w:space="0" w:color="auto"/>
            </w:tcBorders>
            <w:shd w:val="clear" w:color="auto" w:fill="auto"/>
            <w:vAlign w:val="center"/>
          </w:tcPr>
          <w:p w14:paraId="5178293B"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i/>
                <w:iCs/>
                <w:color w:val="000000"/>
                <w:sz w:val="18"/>
                <w:szCs w:val="18"/>
              </w:rPr>
            </w:pPr>
            <w:r w:rsidRPr="008A7960">
              <w:rPr>
                <w:rFonts w:ascii="Times" w:hAnsi="Times" w:cs="Calibri"/>
                <w:i/>
                <w:iCs/>
                <w:color w:val="000000"/>
                <w:sz w:val="18"/>
                <w:szCs w:val="18"/>
              </w:rPr>
              <w:t>+</w:t>
            </w:r>
            <w:r w:rsidRPr="008A7960">
              <w:rPr>
                <w:rFonts w:ascii="Times" w:hAnsi="Times" w:cs="Calibri"/>
                <w:i/>
                <w:iCs/>
                <w:color w:val="000000"/>
                <w:sz w:val="18"/>
                <w:szCs w:val="18"/>
                <w:vertAlign w:val="superscript"/>
              </w:rPr>
              <w:t>b</w:t>
            </w:r>
          </w:p>
        </w:tc>
        <w:tc>
          <w:tcPr>
            <w:tcW w:w="990" w:type="dxa"/>
            <w:tcBorders>
              <w:left w:val="single" w:sz="4" w:space="0" w:color="auto"/>
              <w:bottom w:val="single" w:sz="4" w:space="0" w:color="auto"/>
              <w:right w:val="single" w:sz="4" w:space="0" w:color="auto"/>
            </w:tcBorders>
            <w:shd w:val="clear" w:color="auto" w:fill="auto"/>
            <w:noWrap/>
            <w:vAlign w:val="center"/>
            <w:hideMark/>
          </w:tcPr>
          <w:p w14:paraId="09D29454"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cs="Calibri"/>
                <w:i/>
                <w:iCs/>
                <w:color w:val="000000"/>
                <w:sz w:val="18"/>
                <w:szCs w:val="18"/>
              </w:rPr>
            </w:pPr>
            <w:r w:rsidRPr="008A7960">
              <w:rPr>
                <w:rFonts w:ascii="Times" w:hAnsi="Times" w:cs="Calibri"/>
                <w:i/>
                <w:iCs/>
                <w:color w:val="000000"/>
                <w:sz w:val="18"/>
                <w:szCs w:val="18"/>
              </w:rPr>
              <w:t>-</w:t>
            </w:r>
          </w:p>
        </w:tc>
        <w:tc>
          <w:tcPr>
            <w:tcW w:w="961" w:type="dxa"/>
            <w:tcBorders>
              <w:left w:val="single" w:sz="4" w:space="0" w:color="auto"/>
              <w:bottom w:val="single" w:sz="4" w:space="0" w:color="auto"/>
            </w:tcBorders>
            <w:shd w:val="clear" w:color="auto" w:fill="auto"/>
            <w:vAlign w:val="center"/>
          </w:tcPr>
          <w:p w14:paraId="6E911076"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693" w:type="dxa"/>
            <w:tcBorders>
              <w:bottom w:val="single" w:sz="4" w:space="0" w:color="auto"/>
            </w:tcBorders>
            <w:shd w:val="clear" w:color="auto" w:fill="auto"/>
            <w:vAlign w:val="center"/>
          </w:tcPr>
          <w:p w14:paraId="4E3176AD"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810" w:type="dxa"/>
            <w:tcBorders>
              <w:bottom w:val="single" w:sz="4" w:space="0" w:color="auto"/>
            </w:tcBorders>
            <w:shd w:val="clear" w:color="auto" w:fill="auto"/>
            <w:vAlign w:val="center"/>
          </w:tcPr>
          <w:p w14:paraId="5AA2B5C5"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810" w:type="dxa"/>
            <w:gridSpan w:val="2"/>
            <w:tcBorders>
              <w:bottom w:val="single" w:sz="4" w:space="0" w:color="auto"/>
              <w:right w:val="single" w:sz="4" w:space="0" w:color="auto"/>
            </w:tcBorders>
            <w:shd w:val="clear" w:color="auto" w:fill="auto"/>
            <w:vAlign w:val="center"/>
          </w:tcPr>
          <w:p w14:paraId="2F242820"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720" w:type="dxa"/>
            <w:tcBorders>
              <w:left w:val="single" w:sz="4" w:space="0" w:color="auto"/>
              <w:bottom w:val="single" w:sz="4" w:space="0" w:color="auto"/>
            </w:tcBorders>
            <w:shd w:val="clear" w:color="auto" w:fill="auto"/>
            <w:noWrap/>
            <w:vAlign w:val="center"/>
            <w:hideMark/>
          </w:tcPr>
          <w:p w14:paraId="19241A23"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720" w:type="dxa"/>
            <w:tcBorders>
              <w:bottom w:val="single" w:sz="4" w:space="0" w:color="auto"/>
            </w:tcBorders>
            <w:shd w:val="clear" w:color="auto" w:fill="auto"/>
            <w:noWrap/>
            <w:vAlign w:val="center"/>
            <w:hideMark/>
          </w:tcPr>
          <w:p w14:paraId="190B6145"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767" w:type="dxa"/>
            <w:tcBorders>
              <w:bottom w:val="single" w:sz="4" w:space="0" w:color="auto"/>
            </w:tcBorders>
            <w:shd w:val="clear" w:color="auto" w:fill="auto"/>
            <w:vAlign w:val="center"/>
          </w:tcPr>
          <w:p w14:paraId="649F6284"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1134" w:type="dxa"/>
            <w:tcBorders>
              <w:bottom w:val="single" w:sz="4" w:space="0" w:color="auto"/>
            </w:tcBorders>
            <w:shd w:val="clear" w:color="auto" w:fill="auto"/>
            <w:vAlign w:val="center"/>
          </w:tcPr>
          <w:p w14:paraId="5193429C"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630" w:type="dxa"/>
            <w:tcBorders>
              <w:bottom w:val="single" w:sz="4" w:space="0" w:color="auto"/>
            </w:tcBorders>
            <w:shd w:val="clear" w:color="auto" w:fill="auto"/>
            <w:noWrap/>
            <w:vAlign w:val="center"/>
            <w:hideMark/>
          </w:tcPr>
          <w:p w14:paraId="196F40A7"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929" w:type="dxa"/>
            <w:tcBorders>
              <w:bottom w:val="single" w:sz="4" w:space="0" w:color="auto"/>
            </w:tcBorders>
            <w:shd w:val="clear" w:color="auto" w:fill="auto"/>
            <w:noWrap/>
            <w:vAlign w:val="center"/>
            <w:hideMark/>
          </w:tcPr>
          <w:p w14:paraId="5C10024F"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900" w:type="dxa"/>
            <w:tcBorders>
              <w:bottom w:val="single" w:sz="4" w:space="0" w:color="auto"/>
            </w:tcBorders>
            <w:shd w:val="clear" w:color="auto" w:fill="auto"/>
            <w:noWrap/>
            <w:vAlign w:val="center"/>
            <w:hideMark/>
          </w:tcPr>
          <w:p w14:paraId="6D358104"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900" w:type="dxa"/>
            <w:tcBorders>
              <w:bottom w:val="single" w:sz="4" w:space="0" w:color="auto"/>
            </w:tcBorders>
            <w:shd w:val="clear" w:color="auto" w:fill="auto"/>
            <w:vAlign w:val="center"/>
          </w:tcPr>
          <w:p w14:paraId="38A35B02"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sz w:val="18"/>
                <w:szCs w:val="18"/>
              </w:rPr>
            </w:pPr>
            <w:r w:rsidRPr="008A7960">
              <w:rPr>
                <w:rFonts w:ascii="Times" w:hAnsi="Times"/>
                <w:sz w:val="18"/>
                <w:szCs w:val="18"/>
              </w:rPr>
              <w:t>-</w:t>
            </w:r>
          </w:p>
        </w:tc>
        <w:tc>
          <w:tcPr>
            <w:tcW w:w="752" w:type="dxa"/>
            <w:tcBorders>
              <w:bottom w:val="single" w:sz="4" w:space="0" w:color="auto"/>
            </w:tcBorders>
            <w:shd w:val="clear" w:color="auto" w:fill="auto"/>
            <w:noWrap/>
            <w:vAlign w:val="center"/>
            <w:hideMark/>
          </w:tcPr>
          <w:p w14:paraId="6DE72C92"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hAnsi="Times"/>
                <w:sz w:val="18"/>
                <w:szCs w:val="18"/>
              </w:rPr>
            </w:pPr>
            <w:r w:rsidRPr="008A7960">
              <w:rPr>
                <w:rFonts w:ascii="Times" w:hAnsi="Times"/>
                <w:sz w:val="18"/>
                <w:szCs w:val="18"/>
              </w:rPr>
              <w:t>-</w:t>
            </w:r>
          </w:p>
        </w:tc>
      </w:tr>
    </w:tbl>
    <w:p w14:paraId="6E1705FD" w14:textId="77777777" w:rsidR="0091160B" w:rsidRPr="008A7960" w:rsidRDefault="0091160B" w:rsidP="0091160B">
      <w:pPr>
        <w:spacing w:line="240" w:lineRule="auto"/>
        <w:ind w:left="-709" w:right="-720"/>
        <w:rPr>
          <w:rFonts w:ascii="Times" w:hAnsi="Times"/>
          <w:sz w:val="20"/>
          <w:szCs w:val="20"/>
        </w:rPr>
      </w:pPr>
      <w:r w:rsidRPr="008A7960">
        <w:rPr>
          <w:rFonts w:ascii="Times" w:hAnsi="Times"/>
          <w:sz w:val="20"/>
          <w:szCs w:val="20"/>
        </w:rPr>
        <w:t xml:space="preserve">'+' positive protein expression detected by immunohistochemical staining. '-' expression in these structures were not reported in previous cochlear staining experiments. (+) Staining is visible in the publication's Figures, but not highlighted in the text. </w:t>
      </w:r>
    </w:p>
    <w:p w14:paraId="044DB6D8" w14:textId="77777777" w:rsidR="0091160B" w:rsidRPr="008A7960" w:rsidRDefault="0091160B" w:rsidP="0091160B">
      <w:pPr>
        <w:spacing w:line="240" w:lineRule="auto"/>
        <w:ind w:left="-709" w:right="-720"/>
        <w:rPr>
          <w:rFonts w:ascii="Times" w:hAnsi="Times"/>
          <w:sz w:val="20"/>
          <w:szCs w:val="20"/>
        </w:rPr>
      </w:pPr>
      <w:r w:rsidRPr="008A7960">
        <w:rPr>
          <w:rFonts w:ascii="Times" w:hAnsi="Times"/>
          <w:sz w:val="20"/>
          <w:szCs w:val="20"/>
        </w:rPr>
        <w:t xml:space="preserve">*Immunohistochemical staining results in cochlea from adult marmoset </w:t>
      </w:r>
      <w:r w:rsidRPr="008A7960">
        <w:rPr>
          <w:rFonts w:ascii="Times" w:hAnsi="Times"/>
          <w:i/>
          <w:iCs/>
          <w:sz w:val="20"/>
          <w:szCs w:val="20"/>
        </w:rPr>
        <w:t>(</w:t>
      </w:r>
      <w:r w:rsidRPr="008A7960">
        <w:rPr>
          <w:rFonts w:ascii="Times" w:hAnsi="Times" w:cstheme="minorHAnsi"/>
          <w:i/>
          <w:iCs/>
          <w:color w:val="000000" w:themeColor="text1"/>
          <w:sz w:val="20"/>
          <w:szCs w:val="20"/>
        </w:rPr>
        <w:t>Callithrix jacchus</w:t>
      </w:r>
      <w:r w:rsidRPr="008A7960">
        <w:rPr>
          <w:rFonts w:ascii="Times" w:hAnsi="Times"/>
          <w:i/>
          <w:iCs/>
          <w:sz w:val="20"/>
          <w:szCs w:val="20"/>
        </w:rPr>
        <w:t xml:space="preserve">, </w:t>
      </w:r>
      <w:r w:rsidRPr="008A7960">
        <w:rPr>
          <w:rFonts w:ascii="Times" w:hAnsi="Times"/>
          <w:sz w:val="20"/>
          <w:szCs w:val="20"/>
        </w:rPr>
        <w:t>3-6 years)</w:t>
      </w:r>
      <w:r>
        <w:rPr>
          <w:color w:val="000000"/>
          <w:sz w:val="20"/>
          <w:szCs w:val="20"/>
        </w:rPr>
        <w:t xml:space="preserve"> </w:t>
      </w:r>
      <w:r>
        <w:rPr>
          <w:noProof/>
          <w:color w:val="000000"/>
          <w:sz w:val="20"/>
          <w:szCs w:val="20"/>
        </w:rPr>
        <w:t>[32]</w:t>
      </w:r>
      <w:r w:rsidRPr="00A76289">
        <w:rPr>
          <w:color w:val="000000"/>
          <w:sz w:val="20"/>
          <w:szCs w:val="20"/>
        </w:rPr>
        <w:t>.</w:t>
      </w:r>
    </w:p>
    <w:p w14:paraId="346C40BB" w14:textId="77777777" w:rsidR="0091160B" w:rsidRPr="008A7960" w:rsidRDefault="0091160B" w:rsidP="0091160B">
      <w:pPr>
        <w:spacing w:line="240" w:lineRule="auto"/>
        <w:ind w:left="-709" w:right="-720"/>
        <w:rPr>
          <w:rFonts w:ascii="Times" w:hAnsi="Times"/>
          <w:sz w:val="20"/>
          <w:szCs w:val="20"/>
        </w:rPr>
      </w:pPr>
      <w:r w:rsidRPr="008A7960">
        <w:rPr>
          <w:rFonts w:ascii="Times" w:hAnsi="Times"/>
          <w:sz w:val="20"/>
          <w:szCs w:val="20"/>
        </w:rPr>
        <w:t xml:space="preserve">**Protein expression has not been studied in other species. Therefore, data for these structures are not available (NA). </w:t>
      </w:r>
    </w:p>
    <w:p w14:paraId="37FC0B9E" w14:textId="77777777" w:rsidR="0091160B" w:rsidRPr="008A7960" w:rsidRDefault="0091160B" w:rsidP="0091160B">
      <w:pPr>
        <w:spacing w:line="240" w:lineRule="auto"/>
        <w:ind w:left="-709" w:right="-720"/>
        <w:rPr>
          <w:rFonts w:ascii="Times" w:hAnsi="Times"/>
          <w:sz w:val="20"/>
          <w:szCs w:val="20"/>
        </w:rPr>
      </w:pPr>
      <w:r w:rsidRPr="008A7960">
        <w:rPr>
          <w:rFonts w:ascii="Times" w:hAnsi="Times"/>
          <w:sz w:val="20"/>
          <w:szCs w:val="20"/>
          <w:vertAlign w:val="superscript"/>
        </w:rPr>
        <w:t>#</w:t>
      </w:r>
      <w:r w:rsidRPr="008A7960">
        <w:rPr>
          <w:rFonts w:ascii="Times" w:hAnsi="Times"/>
          <w:sz w:val="20"/>
          <w:szCs w:val="20"/>
        </w:rPr>
        <w:t xml:space="preserve">Immunohistochemical staining results in cochlea from adult long-tailed chinchilla </w:t>
      </w:r>
      <w:r w:rsidRPr="008A7960">
        <w:rPr>
          <w:rFonts w:ascii="Calibri" w:hAnsi="Calibri" w:cs="Calibri"/>
          <w:i/>
          <w:iCs/>
          <w:sz w:val="20"/>
          <w:szCs w:val="20"/>
        </w:rPr>
        <w:t>(</w:t>
      </w:r>
      <w:r w:rsidRPr="008A7960">
        <w:rPr>
          <w:rFonts w:ascii="Times" w:hAnsi="Times"/>
          <w:i/>
          <w:iCs/>
          <w:sz w:val="20"/>
          <w:szCs w:val="20"/>
        </w:rPr>
        <w:t>Chinchilla lanigera)</w:t>
      </w:r>
      <w:r>
        <w:rPr>
          <w:color w:val="000000"/>
          <w:sz w:val="20"/>
          <w:szCs w:val="20"/>
        </w:rPr>
        <w:t xml:space="preserve"> </w:t>
      </w:r>
      <w:r>
        <w:rPr>
          <w:noProof/>
          <w:color w:val="000000"/>
          <w:sz w:val="20"/>
          <w:szCs w:val="20"/>
        </w:rPr>
        <w:t>[111]</w:t>
      </w:r>
      <w:r w:rsidRPr="008A7960">
        <w:rPr>
          <w:rFonts w:ascii="Times" w:hAnsi="Times"/>
          <w:sz w:val="20"/>
          <w:szCs w:val="20"/>
        </w:rPr>
        <w:t xml:space="preserve">. </w:t>
      </w:r>
    </w:p>
    <w:p w14:paraId="5B568364" w14:textId="77777777" w:rsidR="0091160B" w:rsidRPr="008A7960" w:rsidRDefault="0091160B" w:rsidP="0091160B">
      <w:pPr>
        <w:spacing w:line="240" w:lineRule="auto"/>
        <w:ind w:left="-709" w:right="-720"/>
        <w:rPr>
          <w:rFonts w:ascii="Times" w:hAnsi="Times"/>
          <w:sz w:val="20"/>
          <w:szCs w:val="20"/>
        </w:rPr>
      </w:pPr>
      <w:r w:rsidRPr="008A7960">
        <w:rPr>
          <w:rFonts w:ascii="Times" w:hAnsi="Times"/>
          <w:sz w:val="20"/>
          <w:szCs w:val="20"/>
          <w:vertAlign w:val="superscript"/>
        </w:rPr>
        <w:t>##</w:t>
      </w:r>
      <w:r w:rsidRPr="008A7960">
        <w:rPr>
          <w:rFonts w:ascii="Times" w:hAnsi="Times"/>
          <w:sz w:val="20"/>
          <w:szCs w:val="20"/>
        </w:rPr>
        <w:t>Immunohistochemical staining results in cochlea from 5-day-old Wistar rat pups</w:t>
      </w:r>
      <w:r>
        <w:rPr>
          <w:rFonts w:ascii="Times" w:hAnsi="Times"/>
          <w:sz w:val="20"/>
          <w:szCs w:val="20"/>
        </w:rPr>
        <w:t xml:space="preserve"> </w:t>
      </w:r>
      <w:r>
        <w:rPr>
          <w:rFonts w:ascii="Times" w:hAnsi="Times"/>
          <w:noProof/>
          <w:sz w:val="20"/>
          <w:szCs w:val="20"/>
        </w:rPr>
        <w:t>[112]</w:t>
      </w:r>
      <w:r>
        <w:rPr>
          <w:rFonts w:ascii="Times" w:hAnsi="Times"/>
          <w:sz w:val="20"/>
          <w:szCs w:val="20"/>
        </w:rPr>
        <w:t xml:space="preserve"> .</w:t>
      </w:r>
    </w:p>
    <w:p w14:paraId="20FB68C0" w14:textId="77777777" w:rsidR="0091160B" w:rsidRPr="008A7960" w:rsidRDefault="0091160B" w:rsidP="0091160B">
      <w:pPr>
        <w:autoSpaceDE/>
        <w:autoSpaceDN/>
        <w:adjustRightInd/>
        <w:spacing w:line="240" w:lineRule="auto"/>
        <w:ind w:left="-709"/>
        <w:jc w:val="left"/>
        <w:rPr>
          <w:rFonts w:eastAsia="Times New Roman"/>
          <w:lang w:eastAsia="en-GB"/>
        </w:rPr>
      </w:pPr>
      <w:r w:rsidRPr="008A7960">
        <w:rPr>
          <w:rFonts w:ascii="Times" w:hAnsi="Times"/>
          <w:i/>
          <w:iCs/>
          <w:sz w:val="20"/>
          <w:szCs w:val="20"/>
          <w:vertAlign w:val="superscript"/>
        </w:rPr>
        <w:t>a</w:t>
      </w:r>
      <w:r w:rsidRPr="008A7960">
        <w:rPr>
          <w:rFonts w:ascii="Times" w:hAnsi="Times"/>
          <w:sz w:val="20"/>
          <w:szCs w:val="20"/>
        </w:rPr>
        <w:t xml:space="preserve">Immunohistochemical staining results in otic plates from </w:t>
      </w:r>
      <w:r w:rsidRPr="008A7960">
        <w:rPr>
          <w:rFonts w:eastAsia="Times New Roman"/>
          <w:sz w:val="20"/>
          <w:szCs w:val="20"/>
          <w:shd w:val="clear" w:color="auto" w:fill="FFFFFF"/>
          <w:lang w:eastAsia="en-GB"/>
        </w:rPr>
        <w:t>male Tg (Pax2-cre)</w:t>
      </w:r>
      <w:r w:rsidRPr="008A7960">
        <w:rPr>
          <w:rFonts w:eastAsia="Times New Roman"/>
          <w:sz w:val="20"/>
          <w:szCs w:val="20"/>
          <w:shd w:val="clear" w:color="auto" w:fill="FFFFFF"/>
          <w:vertAlign w:val="superscript"/>
          <w:lang w:eastAsia="en-GB"/>
        </w:rPr>
        <w:t>Akg1</w:t>
      </w:r>
      <w:r w:rsidRPr="008A7960">
        <w:rPr>
          <w:rFonts w:eastAsia="Times New Roman"/>
          <w:sz w:val="20"/>
          <w:szCs w:val="20"/>
          <w:shd w:val="clear" w:color="auto" w:fill="FFFFFF"/>
          <w:lang w:eastAsia="en-GB"/>
        </w:rPr>
        <w:t xml:space="preserve"> </w:t>
      </w:r>
      <w:r>
        <w:rPr>
          <w:rFonts w:eastAsia="Times New Roman"/>
          <w:sz w:val="20"/>
          <w:szCs w:val="20"/>
          <w:shd w:val="clear" w:color="auto" w:fill="FFFFFF"/>
          <w:lang w:eastAsia="en-GB"/>
        </w:rPr>
        <w:t xml:space="preserve">mice </w:t>
      </w:r>
      <w:r w:rsidRPr="008A7960">
        <w:rPr>
          <w:rFonts w:eastAsia="Times New Roman"/>
          <w:sz w:val="20"/>
          <w:szCs w:val="20"/>
          <w:lang w:eastAsia="en-GB"/>
        </w:rPr>
        <w:t>at</w:t>
      </w:r>
      <w:r w:rsidRPr="008A7960">
        <w:rPr>
          <w:rFonts w:ascii="Times" w:hAnsi="Times"/>
          <w:sz w:val="20"/>
          <w:szCs w:val="20"/>
        </w:rPr>
        <w:t xml:space="preserve"> embryonic day E10.5 and E11.5</w:t>
      </w:r>
      <w:r>
        <w:rPr>
          <w:rFonts w:ascii="Times" w:hAnsi="Times"/>
          <w:sz w:val="20"/>
          <w:szCs w:val="20"/>
        </w:rPr>
        <w:t xml:space="preserve"> </w:t>
      </w:r>
      <w:r>
        <w:rPr>
          <w:rFonts w:ascii="Times" w:hAnsi="Times"/>
          <w:noProof/>
          <w:sz w:val="20"/>
          <w:szCs w:val="20"/>
        </w:rPr>
        <w:t>[113]</w:t>
      </w:r>
    </w:p>
    <w:p w14:paraId="67EE43EC" w14:textId="77777777" w:rsidR="0091160B" w:rsidRPr="008A7960" w:rsidRDefault="0091160B" w:rsidP="0091160B">
      <w:pPr>
        <w:autoSpaceDE/>
        <w:autoSpaceDN/>
        <w:adjustRightInd/>
        <w:spacing w:line="240" w:lineRule="auto"/>
        <w:ind w:left="-709"/>
        <w:jc w:val="left"/>
        <w:rPr>
          <w:rFonts w:ascii="Times" w:hAnsi="Times"/>
          <w:sz w:val="20"/>
          <w:szCs w:val="20"/>
        </w:rPr>
      </w:pPr>
      <w:r w:rsidRPr="008A7960">
        <w:rPr>
          <w:rFonts w:ascii="Times" w:hAnsi="Times"/>
          <w:i/>
          <w:iCs/>
          <w:sz w:val="20"/>
          <w:szCs w:val="20"/>
          <w:vertAlign w:val="superscript"/>
        </w:rPr>
        <w:t>b</w:t>
      </w:r>
      <w:r w:rsidRPr="008A7960">
        <w:rPr>
          <w:rFonts w:ascii="Times" w:hAnsi="Times"/>
          <w:sz w:val="20"/>
          <w:szCs w:val="20"/>
        </w:rPr>
        <w:t xml:space="preserve">Immunohistochemical staining results in cochlea from 4- and 12-week old </w:t>
      </w:r>
      <w:r w:rsidRPr="008A7960">
        <w:rPr>
          <w:rFonts w:eastAsia="Times New Roman"/>
          <w:sz w:val="20"/>
          <w:szCs w:val="20"/>
          <w:shd w:val="clear" w:color="auto" w:fill="FFFFFF"/>
          <w:lang w:eastAsia="en-GB"/>
        </w:rPr>
        <w:t>C57BL/6</w:t>
      </w:r>
      <w:r w:rsidRPr="008A7960">
        <w:rPr>
          <w:rFonts w:ascii="Times" w:hAnsi="Times"/>
          <w:sz w:val="20"/>
          <w:szCs w:val="20"/>
        </w:rPr>
        <w:t xml:space="preserve"> mice</w:t>
      </w:r>
      <w:r>
        <w:rPr>
          <w:rFonts w:ascii="Times" w:hAnsi="Times"/>
          <w:color w:val="000000"/>
          <w:sz w:val="20"/>
          <w:szCs w:val="20"/>
        </w:rPr>
        <w:t xml:space="preserve"> </w:t>
      </w:r>
      <w:r>
        <w:rPr>
          <w:rFonts w:ascii="Times" w:hAnsi="Times"/>
          <w:noProof/>
          <w:color w:val="000000"/>
          <w:sz w:val="20"/>
          <w:szCs w:val="20"/>
        </w:rPr>
        <w:t>[44, 114]</w:t>
      </w:r>
      <w:r w:rsidRPr="008A7960">
        <w:rPr>
          <w:rFonts w:ascii="Times" w:hAnsi="Times"/>
          <w:sz w:val="20"/>
          <w:szCs w:val="20"/>
        </w:rPr>
        <w:t>.</w:t>
      </w:r>
    </w:p>
    <w:p w14:paraId="3AB09B16" w14:textId="77777777" w:rsidR="0091160B" w:rsidRPr="008A7960" w:rsidRDefault="0091160B" w:rsidP="0091160B">
      <w:pPr>
        <w:autoSpaceDE/>
        <w:autoSpaceDN/>
        <w:adjustRightInd/>
        <w:spacing w:line="240" w:lineRule="auto"/>
        <w:ind w:left="-709"/>
        <w:jc w:val="left"/>
        <w:rPr>
          <w:rFonts w:ascii="Times" w:hAnsi="Times"/>
          <w:sz w:val="20"/>
          <w:szCs w:val="20"/>
        </w:rPr>
      </w:pPr>
      <w:r w:rsidRPr="008A7960">
        <w:rPr>
          <w:rFonts w:ascii="Times" w:hAnsi="Times"/>
          <w:i/>
          <w:iCs/>
          <w:sz w:val="20"/>
          <w:szCs w:val="20"/>
          <w:vertAlign w:val="superscript"/>
        </w:rPr>
        <w:t>c</w:t>
      </w:r>
      <w:r w:rsidRPr="008A7960">
        <w:rPr>
          <w:rFonts w:ascii="Times" w:hAnsi="Times"/>
          <w:sz w:val="20"/>
          <w:szCs w:val="20"/>
        </w:rPr>
        <w:t>Immunohistochemical staining in melanocyte cell cultures from the temporal bone of 2-month-old sheep</w:t>
      </w:r>
      <w:r>
        <w:rPr>
          <w:rFonts w:ascii="Times" w:hAnsi="Times"/>
          <w:color w:val="000000"/>
          <w:sz w:val="20"/>
          <w:szCs w:val="20"/>
        </w:rPr>
        <w:t xml:space="preserve"> </w:t>
      </w:r>
      <w:r>
        <w:rPr>
          <w:rFonts w:ascii="Times" w:hAnsi="Times"/>
          <w:noProof/>
          <w:color w:val="000000"/>
          <w:sz w:val="20"/>
          <w:szCs w:val="20"/>
        </w:rPr>
        <w:t>[115]</w:t>
      </w:r>
      <w:r>
        <w:rPr>
          <w:rFonts w:ascii="Times" w:hAnsi="Times"/>
          <w:color w:val="000000"/>
          <w:sz w:val="20"/>
          <w:szCs w:val="20"/>
        </w:rPr>
        <w:t>.</w:t>
      </w:r>
    </w:p>
    <w:p w14:paraId="243A797B" w14:textId="77777777" w:rsidR="0091160B" w:rsidRPr="008A7960" w:rsidRDefault="0091160B" w:rsidP="0091160B"/>
    <w:p w14:paraId="72531908" w14:textId="77777777" w:rsidR="0091160B" w:rsidRPr="008A7960" w:rsidRDefault="0091160B" w:rsidP="0091160B">
      <w:pPr>
        <w:sectPr w:rsidR="0091160B" w:rsidRPr="008A7960" w:rsidSect="008408A2">
          <w:pgSz w:w="15840" w:h="12240" w:orient="landscape"/>
          <w:pgMar w:top="1440" w:right="1440" w:bottom="1440" w:left="1440" w:header="720" w:footer="720" w:gutter="0"/>
          <w:cols w:space="720"/>
          <w:docGrid w:linePitch="360"/>
        </w:sectPr>
      </w:pPr>
    </w:p>
    <w:p w14:paraId="78F42E55" w14:textId="77777777" w:rsidR="0091160B" w:rsidRPr="008A7960" w:rsidRDefault="0091160B" w:rsidP="0091160B">
      <w:pPr>
        <w:rPr>
          <w:rFonts w:ascii="Calibri" w:hAnsi="Calibri" w:cs="Calibri"/>
        </w:rPr>
      </w:pPr>
    </w:p>
    <w:p w14:paraId="4AA25868" w14:textId="77777777" w:rsidR="0091160B" w:rsidRPr="008A7960" w:rsidRDefault="0091160B" w:rsidP="0091160B">
      <w:pPr>
        <w:rPr>
          <w:rFonts w:ascii="Calibri" w:hAnsi="Calibri" w:cs="Calibri"/>
        </w:rPr>
      </w:pPr>
      <w:r w:rsidRPr="008A7960">
        <w:rPr>
          <w:rFonts w:ascii="Calibri" w:hAnsi="Calibri" w:cs="Calibri"/>
          <w:noProof/>
        </w:rPr>
        <w:drawing>
          <wp:inline distT="0" distB="0" distL="0" distR="0" wp14:anchorId="02DE7C5F" wp14:editId="2C55EF8D">
            <wp:extent cx="5943600" cy="29718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7">
                      <a:extLst>
                        <a:ext uri="{28A0092B-C50C-407E-A947-70E740481C1C}">
                          <a14:useLocalDpi xmlns:a14="http://schemas.microsoft.com/office/drawing/2010/main" val="0"/>
                        </a:ext>
                      </a:extLst>
                    </a:blip>
                    <a:stretch>
                      <a:fillRect/>
                    </a:stretch>
                  </pic:blipFill>
                  <pic:spPr>
                    <a:xfrm>
                      <a:off x="0" y="0"/>
                      <a:ext cx="5943600" cy="2971800"/>
                    </a:xfrm>
                    <a:prstGeom prst="rect">
                      <a:avLst/>
                    </a:prstGeom>
                  </pic:spPr>
                </pic:pic>
              </a:graphicData>
            </a:graphic>
          </wp:inline>
        </w:drawing>
      </w:r>
    </w:p>
    <w:p w14:paraId="51266C6A" w14:textId="77777777" w:rsidR="0091160B" w:rsidRPr="008A7960" w:rsidRDefault="0091160B" w:rsidP="0091160B">
      <w:pPr>
        <w:spacing w:line="240" w:lineRule="auto"/>
        <w:ind w:left="540" w:right="360"/>
        <w:rPr>
          <w:rFonts w:ascii="Times" w:hAnsi="Times" w:cs="Calibri"/>
          <w:sz w:val="22"/>
          <w:szCs w:val="22"/>
        </w:rPr>
      </w:pPr>
      <w:r w:rsidRPr="008A7960">
        <w:rPr>
          <w:rFonts w:ascii="Times" w:hAnsi="Times" w:cs="Calibri"/>
          <w:b/>
          <w:bCs/>
          <w:sz w:val="22"/>
          <w:szCs w:val="22"/>
        </w:rPr>
        <w:t>Fig</w:t>
      </w:r>
      <w:r>
        <w:rPr>
          <w:rFonts w:ascii="Times" w:hAnsi="Times" w:cs="Calibri"/>
          <w:b/>
          <w:bCs/>
          <w:sz w:val="22"/>
          <w:szCs w:val="22"/>
        </w:rPr>
        <w:t xml:space="preserve"> </w:t>
      </w:r>
      <w:r w:rsidRPr="008A7960">
        <w:rPr>
          <w:rFonts w:ascii="Times" w:hAnsi="Times" w:cs="Calibri"/>
          <w:b/>
          <w:bCs/>
          <w:sz w:val="22"/>
          <w:szCs w:val="22"/>
        </w:rPr>
        <w:t>3. Comparison of results from the current study and the recent GWAS for hearing difficulty.</w:t>
      </w:r>
      <w:r w:rsidRPr="008A7960">
        <w:rPr>
          <w:rFonts w:ascii="Times" w:hAnsi="Times" w:cs="Calibri"/>
          <w:sz w:val="22"/>
          <w:szCs w:val="22"/>
        </w:rPr>
        <w:t xml:space="preserve"> </w:t>
      </w:r>
      <w:r w:rsidRPr="008A7960">
        <w:rPr>
          <w:rFonts w:ascii="Times" w:hAnsi="Times" w:cs="Calibri"/>
          <w:b/>
          <w:bCs/>
          <w:sz w:val="22"/>
          <w:szCs w:val="22"/>
        </w:rPr>
        <w:t>a)</w:t>
      </w:r>
      <w:r w:rsidRPr="008A7960">
        <w:rPr>
          <w:rFonts w:ascii="Times" w:hAnsi="Times" w:cs="Calibri"/>
          <w:sz w:val="22"/>
          <w:szCs w:val="22"/>
        </w:rPr>
        <w:t xml:space="preserve"> P values for the genome-wide significant, and independently associated SNPs in the current study plotted against the P-values obtained by Wells </w:t>
      </w:r>
      <w:r w:rsidRPr="008A7960">
        <w:rPr>
          <w:rFonts w:ascii="Times" w:hAnsi="Times" w:cs="Calibri"/>
          <w:i/>
          <w:iCs/>
          <w:sz w:val="22"/>
          <w:szCs w:val="22"/>
        </w:rPr>
        <w:t>et al</w:t>
      </w:r>
      <w:r w:rsidRPr="008A7960">
        <w:rPr>
          <w:rFonts w:ascii="Times" w:hAnsi="Times" w:cs="Calibri"/>
          <w:sz w:val="22"/>
          <w:szCs w:val="22"/>
        </w:rPr>
        <w:t>.</w:t>
      </w:r>
      <w:r>
        <w:rPr>
          <w:rFonts w:ascii="Times" w:hAnsi="Times" w:cs="Calibri"/>
          <w:sz w:val="22"/>
          <w:szCs w:val="22"/>
        </w:rPr>
        <w:t xml:space="preserve"> </w:t>
      </w:r>
      <w:r>
        <w:rPr>
          <w:rFonts w:ascii="Times" w:hAnsi="Times" w:cs="Calibri"/>
          <w:noProof/>
          <w:sz w:val="22"/>
          <w:szCs w:val="22"/>
        </w:rPr>
        <w:t>[7]</w:t>
      </w:r>
      <w:r w:rsidRPr="008A7960">
        <w:rPr>
          <w:rFonts w:ascii="Times" w:hAnsi="Times" w:cs="Calibri"/>
          <w:sz w:val="22"/>
          <w:szCs w:val="22"/>
        </w:rPr>
        <w:t xml:space="preserve"> Red points denote SNPs that were significant in both studies and pink points denote SNPs that were significant in our study but not in the recent GWAS. </w:t>
      </w:r>
      <w:r w:rsidRPr="008A7960">
        <w:rPr>
          <w:rFonts w:ascii="Times" w:hAnsi="Times" w:cs="Calibri"/>
          <w:b/>
          <w:bCs/>
          <w:sz w:val="22"/>
          <w:szCs w:val="22"/>
        </w:rPr>
        <w:t xml:space="preserve">b) </w:t>
      </w:r>
      <w:r w:rsidRPr="008A7960">
        <w:rPr>
          <w:rFonts w:ascii="Times" w:hAnsi="Times" w:cs="Calibri"/>
          <w:sz w:val="22"/>
          <w:szCs w:val="22"/>
        </w:rPr>
        <w:t>P values for the genome-wide significant, and independently associated SNPs in the GWAS by Wells</w:t>
      </w:r>
      <w:r w:rsidRPr="008A7960">
        <w:rPr>
          <w:rFonts w:ascii="Times" w:hAnsi="Times" w:cs="Calibri"/>
          <w:i/>
          <w:iCs/>
          <w:sz w:val="22"/>
          <w:szCs w:val="22"/>
        </w:rPr>
        <w:t xml:space="preserve"> et al.</w:t>
      </w:r>
      <w:r w:rsidRPr="008A7960">
        <w:rPr>
          <w:rFonts w:ascii="Times" w:hAnsi="Times" w:cs="Calibri"/>
          <w:sz w:val="22"/>
          <w:szCs w:val="22"/>
        </w:rPr>
        <w:t xml:space="preserve"> plotted against the P-values obtained in our study. Red points denote SNPs that were significant in both studies and pink points denote SNPs that were significant in the recent GWAS but not in our analyses. </w:t>
      </w:r>
    </w:p>
    <w:p w14:paraId="4A1A0828" w14:textId="77777777" w:rsidR="0091160B" w:rsidRPr="008A7960" w:rsidRDefault="0091160B" w:rsidP="0091160B">
      <w:pPr>
        <w:spacing w:line="240" w:lineRule="auto"/>
        <w:ind w:right="4257"/>
        <w:rPr>
          <w:rFonts w:eastAsia="Times New Roman"/>
          <w:b/>
          <w:bCs/>
          <w:lang w:eastAsia="en-GB"/>
        </w:rPr>
      </w:pPr>
    </w:p>
    <w:p w14:paraId="63B7C4B7" w14:textId="77777777" w:rsidR="0091160B" w:rsidRPr="008A7960" w:rsidRDefault="0091160B" w:rsidP="0091160B">
      <w:pPr>
        <w:spacing w:line="240" w:lineRule="auto"/>
        <w:ind w:right="4257"/>
        <w:rPr>
          <w:rFonts w:eastAsia="Times New Roman"/>
          <w:b/>
          <w:bCs/>
          <w:lang w:eastAsia="en-GB"/>
        </w:rPr>
      </w:pPr>
      <w:r w:rsidRPr="008A7960">
        <w:rPr>
          <w:rFonts w:eastAsia="Times New Roman"/>
          <w:b/>
          <w:bCs/>
          <w:shd w:val="clear" w:color="auto" w:fill="FFFFFF"/>
          <w:lang w:eastAsia="en-GB"/>
        </w:rPr>
        <w:t xml:space="preserve">Table 7. Characteristics of tissue donors. </w:t>
      </w:r>
      <w:r w:rsidRPr="008A7960">
        <w:rPr>
          <w:rFonts w:ascii="Times" w:eastAsia="Times New Roman" w:hAnsi="Times" w:cs="Arial"/>
          <w:sz w:val="22"/>
          <w:szCs w:val="22"/>
          <w:shd w:val="clear" w:color="auto" w:fill="FFFFFF"/>
          <w:lang w:eastAsia="en-GB"/>
        </w:rPr>
        <w:t xml:space="preserve"> </w:t>
      </w:r>
    </w:p>
    <w:tbl>
      <w:tblPr>
        <w:tblStyle w:val="ListTable2-Accent3"/>
        <w:tblW w:w="5246" w:type="dxa"/>
        <w:tblLook w:val="04A0" w:firstRow="1" w:lastRow="0" w:firstColumn="1" w:lastColumn="0" w:noHBand="0" w:noVBand="1"/>
      </w:tblPr>
      <w:tblGrid>
        <w:gridCol w:w="1560"/>
        <w:gridCol w:w="1418"/>
        <w:gridCol w:w="2268"/>
      </w:tblGrid>
      <w:tr w:rsidR="0091160B" w:rsidRPr="008A7960" w14:paraId="1B8F60A9" w14:textId="77777777" w:rsidTr="00BA219D">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1C0286AF" w14:textId="77777777" w:rsidR="0091160B" w:rsidRPr="008A7960" w:rsidRDefault="0091160B" w:rsidP="00BA219D">
            <w:pPr>
              <w:spacing w:line="240" w:lineRule="auto"/>
              <w:jc w:val="center"/>
              <w:rPr>
                <w:rFonts w:ascii="Times" w:eastAsia="Times New Roman" w:hAnsi="Times" w:cs="Calibri"/>
                <w:color w:val="000000"/>
                <w:lang w:eastAsia="en-GB"/>
              </w:rPr>
            </w:pPr>
            <w:r>
              <w:rPr>
                <w:rFonts w:ascii="Times" w:eastAsia="Times New Roman" w:hAnsi="Times" w:cs="Calibri"/>
                <w:color w:val="000000"/>
                <w:lang w:eastAsia="en-GB"/>
              </w:rPr>
              <w:t>Age</w:t>
            </w:r>
          </w:p>
        </w:tc>
        <w:tc>
          <w:tcPr>
            <w:tcW w:w="1418" w:type="dxa"/>
            <w:noWrap/>
            <w:vAlign w:val="center"/>
            <w:hideMark/>
          </w:tcPr>
          <w:p w14:paraId="27F5B820"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Gender</w:t>
            </w:r>
          </w:p>
        </w:tc>
        <w:tc>
          <w:tcPr>
            <w:tcW w:w="2268" w:type="dxa"/>
            <w:noWrap/>
            <w:vAlign w:val="center"/>
            <w:hideMark/>
          </w:tcPr>
          <w:p w14:paraId="18A56138"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PTT/SD</w:t>
            </w:r>
          </w:p>
        </w:tc>
      </w:tr>
      <w:tr w:rsidR="0091160B" w:rsidRPr="008A7960" w14:paraId="15FDF873" w14:textId="77777777" w:rsidTr="00BA21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667BF987" w14:textId="77777777" w:rsidR="0091160B" w:rsidRPr="008A7960" w:rsidRDefault="0091160B" w:rsidP="00BA219D">
            <w:pPr>
              <w:spacing w:line="240" w:lineRule="auto"/>
              <w:jc w:val="center"/>
              <w:rPr>
                <w:rFonts w:ascii="Times" w:eastAsia="Times New Roman" w:hAnsi="Times" w:cs="Calibri"/>
                <w:color w:val="000000"/>
                <w:lang w:eastAsia="en-GB"/>
              </w:rPr>
            </w:pPr>
            <w:r w:rsidRPr="008A7960">
              <w:rPr>
                <w:rFonts w:ascii="Times" w:eastAsia="Times New Roman" w:hAnsi="Times" w:cs="Calibri"/>
                <w:color w:val="000000"/>
                <w:lang w:eastAsia="en-GB"/>
              </w:rPr>
              <w:t>43</w:t>
            </w:r>
          </w:p>
        </w:tc>
        <w:tc>
          <w:tcPr>
            <w:tcW w:w="1418" w:type="dxa"/>
            <w:noWrap/>
            <w:vAlign w:val="center"/>
            <w:hideMark/>
          </w:tcPr>
          <w:p w14:paraId="3D208A7B"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Female</w:t>
            </w:r>
          </w:p>
        </w:tc>
        <w:tc>
          <w:tcPr>
            <w:tcW w:w="2268" w:type="dxa"/>
            <w:noWrap/>
            <w:vAlign w:val="center"/>
            <w:hideMark/>
          </w:tcPr>
          <w:p w14:paraId="246D73B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50 dB (1-8kHz)</w:t>
            </w:r>
          </w:p>
        </w:tc>
      </w:tr>
      <w:tr w:rsidR="0091160B" w:rsidRPr="008A7960" w14:paraId="2718208E" w14:textId="77777777" w:rsidTr="00BA219D">
        <w:trPr>
          <w:trHeight w:val="397"/>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4B30FEA3" w14:textId="77777777" w:rsidR="0091160B" w:rsidRPr="008A7960" w:rsidRDefault="0091160B" w:rsidP="00BA219D">
            <w:pPr>
              <w:spacing w:line="240" w:lineRule="auto"/>
              <w:jc w:val="center"/>
              <w:rPr>
                <w:rFonts w:ascii="Times" w:eastAsia="Times New Roman" w:hAnsi="Times" w:cs="Calibri"/>
                <w:color w:val="000000"/>
                <w:lang w:eastAsia="en-GB"/>
              </w:rPr>
            </w:pPr>
            <w:r w:rsidRPr="008A7960">
              <w:rPr>
                <w:rFonts w:ascii="Times" w:eastAsia="Times New Roman" w:hAnsi="Times" w:cs="Calibri"/>
                <w:color w:val="000000"/>
                <w:lang w:eastAsia="en-GB"/>
              </w:rPr>
              <w:t>51</w:t>
            </w:r>
          </w:p>
        </w:tc>
        <w:tc>
          <w:tcPr>
            <w:tcW w:w="1418" w:type="dxa"/>
            <w:noWrap/>
            <w:vAlign w:val="center"/>
            <w:hideMark/>
          </w:tcPr>
          <w:p w14:paraId="31A58929"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Male</w:t>
            </w:r>
          </w:p>
        </w:tc>
        <w:tc>
          <w:tcPr>
            <w:tcW w:w="2268" w:type="dxa"/>
            <w:noWrap/>
            <w:vAlign w:val="center"/>
            <w:hideMark/>
          </w:tcPr>
          <w:p w14:paraId="368BAA7C"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Normal</w:t>
            </w:r>
          </w:p>
        </w:tc>
      </w:tr>
      <w:tr w:rsidR="0091160B" w:rsidRPr="008A7960" w14:paraId="77A82694" w14:textId="77777777" w:rsidTr="00BA21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63A5A254" w14:textId="77777777" w:rsidR="0091160B" w:rsidRPr="008A7960" w:rsidRDefault="0091160B" w:rsidP="00BA219D">
            <w:pPr>
              <w:spacing w:line="240" w:lineRule="auto"/>
              <w:jc w:val="center"/>
              <w:rPr>
                <w:rFonts w:ascii="Times" w:eastAsia="Times New Roman" w:hAnsi="Times" w:cs="Calibri"/>
                <w:color w:val="000000"/>
                <w:lang w:eastAsia="en-GB"/>
              </w:rPr>
            </w:pPr>
            <w:r w:rsidRPr="008A7960">
              <w:rPr>
                <w:rFonts w:ascii="Times" w:eastAsia="Times New Roman" w:hAnsi="Times" w:cs="Calibri"/>
                <w:color w:val="000000"/>
                <w:lang w:eastAsia="en-GB"/>
              </w:rPr>
              <w:t>72</w:t>
            </w:r>
          </w:p>
        </w:tc>
        <w:tc>
          <w:tcPr>
            <w:tcW w:w="1418" w:type="dxa"/>
            <w:noWrap/>
            <w:vAlign w:val="center"/>
            <w:hideMark/>
          </w:tcPr>
          <w:p w14:paraId="645159F0"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Male</w:t>
            </w:r>
          </w:p>
        </w:tc>
        <w:tc>
          <w:tcPr>
            <w:tcW w:w="2268" w:type="dxa"/>
            <w:noWrap/>
            <w:vAlign w:val="center"/>
            <w:hideMark/>
          </w:tcPr>
          <w:p w14:paraId="1FF43BD5"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50 dB (2-4kHz)</w:t>
            </w:r>
          </w:p>
        </w:tc>
      </w:tr>
      <w:tr w:rsidR="0091160B" w:rsidRPr="008A7960" w14:paraId="2A505B43" w14:textId="77777777" w:rsidTr="00BA219D">
        <w:trPr>
          <w:trHeight w:val="397"/>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08DCF18E" w14:textId="77777777" w:rsidR="0091160B" w:rsidRPr="008A7960" w:rsidRDefault="0091160B" w:rsidP="00BA219D">
            <w:pPr>
              <w:spacing w:line="240" w:lineRule="auto"/>
              <w:jc w:val="center"/>
              <w:rPr>
                <w:rFonts w:ascii="Times" w:eastAsia="Times New Roman" w:hAnsi="Times" w:cs="Calibri"/>
                <w:color w:val="000000"/>
                <w:lang w:eastAsia="en-GB"/>
              </w:rPr>
            </w:pPr>
            <w:r w:rsidRPr="008A7960">
              <w:rPr>
                <w:rFonts w:ascii="Times" w:eastAsia="Times New Roman" w:hAnsi="Times" w:cs="Calibri"/>
                <w:color w:val="000000"/>
                <w:lang w:eastAsia="en-GB"/>
              </w:rPr>
              <w:t>67</w:t>
            </w:r>
          </w:p>
        </w:tc>
        <w:tc>
          <w:tcPr>
            <w:tcW w:w="1418" w:type="dxa"/>
            <w:noWrap/>
            <w:vAlign w:val="center"/>
            <w:hideMark/>
          </w:tcPr>
          <w:p w14:paraId="1F2B9CBF"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Female</w:t>
            </w:r>
          </w:p>
        </w:tc>
        <w:tc>
          <w:tcPr>
            <w:tcW w:w="2268" w:type="dxa"/>
            <w:noWrap/>
            <w:vAlign w:val="center"/>
            <w:hideMark/>
          </w:tcPr>
          <w:p w14:paraId="6728FBCA"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Normal</w:t>
            </w:r>
          </w:p>
        </w:tc>
      </w:tr>
      <w:tr w:rsidR="0091160B" w:rsidRPr="008A7960" w14:paraId="384F7C70" w14:textId="77777777" w:rsidTr="00BA219D">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560" w:type="dxa"/>
            <w:noWrap/>
            <w:vAlign w:val="center"/>
            <w:hideMark/>
          </w:tcPr>
          <w:p w14:paraId="67C9DBE0" w14:textId="77777777" w:rsidR="0091160B" w:rsidRPr="008A7960" w:rsidRDefault="0091160B" w:rsidP="00BA219D">
            <w:pPr>
              <w:spacing w:line="240" w:lineRule="auto"/>
              <w:jc w:val="center"/>
              <w:rPr>
                <w:rFonts w:ascii="Times" w:eastAsia="Times New Roman" w:hAnsi="Times" w:cs="Calibri"/>
                <w:color w:val="000000"/>
                <w:lang w:eastAsia="en-GB"/>
              </w:rPr>
            </w:pPr>
            <w:r w:rsidRPr="008A7960">
              <w:rPr>
                <w:rFonts w:ascii="Times" w:eastAsia="Times New Roman" w:hAnsi="Times" w:cs="Calibri"/>
                <w:color w:val="000000"/>
                <w:lang w:eastAsia="en-GB"/>
              </w:rPr>
              <w:t>67</w:t>
            </w:r>
          </w:p>
        </w:tc>
        <w:tc>
          <w:tcPr>
            <w:tcW w:w="1418" w:type="dxa"/>
            <w:noWrap/>
            <w:vAlign w:val="center"/>
            <w:hideMark/>
          </w:tcPr>
          <w:p w14:paraId="4605059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Female</w:t>
            </w:r>
          </w:p>
        </w:tc>
        <w:tc>
          <w:tcPr>
            <w:tcW w:w="2268" w:type="dxa"/>
            <w:noWrap/>
            <w:vAlign w:val="center"/>
            <w:hideMark/>
          </w:tcPr>
          <w:p w14:paraId="49B4CDFF"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w:eastAsia="Times New Roman" w:hAnsi="Times" w:cs="Calibri"/>
                <w:color w:val="000000"/>
                <w:lang w:eastAsia="en-GB"/>
              </w:rPr>
            </w:pPr>
            <w:r w:rsidRPr="008A7960">
              <w:rPr>
                <w:rFonts w:ascii="Times" w:eastAsia="Times New Roman" w:hAnsi="Times" w:cs="Calibri"/>
                <w:color w:val="000000"/>
                <w:lang w:eastAsia="en-GB"/>
              </w:rPr>
              <w:t>SD 85%</w:t>
            </w:r>
          </w:p>
        </w:tc>
      </w:tr>
    </w:tbl>
    <w:p w14:paraId="5C65B57E" w14:textId="77777777" w:rsidR="0091160B" w:rsidRPr="008A7960" w:rsidRDefault="0091160B" w:rsidP="0091160B">
      <w:pPr>
        <w:spacing w:line="240" w:lineRule="auto"/>
        <w:ind w:right="4398"/>
        <w:rPr>
          <w:rFonts w:ascii="Times" w:eastAsia="Times New Roman" w:hAnsi="Times" w:cs="Arial"/>
          <w:sz w:val="22"/>
          <w:szCs w:val="22"/>
          <w:shd w:val="clear" w:color="auto" w:fill="FFFFFF"/>
          <w:lang w:eastAsia="en-GB"/>
        </w:rPr>
      </w:pPr>
      <w:r w:rsidRPr="008A7960">
        <w:rPr>
          <w:rFonts w:ascii="Times" w:eastAsia="Times New Roman" w:hAnsi="Times" w:cs="Arial"/>
          <w:sz w:val="22"/>
          <w:szCs w:val="22"/>
          <w:shd w:val="clear" w:color="auto" w:fill="FFFFFF"/>
          <w:lang w:eastAsia="en-GB"/>
        </w:rPr>
        <w:t>PTT = pure tone thresholds, SD = speech discrimination.</w:t>
      </w:r>
    </w:p>
    <w:p w14:paraId="44F096B0" w14:textId="77777777" w:rsidR="0091160B" w:rsidRPr="008A7960" w:rsidRDefault="0091160B" w:rsidP="0091160B">
      <w:pPr>
        <w:autoSpaceDE/>
        <w:autoSpaceDN/>
        <w:adjustRightInd/>
        <w:spacing w:line="240" w:lineRule="auto"/>
        <w:jc w:val="left"/>
        <w:rPr>
          <w:rFonts w:ascii="Times" w:hAnsi="Times"/>
        </w:rPr>
      </w:pPr>
      <w:r w:rsidRPr="008A7960">
        <w:rPr>
          <w:rFonts w:ascii="Times" w:hAnsi="Times"/>
        </w:rPr>
        <w:br w:type="page"/>
      </w:r>
    </w:p>
    <w:p w14:paraId="5CD1B7B3" w14:textId="77777777" w:rsidR="0091160B" w:rsidRPr="008A7960" w:rsidRDefault="0091160B" w:rsidP="0091160B">
      <w:pPr>
        <w:spacing w:line="240" w:lineRule="auto"/>
        <w:ind w:right="2700"/>
        <w:rPr>
          <w:rFonts w:ascii="Times" w:hAnsi="Times"/>
          <w:b/>
          <w:bCs/>
        </w:rPr>
      </w:pPr>
      <w:r w:rsidRPr="008A7960">
        <w:rPr>
          <w:rFonts w:ascii="Times" w:hAnsi="Times"/>
          <w:b/>
          <w:bCs/>
        </w:rPr>
        <w:lastRenderedPageBreak/>
        <w:t>Table 8. Antibodies used for immunohistochemical staining.</w:t>
      </w:r>
    </w:p>
    <w:tbl>
      <w:tblPr>
        <w:tblStyle w:val="ListTable1Light"/>
        <w:tblW w:w="8980" w:type="dxa"/>
        <w:tblLook w:val="04A0" w:firstRow="1" w:lastRow="0" w:firstColumn="1" w:lastColumn="0" w:noHBand="0" w:noVBand="1"/>
      </w:tblPr>
      <w:tblGrid>
        <w:gridCol w:w="1760"/>
        <w:gridCol w:w="1280"/>
        <w:gridCol w:w="1380"/>
        <w:gridCol w:w="1520"/>
        <w:gridCol w:w="1520"/>
        <w:gridCol w:w="1520"/>
      </w:tblGrid>
      <w:tr w:rsidR="0091160B" w:rsidRPr="008A7960" w14:paraId="264AFCCF" w14:textId="77777777" w:rsidTr="00BA219D">
        <w:trPr>
          <w:cnfStyle w:val="100000000000" w:firstRow="1" w:lastRow="0" w:firstColumn="0" w:lastColumn="0" w:oddVBand="0" w:evenVBand="0" w:oddHBand="0"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60" w:type="dxa"/>
            <w:noWrap/>
            <w:vAlign w:val="bottom"/>
            <w:hideMark/>
          </w:tcPr>
          <w:p w14:paraId="74813F17" w14:textId="77777777" w:rsidR="0091160B" w:rsidRPr="008A7960" w:rsidRDefault="0091160B" w:rsidP="00BA219D">
            <w:pPr>
              <w:spacing w:line="240" w:lineRule="auto"/>
              <w:rPr>
                <w:rFonts w:ascii="Times Roman" w:hAnsi="Times Roman" w:cs="Calibri"/>
                <w:b w:val="0"/>
                <w:bCs w:val="0"/>
                <w:color w:val="000000"/>
                <w:sz w:val="20"/>
                <w:szCs w:val="20"/>
              </w:rPr>
            </w:pPr>
            <w:r w:rsidRPr="008A7960">
              <w:rPr>
                <w:rFonts w:ascii="Times Roman" w:hAnsi="Times Roman" w:cs="Calibri"/>
                <w:color w:val="000000"/>
                <w:sz w:val="20"/>
                <w:szCs w:val="20"/>
              </w:rPr>
              <w:t>Antibody</w:t>
            </w:r>
          </w:p>
        </w:tc>
        <w:tc>
          <w:tcPr>
            <w:tcW w:w="1280" w:type="dxa"/>
            <w:noWrap/>
            <w:vAlign w:val="bottom"/>
            <w:hideMark/>
          </w:tcPr>
          <w:p w14:paraId="1D5E593B"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Roman" w:hAnsi="Times Roman" w:cs="Calibri"/>
                <w:b w:val="0"/>
                <w:bCs w:val="0"/>
                <w:color w:val="000000"/>
                <w:sz w:val="20"/>
                <w:szCs w:val="20"/>
              </w:rPr>
            </w:pPr>
            <w:r w:rsidRPr="008A7960">
              <w:rPr>
                <w:rFonts w:ascii="Times Roman" w:hAnsi="Times Roman" w:cs="Calibri"/>
                <w:color w:val="000000"/>
                <w:sz w:val="20"/>
                <w:szCs w:val="20"/>
              </w:rPr>
              <w:t>Type</w:t>
            </w:r>
          </w:p>
        </w:tc>
        <w:tc>
          <w:tcPr>
            <w:tcW w:w="1380" w:type="dxa"/>
            <w:noWrap/>
            <w:vAlign w:val="bottom"/>
            <w:hideMark/>
          </w:tcPr>
          <w:p w14:paraId="4791FA49"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Roman" w:hAnsi="Times Roman" w:cs="Calibri"/>
                <w:b w:val="0"/>
                <w:bCs w:val="0"/>
                <w:color w:val="000000"/>
                <w:sz w:val="20"/>
                <w:szCs w:val="20"/>
              </w:rPr>
            </w:pPr>
            <w:r w:rsidRPr="008A7960">
              <w:rPr>
                <w:rFonts w:ascii="Times Roman" w:hAnsi="Times Roman" w:cs="Calibri"/>
                <w:color w:val="000000"/>
                <w:sz w:val="20"/>
                <w:szCs w:val="20"/>
              </w:rPr>
              <w:t>Host</w:t>
            </w:r>
          </w:p>
        </w:tc>
        <w:tc>
          <w:tcPr>
            <w:tcW w:w="1520" w:type="dxa"/>
            <w:noWrap/>
            <w:vAlign w:val="bottom"/>
            <w:hideMark/>
          </w:tcPr>
          <w:p w14:paraId="463B91CB"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Roman" w:hAnsi="Times Roman" w:cs="Calibri"/>
                <w:b w:val="0"/>
                <w:bCs w:val="0"/>
                <w:color w:val="000000"/>
                <w:sz w:val="20"/>
                <w:szCs w:val="20"/>
              </w:rPr>
            </w:pPr>
            <w:r w:rsidRPr="008A7960">
              <w:rPr>
                <w:rFonts w:ascii="Times Roman" w:hAnsi="Times Roman" w:cs="Calibri"/>
                <w:color w:val="000000"/>
                <w:sz w:val="20"/>
                <w:szCs w:val="20"/>
              </w:rPr>
              <w:t>Catalog no.</w:t>
            </w:r>
          </w:p>
        </w:tc>
        <w:tc>
          <w:tcPr>
            <w:tcW w:w="1520" w:type="dxa"/>
            <w:vAlign w:val="bottom"/>
          </w:tcPr>
          <w:p w14:paraId="7654F953"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RRID</w:t>
            </w:r>
          </w:p>
        </w:tc>
        <w:tc>
          <w:tcPr>
            <w:tcW w:w="1520" w:type="dxa"/>
            <w:noWrap/>
            <w:vAlign w:val="bottom"/>
            <w:hideMark/>
          </w:tcPr>
          <w:p w14:paraId="34EDEA87" w14:textId="77777777" w:rsidR="0091160B" w:rsidRPr="008A7960" w:rsidRDefault="0091160B" w:rsidP="00BA219D">
            <w:pPr>
              <w:spacing w:line="240" w:lineRule="auto"/>
              <w:jc w:val="center"/>
              <w:cnfStyle w:val="100000000000" w:firstRow="1" w:lastRow="0" w:firstColumn="0" w:lastColumn="0" w:oddVBand="0" w:evenVBand="0" w:oddHBand="0" w:evenHBand="0" w:firstRowFirstColumn="0" w:firstRowLastColumn="0" w:lastRowFirstColumn="0" w:lastRowLastColumn="0"/>
              <w:rPr>
                <w:rFonts w:ascii="Times Roman" w:hAnsi="Times Roman" w:cs="Calibri"/>
                <w:b w:val="0"/>
                <w:bCs w:val="0"/>
                <w:color w:val="000000"/>
                <w:sz w:val="20"/>
                <w:szCs w:val="20"/>
              </w:rPr>
            </w:pPr>
            <w:r w:rsidRPr="008A7960">
              <w:rPr>
                <w:rFonts w:ascii="Times Roman" w:hAnsi="Times Roman" w:cs="Calibri"/>
                <w:color w:val="000000"/>
                <w:sz w:val="20"/>
                <w:szCs w:val="20"/>
              </w:rPr>
              <w:t>Producer</w:t>
            </w:r>
          </w:p>
        </w:tc>
      </w:tr>
      <w:tr w:rsidR="0091160B" w:rsidRPr="008A7960" w14:paraId="43D9BAC8" w14:textId="77777777" w:rsidTr="00BA219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60" w:type="dxa"/>
            <w:noWrap/>
            <w:vAlign w:val="center"/>
            <w:hideMark/>
          </w:tcPr>
          <w:p w14:paraId="25D15AC8"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LMO7</w:t>
            </w:r>
          </w:p>
        </w:tc>
        <w:tc>
          <w:tcPr>
            <w:tcW w:w="1280" w:type="dxa"/>
            <w:noWrap/>
            <w:vAlign w:val="center"/>
            <w:hideMark/>
          </w:tcPr>
          <w:p w14:paraId="6B946C5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Polyclonal</w:t>
            </w:r>
          </w:p>
        </w:tc>
        <w:tc>
          <w:tcPr>
            <w:tcW w:w="1380" w:type="dxa"/>
            <w:noWrap/>
            <w:vAlign w:val="center"/>
            <w:hideMark/>
          </w:tcPr>
          <w:p w14:paraId="380E3774"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Rabbit</w:t>
            </w:r>
          </w:p>
        </w:tc>
        <w:tc>
          <w:tcPr>
            <w:tcW w:w="1520" w:type="dxa"/>
            <w:noWrap/>
            <w:vAlign w:val="center"/>
            <w:hideMark/>
          </w:tcPr>
          <w:p w14:paraId="147226CC"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PA5-54281</w:t>
            </w:r>
          </w:p>
        </w:tc>
        <w:tc>
          <w:tcPr>
            <w:tcW w:w="1520" w:type="dxa"/>
            <w:vAlign w:val="center"/>
          </w:tcPr>
          <w:p w14:paraId="7A4728C9"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AB_2643409</w:t>
            </w:r>
          </w:p>
        </w:tc>
        <w:tc>
          <w:tcPr>
            <w:tcW w:w="1520" w:type="dxa"/>
            <w:noWrap/>
            <w:vAlign w:val="center"/>
            <w:hideMark/>
          </w:tcPr>
          <w:p w14:paraId="16F4AE91"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Invitrogen.</w:t>
            </w:r>
          </w:p>
        </w:tc>
      </w:tr>
      <w:tr w:rsidR="0091160B" w:rsidRPr="008A7960" w14:paraId="7370AC61" w14:textId="77777777" w:rsidTr="00BA219D">
        <w:trPr>
          <w:trHeight w:val="320"/>
        </w:trPr>
        <w:tc>
          <w:tcPr>
            <w:cnfStyle w:val="001000000000" w:firstRow="0" w:lastRow="0" w:firstColumn="1" w:lastColumn="0" w:oddVBand="0" w:evenVBand="0" w:oddHBand="0" w:evenHBand="0" w:firstRowFirstColumn="0" w:firstRowLastColumn="0" w:lastRowFirstColumn="0" w:lastRowLastColumn="0"/>
            <w:tcW w:w="1760" w:type="dxa"/>
            <w:noWrap/>
            <w:vAlign w:val="center"/>
            <w:hideMark/>
          </w:tcPr>
          <w:p w14:paraId="12DF56C9"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NOX4</w:t>
            </w:r>
          </w:p>
        </w:tc>
        <w:tc>
          <w:tcPr>
            <w:tcW w:w="1280" w:type="dxa"/>
            <w:noWrap/>
            <w:vAlign w:val="center"/>
            <w:hideMark/>
          </w:tcPr>
          <w:p w14:paraId="1D11257A"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Polyclonal</w:t>
            </w:r>
          </w:p>
        </w:tc>
        <w:tc>
          <w:tcPr>
            <w:tcW w:w="1380" w:type="dxa"/>
            <w:noWrap/>
            <w:vAlign w:val="center"/>
            <w:hideMark/>
          </w:tcPr>
          <w:p w14:paraId="35D78599"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Rabbit</w:t>
            </w:r>
          </w:p>
        </w:tc>
        <w:tc>
          <w:tcPr>
            <w:tcW w:w="1520" w:type="dxa"/>
            <w:noWrap/>
            <w:vAlign w:val="center"/>
            <w:hideMark/>
          </w:tcPr>
          <w:p w14:paraId="282D14FA"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PA5-85479</w:t>
            </w:r>
          </w:p>
        </w:tc>
        <w:tc>
          <w:tcPr>
            <w:tcW w:w="1520" w:type="dxa"/>
            <w:vAlign w:val="center"/>
          </w:tcPr>
          <w:p w14:paraId="648A7EDA"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AB_2792619</w:t>
            </w:r>
          </w:p>
        </w:tc>
        <w:tc>
          <w:tcPr>
            <w:tcW w:w="1520" w:type="dxa"/>
            <w:noWrap/>
            <w:vAlign w:val="center"/>
            <w:hideMark/>
          </w:tcPr>
          <w:p w14:paraId="30316EB4"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Invitrogen</w:t>
            </w:r>
          </w:p>
        </w:tc>
      </w:tr>
      <w:tr w:rsidR="0091160B" w:rsidRPr="008A7960" w14:paraId="169D17D6" w14:textId="77777777" w:rsidTr="00BA219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60" w:type="dxa"/>
            <w:noWrap/>
            <w:vAlign w:val="center"/>
            <w:hideMark/>
          </w:tcPr>
          <w:p w14:paraId="4491FFE5"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TRIOBP</w:t>
            </w:r>
          </w:p>
        </w:tc>
        <w:tc>
          <w:tcPr>
            <w:tcW w:w="1280" w:type="dxa"/>
            <w:noWrap/>
            <w:vAlign w:val="center"/>
            <w:hideMark/>
          </w:tcPr>
          <w:p w14:paraId="3012DB5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Polyclonal</w:t>
            </w:r>
          </w:p>
        </w:tc>
        <w:tc>
          <w:tcPr>
            <w:tcW w:w="1380" w:type="dxa"/>
            <w:noWrap/>
            <w:vAlign w:val="center"/>
            <w:hideMark/>
          </w:tcPr>
          <w:p w14:paraId="5E76838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Rabbit</w:t>
            </w:r>
          </w:p>
        </w:tc>
        <w:tc>
          <w:tcPr>
            <w:tcW w:w="1520" w:type="dxa"/>
            <w:noWrap/>
            <w:vAlign w:val="center"/>
            <w:hideMark/>
          </w:tcPr>
          <w:p w14:paraId="03A1D9B2"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NBP2-88482</w:t>
            </w:r>
          </w:p>
        </w:tc>
        <w:tc>
          <w:tcPr>
            <w:tcW w:w="1520" w:type="dxa"/>
            <w:vAlign w:val="center"/>
          </w:tcPr>
          <w:p w14:paraId="732945D9"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not available</w:t>
            </w:r>
          </w:p>
        </w:tc>
        <w:tc>
          <w:tcPr>
            <w:tcW w:w="1520" w:type="dxa"/>
            <w:noWrap/>
            <w:vAlign w:val="center"/>
            <w:hideMark/>
          </w:tcPr>
          <w:p w14:paraId="11697AEA"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Novus</w:t>
            </w:r>
          </w:p>
        </w:tc>
      </w:tr>
      <w:tr w:rsidR="0091160B" w:rsidRPr="008A7960" w14:paraId="0FDD7232" w14:textId="77777777" w:rsidTr="00BA219D">
        <w:trPr>
          <w:trHeight w:val="320"/>
        </w:trPr>
        <w:tc>
          <w:tcPr>
            <w:cnfStyle w:val="001000000000" w:firstRow="0" w:lastRow="0" w:firstColumn="1" w:lastColumn="0" w:oddVBand="0" w:evenVBand="0" w:oddHBand="0" w:evenHBand="0" w:firstRowFirstColumn="0" w:firstRowLastColumn="0" w:lastRowFirstColumn="0" w:lastRowLastColumn="0"/>
            <w:tcW w:w="1760" w:type="dxa"/>
            <w:noWrap/>
            <w:vAlign w:val="center"/>
            <w:hideMark/>
          </w:tcPr>
          <w:p w14:paraId="23A82265"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MMP2/2C1</w:t>
            </w:r>
          </w:p>
        </w:tc>
        <w:tc>
          <w:tcPr>
            <w:tcW w:w="1280" w:type="dxa"/>
            <w:noWrap/>
            <w:vAlign w:val="center"/>
            <w:hideMark/>
          </w:tcPr>
          <w:p w14:paraId="043C3245"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Monoclonal</w:t>
            </w:r>
          </w:p>
        </w:tc>
        <w:tc>
          <w:tcPr>
            <w:tcW w:w="1380" w:type="dxa"/>
            <w:noWrap/>
            <w:vAlign w:val="center"/>
            <w:hideMark/>
          </w:tcPr>
          <w:p w14:paraId="14612FAD"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Mouse</w:t>
            </w:r>
          </w:p>
        </w:tc>
        <w:tc>
          <w:tcPr>
            <w:tcW w:w="1520" w:type="dxa"/>
            <w:noWrap/>
            <w:vAlign w:val="center"/>
            <w:hideMark/>
          </w:tcPr>
          <w:p w14:paraId="6F6EB292"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MA116640</w:t>
            </w:r>
          </w:p>
        </w:tc>
        <w:tc>
          <w:tcPr>
            <w:tcW w:w="1520" w:type="dxa"/>
            <w:vAlign w:val="center"/>
          </w:tcPr>
          <w:p w14:paraId="04C58A1F"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AB_568620</w:t>
            </w:r>
          </w:p>
        </w:tc>
        <w:tc>
          <w:tcPr>
            <w:tcW w:w="1520" w:type="dxa"/>
            <w:noWrap/>
            <w:vAlign w:val="center"/>
            <w:hideMark/>
          </w:tcPr>
          <w:p w14:paraId="29507D23"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Invitrogen</w:t>
            </w:r>
          </w:p>
        </w:tc>
      </w:tr>
      <w:tr w:rsidR="0091160B" w:rsidRPr="008A7960" w14:paraId="5D1BE0E9" w14:textId="77777777" w:rsidTr="00BA219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60" w:type="dxa"/>
            <w:noWrap/>
            <w:vAlign w:val="center"/>
            <w:hideMark/>
          </w:tcPr>
          <w:p w14:paraId="3D72B0C5"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SYNJ2</w:t>
            </w:r>
          </w:p>
        </w:tc>
        <w:tc>
          <w:tcPr>
            <w:tcW w:w="1280" w:type="dxa"/>
            <w:noWrap/>
            <w:vAlign w:val="center"/>
            <w:hideMark/>
          </w:tcPr>
          <w:p w14:paraId="73F44FC7"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Polyclonal</w:t>
            </w:r>
          </w:p>
        </w:tc>
        <w:tc>
          <w:tcPr>
            <w:tcW w:w="1380" w:type="dxa"/>
            <w:noWrap/>
            <w:vAlign w:val="center"/>
            <w:hideMark/>
          </w:tcPr>
          <w:p w14:paraId="7EA579CE"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Rabbit</w:t>
            </w:r>
          </w:p>
        </w:tc>
        <w:tc>
          <w:tcPr>
            <w:tcW w:w="1520" w:type="dxa"/>
            <w:noWrap/>
            <w:vAlign w:val="center"/>
            <w:hideMark/>
          </w:tcPr>
          <w:p w14:paraId="2D3EBF0F"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PA5-56784</w:t>
            </w:r>
          </w:p>
        </w:tc>
        <w:tc>
          <w:tcPr>
            <w:tcW w:w="1520" w:type="dxa"/>
            <w:vAlign w:val="center"/>
          </w:tcPr>
          <w:p w14:paraId="5B347997"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AB_2648122</w:t>
            </w:r>
          </w:p>
        </w:tc>
        <w:tc>
          <w:tcPr>
            <w:tcW w:w="1520" w:type="dxa"/>
            <w:noWrap/>
            <w:vAlign w:val="center"/>
            <w:hideMark/>
          </w:tcPr>
          <w:p w14:paraId="07297937"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Invitrogen</w:t>
            </w:r>
          </w:p>
        </w:tc>
      </w:tr>
      <w:tr w:rsidR="0091160B" w:rsidRPr="008A7960" w14:paraId="4C997D88" w14:textId="77777777" w:rsidTr="00BA219D">
        <w:trPr>
          <w:trHeight w:val="320"/>
        </w:trPr>
        <w:tc>
          <w:tcPr>
            <w:cnfStyle w:val="001000000000" w:firstRow="0" w:lastRow="0" w:firstColumn="1" w:lastColumn="0" w:oddVBand="0" w:evenVBand="0" w:oddHBand="0" w:evenHBand="0" w:firstRowFirstColumn="0" w:firstRowLastColumn="0" w:lastRowFirstColumn="0" w:lastRowLastColumn="0"/>
            <w:tcW w:w="1760" w:type="dxa"/>
            <w:noWrap/>
            <w:vAlign w:val="center"/>
            <w:hideMark/>
          </w:tcPr>
          <w:p w14:paraId="119031C0"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UBE3B</w:t>
            </w:r>
          </w:p>
        </w:tc>
        <w:tc>
          <w:tcPr>
            <w:tcW w:w="1280" w:type="dxa"/>
            <w:noWrap/>
            <w:vAlign w:val="center"/>
            <w:hideMark/>
          </w:tcPr>
          <w:p w14:paraId="63D143D4"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Polyclonal</w:t>
            </w:r>
          </w:p>
        </w:tc>
        <w:tc>
          <w:tcPr>
            <w:tcW w:w="1380" w:type="dxa"/>
            <w:noWrap/>
            <w:vAlign w:val="center"/>
            <w:hideMark/>
          </w:tcPr>
          <w:p w14:paraId="6E23F4E1"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Rabbit</w:t>
            </w:r>
          </w:p>
        </w:tc>
        <w:tc>
          <w:tcPr>
            <w:tcW w:w="1520" w:type="dxa"/>
            <w:noWrap/>
            <w:vAlign w:val="center"/>
            <w:hideMark/>
          </w:tcPr>
          <w:p w14:paraId="747645E9"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NBP1-92559</w:t>
            </w:r>
          </w:p>
        </w:tc>
        <w:tc>
          <w:tcPr>
            <w:tcW w:w="1520" w:type="dxa"/>
            <w:vAlign w:val="center"/>
          </w:tcPr>
          <w:p w14:paraId="7864E451"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AB_11005223</w:t>
            </w:r>
          </w:p>
        </w:tc>
        <w:tc>
          <w:tcPr>
            <w:tcW w:w="1520" w:type="dxa"/>
            <w:noWrap/>
            <w:vAlign w:val="center"/>
            <w:hideMark/>
          </w:tcPr>
          <w:p w14:paraId="5197EE30"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Novus</w:t>
            </w:r>
          </w:p>
        </w:tc>
      </w:tr>
      <w:tr w:rsidR="0091160B" w:rsidRPr="008A7960" w14:paraId="492354F7" w14:textId="77777777" w:rsidTr="00BA219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60" w:type="dxa"/>
            <w:noWrap/>
            <w:vAlign w:val="center"/>
            <w:hideMark/>
          </w:tcPr>
          <w:p w14:paraId="377198EF"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EYA4</w:t>
            </w:r>
          </w:p>
        </w:tc>
        <w:tc>
          <w:tcPr>
            <w:tcW w:w="1280" w:type="dxa"/>
            <w:noWrap/>
            <w:vAlign w:val="center"/>
            <w:hideMark/>
          </w:tcPr>
          <w:p w14:paraId="1C04CA17"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Polyclonal</w:t>
            </w:r>
          </w:p>
        </w:tc>
        <w:tc>
          <w:tcPr>
            <w:tcW w:w="1380" w:type="dxa"/>
            <w:noWrap/>
            <w:vAlign w:val="center"/>
            <w:hideMark/>
          </w:tcPr>
          <w:p w14:paraId="7EC98FD8"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Rabbit</w:t>
            </w:r>
          </w:p>
        </w:tc>
        <w:tc>
          <w:tcPr>
            <w:tcW w:w="1520" w:type="dxa"/>
            <w:noWrap/>
            <w:vAlign w:val="center"/>
            <w:hideMark/>
          </w:tcPr>
          <w:p w14:paraId="15A05A37"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NBP1-85548</w:t>
            </w:r>
          </w:p>
        </w:tc>
        <w:tc>
          <w:tcPr>
            <w:tcW w:w="1520" w:type="dxa"/>
            <w:vAlign w:val="center"/>
          </w:tcPr>
          <w:p w14:paraId="43B1B67D"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AB_11042949</w:t>
            </w:r>
          </w:p>
        </w:tc>
        <w:tc>
          <w:tcPr>
            <w:tcW w:w="1520" w:type="dxa"/>
            <w:noWrap/>
            <w:vAlign w:val="center"/>
            <w:hideMark/>
          </w:tcPr>
          <w:p w14:paraId="13B2B054"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Novus</w:t>
            </w:r>
          </w:p>
        </w:tc>
      </w:tr>
      <w:tr w:rsidR="0091160B" w:rsidRPr="008A7960" w14:paraId="7A6554ED" w14:textId="77777777" w:rsidTr="00BA219D">
        <w:trPr>
          <w:trHeight w:val="320"/>
        </w:trPr>
        <w:tc>
          <w:tcPr>
            <w:cnfStyle w:val="001000000000" w:firstRow="0" w:lastRow="0" w:firstColumn="1" w:lastColumn="0" w:oddVBand="0" w:evenVBand="0" w:oddHBand="0" w:evenHBand="0" w:firstRowFirstColumn="0" w:firstRowLastColumn="0" w:lastRowFirstColumn="0" w:lastRowLastColumn="0"/>
            <w:tcW w:w="1760" w:type="dxa"/>
            <w:noWrap/>
            <w:vAlign w:val="center"/>
            <w:hideMark/>
          </w:tcPr>
          <w:p w14:paraId="6B7F6863"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LMX1A</w:t>
            </w:r>
          </w:p>
        </w:tc>
        <w:tc>
          <w:tcPr>
            <w:tcW w:w="1280" w:type="dxa"/>
            <w:noWrap/>
            <w:vAlign w:val="center"/>
            <w:hideMark/>
          </w:tcPr>
          <w:p w14:paraId="11D483F2"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Polyclonal</w:t>
            </w:r>
          </w:p>
        </w:tc>
        <w:tc>
          <w:tcPr>
            <w:tcW w:w="1380" w:type="dxa"/>
            <w:noWrap/>
            <w:vAlign w:val="center"/>
            <w:hideMark/>
          </w:tcPr>
          <w:p w14:paraId="20D696A2"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Rabbit</w:t>
            </w:r>
          </w:p>
        </w:tc>
        <w:tc>
          <w:tcPr>
            <w:tcW w:w="1520" w:type="dxa"/>
            <w:noWrap/>
            <w:vAlign w:val="center"/>
            <w:hideMark/>
          </w:tcPr>
          <w:p w14:paraId="635D95C6"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NBP2-41193</w:t>
            </w:r>
          </w:p>
        </w:tc>
        <w:tc>
          <w:tcPr>
            <w:tcW w:w="1520" w:type="dxa"/>
            <w:vAlign w:val="center"/>
          </w:tcPr>
          <w:p w14:paraId="1847AD5D"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not available</w:t>
            </w:r>
          </w:p>
        </w:tc>
        <w:tc>
          <w:tcPr>
            <w:tcW w:w="1520" w:type="dxa"/>
            <w:noWrap/>
            <w:vAlign w:val="center"/>
            <w:hideMark/>
          </w:tcPr>
          <w:p w14:paraId="10D299DC"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Novus</w:t>
            </w:r>
          </w:p>
        </w:tc>
      </w:tr>
      <w:tr w:rsidR="0091160B" w:rsidRPr="008A7960" w14:paraId="02E504B5" w14:textId="77777777" w:rsidTr="00BA219D">
        <w:trPr>
          <w:cnfStyle w:val="000000100000" w:firstRow="0" w:lastRow="0" w:firstColumn="0" w:lastColumn="0" w:oddVBand="0" w:evenVBand="0" w:oddHBand="1" w:evenHBand="0" w:firstRowFirstColumn="0" w:firstRowLastColumn="0" w:lastRowFirstColumn="0" w:lastRowLastColumn="0"/>
          <w:trHeight w:val="320"/>
        </w:trPr>
        <w:tc>
          <w:tcPr>
            <w:cnfStyle w:val="001000000000" w:firstRow="0" w:lastRow="0" w:firstColumn="1" w:lastColumn="0" w:oddVBand="0" w:evenVBand="0" w:oddHBand="0" w:evenHBand="0" w:firstRowFirstColumn="0" w:firstRowLastColumn="0" w:lastRowFirstColumn="0" w:lastRowLastColumn="0"/>
            <w:tcW w:w="1760" w:type="dxa"/>
            <w:noWrap/>
            <w:vAlign w:val="center"/>
            <w:hideMark/>
          </w:tcPr>
          <w:p w14:paraId="1C77F74B"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GRM5</w:t>
            </w:r>
          </w:p>
        </w:tc>
        <w:tc>
          <w:tcPr>
            <w:tcW w:w="1280" w:type="dxa"/>
            <w:noWrap/>
            <w:vAlign w:val="center"/>
            <w:hideMark/>
          </w:tcPr>
          <w:p w14:paraId="4156C100"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Monoclonal</w:t>
            </w:r>
          </w:p>
        </w:tc>
        <w:tc>
          <w:tcPr>
            <w:tcW w:w="1380" w:type="dxa"/>
            <w:noWrap/>
            <w:vAlign w:val="center"/>
            <w:hideMark/>
          </w:tcPr>
          <w:p w14:paraId="38370527"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Mouse</w:t>
            </w:r>
          </w:p>
        </w:tc>
        <w:tc>
          <w:tcPr>
            <w:tcW w:w="1520" w:type="dxa"/>
            <w:noWrap/>
            <w:vAlign w:val="center"/>
            <w:hideMark/>
          </w:tcPr>
          <w:p w14:paraId="31CD6F14"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MABN540</w:t>
            </w:r>
          </w:p>
        </w:tc>
        <w:tc>
          <w:tcPr>
            <w:tcW w:w="1520" w:type="dxa"/>
            <w:vAlign w:val="center"/>
          </w:tcPr>
          <w:p w14:paraId="312B17CD"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not available</w:t>
            </w:r>
          </w:p>
        </w:tc>
        <w:tc>
          <w:tcPr>
            <w:tcW w:w="1520" w:type="dxa"/>
            <w:noWrap/>
            <w:vAlign w:val="center"/>
            <w:hideMark/>
          </w:tcPr>
          <w:p w14:paraId="5D3CDC87" w14:textId="77777777" w:rsidR="0091160B" w:rsidRPr="008A7960" w:rsidRDefault="0091160B" w:rsidP="00BA219D">
            <w:pPr>
              <w:spacing w:line="240" w:lineRule="auto"/>
              <w:jc w:val="center"/>
              <w:cnfStyle w:val="000000100000" w:firstRow="0" w:lastRow="0" w:firstColumn="0" w:lastColumn="0" w:oddVBand="0" w:evenVBand="0" w:oddHBand="1"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Sigma-Aldrich</w:t>
            </w:r>
          </w:p>
        </w:tc>
      </w:tr>
      <w:tr w:rsidR="0091160B" w:rsidRPr="008A7960" w14:paraId="4C00B74E" w14:textId="77777777" w:rsidTr="00BA219D">
        <w:trPr>
          <w:trHeight w:val="320"/>
        </w:trPr>
        <w:tc>
          <w:tcPr>
            <w:cnfStyle w:val="001000000000" w:firstRow="0" w:lastRow="0" w:firstColumn="1" w:lastColumn="0" w:oddVBand="0" w:evenVBand="0" w:oddHBand="0" w:evenHBand="0" w:firstRowFirstColumn="0" w:firstRowLastColumn="0" w:lastRowFirstColumn="0" w:lastRowLastColumn="0"/>
            <w:tcW w:w="1760" w:type="dxa"/>
            <w:tcBorders>
              <w:bottom w:val="single" w:sz="4" w:space="0" w:color="auto"/>
            </w:tcBorders>
            <w:noWrap/>
            <w:vAlign w:val="center"/>
            <w:hideMark/>
          </w:tcPr>
          <w:p w14:paraId="26F2492E" w14:textId="77777777" w:rsidR="0091160B" w:rsidRPr="008A7960" w:rsidRDefault="0091160B" w:rsidP="00BA219D">
            <w:pPr>
              <w:spacing w:line="240" w:lineRule="auto"/>
              <w:rPr>
                <w:rFonts w:ascii="Times Roman" w:hAnsi="Times Roman" w:cs="Calibri"/>
                <w:color w:val="000000"/>
                <w:sz w:val="20"/>
                <w:szCs w:val="20"/>
              </w:rPr>
            </w:pPr>
            <w:r w:rsidRPr="008A7960">
              <w:rPr>
                <w:rFonts w:ascii="Times Roman" w:hAnsi="Times Roman" w:cs="Calibri"/>
                <w:color w:val="000000"/>
                <w:sz w:val="20"/>
                <w:szCs w:val="20"/>
              </w:rPr>
              <w:t>PTK2</w:t>
            </w:r>
          </w:p>
        </w:tc>
        <w:tc>
          <w:tcPr>
            <w:tcW w:w="1280" w:type="dxa"/>
            <w:tcBorders>
              <w:bottom w:val="single" w:sz="4" w:space="0" w:color="auto"/>
            </w:tcBorders>
            <w:noWrap/>
            <w:vAlign w:val="center"/>
            <w:hideMark/>
          </w:tcPr>
          <w:p w14:paraId="37EE30BF"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Monoclonal</w:t>
            </w:r>
          </w:p>
        </w:tc>
        <w:tc>
          <w:tcPr>
            <w:tcW w:w="1380" w:type="dxa"/>
            <w:tcBorders>
              <w:bottom w:val="single" w:sz="4" w:space="0" w:color="auto"/>
            </w:tcBorders>
            <w:noWrap/>
            <w:vAlign w:val="center"/>
            <w:hideMark/>
          </w:tcPr>
          <w:p w14:paraId="47D0E15C"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Mouse</w:t>
            </w:r>
          </w:p>
        </w:tc>
        <w:tc>
          <w:tcPr>
            <w:tcW w:w="1520" w:type="dxa"/>
            <w:tcBorders>
              <w:bottom w:val="single" w:sz="4" w:space="0" w:color="auto"/>
            </w:tcBorders>
            <w:noWrap/>
            <w:vAlign w:val="center"/>
            <w:hideMark/>
          </w:tcPr>
          <w:p w14:paraId="33625553"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39-6500</w:t>
            </w:r>
          </w:p>
        </w:tc>
        <w:tc>
          <w:tcPr>
            <w:tcW w:w="1520" w:type="dxa"/>
            <w:tcBorders>
              <w:bottom w:val="single" w:sz="4" w:space="0" w:color="auto"/>
            </w:tcBorders>
            <w:vAlign w:val="center"/>
          </w:tcPr>
          <w:p w14:paraId="5E700EE4"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AB_2533427</w:t>
            </w:r>
          </w:p>
        </w:tc>
        <w:tc>
          <w:tcPr>
            <w:tcW w:w="1520" w:type="dxa"/>
            <w:tcBorders>
              <w:bottom w:val="single" w:sz="4" w:space="0" w:color="auto"/>
            </w:tcBorders>
            <w:noWrap/>
            <w:vAlign w:val="center"/>
            <w:hideMark/>
          </w:tcPr>
          <w:p w14:paraId="0BF83472" w14:textId="77777777" w:rsidR="0091160B" w:rsidRPr="008A7960" w:rsidRDefault="0091160B" w:rsidP="00BA219D">
            <w:pPr>
              <w:spacing w:line="240" w:lineRule="auto"/>
              <w:jc w:val="center"/>
              <w:cnfStyle w:val="000000000000" w:firstRow="0" w:lastRow="0" w:firstColumn="0" w:lastColumn="0" w:oddVBand="0" w:evenVBand="0" w:oddHBand="0" w:evenHBand="0" w:firstRowFirstColumn="0" w:firstRowLastColumn="0" w:lastRowFirstColumn="0" w:lastRowLastColumn="0"/>
              <w:rPr>
                <w:rFonts w:ascii="Times Roman" w:hAnsi="Times Roman" w:cs="Calibri"/>
                <w:color w:val="000000"/>
                <w:sz w:val="20"/>
                <w:szCs w:val="20"/>
              </w:rPr>
            </w:pPr>
            <w:r w:rsidRPr="008A7960">
              <w:rPr>
                <w:rFonts w:ascii="Times Roman" w:hAnsi="Times Roman" w:cs="Calibri"/>
                <w:color w:val="000000"/>
                <w:sz w:val="20"/>
                <w:szCs w:val="20"/>
              </w:rPr>
              <w:t>Invitrogen</w:t>
            </w:r>
          </w:p>
        </w:tc>
      </w:tr>
    </w:tbl>
    <w:p w14:paraId="52850686" w14:textId="77777777" w:rsidR="0091160B" w:rsidRPr="00512416" w:rsidRDefault="0091160B" w:rsidP="0091160B">
      <w:pPr>
        <w:autoSpaceDE/>
        <w:autoSpaceDN/>
        <w:adjustRightInd/>
        <w:spacing w:line="240" w:lineRule="auto"/>
        <w:jc w:val="left"/>
      </w:pPr>
    </w:p>
    <w:p w14:paraId="54581EB1" w14:textId="77777777" w:rsidR="0091160B" w:rsidRDefault="0091160B" w:rsidP="0091160B">
      <w:pPr>
        <w:autoSpaceDE/>
        <w:autoSpaceDN/>
        <w:adjustRightInd/>
        <w:spacing w:after="160" w:line="259" w:lineRule="auto"/>
        <w:jc w:val="left"/>
        <w:rPr>
          <w:lang w:eastAsia="sv-SE"/>
        </w:rPr>
      </w:pPr>
    </w:p>
    <w:p w14:paraId="64805250" w14:textId="77777777" w:rsidR="008131C3" w:rsidRDefault="008131C3"/>
    <w:sectPr w:rsidR="008131C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20B0604020202020204"/>
    <w:charset w:val="00"/>
    <w:family w:val="roman"/>
    <w:notTrueType/>
    <w:pitch w:val="variable"/>
    <w:sig w:usb0="60000287" w:usb1="00000001" w:usb2="00000000" w:usb3="00000000" w:csb0="0000019F" w:csb1="00000000"/>
  </w:font>
  <w:font w:name="Times">
    <w:panose1 w:val="00000500000000020000"/>
    <w:charset w:val="00"/>
    <w:family w:val="auto"/>
    <w:pitch w:val="variable"/>
    <w:sig w:usb0="E00002FF" w:usb1="5000205A" w:usb2="00000000" w:usb3="00000000" w:csb0="0000019F" w:csb1="00000000"/>
  </w:font>
  <w:font w:name="Times Roman">
    <w:altName w:val="Times New Roman"/>
    <w:panose1 w:val="00000500000000020000"/>
    <w:charset w:val="00"/>
    <w:family w:val="auto"/>
    <w:pitch w:val="variable"/>
    <w:sig w:usb0="E00002FF" w:usb1="5000205A"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C89C99FC"/>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CE610D"/>
    <w:multiLevelType w:val="multilevel"/>
    <w:tmpl w:val="D5548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30A3C5E"/>
    <w:multiLevelType w:val="hybridMultilevel"/>
    <w:tmpl w:val="2D0CA84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3" w15:restartNumberingAfterBreak="0">
    <w:nsid w:val="0AE409EC"/>
    <w:multiLevelType w:val="hybridMultilevel"/>
    <w:tmpl w:val="A7FCF7F8"/>
    <w:lvl w:ilvl="0" w:tplc="707A8ACE">
      <w:start w:val="1"/>
      <w:numFmt w:val="decimal"/>
      <w:lvlText w:val="%1."/>
      <w:lvlJc w:val="left"/>
      <w:pPr>
        <w:ind w:left="786" w:hanging="360"/>
      </w:pPr>
      <w:rPr>
        <w:sz w:val="24"/>
        <w:szCs w:val="24"/>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4" w15:restartNumberingAfterBreak="0">
    <w:nsid w:val="0D605385"/>
    <w:multiLevelType w:val="hybridMultilevel"/>
    <w:tmpl w:val="C7327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1E95A05"/>
    <w:multiLevelType w:val="hybridMultilevel"/>
    <w:tmpl w:val="95766E4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6" w15:restartNumberingAfterBreak="0">
    <w:nsid w:val="16EC0C95"/>
    <w:multiLevelType w:val="hybridMultilevel"/>
    <w:tmpl w:val="DB72279A"/>
    <w:lvl w:ilvl="0" w:tplc="9D7C254A">
      <w:start w:val="1"/>
      <w:numFmt w:val="bullet"/>
      <w:lvlText w:val="•"/>
      <w:lvlJc w:val="left"/>
      <w:pPr>
        <w:tabs>
          <w:tab w:val="num" w:pos="720"/>
        </w:tabs>
        <w:ind w:left="720" w:hanging="360"/>
      </w:pPr>
      <w:rPr>
        <w:rFonts w:ascii="Times New Roman" w:hAnsi="Times New Roman" w:hint="default"/>
      </w:rPr>
    </w:lvl>
    <w:lvl w:ilvl="1" w:tplc="D3E6DF50" w:tentative="1">
      <w:start w:val="1"/>
      <w:numFmt w:val="bullet"/>
      <w:lvlText w:val="•"/>
      <w:lvlJc w:val="left"/>
      <w:pPr>
        <w:tabs>
          <w:tab w:val="num" w:pos="1440"/>
        </w:tabs>
        <w:ind w:left="1440" w:hanging="360"/>
      </w:pPr>
      <w:rPr>
        <w:rFonts w:ascii="Times New Roman" w:hAnsi="Times New Roman" w:hint="default"/>
      </w:rPr>
    </w:lvl>
    <w:lvl w:ilvl="2" w:tplc="88C469D6" w:tentative="1">
      <w:start w:val="1"/>
      <w:numFmt w:val="bullet"/>
      <w:lvlText w:val="•"/>
      <w:lvlJc w:val="left"/>
      <w:pPr>
        <w:tabs>
          <w:tab w:val="num" w:pos="2160"/>
        </w:tabs>
        <w:ind w:left="2160" w:hanging="360"/>
      </w:pPr>
      <w:rPr>
        <w:rFonts w:ascii="Times New Roman" w:hAnsi="Times New Roman" w:hint="default"/>
      </w:rPr>
    </w:lvl>
    <w:lvl w:ilvl="3" w:tplc="B77E11F6" w:tentative="1">
      <w:start w:val="1"/>
      <w:numFmt w:val="bullet"/>
      <w:lvlText w:val="•"/>
      <w:lvlJc w:val="left"/>
      <w:pPr>
        <w:tabs>
          <w:tab w:val="num" w:pos="2880"/>
        </w:tabs>
        <w:ind w:left="2880" w:hanging="360"/>
      </w:pPr>
      <w:rPr>
        <w:rFonts w:ascii="Times New Roman" w:hAnsi="Times New Roman" w:hint="default"/>
      </w:rPr>
    </w:lvl>
    <w:lvl w:ilvl="4" w:tplc="79866B02" w:tentative="1">
      <w:start w:val="1"/>
      <w:numFmt w:val="bullet"/>
      <w:lvlText w:val="•"/>
      <w:lvlJc w:val="left"/>
      <w:pPr>
        <w:tabs>
          <w:tab w:val="num" w:pos="3600"/>
        </w:tabs>
        <w:ind w:left="3600" w:hanging="360"/>
      </w:pPr>
      <w:rPr>
        <w:rFonts w:ascii="Times New Roman" w:hAnsi="Times New Roman" w:hint="default"/>
      </w:rPr>
    </w:lvl>
    <w:lvl w:ilvl="5" w:tplc="C736F0F0" w:tentative="1">
      <w:start w:val="1"/>
      <w:numFmt w:val="bullet"/>
      <w:lvlText w:val="•"/>
      <w:lvlJc w:val="left"/>
      <w:pPr>
        <w:tabs>
          <w:tab w:val="num" w:pos="4320"/>
        </w:tabs>
        <w:ind w:left="4320" w:hanging="360"/>
      </w:pPr>
      <w:rPr>
        <w:rFonts w:ascii="Times New Roman" w:hAnsi="Times New Roman" w:hint="default"/>
      </w:rPr>
    </w:lvl>
    <w:lvl w:ilvl="6" w:tplc="E4760FE2" w:tentative="1">
      <w:start w:val="1"/>
      <w:numFmt w:val="bullet"/>
      <w:lvlText w:val="•"/>
      <w:lvlJc w:val="left"/>
      <w:pPr>
        <w:tabs>
          <w:tab w:val="num" w:pos="5040"/>
        </w:tabs>
        <w:ind w:left="5040" w:hanging="360"/>
      </w:pPr>
      <w:rPr>
        <w:rFonts w:ascii="Times New Roman" w:hAnsi="Times New Roman" w:hint="default"/>
      </w:rPr>
    </w:lvl>
    <w:lvl w:ilvl="7" w:tplc="B62C2DF4" w:tentative="1">
      <w:start w:val="1"/>
      <w:numFmt w:val="bullet"/>
      <w:lvlText w:val="•"/>
      <w:lvlJc w:val="left"/>
      <w:pPr>
        <w:tabs>
          <w:tab w:val="num" w:pos="5760"/>
        </w:tabs>
        <w:ind w:left="5760" w:hanging="360"/>
      </w:pPr>
      <w:rPr>
        <w:rFonts w:ascii="Times New Roman" w:hAnsi="Times New Roman" w:hint="default"/>
      </w:rPr>
    </w:lvl>
    <w:lvl w:ilvl="8" w:tplc="6868F2C0" w:tentative="1">
      <w:start w:val="1"/>
      <w:numFmt w:val="bullet"/>
      <w:lvlText w:val="•"/>
      <w:lvlJc w:val="left"/>
      <w:pPr>
        <w:tabs>
          <w:tab w:val="num" w:pos="6480"/>
        </w:tabs>
        <w:ind w:left="6480" w:hanging="360"/>
      </w:pPr>
      <w:rPr>
        <w:rFonts w:ascii="Times New Roman" w:hAnsi="Times New Roman" w:hint="default"/>
      </w:rPr>
    </w:lvl>
  </w:abstractNum>
  <w:abstractNum w:abstractNumId="7" w15:restartNumberingAfterBreak="0">
    <w:nsid w:val="2B7B39ED"/>
    <w:multiLevelType w:val="hybridMultilevel"/>
    <w:tmpl w:val="3354A122"/>
    <w:lvl w:ilvl="0" w:tplc="62AA9C1A">
      <w:start w:val="1"/>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9C450D0"/>
    <w:multiLevelType w:val="hybridMultilevel"/>
    <w:tmpl w:val="01EE76E4"/>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9" w15:restartNumberingAfterBreak="0">
    <w:nsid w:val="3B0449C3"/>
    <w:multiLevelType w:val="hybridMultilevel"/>
    <w:tmpl w:val="1F24F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C234BA1"/>
    <w:multiLevelType w:val="multilevel"/>
    <w:tmpl w:val="3AD0AB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D1D3327"/>
    <w:multiLevelType w:val="hybridMultilevel"/>
    <w:tmpl w:val="454A81F8"/>
    <w:lvl w:ilvl="0" w:tplc="7E9EDFB6">
      <w:start w:val="1"/>
      <w:numFmt w:val="bullet"/>
      <w:lvlText w:val="•"/>
      <w:lvlJc w:val="left"/>
      <w:pPr>
        <w:tabs>
          <w:tab w:val="num" w:pos="720"/>
        </w:tabs>
        <w:ind w:left="720" w:hanging="360"/>
      </w:pPr>
      <w:rPr>
        <w:rFonts w:ascii="Times New Roman" w:hAnsi="Times New Roman" w:hint="default"/>
      </w:rPr>
    </w:lvl>
    <w:lvl w:ilvl="1" w:tplc="CE80A5D6" w:tentative="1">
      <w:start w:val="1"/>
      <w:numFmt w:val="bullet"/>
      <w:lvlText w:val="•"/>
      <w:lvlJc w:val="left"/>
      <w:pPr>
        <w:tabs>
          <w:tab w:val="num" w:pos="1440"/>
        </w:tabs>
        <w:ind w:left="1440" w:hanging="360"/>
      </w:pPr>
      <w:rPr>
        <w:rFonts w:ascii="Times New Roman" w:hAnsi="Times New Roman" w:hint="default"/>
      </w:rPr>
    </w:lvl>
    <w:lvl w:ilvl="2" w:tplc="6CA2DA68" w:tentative="1">
      <w:start w:val="1"/>
      <w:numFmt w:val="bullet"/>
      <w:lvlText w:val="•"/>
      <w:lvlJc w:val="left"/>
      <w:pPr>
        <w:tabs>
          <w:tab w:val="num" w:pos="2160"/>
        </w:tabs>
        <w:ind w:left="2160" w:hanging="360"/>
      </w:pPr>
      <w:rPr>
        <w:rFonts w:ascii="Times New Roman" w:hAnsi="Times New Roman" w:hint="default"/>
      </w:rPr>
    </w:lvl>
    <w:lvl w:ilvl="3" w:tplc="40080236" w:tentative="1">
      <w:start w:val="1"/>
      <w:numFmt w:val="bullet"/>
      <w:lvlText w:val="•"/>
      <w:lvlJc w:val="left"/>
      <w:pPr>
        <w:tabs>
          <w:tab w:val="num" w:pos="2880"/>
        </w:tabs>
        <w:ind w:left="2880" w:hanging="360"/>
      </w:pPr>
      <w:rPr>
        <w:rFonts w:ascii="Times New Roman" w:hAnsi="Times New Roman" w:hint="default"/>
      </w:rPr>
    </w:lvl>
    <w:lvl w:ilvl="4" w:tplc="52CE2C5C" w:tentative="1">
      <w:start w:val="1"/>
      <w:numFmt w:val="bullet"/>
      <w:lvlText w:val="•"/>
      <w:lvlJc w:val="left"/>
      <w:pPr>
        <w:tabs>
          <w:tab w:val="num" w:pos="3600"/>
        </w:tabs>
        <w:ind w:left="3600" w:hanging="360"/>
      </w:pPr>
      <w:rPr>
        <w:rFonts w:ascii="Times New Roman" w:hAnsi="Times New Roman" w:hint="default"/>
      </w:rPr>
    </w:lvl>
    <w:lvl w:ilvl="5" w:tplc="1E725888" w:tentative="1">
      <w:start w:val="1"/>
      <w:numFmt w:val="bullet"/>
      <w:lvlText w:val="•"/>
      <w:lvlJc w:val="left"/>
      <w:pPr>
        <w:tabs>
          <w:tab w:val="num" w:pos="4320"/>
        </w:tabs>
        <w:ind w:left="4320" w:hanging="360"/>
      </w:pPr>
      <w:rPr>
        <w:rFonts w:ascii="Times New Roman" w:hAnsi="Times New Roman" w:hint="default"/>
      </w:rPr>
    </w:lvl>
    <w:lvl w:ilvl="6" w:tplc="C7045864" w:tentative="1">
      <w:start w:val="1"/>
      <w:numFmt w:val="bullet"/>
      <w:lvlText w:val="•"/>
      <w:lvlJc w:val="left"/>
      <w:pPr>
        <w:tabs>
          <w:tab w:val="num" w:pos="5040"/>
        </w:tabs>
        <w:ind w:left="5040" w:hanging="360"/>
      </w:pPr>
      <w:rPr>
        <w:rFonts w:ascii="Times New Roman" w:hAnsi="Times New Roman" w:hint="default"/>
      </w:rPr>
    </w:lvl>
    <w:lvl w:ilvl="7" w:tplc="4DEA832E" w:tentative="1">
      <w:start w:val="1"/>
      <w:numFmt w:val="bullet"/>
      <w:lvlText w:val="•"/>
      <w:lvlJc w:val="left"/>
      <w:pPr>
        <w:tabs>
          <w:tab w:val="num" w:pos="5760"/>
        </w:tabs>
        <w:ind w:left="5760" w:hanging="360"/>
      </w:pPr>
      <w:rPr>
        <w:rFonts w:ascii="Times New Roman" w:hAnsi="Times New Roman" w:hint="default"/>
      </w:rPr>
    </w:lvl>
    <w:lvl w:ilvl="8" w:tplc="EBFA9C7E" w:tentative="1">
      <w:start w:val="1"/>
      <w:numFmt w:val="bullet"/>
      <w:lvlText w:val="•"/>
      <w:lvlJc w:val="left"/>
      <w:pPr>
        <w:tabs>
          <w:tab w:val="num" w:pos="6480"/>
        </w:tabs>
        <w:ind w:left="6480" w:hanging="360"/>
      </w:pPr>
      <w:rPr>
        <w:rFonts w:ascii="Times New Roman" w:hAnsi="Times New Roman" w:hint="default"/>
      </w:rPr>
    </w:lvl>
  </w:abstractNum>
  <w:abstractNum w:abstractNumId="12" w15:restartNumberingAfterBreak="0">
    <w:nsid w:val="4B467739"/>
    <w:multiLevelType w:val="hybridMultilevel"/>
    <w:tmpl w:val="1822349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3" w15:restartNumberingAfterBreak="0">
    <w:nsid w:val="5178232C"/>
    <w:multiLevelType w:val="multilevel"/>
    <w:tmpl w:val="06A06EE6"/>
    <w:lvl w:ilvl="0">
      <w:start w:val="1"/>
      <w:numFmt w:val="decimal"/>
      <w:lvlText w:val="%1)"/>
      <w:lvlJc w:val="left"/>
      <w:pPr>
        <w:ind w:left="502"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54115D99"/>
    <w:multiLevelType w:val="hybridMultilevel"/>
    <w:tmpl w:val="267CA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57F2698"/>
    <w:multiLevelType w:val="multilevel"/>
    <w:tmpl w:val="85049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AB7331"/>
    <w:multiLevelType w:val="hybridMultilevel"/>
    <w:tmpl w:val="8474D460"/>
    <w:lvl w:ilvl="0" w:tplc="041D0017">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7" w15:restartNumberingAfterBreak="0">
    <w:nsid w:val="5B481FC3"/>
    <w:multiLevelType w:val="hybridMultilevel"/>
    <w:tmpl w:val="AE347A5A"/>
    <w:lvl w:ilvl="0" w:tplc="041D0017">
      <w:start w:val="1"/>
      <w:numFmt w:val="lowerLetter"/>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18" w15:restartNumberingAfterBreak="0">
    <w:nsid w:val="5C3F2145"/>
    <w:multiLevelType w:val="hybridMultilevel"/>
    <w:tmpl w:val="11BCA8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D000961"/>
    <w:multiLevelType w:val="hybridMultilevel"/>
    <w:tmpl w:val="E4EE2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D1B2542"/>
    <w:multiLevelType w:val="multilevel"/>
    <w:tmpl w:val="12549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ECD20CD"/>
    <w:multiLevelType w:val="multilevel"/>
    <w:tmpl w:val="0BD43F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917700"/>
    <w:multiLevelType w:val="multilevel"/>
    <w:tmpl w:val="1FE2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38478D9"/>
    <w:multiLevelType w:val="multilevel"/>
    <w:tmpl w:val="E4C4B7B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7F24FC"/>
    <w:multiLevelType w:val="multilevel"/>
    <w:tmpl w:val="26CA91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64704DC"/>
    <w:multiLevelType w:val="hybridMultilevel"/>
    <w:tmpl w:val="1E32AB7A"/>
    <w:lvl w:ilvl="0" w:tplc="041D000F">
      <w:start w:val="1"/>
      <w:numFmt w:val="decimal"/>
      <w:lvlText w:val="%1."/>
      <w:lvlJc w:val="left"/>
      <w:pPr>
        <w:ind w:left="720" w:hanging="360"/>
      </w:p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6" w15:restartNumberingAfterBreak="0">
    <w:nsid w:val="68AB2899"/>
    <w:multiLevelType w:val="hybridMultilevel"/>
    <w:tmpl w:val="615215F0"/>
    <w:lvl w:ilvl="0" w:tplc="F868455E">
      <w:start w:val="1"/>
      <w:numFmt w:val="bullet"/>
      <w:lvlText w:val="•"/>
      <w:lvlJc w:val="left"/>
      <w:pPr>
        <w:tabs>
          <w:tab w:val="num" w:pos="720"/>
        </w:tabs>
        <w:ind w:left="720" w:hanging="360"/>
      </w:pPr>
      <w:rPr>
        <w:rFonts w:ascii="Times New Roman" w:hAnsi="Times New Roman" w:hint="default"/>
      </w:rPr>
    </w:lvl>
    <w:lvl w:ilvl="1" w:tplc="934401DA" w:tentative="1">
      <w:start w:val="1"/>
      <w:numFmt w:val="bullet"/>
      <w:lvlText w:val="•"/>
      <w:lvlJc w:val="left"/>
      <w:pPr>
        <w:tabs>
          <w:tab w:val="num" w:pos="1440"/>
        </w:tabs>
        <w:ind w:left="1440" w:hanging="360"/>
      </w:pPr>
      <w:rPr>
        <w:rFonts w:ascii="Times New Roman" w:hAnsi="Times New Roman" w:hint="default"/>
      </w:rPr>
    </w:lvl>
    <w:lvl w:ilvl="2" w:tplc="70F4D7F8" w:tentative="1">
      <w:start w:val="1"/>
      <w:numFmt w:val="bullet"/>
      <w:lvlText w:val="•"/>
      <w:lvlJc w:val="left"/>
      <w:pPr>
        <w:tabs>
          <w:tab w:val="num" w:pos="2160"/>
        </w:tabs>
        <w:ind w:left="2160" w:hanging="360"/>
      </w:pPr>
      <w:rPr>
        <w:rFonts w:ascii="Times New Roman" w:hAnsi="Times New Roman" w:hint="default"/>
      </w:rPr>
    </w:lvl>
    <w:lvl w:ilvl="3" w:tplc="F3CA13A8" w:tentative="1">
      <w:start w:val="1"/>
      <w:numFmt w:val="bullet"/>
      <w:lvlText w:val="•"/>
      <w:lvlJc w:val="left"/>
      <w:pPr>
        <w:tabs>
          <w:tab w:val="num" w:pos="2880"/>
        </w:tabs>
        <w:ind w:left="2880" w:hanging="360"/>
      </w:pPr>
      <w:rPr>
        <w:rFonts w:ascii="Times New Roman" w:hAnsi="Times New Roman" w:hint="default"/>
      </w:rPr>
    </w:lvl>
    <w:lvl w:ilvl="4" w:tplc="6C8EF306" w:tentative="1">
      <w:start w:val="1"/>
      <w:numFmt w:val="bullet"/>
      <w:lvlText w:val="•"/>
      <w:lvlJc w:val="left"/>
      <w:pPr>
        <w:tabs>
          <w:tab w:val="num" w:pos="3600"/>
        </w:tabs>
        <w:ind w:left="3600" w:hanging="360"/>
      </w:pPr>
      <w:rPr>
        <w:rFonts w:ascii="Times New Roman" w:hAnsi="Times New Roman" w:hint="default"/>
      </w:rPr>
    </w:lvl>
    <w:lvl w:ilvl="5" w:tplc="B6B822E0" w:tentative="1">
      <w:start w:val="1"/>
      <w:numFmt w:val="bullet"/>
      <w:lvlText w:val="•"/>
      <w:lvlJc w:val="left"/>
      <w:pPr>
        <w:tabs>
          <w:tab w:val="num" w:pos="4320"/>
        </w:tabs>
        <w:ind w:left="4320" w:hanging="360"/>
      </w:pPr>
      <w:rPr>
        <w:rFonts w:ascii="Times New Roman" w:hAnsi="Times New Roman" w:hint="default"/>
      </w:rPr>
    </w:lvl>
    <w:lvl w:ilvl="6" w:tplc="655E34E8" w:tentative="1">
      <w:start w:val="1"/>
      <w:numFmt w:val="bullet"/>
      <w:lvlText w:val="•"/>
      <w:lvlJc w:val="left"/>
      <w:pPr>
        <w:tabs>
          <w:tab w:val="num" w:pos="5040"/>
        </w:tabs>
        <w:ind w:left="5040" w:hanging="360"/>
      </w:pPr>
      <w:rPr>
        <w:rFonts w:ascii="Times New Roman" w:hAnsi="Times New Roman" w:hint="default"/>
      </w:rPr>
    </w:lvl>
    <w:lvl w:ilvl="7" w:tplc="1E8E97BE" w:tentative="1">
      <w:start w:val="1"/>
      <w:numFmt w:val="bullet"/>
      <w:lvlText w:val="•"/>
      <w:lvlJc w:val="left"/>
      <w:pPr>
        <w:tabs>
          <w:tab w:val="num" w:pos="5760"/>
        </w:tabs>
        <w:ind w:left="5760" w:hanging="360"/>
      </w:pPr>
      <w:rPr>
        <w:rFonts w:ascii="Times New Roman" w:hAnsi="Times New Roman" w:hint="default"/>
      </w:rPr>
    </w:lvl>
    <w:lvl w:ilvl="8" w:tplc="E958778C" w:tentative="1">
      <w:start w:val="1"/>
      <w:numFmt w:val="bullet"/>
      <w:lvlText w:val="•"/>
      <w:lvlJc w:val="left"/>
      <w:pPr>
        <w:tabs>
          <w:tab w:val="num" w:pos="6480"/>
        </w:tabs>
        <w:ind w:left="6480" w:hanging="360"/>
      </w:pPr>
      <w:rPr>
        <w:rFonts w:ascii="Times New Roman" w:hAnsi="Times New Roman" w:hint="default"/>
      </w:rPr>
    </w:lvl>
  </w:abstractNum>
  <w:abstractNum w:abstractNumId="27" w15:restartNumberingAfterBreak="0">
    <w:nsid w:val="6C7F13B3"/>
    <w:multiLevelType w:val="hybridMultilevel"/>
    <w:tmpl w:val="CBF895E6"/>
    <w:lvl w:ilvl="0" w:tplc="483C80B8">
      <w:start w:val="1"/>
      <w:numFmt w:val="bullet"/>
      <w:lvlText w:val="•"/>
      <w:lvlJc w:val="left"/>
      <w:pPr>
        <w:tabs>
          <w:tab w:val="num" w:pos="720"/>
        </w:tabs>
        <w:ind w:left="720" w:hanging="360"/>
      </w:pPr>
      <w:rPr>
        <w:rFonts w:ascii="Times New Roman" w:hAnsi="Times New Roman" w:hint="default"/>
      </w:rPr>
    </w:lvl>
    <w:lvl w:ilvl="1" w:tplc="B0286202" w:tentative="1">
      <w:start w:val="1"/>
      <w:numFmt w:val="bullet"/>
      <w:lvlText w:val="•"/>
      <w:lvlJc w:val="left"/>
      <w:pPr>
        <w:tabs>
          <w:tab w:val="num" w:pos="1440"/>
        </w:tabs>
        <w:ind w:left="1440" w:hanging="360"/>
      </w:pPr>
      <w:rPr>
        <w:rFonts w:ascii="Times New Roman" w:hAnsi="Times New Roman" w:hint="default"/>
      </w:rPr>
    </w:lvl>
    <w:lvl w:ilvl="2" w:tplc="85020B74" w:tentative="1">
      <w:start w:val="1"/>
      <w:numFmt w:val="bullet"/>
      <w:lvlText w:val="•"/>
      <w:lvlJc w:val="left"/>
      <w:pPr>
        <w:tabs>
          <w:tab w:val="num" w:pos="2160"/>
        </w:tabs>
        <w:ind w:left="2160" w:hanging="360"/>
      </w:pPr>
      <w:rPr>
        <w:rFonts w:ascii="Times New Roman" w:hAnsi="Times New Roman" w:hint="default"/>
      </w:rPr>
    </w:lvl>
    <w:lvl w:ilvl="3" w:tplc="A7A84A1E" w:tentative="1">
      <w:start w:val="1"/>
      <w:numFmt w:val="bullet"/>
      <w:lvlText w:val="•"/>
      <w:lvlJc w:val="left"/>
      <w:pPr>
        <w:tabs>
          <w:tab w:val="num" w:pos="2880"/>
        </w:tabs>
        <w:ind w:left="2880" w:hanging="360"/>
      </w:pPr>
      <w:rPr>
        <w:rFonts w:ascii="Times New Roman" w:hAnsi="Times New Roman" w:hint="default"/>
      </w:rPr>
    </w:lvl>
    <w:lvl w:ilvl="4" w:tplc="CC7C6152" w:tentative="1">
      <w:start w:val="1"/>
      <w:numFmt w:val="bullet"/>
      <w:lvlText w:val="•"/>
      <w:lvlJc w:val="left"/>
      <w:pPr>
        <w:tabs>
          <w:tab w:val="num" w:pos="3600"/>
        </w:tabs>
        <w:ind w:left="3600" w:hanging="360"/>
      </w:pPr>
      <w:rPr>
        <w:rFonts w:ascii="Times New Roman" w:hAnsi="Times New Roman" w:hint="default"/>
      </w:rPr>
    </w:lvl>
    <w:lvl w:ilvl="5" w:tplc="18FE28A8" w:tentative="1">
      <w:start w:val="1"/>
      <w:numFmt w:val="bullet"/>
      <w:lvlText w:val="•"/>
      <w:lvlJc w:val="left"/>
      <w:pPr>
        <w:tabs>
          <w:tab w:val="num" w:pos="4320"/>
        </w:tabs>
        <w:ind w:left="4320" w:hanging="360"/>
      </w:pPr>
      <w:rPr>
        <w:rFonts w:ascii="Times New Roman" w:hAnsi="Times New Roman" w:hint="default"/>
      </w:rPr>
    </w:lvl>
    <w:lvl w:ilvl="6" w:tplc="4394DA70" w:tentative="1">
      <w:start w:val="1"/>
      <w:numFmt w:val="bullet"/>
      <w:lvlText w:val="•"/>
      <w:lvlJc w:val="left"/>
      <w:pPr>
        <w:tabs>
          <w:tab w:val="num" w:pos="5040"/>
        </w:tabs>
        <w:ind w:left="5040" w:hanging="360"/>
      </w:pPr>
      <w:rPr>
        <w:rFonts w:ascii="Times New Roman" w:hAnsi="Times New Roman" w:hint="default"/>
      </w:rPr>
    </w:lvl>
    <w:lvl w:ilvl="7" w:tplc="76923BCA" w:tentative="1">
      <w:start w:val="1"/>
      <w:numFmt w:val="bullet"/>
      <w:lvlText w:val="•"/>
      <w:lvlJc w:val="left"/>
      <w:pPr>
        <w:tabs>
          <w:tab w:val="num" w:pos="5760"/>
        </w:tabs>
        <w:ind w:left="5760" w:hanging="360"/>
      </w:pPr>
      <w:rPr>
        <w:rFonts w:ascii="Times New Roman" w:hAnsi="Times New Roman" w:hint="default"/>
      </w:rPr>
    </w:lvl>
    <w:lvl w:ilvl="8" w:tplc="454A8F6C" w:tentative="1">
      <w:start w:val="1"/>
      <w:numFmt w:val="bullet"/>
      <w:lvlText w:val="•"/>
      <w:lvlJc w:val="left"/>
      <w:pPr>
        <w:tabs>
          <w:tab w:val="num" w:pos="6480"/>
        </w:tabs>
        <w:ind w:left="6480" w:hanging="360"/>
      </w:pPr>
      <w:rPr>
        <w:rFonts w:ascii="Times New Roman" w:hAnsi="Times New Roman" w:hint="default"/>
      </w:rPr>
    </w:lvl>
  </w:abstractNum>
  <w:abstractNum w:abstractNumId="28" w15:restartNumberingAfterBreak="0">
    <w:nsid w:val="71E40643"/>
    <w:multiLevelType w:val="hybridMultilevel"/>
    <w:tmpl w:val="7DBCFBEC"/>
    <w:lvl w:ilvl="0" w:tplc="A7CA859A">
      <w:start w:val="1"/>
      <w:numFmt w:val="decimal"/>
      <w:lvlText w:val="%1."/>
      <w:lvlJc w:val="left"/>
      <w:pPr>
        <w:ind w:left="720" w:hanging="360"/>
      </w:pPr>
      <w:rPr>
        <w:rFonts w:hint="default"/>
        <w:b/>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29" w15:restartNumberingAfterBreak="0">
    <w:nsid w:val="722C4EFD"/>
    <w:multiLevelType w:val="hybridMultilevel"/>
    <w:tmpl w:val="6EF8873C"/>
    <w:lvl w:ilvl="0" w:tplc="82E85F9C">
      <w:start w:val="1"/>
      <w:numFmt w:val="bullet"/>
      <w:lvlText w:val="-"/>
      <w:lvlJc w:val="left"/>
      <w:pPr>
        <w:ind w:left="720" w:hanging="360"/>
      </w:pPr>
      <w:rPr>
        <w:rFonts w:ascii="Times New Roman" w:eastAsia="SimSu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8"/>
  </w:num>
  <w:num w:numId="2">
    <w:abstractNumId w:val="0"/>
  </w:num>
  <w:num w:numId="3">
    <w:abstractNumId w:val="13"/>
  </w:num>
  <w:num w:numId="4">
    <w:abstractNumId w:val="8"/>
  </w:num>
  <w:num w:numId="5">
    <w:abstractNumId w:val="3"/>
  </w:num>
  <w:num w:numId="6">
    <w:abstractNumId w:val="25"/>
  </w:num>
  <w:num w:numId="7">
    <w:abstractNumId w:val="2"/>
  </w:num>
  <w:num w:numId="8">
    <w:abstractNumId w:val="28"/>
  </w:num>
  <w:num w:numId="9">
    <w:abstractNumId w:val="12"/>
  </w:num>
  <w:num w:numId="10">
    <w:abstractNumId w:val="16"/>
  </w:num>
  <w:num w:numId="11">
    <w:abstractNumId w:val="22"/>
  </w:num>
  <w:num w:numId="12">
    <w:abstractNumId w:val="24"/>
  </w:num>
  <w:num w:numId="13">
    <w:abstractNumId w:val="20"/>
  </w:num>
  <w:num w:numId="14">
    <w:abstractNumId w:val="1"/>
  </w:num>
  <w:num w:numId="15">
    <w:abstractNumId w:val="23"/>
  </w:num>
  <w:num w:numId="16">
    <w:abstractNumId w:val="17"/>
  </w:num>
  <w:num w:numId="17">
    <w:abstractNumId w:val="5"/>
  </w:num>
  <w:num w:numId="18">
    <w:abstractNumId w:val="15"/>
  </w:num>
  <w:num w:numId="19">
    <w:abstractNumId w:val="10"/>
  </w:num>
  <w:num w:numId="20">
    <w:abstractNumId w:val="6"/>
  </w:num>
  <w:num w:numId="21">
    <w:abstractNumId w:val="11"/>
  </w:num>
  <w:num w:numId="22">
    <w:abstractNumId w:val="26"/>
  </w:num>
  <w:num w:numId="23">
    <w:abstractNumId w:val="27"/>
  </w:num>
  <w:num w:numId="24">
    <w:abstractNumId w:val="14"/>
  </w:num>
  <w:num w:numId="25">
    <w:abstractNumId w:val="4"/>
  </w:num>
  <w:num w:numId="26">
    <w:abstractNumId w:val="19"/>
  </w:num>
  <w:num w:numId="27">
    <w:abstractNumId w:val="9"/>
  </w:num>
  <w:num w:numId="28">
    <w:abstractNumId w:val="21"/>
  </w:num>
  <w:num w:numId="29">
    <w:abstractNumId w:val="29"/>
  </w:num>
  <w:num w:numId="3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160B"/>
    <w:rsid w:val="008131C3"/>
    <w:rsid w:val="0091160B"/>
    <w:rsid w:val="00E573B1"/>
    <w:rsid w:val="00E96889"/>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decimalSymbol w:val="."/>
  <w:listSeparator w:val=","/>
  <w14:docId w14:val="7993896F"/>
  <w15:chartTrackingRefBased/>
  <w15:docId w15:val="{23C703E2-8EE1-564C-97BB-5DA66AC35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S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160B"/>
    <w:pPr>
      <w:autoSpaceDE w:val="0"/>
      <w:autoSpaceDN w:val="0"/>
      <w:adjustRightInd w:val="0"/>
      <w:spacing w:line="480" w:lineRule="auto"/>
      <w:jc w:val="both"/>
    </w:pPr>
    <w:rPr>
      <w:rFonts w:ascii="Times New Roman" w:hAnsi="Times New Roman" w:cs="Times New Roman"/>
      <w:lang w:val="en-US"/>
    </w:rPr>
  </w:style>
  <w:style w:type="paragraph" w:styleId="Heading1">
    <w:name w:val="heading 1"/>
    <w:basedOn w:val="Normal"/>
    <w:link w:val="Heading1Char"/>
    <w:qFormat/>
    <w:rsid w:val="0091160B"/>
    <w:pPr>
      <w:outlineLvl w:val="0"/>
    </w:pPr>
    <w:rPr>
      <w:b/>
    </w:rPr>
  </w:style>
  <w:style w:type="paragraph" w:styleId="Heading2">
    <w:name w:val="heading 2"/>
    <w:basedOn w:val="Normal"/>
    <w:next w:val="Normal"/>
    <w:link w:val="Heading2Char"/>
    <w:uiPriority w:val="9"/>
    <w:unhideWhenUsed/>
    <w:qFormat/>
    <w:rsid w:val="0091160B"/>
    <w:pPr>
      <w:outlineLvl w:val="1"/>
    </w:pPr>
    <w:rPr>
      <w:bCs/>
      <w:i/>
      <w:iCs/>
      <w:color w:val="231F20"/>
    </w:rPr>
  </w:style>
  <w:style w:type="paragraph" w:styleId="Heading3">
    <w:name w:val="heading 3"/>
    <w:basedOn w:val="Normal"/>
    <w:next w:val="Normal"/>
    <w:link w:val="Heading3Char"/>
    <w:unhideWhenUsed/>
    <w:qFormat/>
    <w:rsid w:val="0091160B"/>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91160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91160B"/>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unhideWhenUsed/>
    <w:qFormat/>
    <w:rsid w:val="0091160B"/>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unhideWhenUsed/>
    <w:qFormat/>
    <w:rsid w:val="0091160B"/>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unhideWhenUsed/>
    <w:qFormat/>
    <w:rsid w:val="0091160B"/>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91160B"/>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1160B"/>
    <w:rPr>
      <w:rFonts w:ascii="Times New Roman" w:hAnsi="Times New Roman" w:cs="Times New Roman"/>
      <w:b/>
      <w:lang w:val="en-US"/>
    </w:rPr>
  </w:style>
  <w:style w:type="character" w:customStyle="1" w:styleId="Heading2Char">
    <w:name w:val="Heading 2 Char"/>
    <w:basedOn w:val="DefaultParagraphFont"/>
    <w:link w:val="Heading2"/>
    <w:uiPriority w:val="9"/>
    <w:rsid w:val="0091160B"/>
    <w:rPr>
      <w:rFonts w:ascii="Times New Roman" w:hAnsi="Times New Roman" w:cs="Times New Roman"/>
      <w:bCs/>
      <w:i/>
      <w:iCs/>
      <w:color w:val="231F20"/>
      <w:lang w:val="en-US"/>
    </w:rPr>
  </w:style>
  <w:style w:type="character" w:customStyle="1" w:styleId="Heading3Char">
    <w:name w:val="Heading 3 Char"/>
    <w:basedOn w:val="DefaultParagraphFont"/>
    <w:link w:val="Heading3"/>
    <w:rsid w:val="0091160B"/>
    <w:rPr>
      <w:rFonts w:asciiTheme="majorHAnsi" w:eastAsiaTheme="majorEastAsia" w:hAnsiTheme="majorHAnsi" w:cstheme="majorBidi"/>
      <w:color w:val="1F3763" w:themeColor="accent1" w:themeShade="7F"/>
      <w:lang w:val="en-US"/>
    </w:rPr>
  </w:style>
  <w:style w:type="character" w:customStyle="1" w:styleId="Heading4Char">
    <w:name w:val="Heading 4 Char"/>
    <w:basedOn w:val="DefaultParagraphFont"/>
    <w:link w:val="Heading4"/>
    <w:uiPriority w:val="9"/>
    <w:rsid w:val="0091160B"/>
    <w:rPr>
      <w:rFonts w:asciiTheme="majorHAnsi" w:eastAsiaTheme="majorEastAsia" w:hAnsiTheme="majorHAnsi" w:cstheme="majorBidi"/>
      <w:i/>
      <w:iCs/>
      <w:color w:val="2F5496" w:themeColor="accent1" w:themeShade="BF"/>
      <w:lang w:val="en-US"/>
    </w:rPr>
  </w:style>
  <w:style w:type="character" w:customStyle="1" w:styleId="Heading5Char">
    <w:name w:val="Heading 5 Char"/>
    <w:basedOn w:val="DefaultParagraphFont"/>
    <w:link w:val="Heading5"/>
    <w:uiPriority w:val="9"/>
    <w:rsid w:val="0091160B"/>
    <w:rPr>
      <w:rFonts w:asciiTheme="majorHAnsi" w:eastAsiaTheme="majorEastAsia" w:hAnsiTheme="majorHAnsi" w:cstheme="majorBidi"/>
      <w:color w:val="2F5496" w:themeColor="accent1" w:themeShade="BF"/>
      <w:lang w:val="en-US"/>
    </w:rPr>
  </w:style>
  <w:style w:type="character" w:customStyle="1" w:styleId="Heading6Char">
    <w:name w:val="Heading 6 Char"/>
    <w:basedOn w:val="DefaultParagraphFont"/>
    <w:link w:val="Heading6"/>
    <w:uiPriority w:val="9"/>
    <w:rsid w:val="0091160B"/>
    <w:rPr>
      <w:rFonts w:asciiTheme="majorHAnsi" w:eastAsiaTheme="majorEastAsia" w:hAnsiTheme="majorHAnsi" w:cstheme="majorBidi"/>
      <w:color w:val="1F3763" w:themeColor="accent1" w:themeShade="7F"/>
      <w:lang w:val="en-US"/>
    </w:rPr>
  </w:style>
  <w:style w:type="character" w:customStyle="1" w:styleId="Heading7Char">
    <w:name w:val="Heading 7 Char"/>
    <w:basedOn w:val="DefaultParagraphFont"/>
    <w:link w:val="Heading7"/>
    <w:uiPriority w:val="9"/>
    <w:rsid w:val="0091160B"/>
    <w:rPr>
      <w:rFonts w:asciiTheme="majorHAnsi" w:eastAsiaTheme="majorEastAsia" w:hAnsiTheme="majorHAnsi" w:cstheme="majorBidi"/>
      <w:i/>
      <w:iCs/>
      <w:color w:val="1F3763" w:themeColor="accent1" w:themeShade="7F"/>
      <w:lang w:val="en-US"/>
    </w:rPr>
  </w:style>
  <w:style w:type="character" w:customStyle="1" w:styleId="Heading8Char">
    <w:name w:val="Heading 8 Char"/>
    <w:basedOn w:val="DefaultParagraphFont"/>
    <w:link w:val="Heading8"/>
    <w:uiPriority w:val="9"/>
    <w:rsid w:val="0091160B"/>
    <w:rPr>
      <w:rFonts w:asciiTheme="majorHAnsi" w:eastAsiaTheme="majorEastAsia" w:hAnsiTheme="majorHAnsi" w:cstheme="majorBidi"/>
      <w:color w:val="272727" w:themeColor="text1" w:themeTint="D8"/>
      <w:sz w:val="21"/>
      <w:szCs w:val="21"/>
      <w:lang w:val="en-US"/>
    </w:rPr>
  </w:style>
  <w:style w:type="character" w:customStyle="1" w:styleId="Heading9Char">
    <w:name w:val="Heading 9 Char"/>
    <w:basedOn w:val="DefaultParagraphFont"/>
    <w:link w:val="Heading9"/>
    <w:uiPriority w:val="9"/>
    <w:rsid w:val="0091160B"/>
    <w:rPr>
      <w:rFonts w:asciiTheme="majorHAnsi" w:eastAsiaTheme="majorEastAsia" w:hAnsiTheme="majorHAnsi" w:cstheme="majorBidi"/>
      <w:i/>
      <w:iCs/>
      <w:color w:val="272727" w:themeColor="text1" w:themeTint="D8"/>
      <w:sz w:val="21"/>
      <w:szCs w:val="21"/>
      <w:lang w:val="en-US"/>
    </w:rPr>
  </w:style>
  <w:style w:type="character" w:styleId="CommentReference">
    <w:name w:val="annotation reference"/>
    <w:basedOn w:val="DefaultParagraphFont"/>
    <w:uiPriority w:val="99"/>
    <w:unhideWhenUsed/>
    <w:rsid w:val="0091160B"/>
    <w:rPr>
      <w:sz w:val="16"/>
      <w:szCs w:val="16"/>
    </w:rPr>
  </w:style>
  <w:style w:type="paragraph" w:styleId="CommentText">
    <w:name w:val="annotation text"/>
    <w:aliases w:val="Char,Char Char Char Char,Char Char Char"/>
    <w:basedOn w:val="Normal"/>
    <w:link w:val="CommentTextChar"/>
    <w:uiPriority w:val="99"/>
    <w:unhideWhenUsed/>
    <w:rsid w:val="0091160B"/>
    <w:pPr>
      <w:spacing w:after="200" w:line="240" w:lineRule="auto"/>
    </w:pPr>
    <w:rPr>
      <w:rFonts w:eastAsia="SimSun"/>
      <w:sz w:val="20"/>
      <w:szCs w:val="20"/>
    </w:rPr>
  </w:style>
  <w:style w:type="character" w:customStyle="1" w:styleId="CommentTextChar">
    <w:name w:val="Comment Text Char"/>
    <w:aliases w:val="Char Char,Char Char Char Char Char,Char Char Char Char1"/>
    <w:basedOn w:val="DefaultParagraphFont"/>
    <w:link w:val="CommentText"/>
    <w:uiPriority w:val="99"/>
    <w:rsid w:val="0091160B"/>
    <w:rPr>
      <w:rFonts w:ascii="Times New Roman" w:eastAsia="SimSun" w:hAnsi="Times New Roman" w:cs="Times New Roman"/>
      <w:sz w:val="20"/>
      <w:szCs w:val="20"/>
      <w:lang w:val="en-US"/>
    </w:rPr>
  </w:style>
  <w:style w:type="character" w:customStyle="1" w:styleId="apple-converted-space">
    <w:name w:val="apple-converted-space"/>
    <w:basedOn w:val="DefaultParagraphFont"/>
    <w:rsid w:val="0091160B"/>
  </w:style>
  <w:style w:type="paragraph" w:styleId="BalloonText">
    <w:name w:val="Balloon Text"/>
    <w:basedOn w:val="Normal"/>
    <w:link w:val="BalloonTextChar"/>
    <w:uiPriority w:val="99"/>
    <w:unhideWhenUsed/>
    <w:rsid w:val="0091160B"/>
    <w:pPr>
      <w:spacing w:line="240" w:lineRule="auto"/>
    </w:pPr>
    <w:rPr>
      <w:rFonts w:ascii="Tahoma" w:hAnsi="Tahoma" w:cs="Tahoma"/>
      <w:sz w:val="20"/>
      <w:szCs w:val="18"/>
    </w:rPr>
  </w:style>
  <w:style w:type="character" w:customStyle="1" w:styleId="BalloonTextChar">
    <w:name w:val="Balloon Text Char"/>
    <w:basedOn w:val="DefaultParagraphFont"/>
    <w:link w:val="BalloonText"/>
    <w:uiPriority w:val="99"/>
    <w:rsid w:val="0091160B"/>
    <w:rPr>
      <w:rFonts w:ascii="Tahoma" w:hAnsi="Tahoma" w:cs="Tahoma"/>
      <w:sz w:val="20"/>
      <w:szCs w:val="18"/>
      <w:lang w:val="en-US"/>
    </w:rPr>
  </w:style>
  <w:style w:type="paragraph" w:styleId="NormalWeb">
    <w:name w:val="Normal (Web)"/>
    <w:basedOn w:val="Normal"/>
    <w:uiPriority w:val="99"/>
    <w:unhideWhenUsed/>
    <w:rsid w:val="0091160B"/>
    <w:pPr>
      <w:spacing w:before="100" w:beforeAutospacing="1" w:after="100" w:afterAutospacing="1" w:line="240" w:lineRule="auto"/>
    </w:pPr>
    <w:rPr>
      <w:rFonts w:eastAsia="Times New Roman"/>
      <w:lang w:eastAsia="sv-SE"/>
    </w:rPr>
  </w:style>
  <w:style w:type="character" w:styleId="Hyperlink">
    <w:name w:val="Hyperlink"/>
    <w:basedOn w:val="DefaultParagraphFont"/>
    <w:uiPriority w:val="99"/>
    <w:unhideWhenUsed/>
    <w:rsid w:val="0091160B"/>
    <w:rPr>
      <w:color w:val="0000FF"/>
      <w:u w:val="single"/>
    </w:rPr>
  </w:style>
  <w:style w:type="character" w:styleId="FollowedHyperlink">
    <w:name w:val="FollowedHyperlink"/>
    <w:basedOn w:val="DefaultParagraphFont"/>
    <w:unhideWhenUsed/>
    <w:rsid w:val="0091160B"/>
    <w:rPr>
      <w:color w:val="954F72" w:themeColor="followedHyperlink"/>
      <w:u w:val="single"/>
    </w:rPr>
  </w:style>
  <w:style w:type="paragraph" w:styleId="Header">
    <w:name w:val="header"/>
    <w:basedOn w:val="Normal"/>
    <w:link w:val="HeaderChar"/>
    <w:uiPriority w:val="99"/>
    <w:unhideWhenUsed/>
    <w:rsid w:val="0091160B"/>
    <w:pPr>
      <w:tabs>
        <w:tab w:val="center" w:pos="4536"/>
        <w:tab w:val="right" w:pos="9072"/>
      </w:tabs>
      <w:spacing w:line="240" w:lineRule="auto"/>
    </w:pPr>
  </w:style>
  <w:style w:type="character" w:customStyle="1" w:styleId="HeaderChar">
    <w:name w:val="Header Char"/>
    <w:basedOn w:val="DefaultParagraphFont"/>
    <w:link w:val="Header"/>
    <w:uiPriority w:val="99"/>
    <w:rsid w:val="0091160B"/>
    <w:rPr>
      <w:rFonts w:ascii="Times New Roman" w:hAnsi="Times New Roman" w:cs="Times New Roman"/>
      <w:lang w:val="en-US"/>
    </w:rPr>
  </w:style>
  <w:style w:type="paragraph" w:styleId="Footer">
    <w:name w:val="footer"/>
    <w:basedOn w:val="Normal"/>
    <w:link w:val="FooterChar"/>
    <w:uiPriority w:val="99"/>
    <w:unhideWhenUsed/>
    <w:rsid w:val="0091160B"/>
    <w:pPr>
      <w:tabs>
        <w:tab w:val="center" w:pos="4536"/>
        <w:tab w:val="right" w:pos="9072"/>
      </w:tabs>
      <w:spacing w:line="240" w:lineRule="auto"/>
    </w:pPr>
  </w:style>
  <w:style w:type="character" w:customStyle="1" w:styleId="FooterChar">
    <w:name w:val="Footer Char"/>
    <w:basedOn w:val="DefaultParagraphFont"/>
    <w:link w:val="Footer"/>
    <w:uiPriority w:val="99"/>
    <w:rsid w:val="0091160B"/>
    <w:rPr>
      <w:rFonts w:ascii="Times New Roman" w:hAnsi="Times New Roman" w:cs="Times New Roman"/>
      <w:lang w:val="en-US"/>
    </w:rPr>
  </w:style>
  <w:style w:type="paragraph" w:styleId="ListParagraph">
    <w:name w:val="List Paragraph"/>
    <w:basedOn w:val="Normal"/>
    <w:uiPriority w:val="34"/>
    <w:qFormat/>
    <w:rsid w:val="0091160B"/>
    <w:pPr>
      <w:ind w:left="720"/>
      <w:contextualSpacing/>
    </w:pPr>
  </w:style>
  <w:style w:type="character" w:customStyle="1" w:styleId="A3">
    <w:name w:val="A3"/>
    <w:uiPriority w:val="99"/>
    <w:rsid w:val="0091160B"/>
    <w:rPr>
      <w:rFonts w:cs="Minion Pro"/>
      <w:color w:val="000000"/>
      <w:sz w:val="13"/>
      <w:szCs w:val="13"/>
    </w:rPr>
  </w:style>
  <w:style w:type="character" w:customStyle="1" w:styleId="A2">
    <w:name w:val="A2"/>
    <w:uiPriority w:val="99"/>
    <w:rsid w:val="0091160B"/>
    <w:rPr>
      <w:rFonts w:cs="Minion Pro"/>
      <w:color w:val="000000"/>
      <w:sz w:val="13"/>
      <w:szCs w:val="13"/>
    </w:rPr>
  </w:style>
  <w:style w:type="paragraph" w:customStyle="1" w:styleId="Default">
    <w:name w:val="Default"/>
    <w:rsid w:val="0091160B"/>
    <w:pPr>
      <w:autoSpaceDE w:val="0"/>
      <w:autoSpaceDN w:val="0"/>
      <w:adjustRightInd w:val="0"/>
    </w:pPr>
    <w:rPr>
      <w:rFonts w:ascii="Times New Roman" w:hAnsi="Times New Roman" w:cs="Times New Roman"/>
      <w:color w:val="000000"/>
      <w:lang w:val="sv-SE"/>
    </w:rPr>
  </w:style>
  <w:style w:type="character" w:customStyle="1" w:styleId="highlight">
    <w:name w:val="highlight"/>
    <w:basedOn w:val="DefaultParagraphFont"/>
    <w:rsid w:val="0091160B"/>
  </w:style>
  <w:style w:type="paragraph" w:customStyle="1" w:styleId="Rubrik1">
    <w:name w:val="Rubrik1"/>
    <w:basedOn w:val="Normal"/>
    <w:rsid w:val="0091160B"/>
    <w:pPr>
      <w:spacing w:before="100" w:beforeAutospacing="1" w:after="100" w:afterAutospacing="1" w:line="240" w:lineRule="auto"/>
    </w:pPr>
    <w:rPr>
      <w:rFonts w:eastAsia="Times New Roman"/>
      <w:lang w:eastAsia="sv-SE"/>
    </w:rPr>
  </w:style>
  <w:style w:type="paragraph" w:styleId="CommentSubject">
    <w:name w:val="annotation subject"/>
    <w:basedOn w:val="CommentText"/>
    <w:next w:val="CommentText"/>
    <w:link w:val="CommentSubjectChar"/>
    <w:uiPriority w:val="99"/>
    <w:semiHidden/>
    <w:unhideWhenUsed/>
    <w:rsid w:val="0091160B"/>
    <w:pPr>
      <w:spacing w:after="160"/>
    </w:pPr>
    <w:rPr>
      <w:rFonts w:eastAsiaTheme="minorHAnsi"/>
      <w:b/>
      <w:bCs/>
    </w:rPr>
  </w:style>
  <w:style w:type="character" w:customStyle="1" w:styleId="CommentSubjectChar">
    <w:name w:val="Comment Subject Char"/>
    <w:basedOn w:val="CommentTextChar"/>
    <w:link w:val="CommentSubject"/>
    <w:uiPriority w:val="99"/>
    <w:semiHidden/>
    <w:rsid w:val="0091160B"/>
    <w:rPr>
      <w:rFonts w:ascii="Times New Roman" w:eastAsia="SimSun" w:hAnsi="Times New Roman" w:cs="Times New Roman"/>
      <w:b/>
      <w:bCs/>
      <w:sz w:val="20"/>
      <w:szCs w:val="20"/>
      <w:lang w:val="en-US"/>
    </w:rPr>
  </w:style>
  <w:style w:type="paragraph" w:styleId="Revision">
    <w:name w:val="Revision"/>
    <w:hidden/>
    <w:uiPriority w:val="99"/>
    <w:semiHidden/>
    <w:rsid w:val="0091160B"/>
    <w:rPr>
      <w:sz w:val="22"/>
      <w:szCs w:val="22"/>
      <w:lang w:val="sv-SE"/>
    </w:rPr>
  </w:style>
  <w:style w:type="paragraph" w:customStyle="1" w:styleId="xmsonormal">
    <w:name w:val="x_msonormal"/>
    <w:basedOn w:val="Normal"/>
    <w:rsid w:val="0091160B"/>
    <w:pPr>
      <w:spacing w:before="100" w:beforeAutospacing="1" w:after="100" w:afterAutospacing="1" w:line="240" w:lineRule="auto"/>
    </w:pPr>
    <w:rPr>
      <w:rFonts w:eastAsia="Times New Roman"/>
      <w:lang w:eastAsia="sv-SE"/>
    </w:rPr>
  </w:style>
  <w:style w:type="table" w:styleId="TableGrid">
    <w:name w:val="Table Grid"/>
    <w:basedOn w:val="TableNormal"/>
    <w:uiPriority w:val="39"/>
    <w:rsid w:val="0091160B"/>
    <w:rPr>
      <w:sz w:val="22"/>
      <w:szCs w:val="22"/>
      <w:lang w:val="sv-S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lstomnmnande1">
    <w:name w:val="Olöst omnämnande1"/>
    <w:basedOn w:val="DefaultParagraphFont"/>
    <w:uiPriority w:val="99"/>
    <w:semiHidden/>
    <w:unhideWhenUsed/>
    <w:rsid w:val="0091160B"/>
    <w:rPr>
      <w:color w:val="808080"/>
      <w:shd w:val="clear" w:color="auto" w:fill="E6E6E6"/>
    </w:rPr>
  </w:style>
  <w:style w:type="character" w:styleId="Strong">
    <w:name w:val="Strong"/>
    <w:basedOn w:val="DefaultParagraphFont"/>
    <w:qFormat/>
    <w:rsid w:val="0091160B"/>
    <w:rPr>
      <w:b/>
      <w:bCs/>
    </w:rPr>
  </w:style>
  <w:style w:type="paragraph" w:styleId="ListBullet">
    <w:name w:val="List Bullet"/>
    <w:basedOn w:val="Normal"/>
    <w:uiPriority w:val="99"/>
    <w:unhideWhenUsed/>
    <w:rsid w:val="0091160B"/>
    <w:pPr>
      <w:numPr>
        <w:numId w:val="2"/>
      </w:numPr>
      <w:contextualSpacing/>
    </w:pPr>
  </w:style>
  <w:style w:type="character" w:styleId="LineNumber">
    <w:name w:val="line number"/>
    <w:basedOn w:val="DefaultParagraphFont"/>
    <w:uiPriority w:val="99"/>
    <w:semiHidden/>
    <w:unhideWhenUsed/>
    <w:rsid w:val="0091160B"/>
  </w:style>
  <w:style w:type="character" w:customStyle="1" w:styleId="hvr">
    <w:name w:val="hvr"/>
    <w:basedOn w:val="DefaultParagraphFont"/>
    <w:rsid w:val="0091160B"/>
  </w:style>
  <w:style w:type="paragraph" w:customStyle="1" w:styleId="EndNoteBibliographyTitle">
    <w:name w:val="EndNote Bibliography Title"/>
    <w:basedOn w:val="Normal"/>
    <w:link w:val="EndNoteBibliographyTitleChar"/>
    <w:rsid w:val="0091160B"/>
    <w:pPr>
      <w:jc w:val="center"/>
    </w:pPr>
    <w:rPr>
      <w:rFonts w:ascii="Calibri" w:hAnsi="Calibri"/>
      <w:noProof/>
    </w:rPr>
  </w:style>
  <w:style w:type="character" w:customStyle="1" w:styleId="EndNoteBibliographyTitleChar">
    <w:name w:val="EndNote Bibliography Title Char"/>
    <w:basedOn w:val="DefaultParagraphFont"/>
    <w:link w:val="EndNoteBibliographyTitle"/>
    <w:rsid w:val="0091160B"/>
    <w:rPr>
      <w:rFonts w:ascii="Calibri" w:hAnsi="Calibri" w:cs="Times New Roman"/>
      <w:noProof/>
      <w:lang w:val="en-US"/>
    </w:rPr>
  </w:style>
  <w:style w:type="paragraph" w:customStyle="1" w:styleId="EndNoteBibliography">
    <w:name w:val="EndNote Bibliography"/>
    <w:basedOn w:val="Normal"/>
    <w:link w:val="EndNoteBibliographyChar"/>
    <w:rsid w:val="0091160B"/>
    <w:pPr>
      <w:spacing w:line="240" w:lineRule="auto"/>
    </w:pPr>
    <w:rPr>
      <w:rFonts w:ascii="Calibri" w:hAnsi="Calibri"/>
      <w:noProof/>
    </w:rPr>
  </w:style>
  <w:style w:type="character" w:customStyle="1" w:styleId="EndNoteBibliographyChar">
    <w:name w:val="EndNote Bibliography Char"/>
    <w:basedOn w:val="DefaultParagraphFont"/>
    <w:link w:val="EndNoteBibliography"/>
    <w:rsid w:val="0091160B"/>
    <w:rPr>
      <w:rFonts w:ascii="Calibri" w:hAnsi="Calibri" w:cs="Times New Roman"/>
      <w:noProof/>
      <w:lang w:val="en-US"/>
    </w:rPr>
  </w:style>
  <w:style w:type="numbering" w:customStyle="1" w:styleId="Ingenlista1">
    <w:name w:val="Ingen lista1"/>
    <w:next w:val="NoList"/>
    <w:semiHidden/>
    <w:rsid w:val="0091160B"/>
  </w:style>
  <w:style w:type="paragraph" w:styleId="PlainText">
    <w:name w:val="Plain Text"/>
    <w:basedOn w:val="Normal"/>
    <w:link w:val="PlainTextChar"/>
    <w:rsid w:val="0091160B"/>
    <w:pPr>
      <w:spacing w:line="240" w:lineRule="auto"/>
    </w:pPr>
    <w:rPr>
      <w:rFonts w:ascii="Courier New" w:eastAsia="Times New Roman" w:hAnsi="Courier New"/>
      <w:sz w:val="20"/>
      <w:szCs w:val="20"/>
      <w:lang w:eastAsia="sv-SE"/>
    </w:rPr>
  </w:style>
  <w:style w:type="character" w:customStyle="1" w:styleId="PlainTextChar">
    <w:name w:val="Plain Text Char"/>
    <w:basedOn w:val="DefaultParagraphFont"/>
    <w:link w:val="PlainText"/>
    <w:rsid w:val="0091160B"/>
    <w:rPr>
      <w:rFonts w:ascii="Courier New" w:eastAsia="Times New Roman" w:hAnsi="Courier New" w:cs="Times New Roman"/>
      <w:sz w:val="20"/>
      <w:szCs w:val="20"/>
      <w:lang w:val="en-US" w:eastAsia="sv-SE"/>
    </w:rPr>
  </w:style>
  <w:style w:type="character" w:customStyle="1" w:styleId="ref-journal1">
    <w:name w:val="ref-journal1"/>
    <w:basedOn w:val="DefaultParagraphFont"/>
    <w:rsid w:val="0091160B"/>
    <w:rPr>
      <w:i/>
      <w:iCs/>
    </w:rPr>
  </w:style>
  <w:style w:type="character" w:customStyle="1" w:styleId="ref-vol">
    <w:name w:val="ref-vol"/>
    <w:basedOn w:val="DefaultParagraphFont"/>
    <w:rsid w:val="0091160B"/>
  </w:style>
  <w:style w:type="character" w:customStyle="1" w:styleId="ti">
    <w:name w:val="ti"/>
    <w:basedOn w:val="DefaultParagraphFont"/>
    <w:rsid w:val="0091160B"/>
  </w:style>
  <w:style w:type="paragraph" w:customStyle="1" w:styleId="Liststycke1">
    <w:name w:val="Liststycke1"/>
    <w:basedOn w:val="Normal"/>
    <w:qFormat/>
    <w:rsid w:val="0091160B"/>
    <w:pPr>
      <w:spacing w:after="200" w:line="276" w:lineRule="auto"/>
      <w:ind w:left="1304"/>
    </w:pPr>
    <w:rPr>
      <w:rFonts w:ascii="Calibri" w:eastAsia="Times New Roman" w:hAnsi="Calibri"/>
      <w:szCs w:val="20"/>
      <w:lang w:eastAsia="sv-SE"/>
    </w:rPr>
  </w:style>
  <w:style w:type="paragraph" w:customStyle="1" w:styleId="Normalwebb1">
    <w:name w:val="Normal (webb)1"/>
    <w:basedOn w:val="Normal"/>
    <w:unhideWhenUsed/>
    <w:rsid w:val="0091160B"/>
    <w:pPr>
      <w:spacing w:before="96" w:after="120" w:line="360" w:lineRule="atLeast"/>
    </w:pPr>
    <w:rPr>
      <w:rFonts w:eastAsia="SimSun"/>
      <w:lang w:eastAsia="sv-SE"/>
    </w:rPr>
  </w:style>
  <w:style w:type="paragraph" w:styleId="Caption">
    <w:name w:val="caption"/>
    <w:basedOn w:val="Normal"/>
    <w:next w:val="Normal"/>
    <w:qFormat/>
    <w:rsid w:val="0091160B"/>
    <w:pPr>
      <w:spacing w:after="200" w:line="276" w:lineRule="auto"/>
    </w:pPr>
    <w:rPr>
      <w:rFonts w:ascii="Calibri" w:eastAsia="SimSun" w:hAnsi="Calibri"/>
      <w:b/>
      <w:bCs/>
      <w:sz w:val="20"/>
      <w:szCs w:val="20"/>
      <w:lang w:eastAsia="sv-SE"/>
    </w:rPr>
  </w:style>
  <w:style w:type="character" w:customStyle="1" w:styleId="googqs-tidbit-1">
    <w:name w:val="goog_qs-tidbit-1"/>
    <w:basedOn w:val="DefaultParagraphFont"/>
    <w:rsid w:val="0091160B"/>
  </w:style>
  <w:style w:type="character" w:customStyle="1" w:styleId="citation">
    <w:name w:val="citation"/>
    <w:basedOn w:val="DefaultParagraphFont"/>
    <w:rsid w:val="0091160B"/>
    <w:rPr>
      <w:i w:val="0"/>
      <w:iCs w:val="0"/>
    </w:rPr>
  </w:style>
  <w:style w:type="character" w:customStyle="1" w:styleId="z3988">
    <w:name w:val="z3988"/>
    <w:basedOn w:val="DefaultParagraphFont"/>
    <w:rsid w:val="0091160B"/>
  </w:style>
  <w:style w:type="character" w:customStyle="1" w:styleId="nlmxref-aff">
    <w:name w:val="nlm_xref-aff"/>
    <w:basedOn w:val="DefaultParagraphFont"/>
    <w:rsid w:val="0091160B"/>
  </w:style>
  <w:style w:type="character" w:styleId="Emphasis">
    <w:name w:val="Emphasis"/>
    <w:basedOn w:val="DefaultParagraphFont"/>
    <w:uiPriority w:val="20"/>
    <w:qFormat/>
    <w:rsid w:val="0091160B"/>
    <w:rPr>
      <w:i/>
      <w:iCs/>
    </w:rPr>
  </w:style>
  <w:style w:type="character" w:customStyle="1" w:styleId="fm-citation-ids-label1">
    <w:name w:val="fm-citation-ids-label1"/>
    <w:basedOn w:val="DefaultParagraphFont"/>
    <w:rsid w:val="0091160B"/>
    <w:rPr>
      <w:color w:val="333333"/>
    </w:rPr>
  </w:style>
  <w:style w:type="character" w:customStyle="1" w:styleId="citation-abbreviation2">
    <w:name w:val="citation-abbreviation2"/>
    <w:basedOn w:val="DefaultParagraphFont"/>
    <w:rsid w:val="0091160B"/>
  </w:style>
  <w:style w:type="character" w:customStyle="1" w:styleId="citation-publication-date">
    <w:name w:val="citation-publication-date"/>
    <w:basedOn w:val="DefaultParagraphFont"/>
    <w:rsid w:val="0091160B"/>
  </w:style>
  <w:style w:type="character" w:customStyle="1" w:styleId="citation-volume">
    <w:name w:val="citation-volume"/>
    <w:basedOn w:val="DefaultParagraphFont"/>
    <w:rsid w:val="0091160B"/>
  </w:style>
  <w:style w:type="character" w:customStyle="1" w:styleId="citation-issue">
    <w:name w:val="citation-issue"/>
    <w:basedOn w:val="DefaultParagraphFont"/>
    <w:rsid w:val="0091160B"/>
  </w:style>
  <w:style w:type="character" w:customStyle="1" w:styleId="citation-flpages">
    <w:name w:val="citation-flpages"/>
    <w:basedOn w:val="DefaultParagraphFont"/>
    <w:rsid w:val="0091160B"/>
  </w:style>
  <w:style w:type="character" w:styleId="SubtleEmphasis">
    <w:name w:val="Subtle Emphasis"/>
    <w:basedOn w:val="DefaultParagraphFont"/>
    <w:uiPriority w:val="19"/>
    <w:qFormat/>
    <w:rsid w:val="0091160B"/>
    <w:rPr>
      <w:i/>
      <w:iCs/>
      <w:color w:val="404040" w:themeColor="text1" w:themeTint="BF"/>
    </w:rPr>
  </w:style>
  <w:style w:type="character" w:customStyle="1" w:styleId="genesymbol">
    <w:name w:val="genesymbol"/>
    <w:basedOn w:val="DefaultParagraphFont"/>
    <w:rsid w:val="0091160B"/>
  </w:style>
  <w:style w:type="character" w:customStyle="1" w:styleId="ej-keyword">
    <w:name w:val="ej-keyword"/>
    <w:basedOn w:val="DefaultParagraphFont"/>
    <w:rsid w:val="0091160B"/>
  </w:style>
  <w:style w:type="table" w:styleId="PlainTable4">
    <w:name w:val="Plain Table 4"/>
    <w:basedOn w:val="TableNormal"/>
    <w:uiPriority w:val="44"/>
    <w:rsid w:val="0091160B"/>
    <w:rPr>
      <w:lang w:val="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2">
    <w:name w:val="List Table 2"/>
    <w:basedOn w:val="TableNormal"/>
    <w:uiPriority w:val="47"/>
    <w:rsid w:val="0091160B"/>
    <w:rPr>
      <w:lang w:val="en-US"/>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
    <w:name w:val="List Table 1 Light"/>
    <w:basedOn w:val="TableNormal"/>
    <w:uiPriority w:val="46"/>
    <w:rsid w:val="0091160B"/>
    <w:rPr>
      <w:lang w:val="en-US"/>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3">
    <w:name w:val="List Table 1 Light Accent 3"/>
    <w:basedOn w:val="TableNormal"/>
    <w:uiPriority w:val="46"/>
    <w:rsid w:val="0091160B"/>
    <w:rPr>
      <w:lang w:val="en-US"/>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UnresolvedMention">
    <w:name w:val="Unresolved Mention"/>
    <w:basedOn w:val="DefaultParagraphFont"/>
    <w:uiPriority w:val="99"/>
    <w:semiHidden/>
    <w:unhideWhenUsed/>
    <w:rsid w:val="0091160B"/>
    <w:rPr>
      <w:color w:val="605E5C"/>
      <w:shd w:val="clear" w:color="auto" w:fill="E1DFDD"/>
    </w:rPr>
  </w:style>
  <w:style w:type="character" w:styleId="PlaceholderText">
    <w:name w:val="Placeholder Text"/>
    <w:basedOn w:val="DefaultParagraphFont"/>
    <w:uiPriority w:val="99"/>
    <w:semiHidden/>
    <w:rsid w:val="0091160B"/>
    <w:rPr>
      <w:color w:val="808080"/>
    </w:rPr>
  </w:style>
  <w:style w:type="table" w:styleId="LightShading-Accent3">
    <w:name w:val="Light Shading Accent 3"/>
    <w:basedOn w:val="TableNormal"/>
    <w:uiPriority w:val="60"/>
    <w:semiHidden/>
    <w:unhideWhenUsed/>
    <w:rsid w:val="0091160B"/>
    <w:pPr>
      <w:spacing w:after="200" w:line="276" w:lineRule="auto"/>
      <w:jc w:val="both"/>
    </w:pPr>
    <w:rPr>
      <w:rFonts w:eastAsiaTheme="minorEastAsia"/>
      <w:color w:val="7B7B7B" w:themeColor="accent3" w:themeShade="BF"/>
      <w:sz w:val="22"/>
      <w:szCs w:val="22"/>
      <w:lang w:val="sv-S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PlainTable5">
    <w:name w:val="Plain Table 5"/>
    <w:basedOn w:val="TableNormal"/>
    <w:uiPriority w:val="45"/>
    <w:rsid w:val="0091160B"/>
    <w:pPr>
      <w:spacing w:after="200" w:line="276" w:lineRule="auto"/>
      <w:jc w:val="both"/>
    </w:pPr>
    <w:rPr>
      <w:rFonts w:eastAsiaTheme="minorEastAsia"/>
      <w:sz w:val="20"/>
      <w:szCs w:val="20"/>
      <w:lang w:val="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2-Accent3">
    <w:name w:val="List Table 2 Accent 3"/>
    <w:basedOn w:val="TableNormal"/>
    <w:uiPriority w:val="47"/>
    <w:rsid w:val="0091160B"/>
    <w:pPr>
      <w:spacing w:after="200" w:line="276" w:lineRule="auto"/>
      <w:jc w:val="both"/>
    </w:pPr>
    <w:rPr>
      <w:rFonts w:eastAsiaTheme="minorEastAsia"/>
      <w:sz w:val="20"/>
      <w:szCs w:val="20"/>
      <w:lang w:val="en-US"/>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Title">
    <w:name w:val="Title"/>
    <w:basedOn w:val="Normal"/>
    <w:next w:val="Normal"/>
    <w:link w:val="TitleChar"/>
    <w:uiPriority w:val="10"/>
    <w:qFormat/>
    <w:rsid w:val="0091160B"/>
    <w:pPr>
      <w:pBdr>
        <w:top w:val="single" w:sz="12" w:space="1" w:color="ED7D31" w:themeColor="accent2"/>
      </w:pBdr>
      <w:autoSpaceDE/>
      <w:autoSpaceDN/>
      <w:adjustRightInd/>
      <w:spacing w:after="200" w:line="240" w:lineRule="auto"/>
      <w:jc w:val="right"/>
    </w:pPr>
    <w:rPr>
      <w:rFonts w:asciiTheme="minorHAnsi" w:eastAsiaTheme="minorEastAsia" w:hAnsiTheme="minorHAnsi" w:cstheme="minorBidi"/>
      <w:smallCaps/>
      <w:sz w:val="48"/>
      <w:szCs w:val="48"/>
    </w:rPr>
  </w:style>
  <w:style w:type="character" w:customStyle="1" w:styleId="TitleChar">
    <w:name w:val="Title Char"/>
    <w:basedOn w:val="DefaultParagraphFont"/>
    <w:link w:val="Title"/>
    <w:uiPriority w:val="10"/>
    <w:rsid w:val="0091160B"/>
    <w:rPr>
      <w:rFonts w:eastAsiaTheme="minorEastAsia"/>
      <w:smallCaps/>
      <w:sz w:val="48"/>
      <w:szCs w:val="48"/>
      <w:lang w:val="en-US"/>
    </w:rPr>
  </w:style>
  <w:style w:type="paragraph" w:styleId="Subtitle">
    <w:name w:val="Subtitle"/>
    <w:basedOn w:val="Normal"/>
    <w:next w:val="Normal"/>
    <w:link w:val="SubtitleChar"/>
    <w:uiPriority w:val="11"/>
    <w:qFormat/>
    <w:rsid w:val="0091160B"/>
    <w:pPr>
      <w:autoSpaceDE/>
      <w:autoSpaceDN/>
      <w:adjustRightInd/>
      <w:spacing w:after="720" w:line="240" w:lineRule="auto"/>
      <w:jc w:val="right"/>
    </w:pPr>
    <w:rPr>
      <w:rFonts w:asciiTheme="majorHAnsi" w:eastAsiaTheme="majorEastAsia" w:hAnsiTheme="majorHAnsi" w:cstheme="majorBidi"/>
      <w:sz w:val="20"/>
      <w:szCs w:val="22"/>
    </w:rPr>
  </w:style>
  <w:style w:type="character" w:customStyle="1" w:styleId="SubtitleChar">
    <w:name w:val="Subtitle Char"/>
    <w:basedOn w:val="DefaultParagraphFont"/>
    <w:link w:val="Subtitle"/>
    <w:uiPriority w:val="11"/>
    <w:rsid w:val="0091160B"/>
    <w:rPr>
      <w:rFonts w:asciiTheme="majorHAnsi" w:eastAsiaTheme="majorEastAsia" w:hAnsiTheme="majorHAnsi" w:cstheme="majorBidi"/>
      <w:sz w:val="20"/>
      <w:szCs w:val="22"/>
      <w:lang w:val="en-US"/>
    </w:rPr>
  </w:style>
  <w:style w:type="paragraph" w:styleId="NoSpacing">
    <w:name w:val="No Spacing"/>
    <w:basedOn w:val="Normal"/>
    <w:link w:val="NoSpacingChar"/>
    <w:uiPriority w:val="1"/>
    <w:qFormat/>
    <w:rsid w:val="0091160B"/>
    <w:pPr>
      <w:autoSpaceDE/>
      <w:autoSpaceDN/>
      <w:adjustRightInd/>
      <w:spacing w:line="240" w:lineRule="auto"/>
    </w:pPr>
    <w:rPr>
      <w:rFonts w:asciiTheme="minorHAnsi" w:eastAsiaTheme="minorEastAsia" w:hAnsiTheme="minorHAnsi" w:cstheme="minorBidi"/>
      <w:sz w:val="20"/>
      <w:szCs w:val="20"/>
    </w:rPr>
  </w:style>
  <w:style w:type="character" w:customStyle="1" w:styleId="NoSpacingChar">
    <w:name w:val="No Spacing Char"/>
    <w:basedOn w:val="DefaultParagraphFont"/>
    <w:link w:val="NoSpacing"/>
    <w:uiPriority w:val="1"/>
    <w:rsid w:val="0091160B"/>
    <w:rPr>
      <w:rFonts w:eastAsiaTheme="minorEastAsia"/>
      <w:sz w:val="20"/>
      <w:szCs w:val="20"/>
      <w:lang w:val="en-US"/>
    </w:rPr>
  </w:style>
  <w:style w:type="paragraph" w:styleId="Quote">
    <w:name w:val="Quote"/>
    <w:basedOn w:val="Normal"/>
    <w:next w:val="Normal"/>
    <w:link w:val="QuoteChar"/>
    <w:uiPriority w:val="29"/>
    <w:qFormat/>
    <w:rsid w:val="0091160B"/>
    <w:pPr>
      <w:autoSpaceDE/>
      <w:autoSpaceDN/>
      <w:adjustRightInd/>
      <w:spacing w:after="200" w:line="276" w:lineRule="auto"/>
    </w:pPr>
    <w:rPr>
      <w:rFonts w:asciiTheme="minorHAnsi" w:eastAsiaTheme="minorEastAsia" w:hAnsiTheme="minorHAnsi" w:cstheme="minorBidi"/>
      <w:i/>
      <w:sz w:val="20"/>
      <w:szCs w:val="20"/>
    </w:rPr>
  </w:style>
  <w:style w:type="character" w:customStyle="1" w:styleId="QuoteChar">
    <w:name w:val="Quote Char"/>
    <w:basedOn w:val="DefaultParagraphFont"/>
    <w:link w:val="Quote"/>
    <w:uiPriority w:val="29"/>
    <w:rsid w:val="0091160B"/>
    <w:rPr>
      <w:rFonts w:eastAsiaTheme="minorEastAsia"/>
      <w:i/>
      <w:sz w:val="20"/>
      <w:szCs w:val="20"/>
      <w:lang w:val="en-US"/>
    </w:rPr>
  </w:style>
  <w:style w:type="paragraph" w:styleId="IntenseQuote">
    <w:name w:val="Intense Quote"/>
    <w:basedOn w:val="Normal"/>
    <w:next w:val="Normal"/>
    <w:link w:val="IntenseQuoteChar"/>
    <w:uiPriority w:val="30"/>
    <w:qFormat/>
    <w:rsid w:val="0091160B"/>
    <w:pPr>
      <w:pBdr>
        <w:top w:val="single" w:sz="8" w:space="10" w:color="C45911" w:themeColor="accent2" w:themeShade="BF"/>
        <w:left w:val="single" w:sz="8" w:space="10" w:color="C45911" w:themeColor="accent2" w:themeShade="BF"/>
        <w:bottom w:val="single" w:sz="8" w:space="10" w:color="C45911" w:themeColor="accent2" w:themeShade="BF"/>
        <w:right w:val="single" w:sz="8" w:space="10" w:color="C45911" w:themeColor="accent2" w:themeShade="BF"/>
      </w:pBdr>
      <w:shd w:val="clear" w:color="auto" w:fill="ED7D31" w:themeFill="accent2"/>
      <w:autoSpaceDE/>
      <w:autoSpaceDN/>
      <w:adjustRightInd/>
      <w:spacing w:before="140" w:after="140" w:line="276" w:lineRule="auto"/>
      <w:ind w:left="1440" w:right="1440"/>
    </w:pPr>
    <w:rPr>
      <w:rFonts w:asciiTheme="minorHAnsi" w:eastAsiaTheme="minorEastAsia" w:hAnsiTheme="minorHAnsi" w:cstheme="minorBidi"/>
      <w:b/>
      <w:i/>
      <w:color w:val="FFFFFF" w:themeColor="background1"/>
      <w:sz w:val="20"/>
      <w:szCs w:val="20"/>
    </w:rPr>
  </w:style>
  <w:style w:type="character" w:customStyle="1" w:styleId="IntenseQuoteChar">
    <w:name w:val="Intense Quote Char"/>
    <w:basedOn w:val="DefaultParagraphFont"/>
    <w:link w:val="IntenseQuote"/>
    <w:uiPriority w:val="30"/>
    <w:rsid w:val="0091160B"/>
    <w:rPr>
      <w:rFonts w:eastAsiaTheme="minorEastAsia"/>
      <w:b/>
      <w:i/>
      <w:color w:val="FFFFFF" w:themeColor="background1"/>
      <w:sz w:val="20"/>
      <w:szCs w:val="20"/>
      <w:shd w:val="clear" w:color="auto" w:fill="ED7D31" w:themeFill="accent2"/>
      <w:lang w:val="en-US"/>
    </w:rPr>
  </w:style>
  <w:style w:type="character" w:styleId="IntenseEmphasis">
    <w:name w:val="Intense Emphasis"/>
    <w:uiPriority w:val="21"/>
    <w:qFormat/>
    <w:rsid w:val="0091160B"/>
    <w:rPr>
      <w:b/>
      <w:i/>
      <w:color w:val="ED7D31" w:themeColor="accent2"/>
      <w:spacing w:val="10"/>
    </w:rPr>
  </w:style>
  <w:style w:type="character" w:styleId="SubtleReference">
    <w:name w:val="Subtle Reference"/>
    <w:uiPriority w:val="31"/>
    <w:qFormat/>
    <w:rsid w:val="0091160B"/>
    <w:rPr>
      <w:b/>
    </w:rPr>
  </w:style>
  <w:style w:type="character" w:styleId="IntenseReference">
    <w:name w:val="Intense Reference"/>
    <w:uiPriority w:val="32"/>
    <w:qFormat/>
    <w:rsid w:val="0091160B"/>
    <w:rPr>
      <w:b/>
      <w:bCs/>
      <w:smallCaps/>
      <w:spacing w:val="5"/>
      <w:sz w:val="22"/>
      <w:szCs w:val="22"/>
      <w:u w:val="single"/>
    </w:rPr>
  </w:style>
  <w:style w:type="character" w:styleId="BookTitle">
    <w:name w:val="Book Title"/>
    <w:uiPriority w:val="33"/>
    <w:qFormat/>
    <w:rsid w:val="0091160B"/>
    <w:rPr>
      <w:rFonts w:asciiTheme="majorHAnsi" w:eastAsiaTheme="majorEastAsia" w:hAnsiTheme="majorHAnsi" w:cstheme="majorBidi"/>
      <w:i/>
      <w:iCs/>
      <w:sz w:val="20"/>
      <w:szCs w:val="20"/>
    </w:rPr>
  </w:style>
  <w:style w:type="paragraph" w:styleId="TOCHeading">
    <w:name w:val="TOC Heading"/>
    <w:basedOn w:val="Heading1"/>
    <w:next w:val="Normal"/>
    <w:uiPriority w:val="39"/>
    <w:semiHidden/>
    <w:unhideWhenUsed/>
    <w:qFormat/>
    <w:rsid w:val="0091160B"/>
    <w:pPr>
      <w:autoSpaceDE/>
      <w:autoSpaceDN/>
      <w:adjustRightInd/>
      <w:spacing w:before="300" w:after="40" w:line="276" w:lineRule="auto"/>
      <w:jc w:val="left"/>
      <w:outlineLvl w:val="9"/>
    </w:pPr>
    <w:rPr>
      <w:rFonts w:asciiTheme="minorHAnsi" w:eastAsiaTheme="minorEastAsia" w:hAnsiTheme="minorHAnsi" w:cstheme="minorBidi"/>
      <w:b w:val="0"/>
      <w:smallCaps/>
      <w:spacing w:val="5"/>
      <w:sz w:val="32"/>
      <w:szCs w:val="32"/>
    </w:rPr>
  </w:style>
  <w:style w:type="paragraph" w:styleId="Bibliography">
    <w:name w:val="Bibliography"/>
    <w:basedOn w:val="Normal"/>
    <w:next w:val="Normal"/>
    <w:uiPriority w:val="37"/>
    <w:unhideWhenUsed/>
    <w:rsid w:val="0091160B"/>
    <w:pPr>
      <w:tabs>
        <w:tab w:val="left" w:pos="620"/>
      </w:tabs>
      <w:spacing w:after="24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AD4B3C12ADC664089BB4D0E12686824"/>
        <w:category>
          <w:name w:val="General"/>
          <w:gallery w:val="placeholder"/>
        </w:category>
        <w:types>
          <w:type w:val="bbPlcHdr"/>
        </w:types>
        <w:behaviors>
          <w:behavior w:val="content"/>
        </w:behaviors>
        <w:guid w:val="{C93117E5-47D6-5544-8920-E3242B7286CB}"/>
      </w:docPartPr>
      <w:docPartBody>
        <w:p w:rsidR="00000000" w:rsidRDefault="006D3CFA" w:rsidP="006D3CFA">
          <w:pPr>
            <w:pStyle w:val="5AD4B3C12ADC664089BB4D0E12686824"/>
          </w:pPr>
          <w:r w:rsidRPr="0007072D">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panose1 w:val="020B0604020202020204"/>
    <w:charset w:val="00"/>
    <w:family w:val="roman"/>
    <w:notTrueType/>
    <w:pitch w:val="variable"/>
    <w:sig w:usb0="60000287" w:usb1="00000001" w:usb2="00000000" w:usb3="00000000" w:csb0="0000019F" w:csb1="00000000"/>
  </w:font>
  <w:font w:name="Times">
    <w:panose1 w:val="00000500000000020000"/>
    <w:charset w:val="00"/>
    <w:family w:val="auto"/>
    <w:pitch w:val="variable"/>
    <w:sig w:usb0="E00002FF" w:usb1="5000205A" w:usb2="00000000" w:usb3="00000000" w:csb0="0000019F" w:csb1="00000000"/>
  </w:font>
  <w:font w:name="Times Roman">
    <w:altName w:val="Times New Roman"/>
    <w:panose1 w:val="00000500000000020000"/>
    <w:charset w:val="00"/>
    <w:family w:val="auto"/>
    <w:pitch w:val="variable"/>
    <w:sig w:usb0="E00002FF" w:usb1="5000205A" w:usb2="00000000" w:usb3="00000000" w:csb0="0000019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3CFA"/>
    <w:rsid w:val="00554953"/>
    <w:rsid w:val="006D3CFA"/>
  </w:rsids>
  <m:mathPr>
    <m:mathFont m:val="Cambria Math"/>
    <m:brkBin m:val="before"/>
    <m:brkBinSub m:val="--"/>
    <m:smallFrac m:val="0"/>
    <m:dispDef/>
    <m:lMargin m:val="0"/>
    <m:rMargin m:val="0"/>
    <m:defJc m:val="centerGroup"/>
    <m:wrapIndent m:val="1440"/>
    <m:intLim m:val="subSup"/>
    <m:naryLim m:val="undOvr"/>
  </m:mathPr>
  <w:themeFontLang w:val="en-S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SE"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D3CFA"/>
    <w:rPr>
      <w:color w:val="808080"/>
    </w:rPr>
  </w:style>
  <w:style w:type="paragraph" w:customStyle="1" w:styleId="5AD4B3C12ADC664089BB4D0E12686824">
    <w:name w:val="5AD4B3C12ADC664089BB4D0E12686824"/>
    <w:rsid w:val="006D3CF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4350</Words>
  <Characters>24797</Characters>
  <Application>Microsoft Office Word</Application>
  <DocSecurity>0</DocSecurity>
  <Lines>206</Lines>
  <Paragraphs>58</Paragraphs>
  <ScaleCrop>false</ScaleCrop>
  <Company/>
  <LinksUpToDate>false</LinksUpToDate>
  <CharactersWithSpaces>29089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Mathias Rask-Andersen</dc:creator>
  <cp:keywords/>
  <dc:description/>
  <cp:lastModifiedBy>Mathias Rask-Andersen</cp:lastModifiedBy>
  <cp:revision>1</cp:revision>
  <dcterms:created xsi:type="dcterms:W3CDTF">2021-10-12T10:43:00Z</dcterms:created>
  <dcterms:modified xsi:type="dcterms:W3CDTF">2021-10-12T10:43:00Z</dcterms:modified>
</cp:coreProperties>
</file>