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27FE" w:rsidRDefault="008F27FE" w:rsidP="008F27FE">
      <w:pPr>
        <w:spacing w:line="360" w:lineRule="auto"/>
        <w:rPr>
          <w:rFonts w:ascii="Arial" w:hAnsi="Arial"/>
          <w:b/>
          <w:lang w:val="en-US"/>
        </w:rPr>
      </w:pPr>
      <w:bookmarkStart w:id="0" w:name="_GoBack"/>
      <w:bookmarkEnd w:id="0"/>
      <w:r>
        <w:rPr>
          <w:rFonts w:ascii="Arial" w:hAnsi="Arial"/>
          <w:b/>
          <w:lang w:val="en-US"/>
        </w:rPr>
        <w:t>Additional file 1: Detailed methods</w:t>
      </w:r>
    </w:p>
    <w:p w:rsidR="008F27FE" w:rsidRDefault="008F27FE" w:rsidP="008F27FE">
      <w:pPr>
        <w:spacing w:line="360" w:lineRule="auto"/>
        <w:rPr>
          <w:rFonts w:ascii="Arial" w:hAnsi="Arial"/>
          <w:b/>
          <w:lang w:val="en-US"/>
        </w:rPr>
      </w:pPr>
    </w:p>
    <w:p w:rsidR="008F27FE" w:rsidRPr="00481C77" w:rsidRDefault="008F27FE" w:rsidP="008F27FE">
      <w:pPr>
        <w:spacing w:line="360" w:lineRule="auto"/>
        <w:rPr>
          <w:rFonts w:ascii="Arial" w:hAnsi="Arial"/>
          <w:b/>
          <w:lang w:val="en-US"/>
        </w:rPr>
      </w:pPr>
      <w:r>
        <w:rPr>
          <w:rFonts w:ascii="Arial" w:hAnsi="Arial"/>
          <w:b/>
          <w:lang w:val="en-US"/>
        </w:rPr>
        <w:t>RT-</w:t>
      </w:r>
      <w:r w:rsidRPr="00481C77">
        <w:rPr>
          <w:rFonts w:ascii="Arial" w:hAnsi="Arial"/>
          <w:b/>
          <w:lang w:val="en-US"/>
        </w:rPr>
        <w:t>PCR</w:t>
      </w:r>
      <w:r>
        <w:rPr>
          <w:rFonts w:ascii="Arial" w:hAnsi="Arial"/>
          <w:b/>
          <w:lang w:val="en-US"/>
        </w:rPr>
        <w:t xml:space="preserve"> diagnosis</w:t>
      </w:r>
    </w:p>
    <w:p w:rsidR="008F27FE" w:rsidRPr="001C5130" w:rsidRDefault="008F27FE" w:rsidP="008F27FE">
      <w:pPr>
        <w:spacing w:line="360" w:lineRule="auto"/>
        <w:rPr>
          <w:rFonts w:ascii="Arial" w:hAnsi="Arial"/>
          <w:lang w:val="en-US"/>
        </w:rPr>
      </w:pPr>
      <w:r w:rsidRPr="001C5130">
        <w:rPr>
          <w:rFonts w:ascii="Arial" w:hAnsi="Arial" w:cstheme="minorHAnsi"/>
        </w:rPr>
        <w:t>Saliva collected for SARS-CoV-2 RNA detection w</w:t>
      </w:r>
      <w:r>
        <w:rPr>
          <w:rFonts w:ascii="Arial" w:hAnsi="Arial" w:cstheme="minorHAnsi"/>
        </w:rPr>
        <w:t>as</w:t>
      </w:r>
      <w:r w:rsidRPr="001C5130">
        <w:rPr>
          <w:rFonts w:ascii="Arial" w:hAnsi="Arial" w:cstheme="minorHAnsi"/>
        </w:rPr>
        <w:t xml:space="preserve"> introduced into </w:t>
      </w:r>
      <w:proofErr w:type="spellStart"/>
      <w:r w:rsidRPr="001C5130">
        <w:rPr>
          <w:rFonts w:ascii="Arial" w:hAnsi="Arial" w:cstheme="minorHAnsi"/>
        </w:rPr>
        <w:t>micronic</w:t>
      </w:r>
      <w:proofErr w:type="spellEnd"/>
      <w:r w:rsidRPr="001C5130">
        <w:rPr>
          <w:rFonts w:ascii="Arial" w:hAnsi="Arial" w:cstheme="minorHAnsi"/>
        </w:rPr>
        <w:t xml:space="preserve"> tubes for pathogen inactivation (</w:t>
      </w:r>
      <w:proofErr w:type="spellStart"/>
      <w:r w:rsidRPr="001C5130">
        <w:rPr>
          <w:rFonts w:ascii="Arial" w:hAnsi="Arial" w:cstheme="minorHAnsi"/>
        </w:rPr>
        <w:t>Zymo</w:t>
      </w:r>
      <w:proofErr w:type="spellEnd"/>
      <w:r w:rsidRPr="001C5130">
        <w:rPr>
          <w:rFonts w:ascii="Arial" w:hAnsi="Arial" w:cstheme="minorHAnsi"/>
        </w:rPr>
        <w:t xml:space="preserve"> DNA/RNA Shield </w:t>
      </w:r>
      <w:proofErr w:type="spellStart"/>
      <w:r w:rsidRPr="001C5130">
        <w:rPr>
          <w:rFonts w:ascii="Arial" w:hAnsi="Arial" w:cstheme="minorHAnsi"/>
        </w:rPr>
        <w:t>Lysis</w:t>
      </w:r>
      <w:proofErr w:type="spellEnd"/>
      <w:r w:rsidRPr="001C5130">
        <w:rPr>
          <w:rFonts w:ascii="Arial" w:hAnsi="Arial" w:cstheme="minorHAnsi"/>
        </w:rPr>
        <w:t xml:space="preserve"> Buffer™; </w:t>
      </w:r>
      <w:proofErr w:type="spellStart"/>
      <w:r w:rsidRPr="001C5130">
        <w:rPr>
          <w:rFonts w:ascii="Arial" w:hAnsi="Arial" w:cstheme="minorHAnsi"/>
        </w:rPr>
        <w:t>Zymo</w:t>
      </w:r>
      <w:proofErr w:type="spellEnd"/>
      <w:r w:rsidRPr="001C5130">
        <w:rPr>
          <w:rFonts w:ascii="Arial" w:hAnsi="Arial" w:cstheme="minorHAnsi"/>
        </w:rPr>
        <w:t xml:space="preserve"> Research, Freiburg, Germany). Tubes were processed using a </w:t>
      </w:r>
      <w:proofErr w:type="spellStart"/>
      <w:r w:rsidRPr="001C5130">
        <w:rPr>
          <w:rFonts w:ascii="Arial" w:hAnsi="Arial" w:cstheme="minorHAnsi"/>
        </w:rPr>
        <w:t>TecanEvo</w:t>
      </w:r>
      <w:proofErr w:type="spellEnd"/>
      <w:r w:rsidRPr="001C5130">
        <w:rPr>
          <w:rFonts w:ascii="Arial" w:hAnsi="Arial" w:cstheme="minorHAnsi"/>
        </w:rPr>
        <w:t xml:space="preserve"> 200 automated liquid handling system. RNA was extracted using the Quick-DNA/RNA Viral </w:t>
      </w:r>
      <w:proofErr w:type="spellStart"/>
      <w:r w:rsidRPr="001C5130">
        <w:rPr>
          <w:rFonts w:ascii="Arial" w:hAnsi="Arial" w:cstheme="minorHAnsi"/>
        </w:rPr>
        <w:t>MagBead</w:t>
      </w:r>
      <w:proofErr w:type="spellEnd"/>
      <w:r w:rsidRPr="001C5130">
        <w:rPr>
          <w:rFonts w:ascii="Arial" w:hAnsi="Arial" w:cstheme="minorHAnsi"/>
        </w:rPr>
        <w:t xml:space="preserve"> kit (</w:t>
      </w:r>
      <w:proofErr w:type="spellStart"/>
      <w:r w:rsidRPr="001C5130">
        <w:rPr>
          <w:rFonts w:ascii="Arial" w:hAnsi="Arial" w:cstheme="minorHAnsi"/>
        </w:rPr>
        <w:t>Zymo</w:t>
      </w:r>
      <w:proofErr w:type="spellEnd"/>
      <w:r w:rsidRPr="001C5130">
        <w:rPr>
          <w:rFonts w:ascii="Arial" w:hAnsi="Arial" w:cstheme="minorHAnsi"/>
        </w:rPr>
        <w:t xml:space="preserve"> Research) </w:t>
      </w:r>
      <w:r>
        <w:rPr>
          <w:rFonts w:ascii="Arial" w:hAnsi="Arial" w:cstheme="minorHAnsi"/>
        </w:rPr>
        <w:t>that</w:t>
      </w:r>
      <w:r w:rsidRPr="001C5130">
        <w:rPr>
          <w:rFonts w:ascii="Arial" w:hAnsi="Arial" w:cstheme="minorHAnsi"/>
        </w:rPr>
        <w:t xml:space="preserve"> was fully automated on a </w:t>
      </w:r>
      <w:proofErr w:type="spellStart"/>
      <w:r w:rsidRPr="001C5130">
        <w:rPr>
          <w:rFonts w:ascii="Arial" w:hAnsi="Arial" w:cstheme="minorHAnsi"/>
        </w:rPr>
        <w:t>TecanDreamPrep</w:t>
      </w:r>
      <w:proofErr w:type="spellEnd"/>
      <w:r w:rsidRPr="001C5130">
        <w:rPr>
          <w:rFonts w:ascii="Arial" w:hAnsi="Arial" w:cstheme="minorHAnsi"/>
        </w:rPr>
        <w:t xml:space="preserve"> NAP Workstation (</w:t>
      </w:r>
      <w:proofErr w:type="spellStart"/>
      <w:r w:rsidRPr="001C5130">
        <w:rPr>
          <w:rFonts w:ascii="Arial" w:hAnsi="Arial" w:cstheme="minorHAnsi"/>
        </w:rPr>
        <w:t>Tecan</w:t>
      </w:r>
      <w:proofErr w:type="spellEnd"/>
      <w:r w:rsidRPr="001C5130">
        <w:rPr>
          <w:rFonts w:ascii="Arial" w:hAnsi="Arial" w:cstheme="minorHAnsi"/>
        </w:rPr>
        <w:t xml:space="preserve"> Trading AG, Switzerland). The RT-PCR assays were conducted according to CDC-006-00019 CDC/DDID/NCIRD/ Division of Viral Diseases protocol released on 3/30/2020 and available at https://www.fda.gov/media/134922/download, which included the CDC-approved primers and probes for SARS-CoV-2 N1 or N2 genes and </w:t>
      </w:r>
      <w:proofErr w:type="spellStart"/>
      <w:r w:rsidRPr="001C5130">
        <w:rPr>
          <w:rFonts w:ascii="Arial" w:hAnsi="Arial" w:cstheme="minorHAnsi"/>
        </w:rPr>
        <w:t>RNaseP</w:t>
      </w:r>
      <w:proofErr w:type="spellEnd"/>
      <w:r w:rsidRPr="001C5130">
        <w:rPr>
          <w:rFonts w:ascii="Arial" w:hAnsi="Arial" w:cstheme="minorHAnsi"/>
        </w:rPr>
        <w:t xml:space="preserve"> human gene as internal control</w:t>
      </w:r>
      <w:r>
        <w:rPr>
          <w:rFonts w:ascii="Arial" w:hAnsi="Arial" w:cstheme="minorHAnsi"/>
        </w:rPr>
        <w:t xml:space="preserve"> </w:t>
      </w:r>
      <w:r>
        <w:rPr>
          <w:rFonts w:ascii="Arial" w:hAnsi="Arial" w:cstheme="minorHAnsi"/>
        </w:rPr>
        <w:fldChar w:fldCharType="begin" w:fldLock="1"/>
      </w:r>
      <w:r>
        <w:rPr>
          <w:rFonts w:ascii="Arial" w:hAnsi="Arial" w:cstheme="minorHAnsi"/>
        </w:rPr>
        <w:instrText>ADDIN CSL_CITATION {"citationItems":[{"id":"ITEM-1","itemData":{"DOI":"10.1128/JCM.01438-20","ISSN":"1098-660X (Electronic)","PMID":"32636214","abstract":"The clinical performances of six molecular diagnostic tests and a rapid antigen test for severe acute respiratory syndrome coronavirus 2 (SARS-CoV-2) were clinically evaluated for the diagnosis of coronavirus disease 2019 (COVID-19) in self-collected saliva. Saliva samples from 103 patients with laboratory-confirmed COVID-19 (15 asymptomatic and 88 symptomatic) were collected on the day of hospital admission. SARS-CoV-2 RNA in saliva was detected using a quantitative reverse transcription-PCR (RT-qPCR) laboratory-developed test (LDT), a cobas SARS-CoV-2 high-throughput system, three direct RT-qPCR kits, and reverse transcription-loop-mediated isothermal amplification (RT-LAMP). The viral antigen was detected by a rapid antigen immunochromatographic assay. Of the 103 samples, viral RNA was detected in 50.5 to 81.6% of the specimens by molecular diagnostic tests, and an antigen was detected in 11.7% of the specimens by the rapid antigen test. Viral RNA was detected at significantly higher percentages (65.6 to 93.4%) in specimens collected within 9 days of symptom onset than in specimens collected after at least 10 days of symptoms (22.2 to 66.7%) and in specimens collected from asymptomatic patients (40.0 to 66.7%). Self-collected saliva is an alternative specimen option for diagnosing COVID-19. The RT-qPCR LDT, a cobas SARS-CoV-2 high-throughput system, direct RT-qPCR kits (except for one commercial kit), and RT-LAMP showed sufficient sensitivities in clinical use to be selectively used in clinical settings and facilities. The rapid antigen test alone is not recommended for an initial COVID-19 diagnosis because of its low sensitivity.","author":[{"dropping-particle":"","family":"Nagura-Ikeda","given":"Mayu","non-dropping-particle":"","parse-names":false,"suffix":""},{"dropping-particle":"","family":"Imai","given":"Kazuo","non-dropping-particle":"","parse-names":false,"suffix":""},{"dropping-particle":"","family":"Tabata","given":"Sakiko","non-dropping-particle":"","parse-names":false,"suffix":""},{"dropping-particle":"","family":"Miyoshi","given":"Kazuyasu","non-dropping-particle":"","parse-names":false,"suffix":""},{"dropping-particle":"","family":"Murahara","given":"Nami","non-dropping-particle":"","parse-names":false,"suffix":""},{"dropping-particle":"","family":"Mizuno","given":"Tsukasa","non-dropping-particle":"","parse-names":false,"suffix":""},{"dropping-particle":"","family":"Horiuchi","given":"Midori","non-dropping-particle":"","parse-names":false,"suffix":""},{"dropping-particle":"","family":"Kato","given":"Kento","non-dropping-particle":"","parse-names":false,"suffix":""},{"dropping-particle":"","family":"Imoto","given":"Yoshitaka","non-dropping-particle":"","parse-names":false,"suffix":""},{"dropping-particle":"","family":"Iwata","given":"Maki","non-dropping-particle":"","parse-names":false,"suffix":""},{"dropping-particle":"","family":"Mimura","given":"Satoshi","non-dropping-particle":"","parse-names":false,"suffix":""},{"dropping-particle":"","family":"Ito","given":"Toshimitsu","non-dropping-particle":"","parse-names":false,"suffix":""},{"dropping-particle":"","family":"Tamura","given":"Kaku","non-dropping-particle":"","parse-names":false,"suffix":""},{"dropping-particle":"","family":"Kato","given":"Yasuyuki","non-dropping-particle":"","parse-names":false,"suffix":""}],"container-title":"Journal of clinical microbiology","id":"ITEM-1","issue":"9","issued":{"date-parts":[["2020","8"]]},"language":"eng","page":"e01438-20","title":"Clinical Evaluation of Self-Collected Saliva by Quantitative Reverse Transcription-PCR (RT-qPCR), Direct RT-qPCR, Reverse Transcription-Loop-Mediated Isothermal Amplification, and a Rapid Antigen Test To Diagnose COVID-19.","type":"article-journal","volume":"58"},"uris":["http://www.mendeley.com/documents/?uuid=d50fcfe3-029f-4b35-ae09-1f26dfec077e"]},{"id":"ITEM-2","itemData":{"DOI":"10.1007/s00784-020-03248-x","ISSN":"1436-3771 (Electronic)","PMID":"32078048","author":[{"dropping-particle":"","family":"Sabino-Silva","given":"Robinson","non-dropping-particle":"","parse-names":false,"suffix":""},{"dropping-particle":"","family":"Jardim","given":"Ana Carolina Gomes","non-dropping-particle":"","parse-names":false,"suffix":""},{"dropping-particle":"","family":"Siqueira","given":"Walter L","non-dropping-particle":"","parse-names":false,"suffix":""}],"container-title":"Clinical oral investigations","id":"ITEM-2","issue":"4","issued":{"date-parts":[["2020","4"]]},"language":"eng","page":"1619-1621","title":"Coronavirus COVID-19 impacts to dentistry and potential salivary diagnosis.","type":"article","volume":"24"},"uris":["http://www.mendeley.com/documents/?uuid=d336b232-11e1-4726-871c-9fc3a6a17672"]}],"mendeley":{"formattedCitation":"(39,40)","plainTextFormattedCitation":"(39,40)","previouslyFormattedCitation":"(39,40)"},"properties":{"noteIndex":0},"schema":"https://github.com/citation-style-language/schema/raw/master/csl-citation.json"}</w:instrText>
      </w:r>
      <w:r>
        <w:rPr>
          <w:rFonts w:ascii="Arial" w:hAnsi="Arial" w:cstheme="minorHAnsi"/>
        </w:rPr>
        <w:fldChar w:fldCharType="separate"/>
      </w:r>
      <w:r w:rsidRPr="0096306D">
        <w:rPr>
          <w:rFonts w:ascii="Arial" w:hAnsi="Arial" w:cstheme="minorHAnsi"/>
          <w:noProof/>
        </w:rPr>
        <w:t>(</w:t>
      </w:r>
      <w:r w:rsidRPr="00D51232">
        <w:rPr>
          <w:rFonts w:ascii="Arial" w:hAnsi="Arial" w:cstheme="minorHAnsi"/>
          <w:noProof/>
          <w:color w:val="FF0000"/>
        </w:rPr>
        <w:t>1,2</w:t>
      </w:r>
      <w:r w:rsidRPr="0096306D">
        <w:rPr>
          <w:rFonts w:ascii="Arial" w:hAnsi="Arial" w:cstheme="minorHAnsi"/>
          <w:noProof/>
        </w:rPr>
        <w:t>)</w:t>
      </w:r>
      <w:r>
        <w:rPr>
          <w:rFonts w:ascii="Arial" w:hAnsi="Arial" w:cstheme="minorHAnsi"/>
        </w:rPr>
        <w:fldChar w:fldCharType="end"/>
      </w:r>
      <w:r w:rsidRPr="0003029D">
        <w:rPr>
          <w:rFonts w:ascii="Arial" w:hAnsi="Arial" w:cstheme="minorHAnsi"/>
        </w:rPr>
        <w:t>.</w:t>
      </w:r>
      <w:r w:rsidRPr="001C5130">
        <w:rPr>
          <w:rFonts w:ascii="Arial" w:hAnsi="Arial" w:cstheme="minorHAnsi"/>
        </w:rPr>
        <w:t xml:space="preserve"> Primers and </w:t>
      </w:r>
      <w:r>
        <w:rPr>
          <w:rFonts w:ascii="Arial" w:hAnsi="Arial" w:cstheme="minorHAnsi"/>
        </w:rPr>
        <w:t>p</w:t>
      </w:r>
      <w:r w:rsidRPr="001C5130">
        <w:rPr>
          <w:rFonts w:ascii="Arial" w:hAnsi="Arial" w:cstheme="minorHAnsi"/>
        </w:rPr>
        <w:t>robes were purchased from IDT integrated technologies (qPCR probes - 2019-nCoV CDC EUA Kit).</w:t>
      </w:r>
      <w:r>
        <w:rPr>
          <w:rFonts w:ascii="Arial" w:hAnsi="Arial" w:cstheme="minorHAnsi"/>
        </w:rPr>
        <w:t xml:space="preserve"> RT-</w:t>
      </w:r>
      <w:r w:rsidRPr="001C5130">
        <w:rPr>
          <w:rFonts w:ascii="Arial" w:hAnsi="Arial" w:cstheme="minorHAnsi"/>
        </w:rPr>
        <w:t xml:space="preserve">PCR </w:t>
      </w:r>
      <w:r>
        <w:rPr>
          <w:rFonts w:ascii="Arial" w:hAnsi="Arial" w:cstheme="minorHAnsi"/>
        </w:rPr>
        <w:t>assays were performed at</w:t>
      </w:r>
      <w:r w:rsidRPr="001C5130">
        <w:rPr>
          <w:rFonts w:ascii="Arial" w:hAnsi="Arial" w:cstheme="minorHAnsi"/>
        </w:rPr>
        <w:t xml:space="preserve"> the </w:t>
      </w:r>
      <w:r w:rsidRPr="00FF6B51">
        <w:rPr>
          <w:rFonts w:ascii="Arial" w:hAnsi="Arial"/>
          <w:lang w:val="en-US"/>
        </w:rPr>
        <w:t>Centre for Genomic Regulation (CRG)</w:t>
      </w:r>
      <w:r>
        <w:rPr>
          <w:rFonts w:ascii="Arial" w:hAnsi="Arial"/>
          <w:lang w:val="en-US"/>
        </w:rPr>
        <w:t xml:space="preserve"> </w:t>
      </w:r>
      <w:r w:rsidRPr="001C5130">
        <w:rPr>
          <w:rFonts w:ascii="Arial" w:hAnsi="Arial" w:cstheme="minorHAnsi"/>
        </w:rPr>
        <w:t>in Barcelona, Spain</w:t>
      </w:r>
      <w:r>
        <w:rPr>
          <w:rFonts w:ascii="Arial" w:hAnsi="Arial" w:cstheme="minorHAnsi"/>
        </w:rPr>
        <w:t>,</w:t>
      </w:r>
      <w:r w:rsidRPr="001C5130">
        <w:rPr>
          <w:rFonts w:ascii="Arial" w:hAnsi="Arial" w:cstheme="minorHAnsi"/>
        </w:rPr>
        <w:t xml:space="preserve"> and results were validated by a Clinical Microbiologist of Hospital </w:t>
      </w:r>
      <w:proofErr w:type="spellStart"/>
      <w:r w:rsidRPr="001C5130">
        <w:rPr>
          <w:rFonts w:ascii="Arial" w:hAnsi="Arial" w:cstheme="minorHAnsi"/>
        </w:rPr>
        <w:t>Sant</w:t>
      </w:r>
      <w:proofErr w:type="spellEnd"/>
      <w:r w:rsidRPr="001C5130">
        <w:rPr>
          <w:rFonts w:ascii="Arial" w:hAnsi="Arial" w:cstheme="minorHAnsi"/>
        </w:rPr>
        <w:t xml:space="preserve"> Joan de </w:t>
      </w:r>
      <w:proofErr w:type="spellStart"/>
      <w:r w:rsidRPr="001C5130">
        <w:rPr>
          <w:rFonts w:ascii="Arial" w:hAnsi="Arial" w:cstheme="minorHAnsi"/>
        </w:rPr>
        <w:t>Déu</w:t>
      </w:r>
      <w:proofErr w:type="spellEnd"/>
      <w:r w:rsidRPr="001C5130">
        <w:rPr>
          <w:rFonts w:ascii="Arial" w:hAnsi="Arial" w:cstheme="minorHAnsi"/>
        </w:rPr>
        <w:t>.</w:t>
      </w:r>
    </w:p>
    <w:p w:rsidR="008F27FE" w:rsidRPr="002A57A3" w:rsidRDefault="008F27FE" w:rsidP="008F27FE">
      <w:pPr>
        <w:spacing w:before="120" w:line="360" w:lineRule="auto"/>
        <w:rPr>
          <w:rFonts w:ascii="Arial" w:hAnsi="Arial"/>
          <w:b/>
          <w:lang w:val="en-US"/>
        </w:rPr>
      </w:pPr>
      <w:r w:rsidRPr="002A57A3">
        <w:rPr>
          <w:rFonts w:ascii="Arial" w:hAnsi="Arial"/>
          <w:b/>
          <w:lang w:val="en-US"/>
        </w:rPr>
        <w:t>Measurement of antibodies</w:t>
      </w:r>
      <w:r>
        <w:rPr>
          <w:rFonts w:ascii="Arial" w:hAnsi="Arial"/>
          <w:b/>
          <w:lang w:val="en-US"/>
        </w:rPr>
        <w:t xml:space="preserve"> and data analysis</w:t>
      </w:r>
    </w:p>
    <w:p w:rsidR="008F27FE" w:rsidRPr="0096306D" w:rsidRDefault="008F27FE" w:rsidP="008F27FE">
      <w:pPr>
        <w:spacing w:line="360" w:lineRule="auto"/>
        <w:rPr>
          <w:rFonts w:ascii="Arial" w:hAnsi="Arial" w:cs="Arial"/>
          <w:lang w:val="es-ES"/>
        </w:rPr>
      </w:pPr>
      <w:r>
        <w:rPr>
          <w:rFonts w:ascii="Arial" w:hAnsi="Arial" w:cs="Arial"/>
          <w:lang w:val="en-US"/>
        </w:rPr>
        <w:t>SARS-CoV-2 t</w:t>
      </w:r>
      <w:r>
        <w:rPr>
          <w:rFonts w:ascii="Arial" w:hAnsi="Arial"/>
          <w:lang w:val="en-US"/>
        </w:rPr>
        <w:t xml:space="preserve">arget antigens </w:t>
      </w:r>
      <w:r>
        <w:rPr>
          <w:rFonts w:ascii="Arial" w:hAnsi="Arial" w:cs="Arial"/>
          <w:lang w:val="en-US"/>
        </w:rPr>
        <w:t xml:space="preserve">assays to measure IgG, IgA and </w:t>
      </w:r>
      <w:proofErr w:type="spellStart"/>
      <w:r>
        <w:rPr>
          <w:rFonts w:ascii="Arial" w:hAnsi="Arial" w:cs="Arial"/>
          <w:lang w:val="en-US"/>
        </w:rPr>
        <w:t>IgM</w:t>
      </w:r>
      <w:proofErr w:type="spellEnd"/>
      <w:r>
        <w:rPr>
          <w:rFonts w:ascii="Arial" w:hAnsi="Arial"/>
          <w:lang w:val="en-US"/>
        </w:rPr>
        <w:t xml:space="preserve"> included the </w:t>
      </w:r>
      <w:proofErr w:type="spellStart"/>
      <w:r>
        <w:rPr>
          <w:rFonts w:ascii="Arial" w:hAnsi="Arial"/>
          <w:lang w:val="en-US"/>
        </w:rPr>
        <w:t>nucleocapsid</w:t>
      </w:r>
      <w:proofErr w:type="spellEnd"/>
      <w:r>
        <w:rPr>
          <w:rFonts w:ascii="Arial" w:hAnsi="Arial"/>
          <w:lang w:val="en-US"/>
        </w:rPr>
        <w:t xml:space="preserve"> (N) full-length (FL) and C-terminus (amino acid residues </w:t>
      </w:r>
      <w:r w:rsidRPr="00DD1C92">
        <w:rPr>
          <w:rFonts w:ascii="Arial" w:eastAsia="Arial" w:hAnsi="Arial" w:cs="Arial"/>
          <w:lang w:val="en-US"/>
        </w:rPr>
        <w:t>34</w:t>
      </w:r>
      <w:r>
        <w:rPr>
          <w:rFonts w:ascii="Arial" w:eastAsia="Arial" w:hAnsi="Arial" w:cs="Arial"/>
          <w:lang w:val="en-US"/>
        </w:rPr>
        <w:t>0</w:t>
      </w:r>
      <w:r w:rsidRPr="00DD1C92">
        <w:rPr>
          <w:rFonts w:ascii="Arial" w:eastAsia="Arial" w:hAnsi="Arial" w:cs="Arial"/>
          <w:lang w:val="en-US"/>
        </w:rPr>
        <w:t>-416</w:t>
      </w:r>
      <w:r>
        <w:rPr>
          <w:rFonts w:ascii="Arial" w:hAnsi="Arial"/>
          <w:lang w:val="en-US"/>
        </w:rPr>
        <w:t xml:space="preserve">, CT), the spike (S) FL produced at CRG, S2 purchased from </w:t>
      </w:r>
      <w:proofErr w:type="spellStart"/>
      <w:r>
        <w:rPr>
          <w:rFonts w:ascii="Arial" w:hAnsi="Arial"/>
          <w:lang w:val="en-US"/>
        </w:rPr>
        <w:t>SinoBiological</w:t>
      </w:r>
      <w:proofErr w:type="spellEnd"/>
      <w:r>
        <w:rPr>
          <w:rFonts w:ascii="Arial" w:hAnsi="Arial"/>
          <w:lang w:val="en-US"/>
        </w:rPr>
        <w:t xml:space="preserve">, and RBD donated by F. </w:t>
      </w:r>
      <w:proofErr w:type="spellStart"/>
      <w:r>
        <w:rPr>
          <w:rFonts w:ascii="Arial" w:hAnsi="Arial"/>
          <w:lang w:val="en-US"/>
        </w:rPr>
        <w:t>Krammer</w:t>
      </w:r>
      <w:proofErr w:type="spellEnd"/>
      <w:r>
        <w:rPr>
          <w:rFonts w:ascii="Arial" w:hAnsi="Arial"/>
          <w:lang w:val="en-US"/>
        </w:rPr>
        <w:t xml:space="preserve"> (Mount Sinai, NY). For the q</w:t>
      </w:r>
      <w:proofErr w:type="spellStart"/>
      <w:r w:rsidRPr="00B26BF9">
        <w:rPr>
          <w:rStyle w:val="halyaf"/>
          <w:rFonts w:ascii="Arial" w:hAnsi="Arial"/>
        </w:rPr>
        <w:t>uantitative</w:t>
      </w:r>
      <w:proofErr w:type="spellEnd"/>
      <w:r w:rsidRPr="00B26BF9">
        <w:rPr>
          <w:rStyle w:val="halyaf"/>
          <w:rFonts w:ascii="Arial" w:hAnsi="Arial"/>
        </w:rPr>
        <w:t xml:space="preserve"> suspension array </w:t>
      </w:r>
      <w:r>
        <w:rPr>
          <w:rStyle w:val="halyaf"/>
          <w:rFonts w:ascii="Arial" w:hAnsi="Arial"/>
        </w:rPr>
        <w:t>technology</w:t>
      </w:r>
      <w:r w:rsidRPr="00B26BF9">
        <w:rPr>
          <w:rStyle w:val="halyaf"/>
          <w:rFonts w:ascii="Arial" w:hAnsi="Arial"/>
        </w:rPr>
        <w:t xml:space="preserve"> </w:t>
      </w:r>
      <w:r>
        <w:rPr>
          <w:rStyle w:val="halyaf"/>
          <w:rFonts w:ascii="Arial" w:hAnsi="Arial"/>
        </w:rPr>
        <w:t>(</w:t>
      </w:r>
      <w:proofErr w:type="spellStart"/>
      <w:r>
        <w:rPr>
          <w:rFonts w:ascii="Arial" w:hAnsi="Arial" w:cs="Arial"/>
          <w:lang w:val="en-US"/>
        </w:rPr>
        <w:t>qSAT</w:t>
      </w:r>
      <w:proofErr w:type="spellEnd"/>
      <w:r>
        <w:rPr>
          <w:rFonts w:ascii="Arial" w:hAnsi="Arial" w:cs="Arial"/>
          <w:lang w:val="en-US"/>
        </w:rPr>
        <w:t xml:space="preserve">) assay, </w:t>
      </w:r>
      <w:r>
        <w:rPr>
          <w:rFonts w:ascii="Arial" w:hAnsi="Arial"/>
        </w:rPr>
        <w:t>protein</w:t>
      </w:r>
      <w:r w:rsidRPr="006C4C00">
        <w:rPr>
          <w:rFonts w:ascii="Arial" w:hAnsi="Arial"/>
        </w:rPr>
        <w:t xml:space="preserve">-coupled </w:t>
      </w:r>
      <w:r w:rsidRPr="00904FA0">
        <w:rPr>
          <w:rFonts w:ascii="Arial" w:hAnsi="Arial" w:cs="Arial"/>
          <w:lang w:val="en-US"/>
        </w:rPr>
        <w:t xml:space="preserve">magnetic </w:t>
      </w:r>
      <w:r w:rsidRPr="006C4C00">
        <w:rPr>
          <w:rFonts w:ascii="Arial" w:hAnsi="Arial"/>
        </w:rPr>
        <w:t xml:space="preserve">microspheres </w:t>
      </w:r>
      <w:r>
        <w:rPr>
          <w:rFonts w:ascii="Arial" w:hAnsi="Arial" w:cs="Arial"/>
          <w:lang w:val="en-US"/>
        </w:rPr>
        <w:t>(</w:t>
      </w:r>
      <w:proofErr w:type="spellStart"/>
      <w:r w:rsidRPr="00904FA0">
        <w:rPr>
          <w:rFonts w:ascii="Arial" w:hAnsi="Arial" w:cs="Arial"/>
          <w:lang w:val="en-US"/>
        </w:rPr>
        <w:t>L</w:t>
      </w:r>
      <w:r>
        <w:rPr>
          <w:rFonts w:ascii="Arial" w:hAnsi="Arial" w:cs="Arial"/>
          <w:lang w:val="en-US"/>
        </w:rPr>
        <w:t>uminex</w:t>
      </w:r>
      <w:proofErr w:type="spellEnd"/>
      <w:r w:rsidRPr="00C6171B">
        <w:rPr>
          <w:rFonts w:ascii="Arial" w:hAnsi="Arial" w:cs="Arial"/>
          <w:lang w:val="en-US"/>
        </w:rPr>
        <w:t xml:space="preserve"> </w:t>
      </w:r>
      <w:r>
        <w:rPr>
          <w:rFonts w:ascii="Arial" w:hAnsi="Arial" w:cs="Arial"/>
          <w:lang w:val="en-US"/>
        </w:rPr>
        <w:t>Corporation, Austin, TX)</w:t>
      </w:r>
      <w:r w:rsidRPr="00904FA0">
        <w:rPr>
          <w:rFonts w:ascii="Arial" w:hAnsi="Arial" w:cs="Arial"/>
          <w:lang w:val="en-US"/>
        </w:rPr>
        <w:t xml:space="preserve"> </w:t>
      </w:r>
      <w:r w:rsidRPr="006C4C00">
        <w:rPr>
          <w:rFonts w:ascii="Arial" w:hAnsi="Arial"/>
        </w:rPr>
        <w:t xml:space="preserve">were added to a 384-well </w:t>
      </w:r>
      <w:proofErr w:type="spellStart"/>
      <w:r w:rsidRPr="006C4C00">
        <w:rPr>
          <w:rFonts w:ascii="Arial" w:hAnsi="Arial"/>
        </w:rPr>
        <w:t>μClear</w:t>
      </w:r>
      <w:proofErr w:type="spellEnd"/>
      <w:r w:rsidRPr="006C4C00">
        <w:rPr>
          <w:rFonts w:ascii="Arial" w:hAnsi="Arial"/>
          <w:vertAlign w:val="superscript"/>
        </w:rPr>
        <w:t>®</w:t>
      </w:r>
      <w:r w:rsidRPr="006C4C00">
        <w:rPr>
          <w:rFonts w:ascii="Arial" w:hAnsi="Arial"/>
        </w:rPr>
        <w:t xml:space="preserve"> flat bottom plate (Greiner Bio-One, </w:t>
      </w:r>
      <w:proofErr w:type="spellStart"/>
      <w:r w:rsidRPr="006C4C00">
        <w:rPr>
          <w:rFonts w:ascii="Arial" w:hAnsi="Arial"/>
        </w:rPr>
        <w:t>Frickenhausen</w:t>
      </w:r>
      <w:proofErr w:type="spellEnd"/>
      <w:r w:rsidRPr="006C4C00">
        <w:rPr>
          <w:rFonts w:ascii="Arial" w:hAnsi="Arial"/>
        </w:rPr>
        <w:t xml:space="preserve">, Germany) in multiplex (2000 microspheres per </w:t>
      </w:r>
      <w:proofErr w:type="spellStart"/>
      <w:r w:rsidRPr="006C4C00">
        <w:rPr>
          <w:rFonts w:ascii="Arial" w:hAnsi="Arial"/>
        </w:rPr>
        <w:t>analyte</w:t>
      </w:r>
      <w:proofErr w:type="spellEnd"/>
      <w:r w:rsidRPr="006C4C00">
        <w:rPr>
          <w:rFonts w:ascii="Arial" w:hAnsi="Arial"/>
        </w:rPr>
        <w:t xml:space="preserve"> per well) in a volume of 90 </w:t>
      </w:r>
      <w:proofErr w:type="spellStart"/>
      <w:r w:rsidRPr="006C4C00">
        <w:rPr>
          <w:rFonts w:ascii="Arial" w:hAnsi="Arial"/>
        </w:rPr>
        <w:t>μL</w:t>
      </w:r>
      <w:proofErr w:type="spellEnd"/>
      <w:r w:rsidRPr="006C4C00">
        <w:rPr>
          <w:rFonts w:ascii="Arial" w:hAnsi="Arial"/>
        </w:rPr>
        <w:t xml:space="preserve"> of </w:t>
      </w:r>
      <w:proofErr w:type="spellStart"/>
      <w:r w:rsidRPr="006C4C00">
        <w:rPr>
          <w:rFonts w:ascii="Arial" w:hAnsi="Arial"/>
        </w:rPr>
        <w:t>Luminex</w:t>
      </w:r>
      <w:proofErr w:type="spellEnd"/>
      <w:r w:rsidRPr="006C4C00">
        <w:rPr>
          <w:rFonts w:ascii="Arial" w:hAnsi="Arial"/>
        </w:rPr>
        <w:t xml:space="preserve"> Buffer (1% BSA, </w:t>
      </w:r>
      <w:r w:rsidRPr="005F071C">
        <w:rPr>
          <w:rFonts w:ascii="Arial" w:hAnsi="Arial"/>
        </w:rPr>
        <w:t>0.05% Tween 20,</w:t>
      </w:r>
      <w:r w:rsidRPr="006C4C00">
        <w:rPr>
          <w:rFonts w:ascii="Arial" w:hAnsi="Arial"/>
        </w:rPr>
        <w:t xml:space="preserve"> 0.05% sodium </w:t>
      </w:r>
      <w:proofErr w:type="spellStart"/>
      <w:r w:rsidRPr="006C4C00">
        <w:rPr>
          <w:rFonts w:ascii="Arial" w:hAnsi="Arial"/>
        </w:rPr>
        <w:t>azide</w:t>
      </w:r>
      <w:proofErr w:type="spellEnd"/>
      <w:r w:rsidRPr="006C4C00">
        <w:rPr>
          <w:rFonts w:ascii="Arial" w:hAnsi="Arial"/>
        </w:rPr>
        <w:t xml:space="preserve"> in PBS) using Integra </w:t>
      </w:r>
      <w:proofErr w:type="spellStart"/>
      <w:r w:rsidRPr="006C4C00">
        <w:rPr>
          <w:rFonts w:ascii="Arial" w:hAnsi="Arial"/>
        </w:rPr>
        <w:t>Viaflo</w:t>
      </w:r>
      <w:proofErr w:type="spellEnd"/>
      <w:r w:rsidRPr="006C4C00">
        <w:rPr>
          <w:rFonts w:ascii="Arial" w:hAnsi="Arial"/>
        </w:rPr>
        <w:t xml:space="preserve"> semi-automatic device (96/384, 384 channel pipette). </w:t>
      </w:r>
      <w:r>
        <w:rPr>
          <w:rFonts w:ascii="Arial" w:hAnsi="Arial"/>
        </w:rPr>
        <w:t>Pools of plasmas from adults exposed to SARS-CoV-2</w:t>
      </w:r>
      <w:r w:rsidRPr="006C4C00">
        <w:rPr>
          <w:rFonts w:ascii="Arial" w:hAnsi="Arial"/>
        </w:rPr>
        <w:t xml:space="preserve"> were used as positive controls </w:t>
      </w:r>
      <w:r w:rsidRPr="005F40EA">
        <w:rPr>
          <w:rFonts w:ascii="Arial" w:hAnsi="Arial"/>
        </w:rPr>
        <w:t xml:space="preserve">in </w:t>
      </w:r>
      <w:r w:rsidRPr="00D348FC">
        <w:rPr>
          <w:rFonts w:ascii="Arial" w:hAnsi="Arial"/>
        </w:rPr>
        <w:t>2-fold, 8 serial dilutions starting at 1:12.5</w:t>
      </w:r>
      <w:r w:rsidRPr="005F40EA">
        <w:rPr>
          <w:rFonts w:ascii="Arial" w:hAnsi="Arial"/>
        </w:rPr>
        <w:t xml:space="preserve">. </w:t>
      </w:r>
      <w:r w:rsidRPr="006C4C00">
        <w:rPr>
          <w:rFonts w:ascii="Arial" w:hAnsi="Arial"/>
        </w:rPr>
        <w:t xml:space="preserve">Technical blanks consisting of </w:t>
      </w:r>
      <w:proofErr w:type="spellStart"/>
      <w:r w:rsidRPr="006C4C00">
        <w:rPr>
          <w:rFonts w:ascii="Arial" w:hAnsi="Arial"/>
        </w:rPr>
        <w:t>Luminex</w:t>
      </w:r>
      <w:proofErr w:type="spellEnd"/>
      <w:r w:rsidRPr="006C4C00">
        <w:rPr>
          <w:rFonts w:ascii="Arial" w:hAnsi="Arial"/>
        </w:rPr>
        <w:t xml:space="preserve"> Buffer and microspheres without samples were added in 4 wells to detect and adjust for non-specific microsphere signal.</w:t>
      </w:r>
      <w:r w:rsidRPr="00ED35F6">
        <w:rPr>
          <w:rFonts w:ascii="Arial" w:hAnsi="Arial"/>
        </w:rPr>
        <w:t xml:space="preserve"> </w:t>
      </w:r>
      <w:r>
        <w:rPr>
          <w:rFonts w:ascii="Arial" w:hAnsi="Arial"/>
        </w:rPr>
        <w:t xml:space="preserve">Saliva </w:t>
      </w:r>
      <w:r w:rsidRPr="000D7753">
        <w:rPr>
          <w:rFonts w:ascii="Arial" w:hAnsi="Arial"/>
        </w:rPr>
        <w:t>negative controls</w:t>
      </w:r>
      <w:r>
        <w:rPr>
          <w:rFonts w:ascii="Arial" w:hAnsi="Arial"/>
        </w:rPr>
        <w:t xml:space="preserve"> were not added due to the unavailability of pre-pandemic samples</w:t>
      </w:r>
      <w:r w:rsidRPr="000D7753">
        <w:rPr>
          <w:rFonts w:ascii="Arial" w:hAnsi="Arial"/>
          <w:lang w:val="en-US"/>
        </w:rPr>
        <w:t xml:space="preserve"> </w:t>
      </w:r>
      <w:r>
        <w:rPr>
          <w:rFonts w:ascii="Arial" w:hAnsi="Arial"/>
          <w:lang w:val="en-US"/>
        </w:rPr>
        <w:t>in spite of contacting national biobanks</w:t>
      </w:r>
      <w:r>
        <w:rPr>
          <w:rFonts w:ascii="Arial" w:hAnsi="Arial"/>
        </w:rPr>
        <w:t xml:space="preserve">. </w:t>
      </w:r>
      <w:r w:rsidRPr="006C4C00">
        <w:rPr>
          <w:rFonts w:ascii="Arial" w:hAnsi="Arial"/>
        </w:rPr>
        <w:t xml:space="preserve">Ten µL of each dilution of the positive control and test </w:t>
      </w:r>
      <w:r>
        <w:rPr>
          <w:rFonts w:ascii="Arial" w:hAnsi="Arial"/>
        </w:rPr>
        <w:t xml:space="preserve">saliva </w:t>
      </w:r>
      <w:r w:rsidRPr="006C4C00">
        <w:rPr>
          <w:rFonts w:ascii="Arial" w:hAnsi="Arial"/>
        </w:rPr>
        <w:t xml:space="preserve">samples were added </w:t>
      </w:r>
      <w:r w:rsidRPr="005F071C">
        <w:rPr>
          <w:rFonts w:ascii="Arial" w:hAnsi="Arial"/>
        </w:rPr>
        <w:t>to the 384-well</w:t>
      </w:r>
      <w:r w:rsidRPr="006C4C00">
        <w:rPr>
          <w:rFonts w:ascii="Arial" w:hAnsi="Arial"/>
        </w:rPr>
        <w:t xml:space="preserve"> plate using Assist </w:t>
      </w:r>
      <w:proofErr w:type="gramStart"/>
      <w:r w:rsidRPr="006C4C00">
        <w:rPr>
          <w:rFonts w:ascii="Arial" w:hAnsi="Arial"/>
        </w:rPr>
        <w:t>Plus</w:t>
      </w:r>
      <w:proofErr w:type="gramEnd"/>
      <w:r w:rsidRPr="006C4C00">
        <w:rPr>
          <w:rFonts w:ascii="Arial" w:hAnsi="Arial"/>
        </w:rPr>
        <w:t xml:space="preserve"> </w:t>
      </w:r>
      <w:r w:rsidRPr="006C4C00">
        <w:rPr>
          <w:rFonts w:ascii="Arial" w:hAnsi="Arial"/>
        </w:rPr>
        <w:lastRenderedPageBreak/>
        <w:t xml:space="preserve">Integra device with 12 channels Voyager pipette (final </w:t>
      </w:r>
      <w:r>
        <w:rPr>
          <w:rFonts w:ascii="Arial" w:hAnsi="Arial"/>
        </w:rPr>
        <w:t xml:space="preserve">saliva </w:t>
      </w:r>
      <w:r w:rsidRPr="006C4C00">
        <w:rPr>
          <w:rFonts w:ascii="Arial" w:hAnsi="Arial"/>
        </w:rPr>
        <w:t>dilution of 1:</w:t>
      </w:r>
      <w:r>
        <w:rPr>
          <w:rFonts w:ascii="Arial" w:hAnsi="Arial"/>
        </w:rPr>
        <w:t>1</w:t>
      </w:r>
      <w:r w:rsidRPr="006C4C00">
        <w:rPr>
          <w:rFonts w:ascii="Arial" w:hAnsi="Arial"/>
        </w:rPr>
        <w:t>0).</w:t>
      </w:r>
      <w:r w:rsidRPr="002B7452">
        <w:rPr>
          <w:rFonts w:ascii="Arial" w:hAnsi="Arial"/>
        </w:rPr>
        <w:t xml:space="preserve"> </w:t>
      </w:r>
      <w:r>
        <w:rPr>
          <w:rFonts w:ascii="Arial" w:hAnsi="Arial"/>
        </w:rPr>
        <w:t xml:space="preserve">Paired samples from the same individual were run on the same plate. </w:t>
      </w:r>
      <w:r w:rsidRPr="006C4C00">
        <w:rPr>
          <w:rFonts w:ascii="Arial" w:hAnsi="Arial"/>
        </w:rPr>
        <w:t>Plates were incubated for 1 h at room temperature in agitation (</w:t>
      </w:r>
      <w:proofErr w:type="spellStart"/>
      <w:r w:rsidRPr="006C4C00">
        <w:rPr>
          <w:rFonts w:ascii="Arial" w:hAnsi="Arial"/>
        </w:rPr>
        <w:t>Titramax</w:t>
      </w:r>
      <w:proofErr w:type="spellEnd"/>
      <w:r w:rsidRPr="006C4C00">
        <w:rPr>
          <w:rFonts w:ascii="Arial" w:hAnsi="Arial"/>
        </w:rPr>
        <w:t xml:space="preserve"> 1000) at 900 rpm and protected from light. Then, the plates were washed three times with 200 </w:t>
      </w:r>
      <w:proofErr w:type="spellStart"/>
      <w:r w:rsidRPr="006C4C00">
        <w:rPr>
          <w:rFonts w:ascii="Arial" w:hAnsi="Arial"/>
        </w:rPr>
        <w:t>μL</w:t>
      </w:r>
      <w:proofErr w:type="spellEnd"/>
      <w:r w:rsidRPr="006C4C00">
        <w:rPr>
          <w:rFonts w:ascii="Arial" w:hAnsi="Arial"/>
        </w:rPr>
        <w:t xml:space="preserve">/well of PBS-T (0.05% Tween 20 in PBS), using </w:t>
      </w:r>
      <w:proofErr w:type="spellStart"/>
      <w:r w:rsidRPr="006C4C00">
        <w:rPr>
          <w:rFonts w:ascii="Arial" w:hAnsi="Arial"/>
        </w:rPr>
        <w:t>BioTek</w:t>
      </w:r>
      <w:proofErr w:type="spellEnd"/>
      <w:r w:rsidRPr="006C4C00">
        <w:rPr>
          <w:rFonts w:ascii="Arial" w:hAnsi="Arial"/>
        </w:rPr>
        <w:t xml:space="preserve"> 405 TS (384-well format).</w:t>
      </w:r>
      <w:r w:rsidRPr="002B7452">
        <w:rPr>
          <w:rFonts w:ascii="Arial" w:hAnsi="Arial"/>
        </w:rPr>
        <w:t xml:space="preserve"> </w:t>
      </w:r>
      <w:r w:rsidRPr="006C4C00">
        <w:rPr>
          <w:rFonts w:ascii="Arial" w:hAnsi="Arial"/>
        </w:rPr>
        <w:t xml:space="preserve">Twenty five </w:t>
      </w:r>
      <w:proofErr w:type="spellStart"/>
      <w:r w:rsidRPr="006C4C00">
        <w:rPr>
          <w:rFonts w:ascii="Arial" w:hAnsi="Arial"/>
        </w:rPr>
        <w:t>μL</w:t>
      </w:r>
      <w:proofErr w:type="spellEnd"/>
      <w:r w:rsidRPr="006C4C00">
        <w:rPr>
          <w:rFonts w:ascii="Arial" w:hAnsi="Arial"/>
        </w:rPr>
        <w:t xml:space="preserve"> of goat anti-human </w:t>
      </w:r>
      <w:proofErr w:type="spellStart"/>
      <w:r w:rsidRPr="006C4C00">
        <w:rPr>
          <w:rFonts w:ascii="Arial" w:hAnsi="Arial"/>
        </w:rPr>
        <w:t>IgG-phycoerythrin</w:t>
      </w:r>
      <w:proofErr w:type="spellEnd"/>
      <w:r w:rsidRPr="006C4C00">
        <w:rPr>
          <w:rFonts w:ascii="Arial" w:hAnsi="Arial"/>
        </w:rPr>
        <w:t xml:space="preserve"> (PE) (GTIG-001, Moss Bio) diluted 1:400, goat anti-human IgA-PE (GTIA-001, Moss Bio) 1:200, or goat anti-human IgM-PE (GTIM-001, Moss Bio) 1:200 in </w:t>
      </w:r>
      <w:proofErr w:type="spellStart"/>
      <w:r w:rsidRPr="006C4C00">
        <w:rPr>
          <w:rFonts w:ascii="Arial" w:hAnsi="Arial"/>
        </w:rPr>
        <w:t>Luminex</w:t>
      </w:r>
      <w:proofErr w:type="spellEnd"/>
      <w:r w:rsidRPr="006C4C00">
        <w:rPr>
          <w:rFonts w:ascii="Arial" w:hAnsi="Arial"/>
        </w:rPr>
        <w:t xml:space="preserve"> buffer were added to each well and incubated for 30 min. Plates were washed and microspheres </w:t>
      </w:r>
      <w:proofErr w:type="spellStart"/>
      <w:r w:rsidRPr="006C4C00">
        <w:rPr>
          <w:rFonts w:ascii="Arial" w:hAnsi="Arial"/>
        </w:rPr>
        <w:t>resuspended</w:t>
      </w:r>
      <w:proofErr w:type="spellEnd"/>
      <w:r w:rsidRPr="006C4C00">
        <w:rPr>
          <w:rFonts w:ascii="Arial" w:hAnsi="Arial"/>
        </w:rPr>
        <w:t xml:space="preserve"> with 80 </w:t>
      </w:r>
      <w:proofErr w:type="spellStart"/>
      <w:r w:rsidRPr="006C4C00">
        <w:rPr>
          <w:rFonts w:ascii="Arial" w:hAnsi="Arial"/>
        </w:rPr>
        <w:t>μL</w:t>
      </w:r>
      <w:proofErr w:type="spellEnd"/>
      <w:r w:rsidRPr="006C4C00">
        <w:rPr>
          <w:rFonts w:ascii="Arial" w:hAnsi="Arial"/>
        </w:rPr>
        <w:t xml:space="preserve"> of </w:t>
      </w:r>
      <w:proofErr w:type="spellStart"/>
      <w:r w:rsidRPr="006C4C00">
        <w:rPr>
          <w:rFonts w:ascii="Arial" w:hAnsi="Arial"/>
        </w:rPr>
        <w:t>Luminex</w:t>
      </w:r>
      <w:proofErr w:type="spellEnd"/>
      <w:r w:rsidRPr="006C4C00">
        <w:rPr>
          <w:rFonts w:ascii="Arial" w:hAnsi="Arial"/>
        </w:rPr>
        <w:t xml:space="preserve"> Buffer, </w:t>
      </w:r>
      <w:r w:rsidRPr="008D0798">
        <w:rPr>
          <w:rFonts w:ascii="Arial" w:hAnsi="Arial" w:cs="Arial"/>
        </w:rPr>
        <w:t xml:space="preserve">covered with an adhesive film and </w:t>
      </w:r>
      <w:proofErr w:type="spellStart"/>
      <w:r w:rsidRPr="008D0798">
        <w:rPr>
          <w:rFonts w:ascii="Arial" w:hAnsi="Arial" w:cs="Arial"/>
        </w:rPr>
        <w:t>sonicated</w:t>
      </w:r>
      <w:proofErr w:type="spellEnd"/>
      <w:r w:rsidRPr="008D0798">
        <w:rPr>
          <w:rFonts w:ascii="Arial" w:hAnsi="Arial" w:cs="Arial"/>
        </w:rPr>
        <w:t xml:space="preserve"> 20 seconds on a </w:t>
      </w:r>
      <w:proofErr w:type="spellStart"/>
      <w:r w:rsidRPr="008D0798">
        <w:rPr>
          <w:rFonts w:ascii="Arial" w:hAnsi="Arial" w:cs="Arial"/>
        </w:rPr>
        <w:t>sonicator</w:t>
      </w:r>
      <w:proofErr w:type="spellEnd"/>
      <w:r w:rsidRPr="008D0798">
        <w:rPr>
          <w:rFonts w:ascii="Arial" w:hAnsi="Arial" w:cs="Arial"/>
        </w:rPr>
        <w:t xml:space="preserve"> bath platform, before acquisition on a </w:t>
      </w:r>
      <w:proofErr w:type="spellStart"/>
      <w:r w:rsidRPr="008D0798">
        <w:rPr>
          <w:rFonts w:ascii="Arial" w:hAnsi="Arial" w:cs="Arial"/>
        </w:rPr>
        <w:t>Flexmap</w:t>
      </w:r>
      <w:proofErr w:type="spellEnd"/>
      <w:r w:rsidRPr="008D0798">
        <w:rPr>
          <w:rFonts w:ascii="Arial" w:hAnsi="Arial" w:cs="Arial"/>
        </w:rPr>
        <w:t xml:space="preserve"> 3D </w:t>
      </w:r>
      <w:proofErr w:type="spellStart"/>
      <w:r w:rsidRPr="008D0798">
        <w:rPr>
          <w:rFonts w:ascii="Arial" w:hAnsi="Arial" w:cs="Arial"/>
          <w:lang w:val="en-US"/>
        </w:rPr>
        <w:t>xMAP</w:t>
      </w:r>
      <w:proofErr w:type="spellEnd"/>
      <w:r w:rsidRPr="008D0798">
        <w:rPr>
          <w:rFonts w:ascii="Arial" w:hAnsi="Arial" w:cs="Arial"/>
          <w:lang w:val="en-US"/>
        </w:rPr>
        <w:t>® instrument</w:t>
      </w:r>
      <w:r w:rsidRPr="008D0798">
        <w:rPr>
          <w:rFonts w:ascii="Arial" w:hAnsi="Arial" w:cs="Arial"/>
        </w:rPr>
        <w:t xml:space="preserve">. At least 50 microspheres per </w:t>
      </w:r>
      <w:proofErr w:type="spellStart"/>
      <w:r w:rsidRPr="008D0798">
        <w:rPr>
          <w:rFonts w:ascii="Arial" w:hAnsi="Arial" w:cs="Arial"/>
        </w:rPr>
        <w:t>analyte</w:t>
      </w:r>
      <w:proofErr w:type="spellEnd"/>
      <w:r w:rsidRPr="008D0798">
        <w:rPr>
          <w:rFonts w:ascii="Arial" w:hAnsi="Arial" w:cs="Arial"/>
        </w:rPr>
        <w:t xml:space="preserve"> per well were acquired. </w:t>
      </w:r>
      <w:r w:rsidRPr="008D0798">
        <w:rPr>
          <w:rFonts w:ascii="Arial" w:hAnsi="Arial" w:cs="Arial"/>
          <w:lang w:val="en-US"/>
        </w:rPr>
        <w:t xml:space="preserve">Crude median fluorescent intensities (MFI) </w:t>
      </w:r>
      <w:r w:rsidRPr="008D0798">
        <w:rPr>
          <w:rFonts w:ascii="Arial" w:hAnsi="Arial" w:cs="Arial"/>
          <w:color w:val="000000" w:themeColor="text1"/>
          <w:highlight w:val="white"/>
          <w:lang w:val="en-US"/>
        </w:rPr>
        <w:t xml:space="preserve">and background fluorescence from blank wells </w:t>
      </w:r>
      <w:r w:rsidRPr="008D0798">
        <w:rPr>
          <w:rFonts w:ascii="Arial" w:hAnsi="Arial" w:cs="Arial"/>
          <w:lang w:val="en-US"/>
        </w:rPr>
        <w:t xml:space="preserve">were exported </w:t>
      </w:r>
      <w:r w:rsidRPr="008D0798">
        <w:rPr>
          <w:rFonts w:ascii="Arial" w:hAnsi="Arial" w:cs="Arial"/>
        </w:rPr>
        <w:t xml:space="preserve">for each </w:t>
      </w:r>
      <w:proofErr w:type="spellStart"/>
      <w:r w:rsidRPr="008D0798">
        <w:rPr>
          <w:rFonts w:ascii="Arial" w:hAnsi="Arial" w:cs="Arial"/>
        </w:rPr>
        <w:t>analyte</w:t>
      </w:r>
      <w:proofErr w:type="spellEnd"/>
      <w:r w:rsidRPr="008D0798">
        <w:rPr>
          <w:rFonts w:ascii="Arial" w:hAnsi="Arial" w:cs="Arial"/>
          <w:lang w:val="en-US"/>
        </w:rPr>
        <w:t xml:space="preserve"> using the </w:t>
      </w:r>
      <w:proofErr w:type="spellStart"/>
      <w:r w:rsidRPr="008D0798">
        <w:rPr>
          <w:rFonts w:ascii="Arial" w:hAnsi="Arial" w:cs="Arial"/>
          <w:lang w:val="en-US"/>
        </w:rPr>
        <w:t>xPONENT</w:t>
      </w:r>
      <w:proofErr w:type="spellEnd"/>
      <w:r w:rsidRPr="008D0798">
        <w:rPr>
          <w:rFonts w:ascii="Arial" w:hAnsi="Arial" w:cs="Arial"/>
          <w:lang w:val="en-US"/>
        </w:rPr>
        <w:t xml:space="preserve"> software. A 4-fold change increase in antibodies was applied as seroconversion metric, following indications by the World Health Organization (WHO) and the European Medicine Agency (EMA) guidelines for other viruses </w:t>
      </w:r>
      <w:r w:rsidRPr="008D0798">
        <w:rPr>
          <w:rFonts w:ascii="Arial" w:hAnsi="Arial" w:cs="Arial"/>
          <w:lang w:val="en-US"/>
        </w:rPr>
        <w:fldChar w:fldCharType="begin" w:fldLock="1"/>
      </w:r>
      <w:r>
        <w:rPr>
          <w:rFonts w:ascii="Arial" w:hAnsi="Arial" w:cs="Arial"/>
          <w:lang w:val="en-US"/>
        </w:rPr>
        <w:instrText>ADDIN CSL_CITATION {"citationItems":[{"id":"ITEM-1","itemData":{"author":[{"dropping-particle":"","family":"WHO","given":"","non-dropping-particle":"","parse-names":false,"suffix":""}],"container-title":"Interim Guidance. Geneva, Switzerland","id":"ITEM-1","issued":{"date-parts":[["2018"]]},"page":"1-8","title":"Laboratory Testing for Middle East Respiratory Syndrome Coronavirus","type":"article-journal"},"uris":["http://www.mendeley.com/documents/?uuid=3f3b04d8-8574-4a7f-bc94-1d500eff6704"]},{"id":"ITEM-2","itemData":{"author":[{"dropping-particle":"","family":"European Medicines Agency","given":"","non-dropping-particle":"","parse-names":false,"suffix":""}],"container-title":"Committee on Human Medicinal Products","id":"ITEM-2","issued":{"date-parts":[["2018"]]},"page":"1-21","title":"Guideline on clinical evaluation of vaccines","type":"article-journal"},"uris":["http://www.mendeley.com/documents/?uuid=c3d1b99b-b1bc-4739-9731-4e5b37e4e7b1"]}],"mendeley":{"formattedCitation":"(41,42)","plainTextFormattedCitation":"(41,42)","previouslyFormattedCitation":"(41,42)"},"properties":{"noteIndex":0},"schema":"https://github.com/citation-style-language/schema/raw/master/csl-citation.json"}</w:instrText>
      </w:r>
      <w:r w:rsidRPr="008D0798">
        <w:rPr>
          <w:rFonts w:ascii="Arial" w:hAnsi="Arial" w:cs="Arial"/>
          <w:lang w:val="en-US"/>
        </w:rPr>
        <w:fldChar w:fldCharType="separate"/>
      </w:r>
      <w:r w:rsidRPr="0096306D">
        <w:rPr>
          <w:rFonts w:ascii="Arial" w:hAnsi="Arial" w:cs="Arial"/>
          <w:noProof/>
          <w:lang w:val="en-US"/>
        </w:rPr>
        <w:t>(</w:t>
      </w:r>
      <w:r w:rsidRPr="00D51232">
        <w:rPr>
          <w:rFonts w:ascii="Arial" w:hAnsi="Arial" w:cs="Arial"/>
          <w:noProof/>
          <w:color w:val="FF0000"/>
          <w:lang w:val="en-US"/>
        </w:rPr>
        <w:t>3,4</w:t>
      </w:r>
      <w:r w:rsidRPr="0096306D">
        <w:rPr>
          <w:rFonts w:ascii="Arial" w:hAnsi="Arial" w:cs="Arial"/>
          <w:noProof/>
          <w:lang w:val="en-US"/>
        </w:rPr>
        <w:t>)</w:t>
      </w:r>
      <w:r w:rsidRPr="008D0798">
        <w:rPr>
          <w:rFonts w:ascii="Arial" w:hAnsi="Arial" w:cs="Arial"/>
          <w:lang w:val="en-US"/>
        </w:rPr>
        <w:fldChar w:fldCharType="end"/>
      </w:r>
      <w:r w:rsidRPr="008D0798">
        <w:rPr>
          <w:rFonts w:ascii="Arial" w:hAnsi="Arial" w:cs="Arial"/>
          <w:lang w:val="en-US"/>
        </w:rPr>
        <w:t xml:space="preserve"> infections and vaccinations, and as used in numerous studies </w:t>
      </w:r>
      <w:r w:rsidRPr="008D0798">
        <w:rPr>
          <w:rFonts w:ascii="Arial" w:hAnsi="Arial" w:cs="Arial"/>
          <w:lang w:val="en-US"/>
        </w:rPr>
        <w:fldChar w:fldCharType="begin" w:fldLock="1"/>
      </w:r>
      <w:r>
        <w:rPr>
          <w:rFonts w:ascii="Arial" w:hAnsi="Arial" w:cs="Arial"/>
          <w:lang w:val="en-US"/>
        </w:rPr>
        <w:instrText>ADDIN CSL_CITATION {"citationItems":[{"id":"ITEM-1","itemData":{"DOI":"10.1038/s41591-020-0897-1","ISSN":"1546-170X","abstract":"We report acute antibody responses to SARS-CoV-2 in 285 patients with COVID-19. Within 19 days after symptom onset, 100% of patients tested positive for antiviral immunoglobulin-G (IgG). Seroconversion for IgG and IgM occurred simultaneously or sequentially. Both IgG and IgM titers plateaued within 6 days after seroconversion. Serological testing may be helpful for the diagnosis of suspected patients with negative RT–PCR results and for the identification of asymptomatic infections.","author":[{"dropping-particle":"","family":"Long","given":"Quan-Xin","non-dropping-particle":"","parse-names":false,"suffix":""},{"dropping-particle":"","family":"Liu","given":"Bai-Zhong","non-dropping-particle":"","parse-names":false,"suffix":""},{"dropping-particle":"","family":"Deng","given":"Hai-Jun","non-dropping-particle":"","parse-names":false,"suffix":""},{"dropping-particle":"","family":"Wu","given":"Gui-Cheng","non-dropping-particle":"","parse-names":false,"suffix":""},{"dropping-particle":"","family":"Deng","given":"Kun","non-dropping-particle":"","parse-names":false,"suffix":""},{"dropping-particle":"","family":"Chen","given":"Yao-Kai","non-dropping-particle":"","parse-names":false,"suffix":""},{"dropping-particle":"","family":"Liao","given":"Pu","non-dropping-particle":"","parse-names":false,"suffix":""},{"dropping-particle":"","family":"Qiu","given":"Jing-Fu","non-dropping-particle":"","parse-names":false,"suffix":""},{"dropping-particle":"","family":"Lin","given":"Yong","non-dropping-particle":"","parse-names":false,"suffix":""},{"dropping-particle":"","family":"Cai","given":"Xue-Fei","non-dropping-particle":"","parse-names":false,"suffix":""},{"dropping-particle":"","family":"Wang","given":"De-Qiang","non-dropping-particle":"","parse-names":false,"suffix":""},{"dropping-particle":"","family":"Hu","given":"Yuan","non-dropping-particle":"","parse-names":false,"suffix":""},{"dropping-particle":"","family":"Ren","given":"Ji-Hua","non-dropping-particle":"","parse-names":false,"suffix":""},{"dropping-particle":"","family":"Tang","given":"Ni","non-dropping-particle":"","parse-names":false,"suffix":""},{"dropping-particle":"","family":"Xu","given":"Yin-Yin","non-dropping-particle":"","parse-names":false,"suffix":""},{"dropping-particle":"","family":"Yu","given":"Li-Hua","non-dropping-particle":"","parse-names":false,"suffix":""},{"dropping-particle":"","family":"Mo","given":"Zhan","non-dropping-particle":"","parse-names":false,"suffix":""},{"dropping-particle":"","family":"Gong","given":"Fang","non-dropping-particle":"","parse-names":false,"suffix":""},{"dropping-particle":"","family":"Zhang","given":"Xiao-Li","non-dropping-particle":"","parse-names":false,"suffix":""},{"dropping-particle":"","family":"Tian","given":"Wen-Guang","non-dropping-particle":"","parse-names":false,"suffix":""},{"dropping-particle":"","family":"Hu","given":"Li","non-dropping-particle":"","parse-names":false,"suffix":""},{"dropping-particle":"","family":"Zhang","given":"Xian-Xiang","non-dropping-particle":"","parse-names":false,"suffix":""},{"dropping-particle":"","family":"Xiang","given":"Jiang-Lin","non-dropping-particle":"","parse-names":false,"suffix":""},{"dropping-particle":"","family":"Du","given":"Hong-Xin","non-dropping-particle":"","parse-names":false,"suffix":""},{"dropping-particle":"","family":"Liu","given":"Hua-Wen","non-dropping-particle":"","parse-names":false,"suffix":""},{"dropping-particle":"","family":"Lang","given":"Chun-Hui","non-dropping-particle":"","parse-names":false,"suffix":""},{"dropping-particle":"","family":"Luo","given":"Xiao-He","non-dropping-particle":"","parse-names":false,"suffix":""},{"dropping-particle":"","family":"Wu","given":"Shao-Bo","non-dropping-particle":"","parse-names":false,"suffix":""},{"dropping-particle":"","family":"Cui","given":"Xiao-Ping","non-dropping-particle":"","parse-names":false,"suffix":""},{"dropping-particle":"","family":"Zhou","given":"Zheng","non-dropping-particle":"","parse-names":false,"suffix":""},{"dropping-particle":"","family":"Zhu","given":"Man-Man","non-dropping-particle":"","parse-names":false,"suffix":""},{"dropping-particle":"","family":"Wang","given":"Jing","non-dropping-particle":"","parse-names":false,"suffix":""},{"dropping-particle":"","family":"Xue","given":"Cheng-Jun","non-dropping-particle":"","parse-names":false,"suffix":""},{"dropping-particle":"","family":"Li","given":"Xiao-Feng","non-dropping-particle":"","parse-names":false,"suffix":""},{"dropping-particle":"","family":"Wang","given":"Li","non-dropping-particle":"","parse-names":false,"suffix":""},{"dropping-particle":"","family":"Li","given":"Zhi-Jie","non-dropping-particle":"","parse-names":false,"suffix":""},{"dropping-particle":"","family":"Wang","given":"Kun","non-dropping-particle":"","parse-names":false,"suffix":""},{"dropping-particle":"","family":"Niu","given":"Chang-Chun","non-dropping-particle":"","parse-names":false,"suffix":""},{"dropping-particle":"","family":"Yang","given":"Qing-Jun","non-dropping-particle":"","parse-names":false,"suffix":""},{"dropping-particle":"","family":"Tang","given":"Xiao-Jun","non-dropping-particle":"","parse-names":false,"suffix":""},{"dropping-particle":"","family":"Zhang","given":"Yong","non-dropping-particle":"","parse-names":false,"suffix":""},{"dropping-particle":"","family":"Liu","given":"Xia-Mao","non-dropping-particle":"","parse-names":false,"suffix":""},{"dropping-particle":"","family":"Li","given":"Jin-Jing","non-dropping-particle":"","parse-names":false,"suffix":""},{"dropping-particle":"","family":"Zhang","given":"De-Chun","non-dropping-particle":"","parse-names":false,"suffix":""},{"dropping-particle":"","family":"Zhang","given":"Fan","non-dropping-particle":"","parse-names":false,"suffix":""},{"dropping-particle":"","family":"Liu","given":"Ping","non-dropping-particle":"","parse-names":false,"suffix":""},{"dropping-particle":"","family":"Yuan","given":"Jun","non-dropping-particle":"","parse-names":false,"suffix":""},{"dropping-particle":"","family":"Li","given":"Qin","non-dropping-particle":"","parse-names":false,"suffix":""},{"dropping-particle":"","family":"Hu","given":"Jie-Li","non-dropping-particle":"","parse-names":false,"suffix":""},{"dropping-particle":"","family":"Chen","given":"Juan","non-dropping-particle":"","parse-names":false,"suffix":""},{"dropping-particle":"","family":"Huang","given":"Ai-Long","non-dropping-particle":"","parse-names":false,"suffix":""}],"container-title":"Nature Medicine","id":"ITEM-1","issued":{"date-parts":[["2020"]]},"page":"845–848","title":"Antibody responses to SARS-CoV-2 in patients with COVID-19","type":"article-journal","volume":"26"},"uris":["http://www.mendeley.com/documents/?uuid=10a657d3-3c56-4e41-8ce3-a5bb5a27c893"]},{"id":"ITEM-2","itemData":{"DOI":"10.1093/infdis/jiaa737","ISSN":"1537-6613 (Electronic)","PMID":"33247924","abstract":"BACKGROUND: During the coronavirus disease 2019 (COVID-19) pandemic, many countries  experienced infection in health care workers (HCW) due to overburdened health care systems. Whether infected HCW acquire protective immunity against severe acute respiratory syndrome coronavirus 2 (SARS-CoV-2) is unclear. METHODS: In a Norwegian prospective cohort study, we enrolled 607 HCW before and after the first COVID-19 wave. Exposure history, COVID-19-like symptoms, and serum samples were collected. SARS-CoV-2-specific antibodies were characterized by spike-protein IgG/IgM/IgA enzyme-linked immunosorbent and live-virus neutralization assays. RESULTS: Spike-specific IgG/IgM/IgA antibodies increased after the first wave in HCW with, but not in HCW without, COVID-19 patient exposure. Thirty-two HCW (5.3%) had spike-specific antibodies (11 seroconverted with ≥4-fold increase, 21 were seropositive at baseline). Neutralizing antibodies were found in 11 HCW that seroconverted, of whom 4 (36.4%) were asymptomatic. Ninety-seven HCW were tested by reverse transcriptase polymerase chain reaction (RT-PCR) during follow-up; 8 were positive (7 seroconverted, 1 had undetectable antibodies). CONCLUSIONS: We found increases in SARS-CoV-2 neutralizing antibodies in infected HCW, especially after COVID-19 patient exposure. Our data show a low number of SARS-CoV-2-seropositive HCW in a low-prevalence setting; however, the proportion of seropositivity was higher than RT-PCR positivity, highlighting the importance of antibody testing.","author":[{"dropping-particle":"","family":"Trieu","given":"Mai-Chi","non-dropping-particle":"","parse-names":false,"suffix":""},{"dropping-particle":"","family":"Bansal","given":"Amit","non-dropping-particle":"","parse-names":false,"suffix":""},{"dropping-particle":"","family":"Madsen","given":"Anders","non-dropping-particle":"","parse-names":false,"suffix":""},{"dropping-particle":"","family":"Zhou","given":"Fan","non-dropping-particle":"","parse-names":false,"suffix":""},{"dropping-particle":"","family":"Sævik","given":"Marianne","non-dropping-particle":"","parse-names":false,"suffix":""},{"dropping-particle":"","family":"Vahokoski","given":"Juha","non-dropping-particle":"","parse-names":false,"suffix":""},{"dropping-particle":"","family":"Brokstad","given":"Karl Albert","non-dropping-particle":"","parse-names":false,"suffix":""},{"dropping-particle":"","family":"Krammer","given":"Florian","non-dropping-particle":"","parse-names":false,"suffix":""},{"dropping-particle":"","family":"Tøndel","given":"Camilla","non-dropping-particle":"","parse-names":false,"suffix":""},{"dropping-particle":"","family":"Mohn","given":"Kristin G I","non-dropping-particle":"","parse-names":false,"suffix":""},{"dropping-particle":"","family":"Blomberg","given":"Bjørn","non-dropping-particle":"","parse-names":false,"suffix":""},{"dropping-particle":"","family":"Langeland","given":"Nina","non-dropping-particle":"","parse-names":false,"suffix":""},{"dropping-particle":"","family":"Cox","given":"Rebecca J","non-dropping-particle":"","parse-names":false,"suffix":""}],"container-title":"The Journal of infectious diseases","id":"ITEM-2","issue":"4","issued":{"date-parts":[["2021","2"]]},"language":"eng","page":"589-599","title":"SARS-CoV-2-Specific Neutralizing Antibody Responses in Norwegian Health Care Workers  After the First Wave of COVID-19 Pandemic: A Prospective Cohort Study.","type":"article-journal","volume":"223"},"uris":["http://www.mendeley.com/documents/?uuid=7fa0e981-e9a2-498f-98ab-4eff06d66e55"]},{"id":"ITEM-3","itemData":{"DOI":"10.1016/S0140-6736(20)31605-6","ISSN":"1474-547X (Electronic)","PMID":"32702299","abstract":"BACKGROUND: This is the first randomised controlled trial for assessment of the  immunogenicity and safety of a candidate non-replicating adenovirus type-5 (Ad5)-vectored COVID-19 vaccine, aiming to determine an appropriate dose of the candidate vaccine for an efficacy study. METHODS: This randomised, double-blind, placebo-controlled, phase 2 trial of the Ad5-vectored COVID-19 vaccine was done in a single centre in Wuhan, China. Healthy adults aged 18 years or older, who were HIV-negative and previous severe acute respiratory syndrome coronavirus 2 (SARS-CoV-2) infection-free, were eligible to participate and were randomly assigned to receive the vaccine at a dose of 1 × 10(11) viral particles per mL or 5 × 10(10) viral particles per mL, or placebo. Investigators allocated participants at a ratio of 2:1:1 to receive a single injection intramuscularly in the arm. The randomisation list (block size 4) was generated by an independent statistician. Participants, investigators, and staff undertaking laboratory analyses were masked to group allocation. The primary endpoints for immunogenicity were the geometric mean titres (GMTs) of specific ELISA antibody responses to the receptor binding domain (RBD) and neutralising antibody responses at day 28. The primary endpoint for safety evaluation was the incidence of adverse reactions within 14 days. All recruited participants who received at least one dose were included in the primary and safety analyses. This study is registered with ClinicalTrials.gov, NCT04341389. FINDINGS: 603 volunteers were recruited and screened for eligibility between April 11 and 16, 2020. 508 eligible participants (50% male; mean age 39·7 years, SD 12·5) consented to participate in the trial and were randomly assigned to receive the vaccine (1 × 10(11) viral particles n=253; 5 × 10(10) viral particles n=129) or placebo (n=126). In the 1 × 10(11) and 5 × 10(10) viral particles dose groups, the RBD-specific ELISA antibodies peaked at 656·5 (95% CI 575·2-749·2) and 571·0 (467·6-697·3), with seroconversion rates at 96% (95% CI 93-98) and 97% (92-99), respectively, at day 28. Both doses of the vaccine induced significant neutralising antibody responses to live SARS-CoV-2, with GMTs of 19·5 (95% CI 16·8-22·7) and 18·3 (14·4-23·3) in participants receiving 1 × 10(11) and 5 × 10(10) viral particles, respectively. Specific interferon γ enzyme-linked immunospot assay responses post vaccination were observed in 227 (90%, 95% CI 85-93) of 253 and 11…","author":[{"dropping-particle":"","family":"Zhu","given":"Feng-Cai","non-dropping-particle":"","parse-names":false,"suffix":""},{"dropping-particle":"","family":"Guan","given":"Xu-Hua","non-dropping-particle":"","parse-names":false,"suffix":""},{"dropping-particle":"","family":"Li","given":"Yu-Hua","non-dropping-particle":"","parse-names":false,"suffix":""},{"dropping-particle":"","family":"Huang","given":"Jian-Ying","non-dropping-particle":"","parse-names":false,"suffix":""},{"dropping-particle":"","family":"Jiang","given":"Tao","non-dropping-particle":"","parse-names":false,"suffix":""},{"dropping-particle":"","family":"Hou","given":"Li-Hua","non-dropping-particle":"","parse-names":false,"suffix":""},{"dropping-particle":"","family":"Li","given":"Jing-Xin","non-dropping-particle":"","parse-names":false,"suffix":""},{"dropping-particle":"","family":"Yang","given":"Bei-Fang","non-dropping-particle":"","parse-names":false,"suffix":""},{"dropping-particle":"","family":"Wang","given":"Ling","non-dropping-particle":"","parse-names":false,"suffix":""},{"dropping-particle":"","family":"Wang","given":"Wen-Juan","non-dropping-particle":"","parse-names":false,"suffix":""},{"dropping-particle":"","family":"Wu","given":"Shi-Po","non-dropping-particle":"","parse-names":false,"suffix":""},{"dropping-particle":"","family":"Wang","given":"Zhao","non-dropping-particle":"","parse-names":false,"suffix":""},{"dropping-particle":"","family":"Wu","given":"Xiao-Hong","non-dropping-particle":"","parse-names":false,"suffix":""},{"dropping-particle":"","family":"Xu","given":"Jun-Jie","non-dropping-particle":"","parse-names":false,"suffix":""},{"dropping-particle":"","family":"Zhang","given":"Zhe","non-dropping-particle":"","parse-names":false,"suffix":""},{"dropping-particle":"","family":"Jia","given":"Si-Yue","non-dropping-particle":"","parse-names":false,"suffix":""},{"dropping-particle":"","family":"Wang","given":"Bu-Sen","non-dropping-particle":"","parse-names":false,"suffix":""},{"dropping-particle":"","family":"Hu","given":"Yi","non-dropping-particle":"","parse-names":false,"suffix":""},{"dropping-particle":"","family":"Liu","given":"Jing-Jing","non-dropping-particle":"","parse-names":false,"suffix":""},{"dropping-particle":"","family":"Zhang","given":"Jun","non-dropping-particle":"","parse-names":false,"suffix":""},{"dropping-particle":"","family":"Qian","given":"Xiao-Ai","non-dropping-particle":"","parse-names":false,"suffix":""},{"dropping-particle":"","family":"Li","given":"Qiong","non-dropping-particle":"","parse-names":false,"suffix":""},{"dropping-particle":"","family":"Pan","given":"Hong-Xing","non-dropping-particle":"","parse-names":false,"suffix":""},{"dropping-particle":"","family":"Jiang","given":"Hu-Dachuan","non-dropping-particle":"","parse-names":false,"suffix":""},{"dropping-particle":"","family":"Deng","given":"Peng","non-dropping-particle":"","parse-names":false,"suffix":""},{"dropping-particle":"","family":"Gou","given":"Jin-Bo","non-dropping-particle":"","parse-names":false,"suffix":""},{"dropping-particle":"","family":"Wang","given":"Xue-Wen","non-dropping-particle":"","parse-names":false,"suffix":""},{"dropping-particle":"","family":"Wang","given":"Xing-Huan","non-dropping-particle":"","parse-names":false,"suffix":""},{"dropping-particle":"","family":"Chen","given":"Wei","non-dropping-particle":"","parse-names":false,"suffix":""}],"container-title":"Lancet (London, England)","id":"ITEM-3","issue":"10249","issued":{"date-parts":[["2020","8"]]},"language":"eng","page":"479-488","title":"Immunogenicity and safety of a recombinant adenovirus type-5-vectored COVID-19  vaccine in healthy adults aged 18 years or older: a randomised, double-blind, placebo-controlled, phase 2 trial.","type":"article-journal","volume":"396"},"uris":["http://www.mendeley.com/documents/?uuid=a43d07ec-9f72-42b1-a0b3-dca6f8e4eaac"]},{"id":"ITEM-4","itemData":{"DOI":"10.1016/S1473-3099(20)30831-8","ISSN":"1474-4457 (Electronic)","PMID":"33069281","abstract":"BACKGROUND: The ongoing COVID-19 pandemic warrants accelerated efforts to test  vaccine candidates. We aimed to assess the safety and immunogenicity of an inactivated severe acute respiratory syndrome coronavirus 2 (SARS-CoV-2) vaccine candidate, BBIBP-CorV, in humans. METHODS: We did a randomised, double-blind, placebo-controlled, phase 1/2 trial at Shangqiu City Liangyuan District Center for Disease Control and Prevention in Henan Province, China. In phase 1, healthy people aged 18-80 years, who were negative for serum-specific IgM/IgG antibodies against SARS-CoV-2 at the time of screening, were separated into two age groups (18-59 years and ≥60 years) and randomly assigned to receive vaccine or placebo in a two-dose schedule of 2 μg, 4 μg, or 8 μg on days 0 and 28. In phase 2, healthy adults (aged 18-59 years) were randomly assigned (1:1:1:1) to receive vaccine or placebo on a single-dose schedule of 8 μg on day 0 or on a two-dose schedule of 4 μg on days 0 and 14, 0 and 21, or 0 and 28. Participants within each cohort were randomly assigned by stratified block randomisation (block size eight) and allocated (3:1) to receive vaccine or placebo. Group allocation was concealed from participants, investigators, and outcome assessors. The primary outcomes were safety and tolerability. The secondary outcome was immunogenicity, assessed as the neutralising antibody responses against infectious SARS-CoV-2. This study is registered with www.chictr.org.cn, ChiCTR2000032459. FINDINGS: In phase 1, 192 participants were enrolled (mean age 53·7 years [SD 15·6]) and were randomly assigned to receive vaccine (2 μg [n=24], 4 μg [n=24], or 8 μg [n=24] for both age groups [18-59 years and ≥60 years]) or placebo (n=24). At least one adverse reaction was reported within the first 7 days of inoculation in 42 (29%) of 144 vaccine recipients. The most common systematic adverse reaction was fever (18-59 years, one [4%] in the 2 μg group, one [4%] in the 4 μg group, and two [8%] in the 8 μg group; ≥60 years, one [4%] in the 8 μg group). All adverse reactions were mild or moderate in severity. No serious adverse event was reported within 28 days post vaccination. Neutralising antibody geometric mean titres were higher at day 42 in the group aged 18-59 years (87·7 [95% CI 64·9-118·6], 2 μg group; 211·2 [158·9-280·6], 4 μg group; and 228·7 [186·1-281·1], 8 μg group) and the group aged 60 years and older (80·7 [65·4-99·6], 2 μg group; 131·5 [108·2-159·7], 4 μg group; and 170·87 […","author":[{"dropping-particle":"","family":"Xia","given":"Shengli","non-dropping-particle":"","parse-names":false,"suffix":""},{"dropping-particle":"","family":"Zhang","given":"Yuntao","non-dropping-particle":"","parse-names":false,"suffix":""},{"dropping-particle":"","family":"Wang","given":"Yanxia","non-dropping-particle":"","parse-names":false,"suffix":""},{"dropping-particle":"","family":"Wang","given":"Hui","non-dropping-particle":"","parse-names":false,"suffix":""},{"dropping-particle":"","family":"Yang","given":"Yunkai","non-dropping-particle":"","parse-names":false,"suffix":""},{"dropping-particle":"","family":"Gao","given":"George Fu","non-dropping-particle":"","parse-names":false,"suffix":""},{"dropping-particle":"","family":"Tan","given":"Wenjie","non-dropping-particle":"","parse-names":false,"suffix":""},{"dropping-particle":"","family":"Wu","given":"Guizhen","non-dropping-particle":"","parse-names":false,"suffix":""},{"dropping-particle":"","family":"Xu","given":"Miao","non-dropping-particle":"","parse-names":false,"suffix":""},{"dropping-particle":"","family":"Lou","given":"Zhiyong","non-dropping-particle":"","parse-names":false,"suffix":""},{"dropping-particle":"","family":"Huang","given":"Weijin","non-dropping-particle":"","parse-names":false,"suffix":""},{"dropping-particle":"","family":"Xu","given":"Wenbo","non-dropping-particle":"","parse-names":false,"suffix":""},{"dropping-particle":"","family":"Huang","given":"Baoying","non-dropping-particle":"","parse-names":false,"suffix":""},{"dropping-particle":"","family":"Wang","given":"Huijuan","non-dropping-particle":"","parse-names":false,"suffix":""},{"dropping-particle":"","family":"Wang","given":"Wei","non-dropping-particle":"","parse-names":false,"suffix":""},{"dropping-particle":"","family":"Zhang","given":"Wei","non-dropping-particle":"","parse-names":false,"suffix":""},{"dropping-particle":"","family":"Li","given":"Na","non-dropping-particle":"","parse-names":false,"suffix":""},{"dropping-particle":"","family":"Xie","given":"Zhiqiang","non-dropping-particle":"","parse-names":false,"suffix":""},{"dropping-particle":"","family":"Ding","given":"Ling","non-dropping-particle":"","parse-names":false,"suffix":""},{"dropping-particle":"","family":"You","given":"Wangyang","non-dropping-particle":"","parse-names":false,"suffix":""},{"dropping-particle":"","family":"Zhao","given":"Yuxiu","non-dropping-particle":"","parse-names":false,"suffix":""},{"dropping-particle":"","family":"Yang","given":"Xuqin","non-dropping-particle":"","parse-names":false,"suffix":""},{"dropping-particle":"","family":"Liu","given":"Yang","non-dropping-particle":"","parse-names":false,"suffix":""},{"dropping-particle":"","family":"Wang","given":"Qian","non-dropping-particle":"","parse-names":false,"suffix":""},{"dropping-particle":"","family":"Huang","given":"Lili","non-dropping-particle":"","parse-names":false,"suffix":""},{"dropping-particle":"","family":"Yang","given":"Yongli","non-dropping-particle":"","parse-names":false,"suffix":""},{"dropping-particle":"","family":"Xu","given":"Guangxue","non-dropping-particle":"","parse-names":false,"suffix":""},{"dropping-particle":"","family":"Luo","given":"Bojian","non-dropping-particle":"","parse-names":false,"suffix":""},{"dropping-particle":"","family":"Wang","given":"Wenling","non-dropping-particle":"","parse-names":false,"suffix":""},{"dropping-particle":"","family":"Liu","given":"Peipei","non-dropping-particle":"","parse-names":false,"suffix":""},{"dropping-particle":"","family":"Guo","given":"Wanshen","non-dropping-particle":"","parse-names":false,"suffix":""},{"dropping-particle":"","family":"Yang","given":"Xiaoming","non-dropping-particle":"","parse-names":false,"suffix":""}],"container-title":"The Lancet. Infectious diseases","id":"ITEM-4","issue":"1","issued":{"date-parts":[["2021","1"]]},"language":"eng","page":"39-51","title":"Safety and immunogenicity of an inactivated SARS-CoV-2 vaccine, BBIBP-CorV: a  randomised, double-blind, placebo-controlled, phase 1/2 trial.","type":"article-journal","volume":"21"},"uris":["http://www.mendeley.com/documents/?uuid=117b5372-2bc2-487b-9d28-ea5810a7c51c"]}],"mendeley":{"formattedCitation":"(43–46)","plainTextFormattedCitation":"(43–46)","previouslyFormattedCitation":"(43–46)"},"properties":{"noteIndex":0},"schema":"https://github.com/citation-style-language/schema/raw/master/csl-citation.json"}</w:instrText>
      </w:r>
      <w:r w:rsidRPr="008D0798">
        <w:rPr>
          <w:rFonts w:ascii="Arial" w:hAnsi="Arial" w:cs="Arial"/>
          <w:lang w:val="en-US"/>
        </w:rPr>
        <w:fldChar w:fldCharType="separate"/>
      </w:r>
      <w:r w:rsidRPr="0096306D">
        <w:rPr>
          <w:rFonts w:ascii="Arial" w:hAnsi="Arial" w:cs="Arial"/>
          <w:noProof/>
          <w:lang w:val="en-US"/>
        </w:rPr>
        <w:t>(</w:t>
      </w:r>
      <w:r w:rsidRPr="00D51232">
        <w:rPr>
          <w:rFonts w:ascii="Arial" w:hAnsi="Arial" w:cs="Arial"/>
          <w:noProof/>
          <w:color w:val="FF0000"/>
          <w:lang w:val="en-US"/>
        </w:rPr>
        <w:t>5–8</w:t>
      </w:r>
      <w:r w:rsidRPr="0096306D">
        <w:rPr>
          <w:rFonts w:ascii="Arial" w:hAnsi="Arial" w:cs="Arial"/>
          <w:noProof/>
          <w:lang w:val="en-US"/>
        </w:rPr>
        <w:t>)</w:t>
      </w:r>
      <w:r w:rsidRPr="008D0798">
        <w:rPr>
          <w:rFonts w:ascii="Arial" w:hAnsi="Arial" w:cs="Arial"/>
          <w:lang w:val="en-US"/>
        </w:rPr>
        <w:fldChar w:fldCharType="end"/>
      </w:r>
      <w:r w:rsidRPr="008D0798">
        <w:rPr>
          <w:rFonts w:ascii="Arial" w:hAnsi="Arial" w:cs="Arial"/>
          <w:lang w:val="en-US"/>
        </w:rPr>
        <w:t>.</w:t>
      </w:r>
      <w:r w:rsidRPr="008D0798">
        <w:rPr>
          <w:rFonts w:ascii="Arial" w:hAnsi="Arial" w:cs="Arial"/>
          <w:color w:val="4F83BE"/>
          <w:lang w:val="en-US"/>
        </w:rPr>
        <w:t xml:space="preserve"> </w:t>
      </w:r>
      <w:r w:rsidRPr="008D0798">
        <w:rPr>
          <w:rFonts w:ascii="Arial" w:hAnsi="Arial" w:cs="Arial"/>
          <w:color w:val="000000"/>
        </w:rPr>
        <w:t>All data were managed and analysed using R software v4.0.3 (</w:t>
      </w:r>
      <w:proofErr w:type="spellStart"/>
      <w:r w:rsidRPr="008D0798">
        <w:rPr>
          <w:rFonts w:ascii="Arial" w:hAnsi="Arial" w:cs="Arial"/>
          <w:color w:val="000000"/>
        </w:rPr>
        <w:t>devtools</w:t>
      </w:r>
      <w:proofErr w:type="spellEnd"/>
      <w:r w:rsidRPr="008D0798">
        <w:rPr>
          <w:rFonts w:ascii="Arial" w:hAnsi="Arial" w:cs="Arial"/>
          <w:color w:val="000000"/>
        </w:rPr>
        <w:t xml:space="preserve"> </w:t>
      </w:r>
      <w:r w:rsidRPr="008D0798">
        <w:rPr>
          <w:rFonts w:ascii="Arial" w:hAnsi="Arial" w:cs="Arial"/>
          <w:color w:val="000000"/>
        </w:rPr>
        <w:fldChar w:fldCharType="begin" w:fldLock="1"/>
      </w:r>
      <w:r>
        <w:rPr>
          <w:rFonts w:ascii="Arial" w:hAnsi="Arial" w:cs="Arial"/>
          <w:color w:val="000000"/>
        </w:rPr>
        <w:instrText>ADDIN CSL_CITATION {"citationItems":[{"id":"ITEM-1","itemData":{"author":[{"dropping-particle":"","family":"Wickham","given":"Hadley","non-dropping-particle":"","parse-names":false,"suffix":""},{"dropping-particle":"","family":"Hester","given":"Jim","non-dropping-particle":"","parse-names":false,"suffix":""},{"dropping-particle":"","family":"Chang","given":"Winston","non-dropping-particle":"","parse-names":false,"suffix":""}],"id":"ITEM-1","issued":{"date-parts":[["2020"]]},"page":"R package version 2.3.2. https://CRAN.R-project.or","title":"Devtools: Tools to Make Developing R Packages Easier","type":"article"},"uris":["http://www.mendeley.com/documents/?uuid=3499543e-968d-4b69-90a6-51848801ab75"]}],"mendeley":{"formattedCitation":"(47)","plainTextFormattedCitation":"(47)","previouslyFormattedCitation":"(47)"},"properties":{"noteIndex":0},"schema":"https://github.com/citation-style-language/schema/raw/master/csl-citation.json"}</w:instrText>
      </w:r>
      <w:r w:rsidRPr="008D0798">
        <w:rPr>
          <w:rFonts w:ascii="Arial" w:hAnsi="Arial" w:cs="Arial"/>
          <w:color w:val="000000"/>
        </w:rPr>
        <w:fldChar w:fldCharType="separate"/>
      </w:r>
      <w:r w:rsidRPr="0096306D">
        <w:rPr>
          <w:rFonts w:ascii="Arial" w:hAnsi="Arial" w:cs="Arial"/>
          <w:noProof/>
          <w:color w:val="000000"/>
        </w:rPr>
        <w:t>(</w:t>
      </w:r>
      <w:r w:rsidRPr="00D51232">
        <w:rPr>
          <w:rFonts w:ascii="Arial" w:hAnsi="Arial" w:cs="Arial"/>
          <w:noProof/>
          <w:color w:val="FF0000"/>
        </w:rPr>
        <w:t>9</w:t>
      </w:r>
      <w:r w:rsidRPr="0096306D">
        <w:rPr>
          <w:rFonts w:ascii="Arial" w:hAnsi="Arial" w:cs="Arial"/>
          <w:noProof/>
          <w:color w:val="000000"/>
        </w:rPr>
        <w:t>)</w:t>
      </w:r>
      <w:r w:rsidRPr="008D0798">
        <w:rPr>
          <w:rFonts w:ascii="Arial" w:hAnsi="Arial" w:cs="Arial"/>
          <w:color w:val="000000"/>
        </w:rPr>
        <w:fldChar w:fldCharType="end"/>
      </w:r>
      <w:r w:rsidRPr="008D0798">
        <w:rPr>
          <w:rFonts w:ascii="Arial" w:hAnsi="Arial" w:cs="Arial"/>
          <w:color w:val="000000"/>
        </w:rPr>
        <w:t xml:space="preserve">, </w:t>
      </w:r>
      <w:proofErr w:type="spellStart"/>
      <w:r w:rsidRPr="008D0798">
        <w:rPr>
          <w:rFonts w:ascii="Arial" w:hAnsi="Arial" w:cs="Arial"/>
          <w:color w:val="000000"/>
        </w:rPr>
        <w:t>tidyverse</w:t>
      </w:r>
      <w:proofErr w:type="spellEnd"/>
      <w:r w:rsidRPr="008D0798">
        <w:rPr>
          <w:rFonts w:ascii="Arial" w:hAnsi="Arial" w:cs="Arial"/>
          <w:color w:val="000000"/>
        </w:rPr>
        <w:t xml:space="preserve"> </w:t>
      </w:r>
      <w:r w:rsidRPr="008D0798">
        <w:rPr>
          <w:rFonts w:ascii="Arial" w:hAnsi="Arial" w:cs="Arial"/>
          <w:color w:val="000000"/>
        </w:rPr>
        <w:fldChar w:fldCharType="begin" w:fldLock="1"/>
      </w:r>
      <w:r>
        <w:rPr>
          <w:rFonts w:ascii="Arial" w:hAnsi="Arial" w:cs="Arial"/>
          <w:color w:val="000000"/>
        </w:rPr>
        <w:instrText>ADDIN CSL_CITATION {"citationItems":[{"id":"ITEM-1","itemData":{"DOI":"10.21105/joss.01686","ISSN":"2475-9066","abstract":"At a high level, the tidyverse is a language for solving data science challenges with R code. Its primary goal is to facilitate a conversation between a human and a computer about data. Less abstractly, the tidyverse is a collection of R packages that share a high-level design philosophy and low-level grammar and data structures, so that learning one package makes it easier to learn the next. The tidyverse encompasses the repeated tasks at the heart of every data science project: data import, tidying, manipulation, visualisation, and programming. We expect that almost every project will use multiple domain-specific packages outside of the tidyverse: our goal is to provide tooling for the most common challenges; not to solve every possible problem. Notably, the tidyverse doesn’t include tools for statistical modelling or communication. These toolkits are critical for data science, but are so large that they merit separate treatment. The tidyverse package allows users to install all tidyverse packages with a single command. There are a number of projects that are similar in scope to the tidyverse. The closest is perhaps Bioconductor (Gentleman et al., 2004; Huber et al., 2015), which provides an ecosystem of packages that support the analysis of high-throughput genomic data. The tidyverse has similar goals to R itself, but any comparison to the R Project (R Core Team, 2019) is fundamentally challenging as the tidyverse is written in R, and relies on R for its infrastructure; there is no tidyverse without R! That said, the biggest difference is in priorities: base R is highly focussed on stability, whereas the tidyverse will make breaking changes in the search for better interfaces. Another closely related project is data.table (Dowle &amp; Srinivasan, 2019), which provides tools roughly to the combination of dplyr, tidyr, tibble, and readr. data.tableThis paper describes the tidyverse package, the components of the tidyverse, and some of the underlying design principles. This is a lot of ground to cover in a brief paper, so we focus on a 50,000-foot view showing how all the pieces fit together with copious links to more detailed resources prioritises","author":[{"dropping-particle":"","family":"Wickham","given":"Hadley","non-dropping-particle":"","parse-names":false,"suffix":""},{"dropping-particle":"","family":"Averick","given":"Mara","non-dropping-particle":"","parse-names":false,"suffix":""},{"dropping-particle":"","family":"Bryan","given":"Jennifer","non-dropping-particle":"","parse-names":false,"suffix":""},{"dropping-particle":"","family":"Chang","given":"Winston","non-dropping-particle":"","parse-names":false,"suffix":""},{"dropping-particle":"","family":"McGowan","given":"Lucy","non-dropping-particle":"","parse-names":false,"suffix":""},{"dropping-particle":"","family":"François","given":"Romain","non-dropping-particle":"","parse-names":false,"suffix":""},{"dropping-particle":"","family":"Grolemund","given":"Garrett","non-dropping-particle":"","parse-names":false,"suffix":""},{"dropping-particle":"","family":"Hayes","given":"Alex","non-dropping-particle":"","parse-names":false,"suffix":""},{"dropping-particle":"","family":"Henry","given":"Lionel","non-dropping-particle":"","parse-names":false,"suffix":""},{"dropping-particle":"","family":"Hester","given":"Jim","non-dropping-particle":"","parse-names":false,"suffix":""},{"dropping-particle":"","family":"Kuhn","given":"Max","non-dropping-particle":"","parse-names":false,"suffix":""},{"dropping-particle":"","family":"Pedersen","given":"Thomas","non-dropping-particle":"","parse-names":false,"suffix":""},{"dropping-particle":"","family":"Miller","given":"Evan","non-dropping-particle":"","parse-names":false,"suffix":""},{"dropping-particle":"","family":"Bache","given":"Stephan","non-dropping-particle":"","parse-names":false,"suffix":""},{"dropping-particle":"","family":"Müller","given":"Kirill","non-dropping-particle":"","parse-names":false,"suffix":""},{"dropping-particle":"","family":"Ooms","given":"Jeroen","non-dropping-particle":"","parse-names":false,"suffix":""},{"dropping-particle":"","family":"Robinson","given":"David","non-dropping-particle":"","parse-names":false,"suffix":""},{"dropping-particle":"","family":"Seidel","given":"Dana","non-dropping-particle":"","parse-names":false,"suffix":""},{"dropping-particle":"","family":"Spinu","given":"Vitalie","non-dropping-particle":"","parse-names":false,"suffix":""},{"dropping-particle":"","family":"Takahashi","given":"Kohske","non-dropping-particle":"","parse-names":false,"suffix":""},{"dropping-particle":"","family":"Vaughan","given":"Davis","non-dropping-particle":"","parse-names":false,"suffix":""},{"dropping-particle":"","family":"Wilke","given":"Claus","non-dropping-particle":"","parse-names":false,"suffix":""},{"dropping-particle":"","family":"Woo","given":"Kara","non-dropping-particle":"","parse-names":false,"suffix":""},{"dropping-particle":"","family":"Yutani","given":"Hiroaki","non-dropping-particle":"","parse-names":false,"suffix":""}],"container-title":"Journal of Open Source Software","id":"ITEM-1","issue":"43","issued":{"date-parts":[["2019"]]},"page":"1686. https://doi.org/10.21105/joss.01686","title":"Welcome to the Tidyverse","type":"article-journal","volume":"4"},"uris":["http://www.mendeley.com/documents/?uuid=f19e6a57-b1d3-4836-b6db-285f3fbf66d5"]}],"mendeley":{"formattedCitation":"(48)","plainTextFormattedCitation":"(48)","previouslyFormattedCitation":"(48)"},"properties":{"noteIndex":0},"schema":"https://github.com/citation-style-language/schema/raw/master/csl-citation.json"}</w:instrText>
      </w:r>
      <w:r w:rsidRPr="008D0798">
        <w:rPr>
          <w:rFonts w:ascii="Arial" w:hAnsi="Arial" w:cs="Arial"/>
          <w:color w:val="000000"/>
        </w:rPr>
        <w:fldChar w:fldCharType="separate"/>
      </w:r>
      <w:r w:rsidRPr="0096306D">
        <w:rPr>
          <w:rFonts w:ascii="Arial" w:hAnsi="Arial" w:cs="Arial"/>
          <w:noProof/>
          <w:color w:val="000000"/>
        </w:rPr>
        <w:t>(</w:t>
      </w:r>
      <w:r w:rsidRPr="00D51232">
        <w:rPr>
          <w:rFonts w:ascii="Arial" w:hAnsi="Arial" w:cs="Arial"/>
          <w:noProof/>
          <w:color w:val="FF0000"/>
        </w:rPr>
        <w:t>10</w:t>
      </w:r>
      <w:r w:rsidRPr="0096306D">
        <w:rPr>
          <w:rFonts w:ascii="Arial" w:hAnsi="Arial" w:cs="Arial"/>
          <w:noProof/>
          <w:color w:val="000000"/>
        </w:rPr>
        <w:t>)</w:t>
      </w:r>
      <w:r w:rsidRPr="008D0798">
        <w:rPr>
          <w:rFonts w:ascii="Arial" w:hAnsi="Arial" w:cs="Arial"/>
          <w:color w:val="000000"/>
        </w:rPr>
        <w:fldChar w:fldCharType="end"/>
      </w:r>
      <w:r w:rsidRPr="008D0798">
        <w:rPr>
          <w:rFonts w:ascii="Arial" w:hAnsi="Arial" w:cs="Arial"/>
          <w:color w:val="000000"/>
        </w:rPr>
        <w:t xml:space="preserve">, ggplot2 </w:t>
      </w:r>
      <w:r w:rsidRPr="008D0798">
        <w:rPr>
          <w:rFonts w:ascii="Arial" w:hAnsi="Arial" w:cs="Arial"/>
          <w:color w:val="000000"/>
        </w:rPr>
        <w:fldChar w:fldCharType="begin" w:fldLock="1"/>
      </w:r>
      <w:r>
        <w:rPr>
          <w:rFonts w:ascii="Arial" w:hAnsi="Arial" w:cs="Arial"/>
          <w:color w:val="000000"/>
        </w:rPr>
        <w:instrText>ADDIN CSL_CITATION {"citationItems":[{"id":"ITEM-1","itemData":{"ISBN":"978-3-319-24277-4","author":[{"dropping-particle":"","family":"Wickham","given":"Hadley","non-dropping-particle":"","parse-names":false,"suffix":""}],"id":"ITEM-1","issued":{"date-parts":[["2016"]]},"publisher":"Springer-Verlag New York","title":"ggplot2: Elegant Graphics for Data Analysis","type":"book"},"uris":["http://www.mendeley.com/documents/?uuid=e680f46f-fd48-4820-bcb8-63e3b9d75f2b"]}],"mendeley":{"formattedCitation":"(49)","plainTextFormattedCitation":"(49)","previouslyFormattedCitation":"(49)"},"properties":{"noteIndex":0},"schema":"https://github.com/citation-style-language/schema/raw/master/csl-citation.json"}</w:instrText>
      </w:r>
      <w:r w:rsidRPr="008D0798">
        <w:rPr>
          <w:rFonts w:ascii="Arial" w:hAnsi="Arial" w:cs="Arial"/>
          <w:color w:val="000000"/>
        </w:rPr>
        <w:fldChar w:fldCharType="separate"/>
      </w:r>
      <w:r w:rsidRPr="0096306D">
        <w:rPr>
          <w:rFonts w:ascii="Arial" w:hAnsi="Arial" w:cs="Arial"/>
          <w:noProof/>
          <w:color w:val="000000"/>
        </w:rPr>
        <w:t>(</w:t>
      </w:r>
      <w:r w:rsidRPr="00D51232">
        <w:rPr>
          <w:rFonts w:ascii="Arial" w:hAnsi="Arial" w:cs="Arial"/>
          <w:noProof/>
          <w:color w:val="FF0000"/>
        </w:rPr>
        <w:t>11</w:t>
      </w:r>
      <w:r w:rsidRPr="0096306D">
        <w:rPr>
          <w:rFonts w:ascii="Arial" w:hAnsi="Arial" w:cs="Arial"/>
          <w:noProof/>
          <w:color w:val="000000"/>
        </w:rPr>
        <w:t>)</w:t>
      </w:r>
      <w:r w:rsidRPr="008D0798">
        <w:rPr>
          <w:rFonts w:ascii="Arial" w:hAnsi="Arial" w:cs="Arial"/>
          <w:color w:val="000000"/>
        </w:rPr>
        <w:fldChar w:fldCharType="end"/>
      </w:r>
      <w:r>
        <w:rPr>
          <w:rFonts w:ascii="Arial" w:hAnsi="Arial" w:cs="Arial"/>
          <w:color w:val="000000"/>
        </w:rPr>
        <w:t xml:space="preserve"> </w:t>
      </w:r>
      <w:r w:rsidRPr="00D51232">
        <w:rPr>
          <w:rFonts w:ascii="Arial" w:hAnsi="Arial" w:cs="Arial"/>
          <w:color w:val="FF0000"/>
        </w:rPr>
        <w:t>and</w:t>
      </w:r>
      <w:r w:rsidRPr="008D0798">
        <w:rPr>
          <w:rFonts w:ascii="Arial" w:hAnsi="Arial" w:cs="Arial"/>
          <w:color w:val="000000"/>
        </w:rPr>
        <w:t xml:space="preserve"> </w:t>
      </w:r>
      <w:proofErr w:type="spellStart"/>
      <w:r w:rsidRPr="008D0798">
        <w:rPr>
          <w:rFonts w:ascii="Arial" w:hAnsi="Arial" w:cs="Arial"/>
          <w:color w:val="000000"/>
        </w:rPr>
        <w:t>pheatmap</w:t>
      </w:r>
      <w:proofErr w:type="spellEnd"/>
      <w:r w:rsidRPr="008D0798">
        <w:rPr>
          <w:rFonts w:ascii="Arial" w:hAnsi="Arial" w:cs="Arial"/>
          <w:color w:val="000000"/>
        </w:rPr>
        <w:t xml:space="preserve"> </w:t>
      </w:r>
      <w:r w:rsidRPr="008D0798">
        <w:rPr>
          <w:rFonts w:ascii="Arial" w:hAnsi="Arial" w:cs="Arial"/>
          <w:color w:val="000000"/>
        </w:rPr>
        <w:fldChar w:fldCharType="begin" w:fldLock="1"/>
      </w:r>
      <w:r>
        <w:rPr>
          <w:rFonts w:ascii="Arial" w:hAnsi="Arial" w:cs="Arial"/>
          <w:color w:val="000000"/>
        </w:rPr>
        <w:instrText>ADDIN CSL_CITATION {"citationItems":[{"id":"ITEM-1","itemData":{"abstract":"Raivo Kolde (2019). pheatmap: Pretty Heatmaps. R package version 1.0.12. https://CRAN.R-project.org/package=pheatmap","author":[{"dropping-particle":"","family":"Kolde","given":"Raivo","non-dropping-particle":"","parse-names":false,"suffix":""}],"id":"ITEM-1","issued":{"date-parts":[["2019"]]},"page":"1-8. https://doi.org/10.21105/joss.01686","title":"Package ‘pheatmap’: pretty heat map","type":"article-journal"},"uris":["http://www.mendeley.com/documents/?uuid=15d4ef2a-da7d-48de-9e4c-8af5aa352af2"]}],"mendeley":{"formattedCitation":"(50)","plainTextFormattedCitation":"(50)","previouslyFormattedCitation":"(50)"},"properties":{"noteIndex":0},"schema":"https://github.com/citation-style-language/schema/raw/master/csl-citation.json"}</w:instrText>
      </w:r>
      <w:r w:rsidRPr="008D0798">
        <w:rPr>
          <w:rFonts w:ascii="Arial" w:hAnsi="Arial" w:cs="Arial"/>
          <w:color w:val="000000"/>
        </w:rPr>
        <w:fldChar w:fldCharType="separate"/>
      </w:r>
      <w:r w:rsidRPr="0096306D">
        <w:rPr>
          <w:rFonts w:ascii="Arial" w:hAnsi="Arial" w:cs="Arial"/>
          <w:noProof/>
          <w:color w:val="000000"/>
        </w:rPr>
        <w:t>(</w:t>
      </w:r>
      <w:r w:rsidRPr="00D51232">
        <w:rPr>
          <w:rFonts w:ascii="Arial" w:hAnsi="Arial" w:cs="Arial"/>
          <w:noProof/>
          <w:color w:val="FF0000"/>
        </w:rPr>
        <w:t>12</w:t>
      </w:r>
      <w:r w:rsidRPr="0096306D">
        <w:rPr>
          <w:rFonts w:ascii="Arial" w:hAnsi="Arial" w:cs="Arial"/>
          <w:noProof/>
          <w:color w:val="000000"/>
        </w:rPr>
        <w:t>)</w:t>
      </w:r>
      <w:r w:rsidRPr="008D0798">
        <w:rPr>
          <w:rFonts w:ascii="Arial" w:hAnsi="Arial" w:cs="Arial"/>
          <w:color w:val="000000"/>
        </w:rPr>
        <w:fldChar w:fldCharType="end"/>
      </w:r>
      <w:r w:rsidRPr="008D0798">
        <w:rPr>
          <w:rFonts w:ascii="Arial" w:hAnsi="Arial" w:cs="Arial"/>
          <w:color w:val="000000"/>
        </w:rPr>
        <w:t xml:space="preserve"> </w:t>
      </w:r>
      <w:proofErr w:type="spellStart"/>
      <w:r w:rsidRPr="0096306D">
        <w:rPr>
          <w:rFonts w:ascii="Arial" w:hAnsi="Arial" w:cs="Arial"/>
          <w:color w:val="000000"/>
          <w:lang w:val="es-ES"/>
        </w:rPr>
        <w:t>packages</w:t>
      </w:r>
      <w:proofErr w:type="spellEnd"/>
      <w:r w:rsidRPr="0096306D">
        <w:rPr>
          <w:rFonts w:ascii="Arial" w:hAnsi="Arial" w:cs="Arial"/>
          <w:color w:val="000000"/>
          <w:lang w:val="es-ES"/>
        </w:rPr>
        <w:t>).</w:t>
      </w:r>
    </w:p>
    <w:p w:rsidR="008F27FE" w:rsidRPr="0096306D" w:rsidRDefault="008F27FE" w:rsidP="008F27FE">
      <w:pPr>
        <w:spacing w:line="360" w:lineRule="auto"/>
        <w:rPr>
          <w:rFonts w:ascii="Arial" w:hAnsi="Arial"/>
          <w:b/>
          <w:lang w:val="es-ES"/>
        </w:rPr>
      </w:pPr>
    </w:p>
    <w:p w:rsidR="008F27FE" w:rsidRPr="0096306D" w:rsidRDefault="008F27FE" w:rsidP="008F27FE">
      <w:pPr>
        <w:spacing w:line="360" w:lineRule="auto"/>
        <w:rPr>
          <w:rFonts w:ascii="Arial" w:hAnsi="Arial"/>
          <w:b/>
          <w:lang w:val="es-ES"/>
        </w:rPr>
      </w:pPr>
    </w:p>
    <w:p w:rsidR="008F27FE" w:rsidRPr="0096306D" w:rsidRDefault="008F27FE" w:rsidP="008F27FE">
      <w:pPr>
        <w:spacing w:line="360" w:lineRule="auto"/>
        <w:rPr>
          <w:rFonts w:ascii="Arial" w:hAnsi="Arial" w:cs="Arial"/>
          <w:noProof/>
          <w:lang w:val="es-ES"/>
        </w:rPr>
      </w:pPr>
      <w:r w:rsidRPr="0096306D">
        <w:rPr>
          <w:rFonts w:ascii="Arial" w:hAnsi="Arial"/>
          <w:b/>
          <w:lang w:val="es-ES"/>
        </w:rPr>
        <w:t>REFERENCES</w:t>
      </w:r>
      <w:r>
        <w:rPr>
          <w:rFonts w:ascii="Arial" w:hAnsi="Arial"/>
        </w:rPr>
        <w:fldChar w:fldCharType="begin" w:fldLock="1"/>
      </w:r>
      <w:r w:rsidRPr="005644ED">
        <w:rPr>
          <w:rFonts w:ascii="Arial" w:hAnsi="Arial"/>
          <w:lang w:val="es-ES"/>
        </w:rPr>
        <w:instrText xml:space="preserve">ADDIN Mendeley Bibliography CSL_BIBLIOGRAPHY </w:instrText>
      </w:r>
      <w:r>
        <w:rPr>
          <w:rFonts w:ascii="Arial" w:hAnsi="Arial"/>
        </w:rPr>
        <w:fldChar w:fldCharType="separate"/>
      </w:r>
    </w:p>
    <w:p w:rsidR="008F27FE" w:rsidRPr="0096306D" w:rsidRDefault="008F27FE" w:rsidP="008F27FE">
      <w:pPr>
        <w:widowControl w:val="0"/>
        <w:autoSpaceDE w:val="0"/>
        <w:autoSpaceDN w:val="0"/>
        <w:adjustRightInd w:val="0"/>
        <w:spacing w:before="120" w:line="360" w:lineRule="auto"/>
        <w:ind w:left="640" w:hanging="640"/>
        <w:rPr>
          <w:rFonts w:ascii="Arial" w:hAnsi="Arial" w:cs="Arial"/>
          <w:noProof/>
        </w:rPr>
      </w:pPr>
      <w:r w:rsidRPr="00D51232">
        <w:rPr>
          <w:rFonts w:ascii="Arial" w:hAnsi="Arial" w:cs="Arial"/>
          <w:noProof/>
          <w:color w:val="FF0000"/>
          <w:lang w:val="es-ES"/>
        </w:rPr>
        <w:t xml:space="preserve">1. </w:t>
      </w:r>
      <w:r w:rsidRPr="0096306D">
        <w:rPr>
          <w:rFonts w:ascii="Arial" w:hAnsi="Arial" w:cs="Arial"/>
          <w:noProof/>
          <w:lang w:val="es-ES"/>
        </w:rPr>
        <w:tab/>
        <w:t xml:space="preserve">Nagura-Ikeda M, Imai K, Tabata S, Miyoshi K, Murahara N, Mizuno T, et al. </w:t>
      </w:r>
      <w:r w:rsidRPr="0096306D">
        <w:rPr>
          <w:rFonts w:ascii="Arial" w:hAnsi="Arial" w:cs="Arial"/>
          <w:noProof/>
        </w:rPr>
        <w:t xml:space="preserve">Clinical Evaluation of Self-Collected Saliva by Quantitative Reverse Transcription-PCR (RT-qPCR), Direct RT-qPCR, Reverse Transcription-Loop-Mediated Isothermal Amplification, and a Rapid Antigen Test To Diagnose COVID-19. J Clin Microbiol. 2020;58(9):e01438-20. </w:t>
      </w:r>
    </w:p>
    <w:p w:rsidR="008F27FE" w:rsidRPr="0096306D" w:rsidRDefault="008F27FE" w:rsidP="008F27FE">
      <w:pPr>
        <w:widowControl w:val="0"/>
        <w:autoSpaceDE w:val="0"/>
        <w:autoSpaceDN w:val="0"/>
        <w:adjustRightInd w:val="0"/>
        <w:spacing w:before="120" w:line="360" w:lineRule="auto"/>
        <w:ind w:left="640" w:hanging="640"/>
        <w:rPr>
          <w:rFonts w:ascii="Arial" w:hAnsi="Arial" w:cs="Arial"/>
          <w:noProof/>
        </w:rPr>
      </w:pPr>
      <w:r w:rsidRPr="00D51232">
        <w:rPr>
          <w:rFonts w:ascii="Arial" w:hAnsi="Arial" w:cs="Arial"/>
          <w:noProof/>
          <w:color w:val="FF0000"/>
          <w:lang w:val="es-ES"/>
        </w:rPr>
        <w:t xml:space="preserve">2. </w:t>
      </w:r>
      <w:r w:rsidRPr="0096306D">
        <w:rPr>
          <w:rFonts w:ascii="Arial" w:hAnsi="Arial" w:cs="Arial"/>
          <w:noProof/>
          <w:lang w:val="es-ES"/>
        </w:rPr>
        <w:tab/>
        <w:t xml:space="preserve">Sabino-Silva R, Jardim ACG, Siqueira WL. </w:t>
      </w:r>
      <w:r w:rsidRPr="0096306D">
        <w:rPr>
          <w:rFonts w:ascii="Arial" w:hAnsi="Arial" w:cs="Arial"/>
          <w:noProof/>
        </w:rPr>
        <w:t xml:space="preserve">Coronavirus COVID-19 impacts to dentistry and potential salivary diagnosis. </w:t>
      </w:r>
      <w:r>
        <w:rPr>
          <w:rFonts w:ascii="Arial" w:hAnsi="Arial" w:cs="Arial"/>
          <w:noProof/>
        </w:rPr>
        <w:t>Clin Oral Inves</w:t>
      </w:r>
      <w:r w:rsidRPr="0096306D">
        <w:rPr>
          <w:rFonts w:ascii="Arial" w:hAnsi="Arial" w:cs="Arial"/>
          <w:noProof/>
        </w:rPr>
        <w:t>. 2020</w:t>
      </w:r>
      <w:r>
        <w:rPr>
          <w:rFonts w:ascii="Arial" w:hAnsi="Arial" w:cs="Arial"/>
          <w:noProof/>
        </w:rPr>
        <w:t>;</w:t>
      </w:r>
      <w:r w:rsidRPr="0096306D">
        <w:rPr>
          <w:rFonts w:ascii="Arial" w:hAnsi="Arial" w:cs="Arial"/>
          <w:noProof/>
        </w:rPr>
        <w:t>24</w:t>
      </w:r>
      <w:r>
        <w:rPr>
          <w:rFonts w:ascii="Arial" w:hAnsi="Arial" w:cs="Arial"/>
          <w:noProof/>
        </w:rPr>
        <w:t>:</w:t>
      </w:r>
      <w:r w:rsidRPr="0096306D">
        <w:rPr>
          <w:rFonts w:ascii="Arial" w:hAnsi="Arial" w:cs="Arial"/>
          <w:noProof/>
        </w:rPr>
        <w:t xml:space="preserve">1619–21. </w:t>
      </w:r>
    </w:p>
    <w:p w:rsidR="008F27FE" w:rsidRPr="0096306D" w:rsidRDefault="008F27FE" w:rsidP="008F27FE">
      <w:pPr>
        <w:widowControl w:val="0"/>
        <w:autoSpaceDE w:val="0"/>
        <w:autoSpaceDN w:val="0"/>
        <w:adjustRightInd w:val="0"/>
        <w:spacing w:before="120" w:line="360" w:lineRule="auto"/>
        <w:ind w:left="640" w:hanging="640"/>
        <w:rPr>
          <w:rFonts w:ascii="Arial" w:hAnsi="Arial" w:cs="Arial"/>
          <w:noProof/>
        </w:rPr>
      </w:pPr>
      <w:r w:rsidRPr="00D51232">
        <w:rPr>
          <w:rFonts w:ascii="Arial" w:hAnsi="Arial" w:cs="Arial"/>
          <w:noProof/>
          <w:color w:val="FF0000"/>
        </w:rPr>
        <w:t>3.</w:t>
      </w:r>
      <w:r w:rsidRPr="0096306D">
        <w:rPr>
          <w:rFonts w:ascii="Arial" w:hAnsi="Arial" w:cs="Arial"/>
          <w:noProof/>
        </w:rPr>
        <w:t xml:space="preserve"> </w:t>
      </w:r>
      <w:r w:rsidRPr="0096306D">
        <w:rPr>
          <w:rFonts w:ascii="Arial" w:hAnsi="Arial" w:cs="Arial"/>
          <w:noProof/>
        </w:rPr>
        <w:tab/>
        <w:t xml:space="preserve">WHO. Laboratory Testing for Middle East Respiratory Syndrome Coronavirus. Interim Guid Geneva, Switz. 2018;1–8. </w:t>
      </w:r>
    </w:p>
    <w:p w:rsidR="008F27FE" w:rsidRPr="0096306D" w:rsidRDefault="008F27FE" w:rsidP="008F27FE">
      <w:pPr>
        <w:widowControl w:val="0"/>
        <w:autoSpaceDE w:val="0"/>
        <w:autoSpaceDN w:val="0"/>
        <w:adjustRightInd w:val="0"/>
        <w:spacing w:before="120" w:line="360" w:lineRule="auto"/>
        <w:ind w:left="640" w:hanging="640"/>
        <w:rPr>
          <w:rFonts w:ascii="Arial" w:hAnsi="Arial" w:cs="Arial"/>
          <w:noProof/>
        </w:rPr>
      </w:pPr>
      <w:r w:rsidRPr="00D51232">
        <w:rPr>
          <w:rFonts w:ascii="Arial" w:hAnsi="Arial" w:cs="Arial"/>
          <w:noProof/>
          <w:color w:val="FF0000"/>
        </w:rPr>
        <w:t>4.</w:t>
      </w:r>
      <w:r w:rsidRPr="0096306D">
        <w:rPr>
          <w:rFonts w:ascii="Arial" w:hAnsi="Arial" w:cs="Arial"/>
          <w:noProof/>
        </w:rPr>
        <w:t xml:space="preserve"> </w:t>
      </w:r>
      <w:r w:rsidRPr="0096306D">
        <w:rPr>
          <w:rFonts w:ascii="Arial" w:hAnsi="Arial" w:cs="Arial"/>
          <w:noProof/>
        </w:rPr>
        <w:tab/>
        <w:t xml:space="preserve">European Medicines Agency. Guideline on clinical evaluation of vaccines. Comm Hum </w:t>
      </w:r>
      <w:r w:rsidRPr="0096306D">
        <w:rPr>
          <w:rFonts w:ascii="Arial" w:hAnsi="Arial" w:cs="Arial"/>
          <w:noProof/>
        </w:rPr>
        <w:lastRenderedPageBreak/>
        <w:t xml:space="preserve">Med Prod. 2018;1–21. </w:t>
      </w:r>
    </w:p>
    <w:p w:rsidR="008F27FE" w:rsidRPr="0096306D" w:rsidRDefault="008F27FE" w:rsidP="008F27FE">
      <w:pPr>
        <w:widowControl w:val="0"/>
        <w:autoSpaceDE w:val="0"/>
        <w:autoSpaceDN w:val="0"/>
        <w:adjustRightInd w:val="0"/>
        <w:spacing w:before="120" w:line="360" w:lineRule="auto"/>
        <w:ind w:left="640" w:hanging="640"/>
        <w:rPr>
          <w:rFonts w:ascii="Arial" w:hAnsi="Arial" w:cs="Arial"/>
          <w:noProof/>
        </w:rPr>
      </w:pPr>
      <w:r w:rsidRPr="00D51232">
        <w:rPr>
          <w:rFonts w:ascii="Arial" w:hAnsi="Arial" w:cs="Arial"/>
          <w:noProof/>
          <w:color w:val="FF0000"/>
        </w:rPr>
        <w:t>5.</w:t>
      </w:r>
      <w:r w:rsidRPr="0096306D">
        <w:rPr>
          <w:rFonts w:ascii="Arial" w:hAnsi="Arial" w:cs="Arial"/>
          <w:noProof/>
        </w:rPr>
        <w:t xml:space="preserve"> </w:t>
      </w:r>
      <w:r w:rsidRPr="0096306D">
        <w:rPr>
          <w:rFonts w:ascii="Arial" w:hAnsi="Arial" w:cs="Arial"/>
          <w:noProof/>
        </w:rPr>
        <w:tab/>
        <w:t xml:space="preserve">Long Q-X, Liu B-Z, Deng H-J, Wu G-C, Deng K, Chen Y-K, et al. Antibody responses to SARS-CoV-2 in patients with COVID-19. Nat Med. 2020;26:845–848. </w:t>
      </w:r>
    </w:p>
    <w:p w:rsidR="008F27FE" w:rsidRPr="0096306D" w:rsidRDefault="008F27FE" w:rsidP="008F27FE">
      <w:pPr>
        <w:widowControl w:val="0"/>
        <w:autoSpaceDE w:val="0"/>
        <w:autoSpaceDN w:val="0"/>
        <w:adjustRightInd w:val="0"/>
        <w:spacing w:before="120" w:line="360" w:lineRule="auto"/>
        <w:ind w:left="640" w:hanging="640"/>
        <w:rPr>
          <w:rFonts w:ascii="Arial" w:hAnsi="Arial" w:cs="Arial"/>
          <w:noProof/>
        </w:rPr>
      </w:pPr>
      <w:r w:rsidRPr="00D51232">
        <w:rPr>
          <w:rFonts w:ascii="Arial" w:hAnsi="Arial" w:cs="Arial"/>
          <w:noProof/>
          <w:color w:val="FF0000"/>
        </w:rPr>
        <w:t>6.</w:t>
      </w:r>
      <w:r w:rsidRPr="0096306D">
        <w:rPr>
          <w:rFonts w:ascii="Arial" w:hAnsi="Arial" w:cs="Arial"/>
          <w:noProof/>
        </w:rPr>
        <w:t xml:space="preserve"> </w:t>
      </w:r>
      <w:r w:rsidRPr="0096306D">
        <w:rPr>
          <w:rFonts w:ascii="Arial" w:hAnsi="Arial" w:cs="Arial"/>
          <w:noProof/>
        </w:rPr>
        <w:tab/>
        <w:t xml:space="preserve">Trieu M-C, Bansal A, Madsen A, Zhou F, Sævik M, Vahokoski J, et al. SARS-CoV-2-Specific Neutralizing Antibody Responses in Norwegian Health Care Workers  After the First Wave of COVID-19 Pandemic: A Prospective Cohort Study. J Infect Dis. 2021;223(4):589–99. </w:t>
      </w:r>
    </w:p>
    <w:p w:rsidR="008F27FE" w:rsidRPr="0096306D" w:rsidRDefault="008F27FE" w:rsidP="008F27FE">
      <w:pPr>
        <w:widowControl w:val="0"/>
        <w:autoSpaceDE w:val="0"/>
        <w:autoSpaceDN w:val="0"/>
        <w:adjustRightInd w:val="0"/>
        <w:spacing w:before="120" w:line="360" w:lineRule="auto"/>
        <w:ind w:left="640" w:hanging="640"/>
        <w:rPr>
          <w:rFonts w:ascii="Arial" w:hAnsi="Arial" w:cs="Arial"/>
          <w:noProof/>
        </w:rPr>
      </w:pPr>
      <w:r w:rsidRPr="00D51232">
        <w:rPr>
          <w:rFonts w:ascii="Arial" w:hAnsi="Arial" w:cs="Arial"/>
          <w:noProof/>
          <w:color w:val="FF0000"/>
        </w:rPr>
        <w:t>7.</w:t>
      </w:r>
      <w:r w:rsidRPr="0096306D">
        <w:rPr>
          <w:rFonts w:ascii="Arial" w:hAnsi="Arial" w:cs="Arial"/>
          <w:noProof/>
        </w:rPr>
        <w:t xml:space="preserve"> </w:t>
      </w:r>
      <w:r w:rsidRPr="0096306D">
        <w:rPr>
          <w:rFonts w:ascii="Arial" w:hAnsi="Arial" w:cs="Arial"/>
          <w:noProof/>
        </w:rPr>
        <w:tab/>
        <w:t>Zhu F-C, Guan X-H, Li Y-H, Huang J-Y, Jiang T, Hou L-H, et al. Immunogenicity and safety of a recombinant adeno</w:t>
      </w:r>
      <w:r>
        <w:rPr>
          <w:rFonts w:ascii="Arial" w:hAnsi="Arial" w:cs="Arial"/>
          <w:noProof/>
        </w:rPr>
        <w:t xml:space="preserve">virus type-5-vectored COVID-19 </w:t>
      </w:r>
      <w:r w:rsidRPr="0096306D">
        <w:rPr>
          <w:rFonts w:ascii="Arial" w:hAnsi="Arial" w:cs="Arial"/>
          <w:noProof/>
        </w:rPr>
        <w:t xml:space="preserve">vaccine in healthy adults aged 18 years or older: a randomised, double-blind, placebo-controlled, phase 2 trial. Lancet (London, England). 2020;396(10249):479–88. </w:t>
      </w:r>
    </w:p>
    <w:p w:rsidR="008F27FE" w:rsidRPr="0096306D" w:rsidRDefault="008F27FE" w:rsidP="008F27FE">
      <w:pPr>
        <w:widowControl w:val="0"/>
        <w:autoSpaceDE w:val="0"/>
        <w:autoSpaceDN w:val="0"/>
        <w:adjustRightInd w:val="0"/>
        <w:spacing w:before="120" w:line="360" w:lineRule="auto"/>
        <w:ind w:left="640" w:hanging="640"/>
        <w:rPr>
          <w:rFonts w:ascii="Arial" w:hAnsi="Arial" w:cs="Arial"/>
          <w:noProof/>
        </w:rPr>
      </w:pPr>
      <w:r w:rsidRPr="00D51232">
        <w:rPr>
          <w:rFonts w:ascii="Arial" w:hAnsi="Arial" w:cs="Arial"/>
          <w:noProof/>
          <w:color w:val="FF0000"/>
        </w:rPr>
        <w:t xml:space="preserve">8. </w:t>
      </w:r>
      <w:r w:rsidRPr="0096306D">
        <w:rPr>
          <w:rFonts w:ascii="Arial" w:hAnsi="Arial" w:cs="Arial"/>
          <w:noProof/>
        </w:rPr>
        <w:tab/>
        <w:t>Xia S, Zhang Y, Wang Y, Wang H, Yang Y, Gao GF, et al. Safety and immunogenicity of an inactivated SARS-CoV-2 vaccine, BBIBP</w:t>
      </w:r>
      <w:r>
        <w:rPr>
          <w:rFonts w:ascii="Arial" w:hAnsi="Arial" w:cs="Arial"/>
          <w:noProof/>
        </w:rPr>
        <w:t>-CorV: a</w:t>
      </w:r>
      <w:r w:rsidRPr="0096306D">
        <w:rPr>
          <w:rFonts w:ascii="Arial" w:hAnsi="Arial" w:cs="Arial"/>
          <w:noProof/>
        </w:rPr>
        <w:t xml:space="preserve"> randomised, double-blind, placebo-controlled, phase 1/2 trial. Lancet Infect Dis. 2021;21(1):39–51. </w:t>
      </w:r>
    </w:p>
    <w:p w:rsidR="008F27FE" w:rsidRPr="0096306D" w:rsidRDefault="008F27FE" w:rsidP="008F27FE">
      <w:pPr>
        <w:widowControl w:val="0"/>
        <w:autoSpaceDE w:val="0"/>
        <w:autoSpaceDN w:val="0"/>
        <w:adjustRightInd w:val="0"/>
        <w:spacing w:before="120" w:line="360" w:lineRule="auto"/>
        <w:ind w:left="640" w:hanging="640"/>
        <w:rPr>
          <w:rFonts w:ascii="Arial" w:hAnsi="Arial" w:cs="Arial"/>
          <w:noProof/>
        </w:rPr>
      </w:pPr>
      <w:r w:rsidRPr="00D51232">
        <w:rPr>
          <w:rFonts w:ascii="Arial" w:hAnsi="Arial" w:cs="Arial"/>
          <w:noProof/>
          <w:color w:val="FF0000"/>
        </w:rPr>
        <w:t>9.</w:t>
      </w:r>
      <w:r w:rsidRPr="0096306D">
        <w:rPr>
          <w:rFonts w:ascii="Arial" w:hAnsi="Arial" w:cs="Arial"/>
          <w:noProof/>
        </w:rPr>
        <w:t xml:space="preserve"> </w:t>
      </w:r>
      <w:r w:rsidRPr="0096306D">
        <w:rPr>
          <w:rFonts w:ascii="Arial" w:hAnsi="Arial" w:cs="Arial"/>
          <w:noProof/>
        </w:rPr>
        <w:tab/>
        <w:t xml:space="preserve">Wickham H, Hester J, Chang W. Devtools: Tools to Make Developing R Packages Easier. 2020. p. R package version 2.3.2. https://CRAN.R-project.or. </w:t>
      </w:r>
    </w:p>
    <w:p w:rsidR="008F27FE" w:rsidRPr="0096306D" w:rsidRDefault="008F27FE" w:rsidP="008F27FE">
      <w:pPr>
        <w:widowControl w:val="0"/>
        <w:autoSpaceDE w:val="0"/>
        <w:autoSpaceDN w:val="0"/>
        <w:adjustRightInd w:val="0"/>
        <w:spacing w:before="120" w:line="360" w:lineRule="auto"/>
        <w:ind w:left="640" w:hanging="640"/>
        <w:rPr>
          <w:rFonts w:ascii="Arial" w:hAnsi="Arial" w:cs="Arial"/>
          <w:noProof/>
        </w:rPr>
      </w:pPr>
      <w:r w:rsidRPr="00D51232">
        <w:rPr>
          <w:rFonts w:ascii="Arial" w:hAnsi="Arial" w:cs="Arial"/>
          <w:noProof/>
          <w:color w:val="FF0000"/>
        </w:rPr>
        <w:t>10.</w:t>
      </w:r>
      <w:r w:rsidRPr="0096306D">
        <w:rPr>
          <w:rFonts w:ascii="Arial" w:hAnsi="Arial" w:cs="Arial"/>
          <w:noProof/>
        </w:rPr>
        <w:t xml:space="preserve"> </w:t>
      </w:r>
      <w:r w:rsidRPr="0096306D">
        <w:rPr>
          <w:rFonts w:ascii="Arial" w:hAnsi="Arial" w:cs="Arial"/>
          <w:noProof/>
        </w:rPr>
        <w:tab/>
        <w:t xml:space="preserve">Wickham H, Averick M, Bryan J, Chang W, McGowan L, François R, et al. Welcome to the Tidyverse. J Open Source Softw. 2019;4(43):1686. https://doi.org/10.21105/joss.01686. </w:t>
      </w:r>
    </w:p>
    <w:p w:rsidR="008F27FE" w:rsidRPr="0096306D" w:rsidRDefault="008F27FE" w:rsidP="008F27FE">
      <w:pPr>
        <w:widowControl w:val="0"/>
        <w:autoSpaceDE w:val="0"/>
        <w:autoSpaceDN w:val="0"/>
        <w:adjustRightInd w:val="0"/>
        <w:spacing w:before="120" w:line="360" w:lineRule="auto"/>
        <w:ind w:left="640" w:hanging="640"/>
        <w:rPr>
          <w:rFonts w:ascii="Arial" w:hAnsi="Arial" w:cs="Arial"/>
          <w:noProof/>
        </w:rPr>
      </w:pPr>
      <w:r w:rsidRPr="00D51232">
        <w:rPr>
          <w:rFonts w:ascii="Arial" w:hAnsi="Arial" w:cs="Arial"/>
          <w:noProof/>
          <w:color w:val="FF0000"/>
        </w:rPr>
        <w:t>11.</w:t>
      </w:r>
      <w:r w:rsidRPr="0096306D">
        <w:rPr>
          <w:rFonts w:ascii="Arial" w:hAnsi="Arial" w:cs="Arial"/>
          <w:noProof/>
        </w:rPr>
        <w:t xml:space="preserve"> </w:t>
      </w:r>
      <w:r w:rsidRPr="0096306D">
        <w:rPr>
          <w:rFonts w:ascii="Arial" w:hAnsi="Arial" w:cs="Arial"/>
          <w:noProof/>
        </w:rPr>
        <w:tab/>
        <w:t>Wickham H. ggplot2: Elegant Graphics for Data Analysis [Internet]. Springer-Verlag New York; 2016. Available from: https://ggplot2.tidyverse.org</w:t>
      </w:r>
    </w:p>
    <w:p w:rsidR="008F27FE" w:rsidRPr="0096306D" w:rsidRDefault="008F27FE" w:rsidP="008F27FE">
      <w:pPr>
        <w:widowControl w:val="0"/>
        <w:autoSpaceDE w:val="0"/>
        <w:autoSpaceDN w:val="0"/>
        <w:adjustRightInd w:val="0"/>
        <w:spacing w:before="120" w:line="360" w:lineRule="auto"/>
        <w:ind w:left="640" w:hanging="640"/>
        <w:rPr>
          <w:rFonts w:ascii="Arial" w:hAnsi="Arial" w:cs="Arial"/>
          <w:noProof/>
        </w:rPr>
      </w:pPr>
      <w:r w:rsidRPr="00D51232">
        <w:rPr>
          <w:rFonts w:ascii="Arial" w:hAnsi="Arial" w:cs="Arial"/>
          <w:noProof/>
          <w:color w:val="FF0000"/>
        </w:rPr>
        <w:t>12.</w:t>
      </w:r>
      <w:r w:rsidRPr="0096306D">
        <w:rPr>
          <w:rFonts w:ascii="Arial" w:hAnsi="Arial" w:cs="Arial"/>
          <w:noProof/>
        </w:rPr>
        <w:t xml:space="preserve"> </w:t>
      </w:r>
      <w:r w:rsidRPr="0096306D">
        <w:rPr>
          <w:rFonts w:ascii="Arial" w:hAnsi="Arial" w:cs="Arial"/>
          <w:noProof/>
        </w:rPr>
        <w:tab/>
        <w:t xml:space="preserve">Kolde R. Package ‘pheatmap’: pretty heat map. 2019;1-8. https://doi.org/10.21105/joss.01686. </w:t>
      </w:r>
    </w:p>
    <w:p w:rsidR="008F27FE" w:rsidRPr="0096306D" w:rsidRDefault="008F27FE" w:rsidP="008F27FE">
      <w:pPr>
        <w:widowControl w:val="0"/>
        <w:autoSpaceDE w:val="0"/>
        <w:autoSpaceDN w:val="0"/>
        <w:adjustRightInd w:val="0"/>
        <w:spacing w:before="120" w:line="360" w:lineRule="auto"/>
        <w:ind w:left="640" w:hanging="640"/>
        <w:rPr>
          <w:rFonts w:ascii="Arial" w:hAnsi="Arial" w:cs="Arial"/>
          <w:noProof/>
        </w:rPr>
      </w:pPr>
    </w:p>
    <w:p w:rsidR="008F27FE" w:rsidRDefault="008F27FE" w:rsidP="008F27FE">
      <w:r>
        <w:rPr>
          <w:rFonts w:ascii="Arial" w:hAnsi="Arial"/>
        </w:rPr>
        <w:fldChar w:fldCharType="end"/>
      </w:r>
    </w:p>
    <w:sectPr w:rsidR="008F27F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7FE"/>
    <w:rsid w:val="001002FC"/>
    <w:rsid w:val="008F27FE"/>
    <w:rsid w:val="00930E5F"/>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alyaf">
    <w:name w:val="halyaf"/>
    <w:basedOn w:val="DefaultParagraphFont"/>
    <w:rsid w:val="008F27FE"/>
  </w:style>
  <w:style w:type="paragraph" w:styleId="BalloonText">
    <w:name w:val="Balloon Text"/>
    <w:basedOn w:val="Normal"/>
    <w:link w:val="BalloonTextChar"/>
    <w:uiPriority w:val="99"/>
    <w:semiHidden/>
    <w:unhideWhenUsed/>
    <w:rsid w:val="008F27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27F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alyaf">
    <w:name w:val="halyaf"/>
    <w:basedOn w:val="DefaultParagraphFont"/>
    <w:rsid w:val="008F27FE"/>
  </w:style>
  <w:style w:type="paragraph" w:styleId="BalloonText">
    <w:name w:val="Balloon Text"/>
    <w:basedOn w:val="Normal"/>
    <w:link w:val="BalloonTextChar"/>
    <w:uiPriority w:val="99"/>
    <w:semiHidden/>
    <w:unhideWhenUsed/>
    <w:rsid w:val="008F27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27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6689</Words>
  <Characters>38132</Characters>
  <Application>Microsoft Office Word</Application>
  <DocSecurity>0</DocSecurity>
  <Lines>317</Lines>
  <Paragraphs>89</Paragraphs>
  <ScaleCrop>false</ScaleCrop>
  <Company/>
  <LinksUpToDate>false</LinksUpToDate>
  <CharactersWithSpaces>44732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JOLLORENTE</dc:creator>
  <cp:lastModifiedBy>Gladys Limguis</cp:lastModifiedBy>
  <cp:revision>2</cp:revision>
  <dcterms:created xsi:type="dcterms:W3CDTF">2021-11-12T11:26:00Z</dcterms:created>
  <dcterms:modified xsi:type="dcterms:W3CDTF">2021-11-19T20:25:00Z</dcterms:modified>
</cp:coreProperties>
</file>