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4F3" w:rsidRDefault="007874F3" w:rsidP="007874F3">
      <w:pPr>
        <w:spacing w:after="60"/>
        <w:rPr>
          <w:rFonts w:ascii="Arial" w:hAnsi="Arial"/>
          <w:lang w:val="en-US"/>
        </w:rPr>
      </w:pPr>
      <w:r>
        <w:rPr>
          <w:rFonts w:ascii="Arial" w:hAnsi="Arial"/>
          <w:b/>
          <w:lang w:val="en-US"/>
        </w:rPr>
        <w:t xml:space="preserve">Additional file 5: </w:t>
      </w:r>
      <w:r w:rsidRPr="004E7709">
        <w:rPr>
          <w:rFonts w:ascii="Arial" w:hAnsi="Arial"/>
          <w:b/>
          <w:lang w:val="en-US"/>
        </w:rPr>
        <w:t>Figure S2.</w:t>
      </w:r>
      <w:r>
        <w:rPr>
          <w:rFonts w:ascii="Arial" w:hAnsi="Arial"/>
          <w:lang w:val="en-US"/>
        </w:rPr>
        <w:t xml:space="preserve"> </w:t>
      </w:r>
      <w:r w:rsidRPr="00E477C2">
        <w:rPr>
          <w:rFonts w:ascii="Arial" w:hAnsi="Arial"/>
          <w:b/>
          <w:lang w:val="en-US"/>
        </w:rPr>
        <w:t>Antibody levels from first to last visits and in unique samples in RT-PCR positives</w:t>
      </w:r>
      <w:r>
        <w:rPr>
          <w:rFonts w:ascii="Arial" w:hAnsi="Arial"/>
          <w:lang w:val="en-US"/>
        </w:rPr>
        <w:t>. RT-PCR positive individuals (in orange) had higher geometric mean of IgA and IgG levels for most antigens than RT-PCR negative individuals (in green), but not statistically significant (data not shown).</w:t>
      </w:r>
    </w:p>
    <w:p w:rsidR="007874F3" w:rsidRDefault="007874F3" w:rsidP="007874F3">
      <w:pPr>
        <w:rPr>
          <w:rFonts w:ascii="Arial" w:hAnsi="Arial"/>
          <w:lang w:val="en-US"/>
        </w:rPr>
      </w:pPr>
    </w:p>
    <w:p w:rsidR="007874F3" w:rsidRDefault="007874F3" w:rsidP="007874F3">
      <w:pPr>
        <w:rPr>
          <w:rFonts w:ascii="Arial" w:hAnsi="Arial"/>
          <w:lang w:val="en-US"/>
        </w:rPr>
      </w:pPr>
      <w:r>
        <w:rPr>
          <w:rFonts w:ascii="Arial" w:hAnsi="Arial"/>
          <w:noProof/>
          <w:lang w:val="en-US"/>
        </w:rPr>
        <w:drawing>
          <wp:inline distT="0" distB="0" distL="0" distR="0" wp14:anchorId="12D5BF2D" wp14:editId="2D13E981">
            <wp:extent cx="5715000" cy="4145583"/>
            <wp:effectExtent l="0" t="0" r="0" b="0"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792" cy="4146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4F3" w:rsidRDefault="007874F3" w:rsidP="007874F3">
      <w:pPr>
        <w:rPr>
          <w:rFonts w:ascii="Arial" w:hAnsi="Arial"/>
          <w:b/>
          <w:lang w:val="en-US"/>
        </w:rPr>
      </w:pPr>
      <w:r>
        <w:rPr>
          <w:rFonts w:ascii="Arial" w:hAnsi="Arial"/>
          <w:b/>
          <w:lang w:val="en-US"/>
        </w:rPr>
        <w:br w:type="page"/>
      </w:r>
      <w:bookmarkStart w:id="0" w:name="_GoBack"/>
      <w:bookmarkEnd w:id="0"/>
    </w:p>
    <w:p w:rsidR="007874F3" w:rsidRDefault="007874F3"/>
    <w:sectPr w:rsidR="007874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4F3"/>
    <w:rsid w:val="007874F3"/>
    <w:rsid w:val="00930E5F"/>
    <w:rsid w:val="00E4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7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4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7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4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JOLLORENTE</dc:creator>
  <cp:lastModifiedBy>Gladys Limguis</cp:lastModifiedBy>
  <cp:revision>2</cp:revision>
  <dcterms:created xsi:type="dcterms:W3CDTF">2021-11-12T11:23:00Z</dcterms:created>
  <dcterms:modified xsi:type="dcterms:W3CDTF">2021-11-19T20:30:00Z</dcterms:modified>
</cp:coreProperties>
</file>