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50BD" w14:textId="1AF7C610" w:rsidR="00AC7E3E" w:rsidRPr="00940191" w:rsidRDefault="00B572AE" w:rsidP="00940191">
      <w:pPr>
        <w:widowControl/>
        <w:spacing w:line="48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Additional file </w:t>
      </w:r>
      <w:r w:rsidR="00ED1B9A">
        <w:rPr>
          <w:rFonts w:cs="Times New Roman"/>
          <w:b/>
          <w:bCs/>
          <w:sz w:val="32"/>
          <w:szCs w:val="32"/>
        </w:rPr>
        <w:t>3</w:t>
      </w:r>
      <w:r w:rsidR="00CD430B">
        <w:rPr>
          <w:rFonts w:cs="Times New Roman"/>
          <w:b/>
          <w:bCs/>
          <w:sz w:val="32"/>
          <w:szCs w:val="32"/>
        </w:rPr>
        <w:t xml:space="preserve">: </w:t>
      </w:r>
      <w:r w:rsidR="00211657">
        <w:rPr>
          <w:rFonts w:cs="Times New Roman"/>
          <w:b/>
          <w:bCs/>
          <w:sz w:val="32"/>
          <w:szCs w:val="32"/>
        </w:rPr>
        <w:t>Fig</w:t>
      </w:r>
      <w:r w:rsidR="00EC7577">
        <w:rPr>
          <w:rFonts w:cs="Times New Roman"/>
          <w:b/>
          <w:bCs/>
          <w:sz w:val="32"/>
          <w:szCs w:val="32"/>
        </w:rPr>
        <w:t>ures</w:t>
      </w:r>
      <w:r w:rsidR="00CD430B">
        <w:rPr>
          <w:rFonts w:cs="Times New Roman"/>
          <w:b/>
          <w:bCs/>
          <w:sz w:val="32"/>
          <w:szCs w:val="32"/>
        </w:rPr>
        <w:t xml:space="preserve"> S1-</w:t>
      </w:r>
      <w:r w:rsidR="00211657">
        <w:rPr>
          <w:rFonts w:cs="Times New Roman"/>
          <w:b/>
          <w:bCs/>
          <w:sz w:val="32"/>
          <w:szCs w:val="32"/>
        </w:rPr>
        <w:t>6</w:t>
      </w:r>
    </w:p>
    <w:p w14:paraId="754E35FA" w14:textId="73256B2A" w:rsidR="00A2544D" w:rsidRDefault="0095186A" w:rsidP="00120463">
      <w:pPr>
        <w:widowControl/>
        <w:spacing w:line="360" w:lineRule="auto"/>
        <w:jc w:val="center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S</w:t>
      </w:r>
      <w:r>
        <w:rPr>
          <w:rFonts w:cs="Times New Roman"/>
          <w:sz w:val="24"/>
          <w:szCs w:val="24"/>
        </w:rPr>
        <w:t xml:space="preserve">upplement to: </w:t>
      </w:r>
      <w:r w:rsidR="0042712C">
        <w:rPr>
          <w:rFonts w:cs="Times New Roman"/>
          <w:sz w:val="24"/>
          <w:szCs w:val="24"/>
        </w:rPr>
        <w:t>B. Li, Z. Qiu, Y. Xu, et al.</w:t>
      </w:r>
      <w:r>
        <w:rPr>
          <w:rFonts w:cs="Times New Roman"/>
          <w:sz w:val="24"/>
          <w:szCs w:val="24"/>
        </w:rPr>
        <w:t xml:space="preserve"> </w:t>
      </w:r>
      <w:r w:rsidR="00600BFC">
        <w:rPr>
          <w:rFonts w:cs="Times New Roman" w:hint="eastAsia"/>
          <w:sz w:val="24"/>
          <w:szCs w:val="24"/>
        </w:rPr>
        <w:t>Common</w:t>
      </w:r>
      <w:r w:rsidR="00600BFC">
        <w:rPr>
          <w:rFonts w:cs="Times New Roman"/>
          <w:sz w:val="24"/>
          <w:szCs w:val="24"/>
        </w:rPr>
        <w:t xml:space="preserve"> </w:t>
      </w:r>
      <w:r w:rsidR="0075713E" w:rsidRPr="0075713E">
        <w:rPr>
          <w:rFonts w:cs="Times New Roman"/>
          <w:sz w:val="24"/>
          <w:szCs w:val="24"/>
        </w:rPr>
        <w:t xml:space="preserve">DNA methylation </w:t>
      </w:r>
      <w:r w:rsidR="00600BFC">
        <w:rPr>
          <w:rFonts w:cs="Times New Roman" w:hint="eastAsia"/>
          <w:sz w:val="24"/>
          <w:szCs w:val="24"/>
        </w:rPr>
        <w:t>c</w:t>
      </w:r>
      <w:r w:rsidR="00600BFC">
        <w:rPr>
          <w:rFonts w:cs="Times New Roman"/>
          <w:sz w:val="24"/>
          <w:szCs w:val="24"/>
        </w:rPr>
        <w:t xml:space="preserve">hanges </w:t>
      </w:r>
      <w:r w:rsidR="0075713E" w:rsidRPr="0075713E">
        <w:rPr>
          <w:rFonts w:cs="Times New Roman"/>
          <w:sz w:val="24"/>
          <w:szCs w:val="24"/>
        </w:rPr>
        <w:t xml:space="preserve">of biliary tract cancer identifies </w:t>
      </w:r>
      <w:r w:rsidR="00677DF7" w:rsidRPr="0075713E">
        <w:rPr>
          <w:rFonts w:cs="Times New Roman"/>
          <w:sz w:val="24"/>
          <w:szCs w:val="24"/>
        </w:rPr>
        <w:t xml:space="preserve">subtypes </w:t>
      </w:r>
      <w:r w:rsidR="0075713E" w:rsidRPr="0075713E">
        <w:rPr>
          <w:rFonts w:cs="Times New Roman"/>
          <w:sz w:val="24"/>
          <w:szCs w:val="24"/>
        </w:rPr>
        <w:t>with different immune characteristics and clinical outcomes</w:t>
      </w:r>
      <w:r>
        <w:rPr>
          <w:rFonts w:cs="Times New Roman"/>
          <w:sz w:val="24"/>
          <w:szCs w:val="24"/>
        </w:rPr>
        <w:t>.</w:t>
      </w:r>
    </w:p>
    <w:p w14:paraId="7D8D2955" w14:textId="77777777" w:rsidR="00934745" w:rsidRPr="00120463" w:rsidRDefault="00934745" w:rsidP="00120463">
      <w:pPr>
        <w:widowControl/>
        <w:spacing w:line="360" w:lineRule="auto"/>
        <w:jc w:val="center"/>
        <w:rPr>
          <w:rFonts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theme="minorBidi"/>
          <w:color w:val="auto"/>
          <w:sz w:val="22"/>
          <w:szCs w:val="22"/>
          <w:lang w:val="zh-CN"/>
        </w:rPr>
        <w:id w:val="-10846058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56FB5C" w14:textId="0306C3C0" w:rsidR="0095186A" w:rsidRPr="0095186A" w:rsidRDefault="0095186A" w:rsidP="0095186A">
          <w:pPr>
            <w:pStyle w:val="TOC"/>
            <w:spacing w:afterLines="50" w:after="120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95186A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OF CONTENT</w:t>
          </w: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S</w:t>
          </w:r>
        </w:p>
        <w:p w14:paraId="07A3CEB6" w14:textId="2E855985" w:rsidR="00211657" w:rsidRDefault="0095186A">
          <w:pPr>
            <w:pStyle w:val="TOC1"/>
            <w:tabs>
              <w:tab w:val="right" w:leader="dot" w:pos="9742"/>
            </w:tabs>
            <w:rPr>
              <w:rFonts w:asciiTheme="minorHAnsi" w:hAnsiTheme="minorHAnsi"/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7391412" w:history="1">
            <w:r w:rsidR="00211657" w:rsidRPr="002328CD">
              <w:rPr>
                <w:rStyle w:val="a9"/>
                <w:noProof/>
              </w:rPr>
              <w:t>Supplemental Figures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_Toc87391412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2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323DC481" w14:textId="29F89D4E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3" w:history="1">
            <w:r w:rsidR="00211657" w:rsidRPr="002328CD">
              <w:rPr>
                <w:rStyle w:val="a9"/>
                <w:noProof/>
              </w:rPr>
              <w:t>Supplemental Fig. S1. Consensus clustering of the EHSH cohort.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_Toc87391413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2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06A85F09" w14:textId="712C581B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4" w:history="1">
            <w:r w:rsidR="00211657" w:rsidRPr="002328CD">
              <w:rPr>
                <w:rStyle w:val="a9"/>
                <w:noProof/>
              </w:rPr>
              <w:t>Supplemental Fig. S2. Feature selection using the LASSO algorithm for a prognostic model.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_Toc87391414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3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04528B67" w14:textId="4579F2DB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5" w:history="1">
            <w:r w:rsidR="00211657" w:rsidRPr="002328CD">
              <w:rPr>
                <w:rStyle w:val="a9"/>
                <w:noProof/>
              </w:rPr>
              <w:t>Supplemental Fig. S3. Association between mutational rate and TNM stage.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_Toc87391415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4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6DBAAB8F" w14:textId="1349ADF5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6" w:history="1">
            <w:r w:rsidR="00211657" w:rsidRPr="002328CD">
              <w:rPr>
                <w:rStyle w:val="a9"/>
                <w:noProof/>
              </w:rPr>
              <w:t>Supplemental Fig. S4. Consensus clustering of the TCGA-CHOL cohort.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_Toc87391416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5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2D546F2F" w14:textId="0A12253A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7" w:history="1">
            <w:r w:rsidR="00211657" w:rsidRPr="002328CD">
              <w:rPr>
                <w:rStyle w:val="a9"/>
                <w:noProof/>
              </w:rPr>
              <w:t>Supplemental Fig. S5. Overlap of greater infiltration of CD8</w:t>
            </w:r>
            <w:r w:rsidR="00211657" w:rsidRPr="002328CD">
              <w:rPr>
                <w:rStyle w:val="a9"/>
                <w:noProof/>
                <w:vertAlign w:val="superscript"/>
              </w:rPr>
              <w:t>+</w:t>
            </w:r>
            <w:r w:rsidR="00211657" w:rsidRPr="002328CD">
              <w:rPr>
                <w:rStyle w:val="a9"/>
                <w:noProof/>
              </w:rPr>
              <w:t xml:space="preserve"> T cell and higher angiogenesis signature clustering in the TCGA-CHOL cohort.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_Toc87391417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6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1B3A16A6" w14:textId="0D94B475" w:rsidR="00211657" w:rsidRDefault="00FF15B0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18" w:history="1">
            <w:r w:rsidR="00211657" w:rsidRPr="002328CD">
              <w:rPr>
                <w:rStyle w:val="a9"/>
                <w:noProof/>
              </w:rPr>
              <w:t>Supplemental Fig. S6. Associations of the methyl-risk with the signatures of naïve, effector, and exhausted CD8 T cells in the TCGA-CHOL cohort.</w:t>
            </w:r>
            <w:r w:rsidR="00211657">
              <w:rPr>
                <w:noProof/>
                <w:webHidden/>
              </w:rPr>
              <w:tab/>
            </w:r>
            <w:r w:rsidR="00211657">
              <w:rPr>
                <w:noProof/>
                <w:webHidden/>
              </w:rPr>
              <w:fldChar w:fldCharType="begin"/>
            </w:r>
            <w:r w:rsidR="00211657">
              <w:rPr>
                <w:noProof/>
                <w:webHidden/>
              </w:rPr>
              <w:instrText xml:space="preserve"> PAGEREF _Toc87391418 \h </w:instrText>
            </w:r>
            <w:r w:rsidR="00211657">
              <w:rPr>
                <w:noProof/>
                <w:webHidden/>
              </w:rPr>
            </w:r>
            <w:r w:rsidR="00211657">
              <w:rPr>
                <w:noProof/>
                <w:webHidden/>
              </w:rPr>
              <w:fldChar w:fldCharType="separate"/>
            </w:r>
            <w:r w:rsidR="00211657">
              <w:rPr>
                <w:noProof/>
                <w:webHidden/>
              </w:rPr>
              <w:t>7</w:t>
            </w:r>
            <w:r w:rsidR="00211657">
              <w:rPr>
                <w:noProof/>
                <w:webHidden/>
              </w:rPr>
              <w:fldChar w:fldCharType="end"/>
            </w:r>
          </w:hyperlink>
        </w:p>
        <w:p w14:paraId="20F5CD52" w14:textId="1E83971A" w:rsidR="0095186A" w:rsidRDefault="0095186A">
          <w:r>
            <w:rPr>
              <w:b/>
              <w:bCs/>
              <w:lang w:val="zh-CN"/>
            </w:rPr>
            <w:fldChar w:fldCharType="end"/>
          </w:r>
        </w:p>
      </w:sdtContent>
    </w:sdt>
    <w:p w14:paraId="39025262" w14:textId="347B400F" w:rsidR="00B33A0D" w:rsidRPr="00DE2FBF" w:rsidRDefault="009A505D" w:rsidP="00B33A0D">
      <w:pPr>
        <w:pStyle w:val="EndNoteBibliography"/>
        <w:spacing w:after="0"/>
        <w:ind w:left="720" w:hanging="720"/>
        <w:rPr>
          <w:b/>
          <w:bCs/>
          <w:sz w:val="24"/>
          <w:szCs w:val="24"/>
        </w:rPr>
      </w:pPr>
      <w:r w:rsidRPr="00DE2FBF">
        <w:rPr>
          <w:rFonts w:eastAsia="Times New Roman"/>
          <w:kern w:val="2"/>
          <w:sz w:val="24"/>
          <w:lang w:val="en-GB"/>
        </w:rPr>
        <w:br w:type="page"/>
      </w:r>
    </w:p>
    <w:p w14:paraId="3187CAD9" w14:textId="205C3352" w:rsidR="00A2544D" w:rsidRPr="00DE2FBF" w:rsidRDefault="00A2544D" w:rsidP="00211657">
      <w:pPr>
        <w:pStyle w:val="a8"/>
        <w:widowControl/>
        <w:spacing w:line="480" w:lineRule="auto"/>
        <w:ind w:left="714"/>
        <w:jc w:val="left"/>
        <w:rPr>
          <w:rFonts w:cs="Times New Roman"/>
          <w:b/>
          <w:bCs/>
          <w:sz w:val="24"/>
          <w:szCs w:val="24"/>
        </w:rPr>
        <w:sectPr w:rsidR="00A2544D" w:rsidRPr="00DE2FBF" w:rsidSect="0095186A">
          <w:footerReference w:type="default" r:id="rId8"/>
          <w:pgSz w:w="11906" w:h="16838"/>
          <w:pgMar w:top="1440" w:right="1077" w:bottom="1440" w:left="1077" w:header="851" w:footer="680" w:gutter="0"/>
          <w:cols w:space="425"/>
          <w:docGrid w:linePitch="360"/>
        </w:sectPr>
      </w:pPr>
    </w:p>
    <w:p w14:paraId="635A2B22" w14:textId="7F48BC48" w:rsidR="00DE2FBF" w:rsidRDefault="00DE2FBF" w:rsidP="00DE2FBF">
      <w:pPr>
        <w:pStyle w:val="1"/>
      </w:pPr>
      <w:bookmarkStart w:id="0" w:name="_Toc87391412"/>
      <w:bookmarkStart w:id="1" w:name="_Hlk15850950"/>
      <w:r>
        <w:lastRenderedPageBreak/>
        <w:t>Supplemental</w:t>
      </w:r>
      <w:r w:rsidRPr="00DD0F00">
        <w:t xml:space="preserve"> </w:t>
      </w:r>
      <w:r>
        <w:rPr>
          <w:rFonts w:hint="eastAsia"/>
        </w:rPr>
        <w:t>Figures</w:t>
      </w:r>
      <w:bookmarkEnd w:id="0"/>
    </w:p>
    <w:p w14:paraId="647A944B" w14:textId="58A52B2B" w:rsidR="00DE2FBF" w:rsidRDefault="00DE2FBF" w:rsidP="00DE2FBF">
      <w:pPr>
        <w:pStyle w:val="2"/>
      </w:pPr>
      <w:bookmarkStart w:id="2" w:name="_Toc87391413"/>
      <w:r>
        <w:t>Supplemental</w:t>
      </w:r>
      <w:r w:rsidRPr="00850008">
        <w:t xml:space="preserve"> Fig. S</w:t>
      </w:r>
      <w:r>
        <w:t>1</w:t>
      </w:r>
      <w:r w:rsidRPr="00850008">
        <w:t>. Consensus clustering of the EHSH cohort</w:t>
      </w:r>
      <w:r>
        <w:t>.</w:t>
      </w:r>
      <w:bookmarkEnd w:id="2"/>
    </w:p>
    <w:p w14:paraId="5375F0D4" w14:textId="46FA659B" w:rsidR="00DE2FBF" w:rsidRPr="00DE2FBF" w:rsidRDefault="00DE2FBF" w:rsidP="00DE2FBF">
      <w:r w:rsidRPr="00DE2FBF">
        <w:rPr>
          <w:noProof/>
        </w:rPr>
        <w:drawing>
          <wp:inline distT="0" distB="0" distL="0" distR="0" wp14:anchorId="0F18C57D" wp14:editId="0ECD2DC9">
            <wp:extent cx="6192520" cy="57613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9973" w14:textId="3835F55F" w:rsidR="00DE2FBF" w:rsidRPr="00120463" w:rsidRDefault="00DE2FBF" w:rsidP="00120463">
      <w:pPr>
        <w:rPr>
          <w:sz w:val="20"/>
          <w:szCs w:val="20"/>
        </w:rPr>
      </w:pPr>
      <w:r w:rsidRPr="00120463">
        <w:rPr>
          <w:sz w:val="20"/>
          <w:szCs w:val="20"/>
        </w:rPr>
        <w:t xml:space="preserve">Consensus matrix of non-supervised clustering of methylation signatures by K-means method (K=2-8) and </w:t>
      </w:r>
      <w:r w:rsidR="00C41C79">
        <w:rPr>
          <w:sz w:val="20"/>
          <w:szCs w:val="20"/>
        </w:rPr>
        <w:t>d</w:t>
      </w:r>
      <w:r w:rsidRPr="00120463">
        <w:rPr>
          <w:sz w:val="20"/>
          <w:szCs w:val="20"/>
        </w:rPr>
        <w:t>elta plot assessing change in consensus cumulative distribution function area. Abbreviations: CDF=cumulative distribution function.</w:t>
      </w:r>
    </w:p>
    <w:p w14:paraId="7FD56832" w14:textId="77777777" w:rsidR="00DE2FBF" w:rsidRDefault="00DE2FBF">
      <w:pPr>
        <w:widowControl/>
        <w:jc w:val="left"/>
        <w:rPr>
          <w:rFonts w:eastAsia="Times New Roman" w:cs="Times New Roman"/>
          <w:b/>
          <w:bCs/>
          <w:kern w:val="2"/>
          <w:sz w:val="24"/>
        </w:rPr>
      </w:pPr>
      <w:r>
        <w:rPr>
          <w:rFonts w:eastAsia="Times New Roman" w:cs="Times New Roman"/>
          <w:b/>
          <w:bCs/>
          <w:kern w:val="2"/>
          <w:sz w:val="24"/>
        </w:rPr>
        <w:br w:type="page"/>
      </w:r>
    </w:p>
    <w:p w14:paraId="5A3A3B35" w14:textId="77777777" w:rsidR="00DE2FBF" w:rsidRDefault="00DE2FBF" w:rsidP="00DE2FBF">
      <w:pPr>
        <w:pStyle w:val="2"/>
      </w:pPr>
      <w:bookmarkStart w:id="3" w:name="_Toc87391414"/>
      <w:r>
        <w:lastRenderedPageBreak/>
        <w:t>Supplemental</w:t>
      </w:r>
      <w:r w:rsidRPr="00850008">
        <w:t xml:space="preserve"> Fig. S</w:t>
      </w:r>
      <w:r>
        <w:t>2</w:t>
      </w:r>
      <w:r w:rsidRPr="00850008">
        <w:t>.</w:t>
      </w:r>
      <w:r>
        <w:t xml:space="preserve"> </w:t>
      </w:r>
      <w:bookmarkStart w:id="4" w:name="_Hlk87393032"/>
      <w:r w:rsidRPr="00553499">
        <w:t>Feature selection using the LASSO algorithm for a prognostic model</w:t>
      </w:r>
      <w:r>
        <w:t>.</w:t>
      </w:r>
      <w:bookmarkEnd w:id="3"/>
      <w:bookmarkEnd w:id="4"/>
    </w:p>
    <w:p w14:paraId="6334C803" w14:textId="6F60F1C1" w:rsidR="00DE2FBF" w:rsidRDefault="00DE2FBF" w:rsidP="00DE2FBF">
      <w:pPr>
        <w:spacing w:after="0" w:line="480" w:lineRule="auto"/>
        <w:rPr>
          <w:rFonts w:eastAsia="Times New Roman" w:cs="Times New Roman"/>
          <w:kern w:val="2"/>
          <w:sz w:val="24"/>
        </w:rPr>
      </w:pPr>
      <w:r w:rsidRPr="00DE2FBF">
        <w:rPr>
          <w:rFonts w:eastAsia="Times New Roman" w:cs="Times New Roman"/>
          <w:noProof/>
          <w:kern w:val="2"/>
          <w:sz w:val="24"/>
        </w:rPr>
        <w:drawing>
          <wp:inline distT="0" distB="0" distL="0" distR="0" wp14:anchorId="75276D2D" wp14:editId="04943F21">
            <wp:extent cx="5543591" cy="699140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3591" cy="699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2C643" w14:textId="66B90655" w:rsidR="00DE2FBF" w:rsidRPr="00120463" w:rsidRDefault="00DE2FBF" w:rsidP="00120463">
      <w:pPr>
        <w:rPr>
          <w:sz w:val="20"/>
          <w:szCs w:val="20"/>
        </w:rPr>
      </w:pPr>
      <w:bookmarkStart w:id="5" w:name="_Hlk87393050"/>
      <w:r w:rsidRPr="00120463">
        <w:rPr>
          <w:b/>
          <w:bCs/>
          <w:sz w:val="20"/>
          <w:szCs w:val="20"/>
        </w:rPr>
        <w:t>A</w:t>
      </w:r>
      <w:r w:rsidRPr="00120463">
        <w:rPr>
          <w:sz w:val="20"/>
          <w:szCs w:val="20"/>
        </w:rPr>
        <w:t xml:space="preserve">. The optimal tuning parameter (Lambda) in the LASSO model was selected using 3-fold cross-validation. </w:t>
      </w:r>
      <w:r w:rsidRPr="00120463">
        <w:rPr>
          <w:b/>
          <w:bCs/>
          <w:sz w:val="20"/>
          <w:szCs w:val="20"/>
        </w:rPr>
        <w:t>B</w:t>
      </w:r>
      <w:r w:rsidRPr="00120463">
        <w:rPr>
          <w:sz w:val="20"/>
          <w:szCs w:val="20"/>
        </w:rPr>
        <w:t>.  LASSO coefficient profiles of the 12 features.</w:t>
      </w:r>
    </w:p>
    <w:bookmarkEnd w:id="5"/>
    <w:p w14:paraId="187B6B19" w14:textId="77777777" w:rsidR="00DE2FBF" w:rsidRDefault="00DE2FBF">
      <w:pPr>
        <w:widowControl/>
        <w:jc w:val="left"/>
        <w:rPr>
          <w:rFonts w:cs="Times New Roman"/>
          <w:b/>
          <w:bCs/>
          <w:kern w:val="2"/>
          <w:sz w:val="24"/>
        </w:rPr>
      </w:pPr>
      <w:r>
        <w:rPr>
          <w:rFonts w:cs="Times New Roman"/>
          <w:b/>
          <w:bCs/>
          <w:kern w:val="2"/>
          <w:sz w:val="24"/>
        </w:rPr>
        <w:br w:type="page"/>
      </w:r>
    </w:p>
    <w:p w14:paraId="377CF15A" w14:textId="51C86124" w:rsidR="00DE2FBF" w:rsidRDefault="00DE2FBF" w:rsidP="00DE2FBF">
      <w:pPr>
        <w:pStyle w:val="2"/>
      </w:pPr>
      <w:bookmarkStart w:id="6" w:name="_Toc87391415"/>
      <w:r>
        <w:lastRenderedPageBreak/>
        <w:t>Supplemental</w:t>
      </w:r>
      <w:r w:rsidRPr="00487F15">
        <w:t xml:space="preserve"> </w:t>
      </w:r>
      <w:bookmarkStart w:id="7" w:name="_Hlk87393062"/>
      <w:r w:rsidRPr="00487F15">
        <w:t>Fig. S</w:t>
      </w:r>
      <w:r>
        <w:t>3</w:t>
      </w:r>
      <w:r w:rsidRPr="00487F15">
        <w:t>. Association between mutational rate and TNM stage.</w:t>
      </w:r>
      <w:bookmarkEnd w:id="6"/>
      <w:bookmarkEnd w:id="7"/>
    </w:p>
    <w:p w14:paraId="0F4391B9" w14:textId="33563263" w:rsidR="00DE2FBF" w:rsidRPr="00DE2FBF" w:rsidRDefault="00DE2FBF" w:rsidP="00DE2FBF">
      <w:r w:rsidRPr="00DE2FBF">
        <w:rPr>
          <w:noProof/>
        </w:rPr>
        <w:drawing>
          <wp:inline distT="0" distB="0" distL="0" distR="0" wp14:anchorId="0CD7CCC5" wp14:editId="649C9FAC">
            <wp:extent cx="6192520" cy="12852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127C" w14:textId="77777777" w:rsidR="00DE2FBF" w:rsidRDefault="00DE2FBF">
      <w:pPr>
        <w:widowControl/>
        <w:jc w:val="left"/>
        <w:rPr>
          <w:rFonts w:cs="Times New Roman"/>
          <w:b/>
          <w:bCs/>
          <w:kern w:val="2"/>
          <w:sz w:val="24"/>
        </w:rPr>
      </w:pPr>
      <w:r>
        <w:rPr>
          <w:rFonts w:cs="Times New Roman"/>
          <w:b/>
          <w:bCs/>
          <w:kern w:val="2"/>
          <w:sz w:val="24"/>
        </w:rPr>
        <w:br w:type="page"/>
      </w:r>
    </w:p>
    <w:p w14:paraId="3D0A5E4F" w14:textId="51D0C348" w:rsidR="00DE2FBF" w:rsidRDefault="00DE2FBF" w:rsidP="00DE2FBF">
      <w:pPr>
        <w:pStyle w:val="2"/>
      </w:pPr>
      <w:bookmarkStart w:id="8" w:name="_Toc87391416"/>
      <w:r>
        <w:lastRenderedPageBreak/>
        <w:t>Supplemental</w:t>
      </w:r>
      <w:r w:rsidRPr="00487F15">
        <w:t xml:space="preserve"> </w:t>
      </w:r>
      <w:bookmarkStart w:id="9" w:name="_Hlk87393074"/>
      <w:r w:rsidRPr="00487F15">
        <w:t>Fig. S</w:t>
      </w:r>
      <w:r>
        <w:t>4</w:t>
      </w:r>
      <w:r w:rsidRPr="00487F15">
        <w:t>. Consensus clustering of the TCGA-CHOL cohort.</w:t>
      </w:r>
      <w:bookmarkEnd w:id="8"/>
    </w:p>
    <w:bookmarkEnd w:id="9"/>
    <w:p w14:paraId="46719E3C" w14:textId="0DBE5BDA" w:rsidR="00DE2FBF" w:rsidRDefault="00DE2FBF" w:rsidP="00DE2FBF">
      <w:pPr>
        <w:spacing w:after="0" w:line="480" w:lineRule="auto"/>
        <w:rPr>
          <w:rFonts w:eastAsia="Times New Roman" w:cs="Times New Roman"/>
          <w:kern w:val="2"/>
          <w:sz w:val="20"/>
          <w:szCs w:val="18"/>
        </w:rPr>
      </w:pPr>
      <w:r w:rsidRPr="00DE2FBF">
        <w:rPr>
          <w:rFonts w:eastAsia="Times New Roman" w:cs="Times New Roman"/>
          <w:noProof/>
          <w:kern w:val="2"/>
          <w:sz w:val="20"/>
          <w:szCs w:val="18"/>
        </w:rPr>
        <w:drawing>
          <wp:inline distT="0" distB="0" distL="0" distR="0" wp14:anchorId="5AD67430" wp14:editId="7BAD3D38">
            <wp:extent cx="6192520" cy="5664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CA95" w14:textId="35E9FD1C" w:rsidR="00DE2FBF" w:rsidRPr="00120463" w:rsidRDefault="00DE2FBF" w:rsidP="00120463">
      <w:pPr>
        <w:rPr>
          <w:sz w:val="20"/>
          <w:szCs w:val="20"/>
        </w:rPr>
      </w:pPr>
      <w:bookmarkStart w:id="10" w:name="_Hlk87393089"/>
      <w:r w:rsidRPr="00120463">
        <w:rPr>
          <w:sz w:val="20"/>
          <w:szCs w:val="20"/>
        </w:rPr>
        <w:t xml:space="preserve">Consensus matrix of non-supervised clustering of methylation signatures by K-means method (K=2-8) and </w:t>
      </w:r>
      <w:r w:rsidR="00C41C79">
        <w:rPr>
          <w:sz w:val="20"/>
          <w:szCs w:val="20"/>
        </w:rPr>
        <w:t>d</w:t>
      </w:r>
      <w:r w:rsidRPr="00120463">
        <w:rPr>
          <w:sz w:val="20"/>
          <w:szCs w:val="20"/>
        </w:rPr>
        <w:t>elta plot assessing change in consensus cumulative distribution function area.</w:t>
      </w:r>
    </w:p>
    <w:bookmarkEnd w:id="10"/>
    <w:p w14:paraId="2248CB8F" w14:textId="77777777" w:rsidR="00DE2FBF" w:rsidRDefault="00DE2FBF">
      <w:pPr>
        <w:widowControl/>
        <w:jc w:val="left"/>
        <w:rPr>
          <w:rFonts w:cs="Times New Roman"/>
          <w:b/>
          <w:bCs/>
          <w:kern w:val="2"/>
          <w:sz w:val="24"/>
        </w:rPr>
      </w:pPr>
      <w:r>
        <w:rPr>
          <w:rFonts w:cs="Times New Roman"/>
          <w:b/>
          <w:bCs/>
          <w:kern w:val="2"/>
          <w:sz w:val="24"/>
        </w:rPr>
        <w:br w:type="page"/>
      </w:r>
    </w:p>
    <w:p w14:paraId="26135FE6" w14:textId="77777777" w:rsidR="00DE2FBF" w:rsidRDefault="00DE2FBF" w:rsidP="00DE2FBF">
      <w:pPr>
        <w:pStyle w:val="2"/>
      </w:pPr>
      <w:bookmarkStart w:id="11" w:name="_Toc87391417"/>
      <w:r w:rsidRPr="001C10FF">
        <w:lastRenderedPageBreak/>
        <w:t xml:space="preserve">Supplemental </w:t>
      </w:r>
      <w:bookmarkStart w:id="12" w:name="_Hlk87393104"/>
      <w:r w:rsidRPr="001C10FF">
        <w:t>Fig. S</w:t>
      </w:r>
      <w:r>
        <w:t>5</w:t>
      </w:r>
      <w:r w:rsidRPr="001C10FF">
        <w:t>. Overlap of greater infiltration of CD8</w:t>
      </w:r>
      <w:r w:rsidRPr="001C10FF">
        <w:rPr>
          <w:vertAlign w:val="superscript"/>
        </w:rPr>
        <w:t>+</w:t>
      </w:r>
      <w:r w:rsidRPr="001C10FF">
        <w:t xml:space="preserve"> T cell and higher angiogenesis signature clustering in the TCGA-CHOL cohort.</w:t>
      </w:r>
      <w:bookmarkEnd w:id="11"/>
      <w:bookmarkEnd w:id="12"/>
    </w:p>
    <w:p w14:paraId="450C56B8" w14:textId="56D13564" w:rsidR="00DE2FBF" w:rsidRDefault="00DE2FBF" w:rsidP="00DE2FBF">
      <w:pPr>
        <w:spacing w:after="0" w:line="480" w:lineRule="auto"/>
        <w:jc w:val="center"/>
        <w:rPr>
          <w:rFonts w:cs="Times New Roman"/>
          <w:kern w:val="2"/>
          <w:sz w:val="21"/>
          <w:szCs w:val="20"/>
        </w:rPr>
      </w:pPr>
      <w:r w:rsidRPr="00DE2FBF">
        <w:rPr>
          <w:rFonts w:cs="Times New Roman"/>
          <w:noProof/>
          <w:kern w:val="2"/>
          <w:sz w:val="21"/>
          <w:szCs w:val="20"/>
        </w:rPr>
        <w:drawing>
          <wp:inline distT="0" distB="0" distL="0" distR="0" wp14:anchorId="32FA2135" wp14:editId="40D8CCF7">
            <wp:extent cx="3714777" cy="363857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4777" cy="363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9B81" w14:textId="13E4A14A" w:rsidR="00DE2FBF" w:rsidRPr="00120463" w:rsidRDefault="00DE2FBF" w:rsidP="00120463">
      <w:pPr>
        <w:rPr>
          <w:sz w:val="20"/>
          <w:szCs w:val="20"/>
        </w:rPr>
      </w:pPr>
      <w:bookmarkStart w:id="13" w:name="_Hlk87393136"/>
      <w:r w:rsidRPr="00120463">
        <w:rPr>
          <w:sz w:val="20"/>
          <w:szCs w:val="20"/>
        </w:rPr>
        <w:t>Scatter plot illustrating the infiltration of CD8 T cell and the score of angiogenesis signature in the methyl-risk high and the methyl-risk low groups</w:t>
      </w:r>
      <w:bookmarkEnd w:id="13"/>
      <w:r w:rsidRPr="00120463">
        <w:rPr>
          <w:sz w:val="20"/>
          <w:szCs w:val="20"/>
        </w:rPr>
        <w:t>.</w:t>
      </w:r>
    </w:p>
    <w:p w14:paraId="45DAEA84" w14:textId="68BE8F7D" w:rsidR="00600BFC" w:rsidRDefault="00600BFC">
      <w:pPr>
        <w:widowControl/>
        <w:jc w:val="left"/>
      </w:pPr>
      <w:r>
        <w:br w:type="page"/>
      </w:r>
    </w:p>
    <w:p w14:paraId="7193A76B" w14:textId="27A70AE7" w:rsidR="00DE2FBF" w:rsidRPr="00600BFC" w:rsidRDefault="00600BFC" w:rsidP="00600BFC">
      <w:pPr>
        <w:pStyle w:val="2"/>
      </w:pPr>
      <w:bookmarkStart w:id="14" w:name="_Toc87391418"/>
      <w:r w:rsidRPr="001C10FF">
        <w:lastRenderedPageBreak/>
        <w:t xml:space="preserve">Supplemental </w:t>
      </w:r>
      <w:bookmarkStart w:id="15" w:name="_Hlk87393148"/>
      <w:r w:rsidRPr="001C10FF">
        <w:t>Fig. S</w:t>
      </w:r>
      <w:r>
        <w:t>6</w:t>
      </w:r>
      <w:r w:rsidRPr="001C10FF">
        <w:t xml:space="preserve">. </w:t>
      </w:r>
      <w:r>
        <w:t>Associations of the methyl-risk with the signatures of naïve, effector, and exhausted CD8 T cells in the TCGA-CHOL cohort</w:t>
      </w:r>
      <w:r w:rsidRPr="001C10FF">
        <w:t>.</w:t>
      </w:r>
      <w:bookmarkEnd w:id="14"/>
      <w:bookmarkEnd w:id="15"/>
    </w:p>
    <w:p w14:paraId="086DD9CB" w14:textId="55AC75A9" w:rsidR="00600BFC" w:rsidRPr="00DE2FBF" w:rsidRDefault="00600BFC" w:rsidP="00600BFC">
      <w:pPr>
        <w:jc w:val="center"/>
      </w:pPr>
      <w:r w:rsidRPr="00600BFC">
        <w:rPr>
          <w:noProof/>
        </w:rPr>
        <w:drawing>
          <wp:inline distT="0" distB="0" distL="0" distR="0" wp14:anchorId="542AC469" wp14:editId="07BDDF31">
            <wp:extent cx="4286281" cy="271464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81" cy="271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F061" w14:textId="17F8E38F" w:rsidR="00600BFC" w:rsidRDefault="00600BFC">
      <w:pPr>
        <w:widowControl/>
        <w:jc w:val="left"/>
      </w:pPr>
      <w:bookmarkStart w:id="16" w:name="_Hlk87393158"/>
      <w:r>
        <w:rPr>
          <w:rFonts w:hint="eastAsia"/>
        </w:rPr>
        <w:t>C</w:t>
      </w:r>
      <w:r>
        <w:t xml:space="preserve">omparisons of the signatures concerning naïve vs. effector, naïve vs. exhausted, and effector vs. exhausted </w:t>
      </w:r>
      <w:r w:rsidR="00120463">
        <w:t>between the two subgroups defined by the methyl-risk in the TCGA-CHOL cohort.</w:t>
      </w:r>
      <w:bookmarkEnd w:id="16"/>
    </w:p>
    <w:bookmarkEnd w:id="1"/>
    <w:p w14:paraId="0BE60BA2" w14:textId="50718679" w:rsidR="00DE2FBF" w:rsidRDefault="00DE2FBF">
      <w:pPr>
        <w:widowControl/>
        <w:jc w:val="left"/>
        <w:rPr>
          <w:rFonts w:eastAsiaTheme="majorEastAsia" w:cstheme="majorBidi"/>
          <w:b/>
          <w:kern w:val="2"/>
          <w:sz w:val="28"/>
          <w:szCs w:val="32"/>
        </w:rPr>
      </w:pPr>
    </w:p>
    <w:sectPr w:rsidR="00DE2FBF" w:rsidSect="00C308A6"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BAEE8" w14:textId="77777777" w:rsidR="00FF15B0" w:rsidRDefault="00FF15B0" w:rsidP="00F34F9F">
      <w:pPr>
        <w:spacing w:after="0" w:line="240" w:lineRule="auto"/>
      </w:pPr>
      <w:r>
        <w:separator/>
      </w:r>
    </w:p>
  </w:endnote>
  <w:endnote w:type="continuationSeparator" w:id="0">
    <w:p w14:paraId="6D564419" w14:textId="77777777" w:rsidR="00FF15B0" w:rsidRDefault="00FF15B0" w:rsidP="00F3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6054725"/>
      <w:docPartObj>
        <w:docPartGallery w:val="Page Numbers (Bottom of Page)"/>
        <w:docPartUnique/>
      </w:docPartObj>
    </w:sdtPr>
    <w:sdtEndPr/>
    <w:sdtContent>
      <w:p w14:paraId="623F481F" w14:textId="2105B51D" w:rsidR="0034316F" w:rsidRDefault="003431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8F35213" w14:textId="77777777" w:rsidR="0034316F" w:rsidRDefault="003431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13C1" w14:textId="77777777" w:rsidR="00FF15B0" w:rsidRDefault="00FF15B0" w:rsidP="00F34F9F">
      <w:pPr>
        <w:spacing w:after="0" w:line="240" w:lineRule="auto"/>
      </w:pPr>
      <w:r>
        <w:separator/>
      </w:r>
    </w:p>
  </w:footnote>
  <w:footnote w:type="continuationSeparator" w:id="0">
    <w:p w14:paraId="54876832" w14:textId="77777777" w:rsidR="00FF15B0" w:rsidRDefault="00FF15B0" w:rsidP="00F34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B0A51E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82C674DA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43FECC2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61F6A37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1ED4319A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BE08C0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8D66A2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494D86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4CAE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724402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0C1EB9"/>
    <w:multiLevelType w:val="hybridMultilevel"/>
    <w:tmpl w:val="069E2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53906"/>
    <w:multiLevelType w:val="hybridMultilevel"/>
    <w:tmpl w:val="03A42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87DCD"/>
    <w:multiLevelType w:val="hybridMultilevel"/>
    <w:tmpl w:val="93D60ABE"/>
    <w:lvl w:ilvl="0" w:tplc="7EA4F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4041E03"/>
    <w:multiLevelType w:val="hybridMultilevel"/>
    <w:tmpl w:val="81DEB4B0"/>
    <w:lvl w:ilvl="0" w:tplc="2C02A424">
      <w:start w:val="1"/>
      <w:numFmt w:val="decimal"/>
      <w:lvlText w:val="(%1)"/>
      <w:lvlJc w:val="left"/>
      <w:pPr>
        <w:ind w:left="84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sDAyMDc0NLAwtLRQ0lEKTi0uzszPAykwMqkFACiVKl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ut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svwv2fkreedpe2t0lxd59sefvewvxt2zes&quot;&gt;3DMed-Converted&lt;record-ids&gt;&lt;item&gt;7407&lt;/item&gt;&lt;item&gt;8125&lt;/item&gt;&lt;/record-ids&gt;&lt;/item&gt;&lt;/Libraries&gt;"/>
  </w:docVars>
  <w:rsids>
    <w:rsidRoot w:val="00457DCE"/>
    <w:rsid w:val="00001838"/>
    <w:rsid w:val="00017F1F"/>
    <w:rsid w:val="00024245"/>
    <w:rsid w:val="00030240"/>
    <w:rsid w:val="0003609B"/>
    <w:rsid w:val="00053038"/>
    <w:rsid w:val="0005529B"/>
    <w:rsid w:val="000562C1"/>
    <w:rsid w:val="00057AD2"/>
    <w:rsid w:val="000654B4"/>
    <w:rsid w:val="00066789"/>
    <w:rsid w:val="00074415"/>
    <w:rsid w:val="000764CA"/>
    <w:rsid w:val="000824CF"/>
    <w:rsid w:val="00083D1F"/>
    <w:rsid w:val="00096993"/>
    <w:rsid w:val="000A5196"/>
    <w:rsid w:val="000A7162"/>
    <w:rsid w:val="000B744E"/>
    <w:rsid w:val="000C634D"/>
    <w:rsid w:val="000D55E3"/>
    <w:rsid w:val="000D5663"/>
    <w:rsid w:val="000E0651"/>
    <w:rsid w:val="000E7B35"/>
    <w:rsid w:val="00102117"/>
    <w:rsid w:val="00103719"/>
    <w:rsid w:val="00120463"/>
    <w:rsid w:val="00137D1C"/>
    <w:rsid w:val="00140628"/>
    <w:rsid w:val="001541C3"/>
    <w:rsid w:val="0015634F"/>
    <w:rsid w:val="00161B46"/>
    <w:rsid w:val="00164057"/>
    <w:rsid w:val="001641E2"/>
    <w:rsid w:val="00170E30"/>
    <w:rsid w:val="001747D4"/>
    <w:rsid w:val="00180E9A"/>
    <w:rsid w:val="00181716"/>
    <w:rsid w:val="001834C5"/>
    <w:rsid w:val="001A0B78"/>
    <w:rsid w:val="001A0E55"/>
    <w:rsid w:val="001A0FF9"/>
    <w:rsid w:val="001A2367"/>
    <w:rsid w:val="001A5730"/>
    <w:rsid w:val="001B35F9"/>
    <w:rsid w:val="001B56D6"/>
    <w:rsid w:val="001C0259"/>
    <w:rsid w:val="001C10FF"/>
    <w:rsid w:val="001D10EA"/>
    <w:rsid w:val="001D4566"/>
    <w:rsid w:val="001D7069"/>
    <w:rsid w:val="001E2FCC"/>
    <w:rsid w:val="001E54FC"/>
    <w:rsid w:val="00201242"/>
    <w:rsid w:val="002072A3"/>
    <w:rsid w:val="00211657"/>
    <w:rsid w:val="0021266C"/>
    <w:rsid w:val="00214BD1"/>
    <w:rsid w:val="002166C9"/>
    <w:rsid w:val="00220460"/>
    <w:rsid w:val="0022360B"/>
    <w:rsid w:val="00224277"/>
    <w:rsid w:val="00230344"/>
    <w:rsid w:val="0023142D"/>
    <w:rsid w:val="00240924"/>
    <w:rsid w:val="00251B09"/>
    <w:rsid w:val="00254582"/>
    <w:rsid w:val="00265458"/>
    <w:rsid w:val="00272936"/>
    <w:rsid w:val="00285D1D"/>
    <w:rsid w:val="00296833"/>
    <w:rsid w:val="002A04CC"/>
    <w:rsid w:val="002A10C2"/>
    <w:rsid w:val="002A334D"/>
    <w:rsid w:val="002A67BE"/>
    <w:rsid w:val="002A7578"/>
    <w:rsid w:val="002D3731"/>
    <w:rsid w:val="002D6CA4"/>
    <w:rsid w:val="002E2C78"/>
    <w:rsid w:val="002F0135"/>
    <w:rsid w:val="002F6022"/>
    <w:rsid w:val="002F614A"/>
    <w:rsid w:val="00300DDF"/>
    <w:rsid w:val="003064DD"/>
    <w:rsid w:val="00311D27"/>
    <w:rsid w:val="0031297E"/>
    <w:rsid w:val="003163A8"/>
    <w:rsid w:val="0032178A"/>
    <w:rsid w:val="00326418"/>
    <w:rsid w:val="003320CF"/>
    <w:rsid w:val="00333CD2"/>
    <w:rsid w:val="00337C28"/>
    <w:rsid w:val="0034316F"/>
    <w:rsid w:val="00345ED3"/>
    <w:rsid w:val="0035668F"/>
    <w:rsid w:val="00356C0A"/>
    <w:rsid w:val="003612FB"/>
    <w:rsid w:val="00361F50"/>
    <w:rsid w:val="00367A58"/>
    <w:rsid w:val="0037055E"/>
    <w:rsid w:val="00376DD5"/>
    <w:rsid w:val="0038338A"/>
    <w:rsid w:val="00391981"/>
    <w:rsid w:val="003A1513"/>
    <w:rsid w:val="003A1D5F"/>
    <w:rsid w:val="003A5300"/>
    <w:rsid w:val="003A5922"/>
    <w:rsid w:val="003A7908"/>
    <w:rsid w:val="003B0B7B"/>
    <w:rsid w:val="003C28AF"/>
    <w:rsid w:val="003D4DDF"/>
    <w:rsid w:val="003E1C2D"/>
    <w:rsid w:val="003E2F1B"/>
    <w:rsid w:val="003E3A44"/>
    <w:rsid w:val="003F0234"/>
    <w:rsid w:val="003F29DB"/>
    <w:rsid w:val="003F4984"/>
    <w:rsid w:val="003F7B2E"/>
    <w:rsid w:val="00406F75"/>
    <w:rsid w:val="004130BD"/>
    <w:rsid w:val="0042274E"/>
    <w:rsid w:val="00423BBB"/>
    <w:rsid w:val="00426FBB"/>
    <w:rsid w:val="0042712C"/>
    <w:rsid w:val="00432E86"/>
    <w:rsid w:val="00446DAF"/>
    <w:rsid w:val="0045566B"/>
    <w:rsid w:val="0045597F"/>
    <w:rsid w:val="00457DCE"/>
    <w:rsid w:val="00463A75"/>
    <w:rsid w:val="004665AE"/>
    <w:rsid w:val="00471DC1"/>
    <w:rsid w:val="00487F15"/>
    <w:rsid w:val="00492317"/>
    <w:rsid w:val="004A0283"/>
    <w:rsid w:val="004A38CC"/>
    <w:rsid w:val="004B405B"/>
    <w:rsid w:val="004B4120"/>
    <w:rsid w:val="004B54D0"/>
    <w:rsid w:val="004D1FE0"/>
    <w:rsid w:val="004E0A67"/>
    <w:rsid w:val="004F57AB"/>
    <w:rsid w:val="005014A4"/>
    <w:rsid w:val="00507105"/>
    <w:rsid w:val="00511AE5"/>
    <w:rsid w:val="00513ABC"/>
    <w:rsid w:val="00513E36"/>
    <w:rsid w:val="0052217C"/>
    <w:rsid w:val="005243C0"/>
    <w:rsid w:val="00525837"/>
    <w:rsid w:val="00536B58"/>
    <w:rsid w:val="00544173"/>
    <w:rsid w:val="00551672"/>
    <w:rsid w:val="00553499"/>
    <w:rsid w:val="005613FF"/>
    <w:rsid w:val="00562BE1"/>
    <w:rsid w:val="00565F2B"/>
    <w:rsid w:val="00566EF6"/>
    <w:rsid w:val="00567EBD"/>
    <w:rsid w:val="00571F82"/>
    <w:rsid w:val="005911B2"/>
    <w:rsid w:val="0059232E"/>
    <w:rsid w:val="00592950"/>
    <w:rsid w:val="005A1E53"/>
    <w:rsid w:val="005A324E"/>
    <w:rsid w:val="005B72E1"/>
    <w:rsid w:val="005B7F48"/>
    <w:rsid w:val="005D0429"/>
    <w:rsid w:val="005D51E9"/>
    <w:rsid w:val="005D5649"/>
    <w:rsid w:val="005D6769"/>
    <w:rsid w:val="005E2888"/>
    <w:rsid w:val="005E54A7"/>
    <w:rsid w:val="005F2E97"/>
    <w:rsid w:val="005F6F6B"/>
    <w:rsid w:val="00600BFC"/>
    <w:rsid w:val="006018A6"/>
    <w:rsid w:val="0061095C"/>
    <w:rsid w:val="006150F0"/>
    <w:rsid w:val="00615A83"/>
    <w:rsid w:val="0062116E"/>
    <w:rsid w:val="006307AF"/>
    <w:rsid w:val="0063261E"/>
    <w:rsid w:val="00636CCF"/>
    <w:rsid w:val="006400CE"/>
    <w:rsid w:val="00642C22"/>
    <w:rsid w:val="00643DD1"/>
    <w:rsid w:val="00644A23"/>
    <w:rsid w:val="006475B2"/>
    <w:rsid w:val="0066480C"/>
    <w:rsid w:val="00664E42"/>
    <w:rsid w:val="00666692"/>
    <w:rsid w:val="00670C2A"/>
    <w:rsid w:val="0067217A"/>
    <w:rsid w:val="00677DF7"/>
    <w:rsid w:val="0068064A"/>
    <w:rsid w:val="00681A76"/>
    <w:rsid w:val="00691380"/>
    <w:rsid w:val="0069522E"/>
    <w:rsid w:val="006B31E4"/>
    <w:rsid w:val="006C10A6"/>
    <w:rsid w:val="006C3581"/>
    <w:rsid w:val="006C5E58"/>
    <w:rsid w:val="006C6422"/>
    <w:rsid w:val="006D088B"/>
    <w:rsid w:val="006E6878"/>
    <w:rsid w:val="006E6A26"/>
    <w:rsid w:val="00700680"/>
    <w:rsid w:val="00703D19"/>
    <w:rsid w:val="0071299D"/>
    <w:rsid w:val="00714DD6"/>
    <w:rsid w:val="007215C7"/>
    <w:rsid w:val="00723937"/>
    <w:rsid w:val="00725510"/>
    <w:rsid w:val="007335B8"/>
    <w:rsid w:val="00747118"/>
    <w:rsid w:val="0075713E"/>
    <w:rsid w:val="00764A17"/>
    <w:rsid w:val="00770502"/>
    <w:rsid w:val="007719FD"/>
    <w:rsid w:val="00772C36"/>
    <w:rsid w:val="0077712D"/>
    <w:rsid w:val="00781ACC"/>
    <w:rsid w:val="0078447C"/>
    <w:rsid w:val="00792DCB"/>
    <w:rsid w:val="00796A72"/>
    <w:rsid w:val="007A6DBE"/>
    <w:rsid w:val="007B3ACA"/>
    <w:rsid w:val="007B70DF"/>
    <w:rsid w:val="007C3827"/>
    <w:rsid w:val="007C65EC"/>
    <w:rsid w:val="007E333F"/>
    <w:rsid w:val="007F0FA1"/>
    <w:rsid w:val="007F4643"/>
    <w:rsid w:val="00801873"/>
    <w:rsid w:val="00817790"/>
    <w:rsid w:val="008214A7"/>
    <w:rsid w:val="0082230B"/>
    <w:rsid w:val="00827429"/>
    <w:rsid w:val="00830415"/>
    <w:rsid w:val="0083337E"/>
    <w:rsid w:val="008373EA"/>
    <w:rsid w:val="0084227C"/>
    <w:rsid w:val="008424F4"/>
    <w:rsid w:val="00846507"/>
    <w:rsid w:val="00850008"/>
    <w:rsid w:val="008503F2"/>
    <w:rsid w:val="00861AA8"/>
    <w:rsid w:val="00862AFB"/>
    <w:rsid w:val="0086370C"/>
    <w:rsid w:val="00863C52"/>
    <w:rsid w:val="00865832"/>
    <w:rsid w:val="008709D4"/>
    <w:rsid w:val="0088616C"/>
    <w:rsid w:val="00896051"/>
    <w:rsid w:val="00897179"/>
    <w:rsid w:val="008B45D0"/>
    <w:rsid w:val="008B5F32"/>
    <w:rsid w:val="008B7E48"/>
    <w:rsid w:val="008C3F6F"/>
    <w:rsid w:val="008C5F54"/>
    <w:rsid w:val="008D710E"/>
    <w:rsid w:val="008E01B5"/>
    <w:rsid w:val="008E36DF"/>
    <w:rsid w:val="008E594E"/>
    <w:rsid w:val="008F088A"/>
    <w:rsid w:val="009003F5"/>
    <w:rsid w:val="00904A3B"/>
    <w:rsid w:val="00904FA2"/>
    <w:rsid w:val="00905B3B"/>
    <w:rsid w:val="00915E26"/>
    <w:rsid w:val="00931131"/>
    <w:rsid w:val="00934745"/>
    <w:rsid w:val="0093500A"/>
    <w:rsid w:val="00940191"/>
    <w:rsid w:val="009404BE"/>
    <w:rsid w:val="00945C76"/>
    <w:rsid w:val="0095186A"/>
    <w:rsid w:val="009726C4"/>
    <w:rsid w:val="00977833"/>
    <w:rsid w:val="00981778"/>
    <w:rsid w:val="00983988"/>
    <w:rsid w:val="009859C0"/>
    <w:rsid w:val="009A01A2"/>
    <w:rsid w:val="009A2F05"/>
    <w:rsid w:val="009A4E69"/>
    <w:rsid w:val="009A505D"/>
    <w:rsid w:val="009A558F"/>
    <w:rsid w:val="009B4312"/>
    <w:rsid w:val="009B7661"/>
    <w:rsid w:val="009D4A0A"/>
    <w:rsid w:val="009D63A7"/>
    <w:rsid w:val="009D7D9D"/>
    <w:rsid w:val="009E24F4"/>
    <w:rsid w:val="009E2DB7"/>
    <w:rsid w:val="009E6140"/>
    <w:rsid w:val="00A0252A"/>
    <w:rsid w:val="00A044C7"/>
    <w:rsid w:val="00A13A9D"/>
    <w:rsid w:val="00A1644E"/>
    <w:rsid w:val="00A21CD8"/>
    <w:rsid w:val="00A24EB0"/>
    <w:rsid w:val="00A2544D"/>
    <w:rsid w:val="00A254B9"/>
    <w:rsid w:val="00A317DB"/>
    <w:rsid w:val="00A4340E"/>
    <w:rsid w:val="00A61CC5"/>
    <w:rsid w:val="00A646B6"/>
    <w:rsid w:val="00A702C1"/>
    <w:rsid w:val="00A814A3"/>
    <w:rsid w:val="00A86E27"/>
    <w:rsid w:val="00A95EC9"/>
    <w:rsid w:val="00A9763B"/>
    <w:rsid w:val="00AA2F2D"/>
    <w:rsid w:val="00AB0746"/>
    <w:rsid w:val="00AB168A"/>
    <w:rsid w:val="00AB60A3"/>
    <w:rsid w:val="00AC1F03"/>
    <w:rsid w:val="00AC7E3E"/>
    <w:rsid w:val="00AC7FC9"/>
    <w:rsid w:val="00AF14FD"/>
    <w:rsid w:val="00AF2EDF"/>
    <w:rsid w:val="00AF351B"/>
    <w:rsid w:val="00AF4759"/>
    <w:rsid w:val="00B006BD"/>
    <w:rsid w:val="00B01A94"/>
    <w:rsid w:val="00B022B7"/>
    <w:rsid w:val="00B03FA1"/>
    <w:rsid w:val="00B11822"/>
    <w:rsid w:val="00B2357A"/>
    <w:rsid w:val="00B30BAC"/>
    <w:rsid w:val="00B33A0D"/>
    <w:rsid w:val="00B43757"/>
    <w:rsid w:val="00B45E2F"/>
    <w:rsid w:val="00B50C74"/>
    <w:rsid w:val="00B51D00"/>
    <w:rsid w:val="00B51ED3"/>
    <w:rsid w:val="00B54962"/>
    <w:rsid w:val="00B572AE"/>
    <w:rsid w:val="00B60808"/>
    <w:rsid w:val="00B707A5"/>
    <w:rsid w:val="00B77DE4"/>
    <w:rsid w:val="00B86D28"/>
    <w:rsid w:val="00B930F0"/>
    <w:rsid w:val="00BA1941"/>
    <w:rsid w:val="00BA1DB4"/>
    <w:rsid w:val="00BA2179"/>
    <w:rsid w:val="00BB39CD"/>
    <w:rsid w:val="00BB6AF4"/>
    <w:rsid w:val="00BC353F"/>
    <w:rsid w:val="00BD1893"/>
    <w:rsid w:val="00BD7731"/>
    <w:rsid w:val="00BE22C5"/>
    <w:rsid w:val="00BE416E"/>
    <w:rsid w:val="00BE47C4"/>
    <w:rsid w:val="00BE7CD8"/>
    <w:rsid w:val="00BF31B0"/>
    <w:rsid w:val="00BF4B11"/>
    <w:rsid w:val="00C16FFC"/>
    <w:rsid w:val="00C2327B"/>
    <w:rsid w:val="00C2739D"/>
    <w:rsid w:val="00C308A6"/>
    <w:rsid w:val="00C3592A"/>
    <w:rsid w:val="00C41C79"/>
    <w:rsid w:val="00C4351A"/>
    <w:rsid w:val="00C45ECF"/>
    <w:rsid w:val="00C474F0"/>
    <w:rsid w:val="00C56EA4"/>
    <w:rsid w:val="00C63533"/>
    <w:rsid w:val="00C70803"/>
    <w:rsid w:val="00C74C48"/>
    <w:rsid w:val="00C80DDD"/>
    <w:rsid w:val="00C80E63"/>
    <w:rsid w:val="00C82765"/>
    <w:rsid w:val="00C878F2"/>
    <w:rsid w:val="00C91492"/>
    <w:rsid w:val="00CA4C54"/>
    <w:rsid w:val="00CB6926"/>
    <w:rsid w:val="00CC24DF"/>
    <w:rsid w:val="00CC5EC3"/>
    <w:rsid w:val="00CC7E04"/>
    <w:rsid w:val="00CD16DD"/>
    <w:rsid w:val="00CD2CDB"/>
    <w:rsid w:val="00CD430B"/>
    <w:rsid w:val="00CD7437"/>
    <w:rsid w:val="00CE085E"/>
    <w:rsid w:val="00CE0E04"/>
    <w:rsid w:val="00CE64ED"/>
    <w:rsid w:val="00CE7E74"/>
    <w:rsid w:val="00CF00D5"/>
    <w:rsid w:val="00CF3978"/>
    <w:rsid w:val="00CF3BF8"/>
    <w:rsid w:val="00D026D7"/>
    <w:rsid w:val="00D05BF5"/>
    <w:rsid w:val="00D05EF6"/>
    <w:rsid w:val="00D06067"/>
    <w:rsid w:val="00D07188"/>
    <w:rsid w:val="00D17602"/>
    <w:rsid w:val="00D273E1"/>
    <w:rsid w:val="00D404CC"/>
    <w:rsid w:val="00D43489"/>
    <w:rsid w:val="00D45F37"/>
    <w:rsid w:val="00D46339"/>
    <w:rsid w:val="00D470C6"/>
    <w:rsid w:val="00D4714D"/>
    <w:rsid w:val="00D52F62"/>
    <w:rsid w:val="00D665B2"/>
    <w:rsid w:val="00D73408"/>
    <w:rsid w:val="00D807B2"/>
    <w:rsid w:val="00D87D46"/>
    <w:rsid w:val="00D9493C"/>
    <w:rsid w:val="00D97A3F"/>
    <w:rsid w:val="00DA2EAA"/>
    <w:rsid w:val="00DA49E2"/>
    <w:rsid w:val="00DB213C"/>
    <w:rsid w:val="00DB2AFF"/>
    <w:rsid w:val="00DB2D99"/>
    <w:rsid w:val="00DC5EB8"/>
    <w:rsid w:val="00DC742A"/>
    <w:rsid w:val="00DD0F00"/>
    <w:rsid w:val="00DD3CBF"/>
    <w:rsid w:val="00DD41D9"/>
    <w:rsid w:val="00DD5769"/>
    <w:rsid w:val="00DD6D30"/>
    <w:rsid w:val="00DE2FBF"/>
    <w:rsid w:val="00DE61CC"/>
    <w:rsid w:val="00DE6307"/>
    <w:rsid w:val="00DE7394"/>
    <w:rsid w:val="00DF1C5F"/>
    <w:rsid w:val="00E013E0"/>
    <w:rsid w:val="00E06EF3"/>
    <w:rsid w:val="00E2437B"/>
    <w:rsid w:val="00E30574"/>
    <w:rsid w:val="00E34916"/>
    <w:rsid w:val="00E44CE3"/>
    <w:rsid w:val="00E60323"/>
    <w:rsid w:val="00E6100F"/>
    <w:rsid w:val="00E6245C"/>
    <w:rsid w:val="00E6685F"/>
    <w:rsid w:val="00E82E5E"/>
    <w:rsid w:val="00E87862"/>
    <w:rsid w:val="00E95A99"/>
    <w:rsid w:val="00EB11AE"/>
    <w:rsid w:val="00EB680E"/>
    <w:rsid w:val="00EB7D65"/>
    <w:rsid w:val="00EC7577"/>
    <w:rsid w:val="00ED1B9A"/>
    <w:rsid w:val="00ED4318"/>
    <w:rsid w:val="00ED48E9"/>
    <w:rsid w:val="00ED7459"/>
    <w:rsid w:val="00EF1D72"/>
    <w:rsid w:val="00F00DDF"/>
    <w:rsid w:val="00F04725"/>
    <w:rsid w:val="00F05972"/>
    <w:rsid w:val="00F105C3"/>
    <w:rsid w:val="00F14046"/>
    <w:rsid w:val="00F16DD1"/>
    <w:rsid w:val="00F21C7D"/>
    <w:rsid w:val="00F22156"/>
    <w:rsid w:val="00F2673A"/>
    <w:rsid w:val="00F333F7"/>
    <w:rsid w:val="00F34F9F"/>
    <w:rsid w:val="00F43B7F"/>
    <w:rsid w:val="00F455D7"/>
    <w:rsid w:val="00F475DE"/>
    <w:rsid w:val="00F5798C"/>
    <w:rsid w:val="00F63B44"/>
    <w:rsid w:val="00F650F5"/>
    <w:rsid w:val="00F67538"/>
    <w:rsid w:val="00F71D09"/>
    <w:rsid w:val="00F819F1"/>
    <w:rsid w:val="00F96513"/>
    <w:rsid w:val="00FA0E08"/>
    <w:rsid w:val="00FA3FB0"/>
    <w:rsid w:val="00FB370A"/>
    <w:rsid w:val="00FB3BE3"/>
    <w:rsid w:val="00FB4574"/>
    <w:rsid w:val="00FC07BD"/>
    <w:rsid w:val="00FC3267"/>
    <w:rsid w:val="00FC66E6"/>
    <w:rsid w:val="00FC697E"/>
    <w:rsid w:val="00FD199D"/>
    <w:rsid w:val="00FF15B0"/>
    <w:rsid w:val="00FF31C7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FFA5E"/>
  <w15:docId w15:val="{3FCD3C9D-F4DD-4CDE-B301-DFD7A192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191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01242"/>
    <w:pPr>
      <w:keepNext/>
      <w:keepLines/>
      <w:spacing w:before="240" w:after="0" w:line="480" w:lineRule="auto"/>
      <w:outlineLvl w:val="0"/>
    </w:pPr>
    <w:rPr>
      <w:rFonts w:eastAsiaTheme="majorEastAsia" w:cstheme="majorBidi"/>
      <w:b/>
      <w:kern w:val="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51B09"/>
    <w:pPr>
      <w:widowControl/>
      <w:spacing w:after="240" w:line="360" w:lineRule="auto"/>
      <w:jc w:val="left"/>
      <w:outlineLvl w:val="1"/>
    </w:pPr>
    <w:rPr>
      <w:rFonts w:cs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251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4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F34F9F"/>
  </w:style>
  <w:style w:type="paragraph" w:styleId="a6">
    <w:name w:val="footer"/>
    <w:basedOn w:val="a"/>
    <w:link w:val="a7"/>
    <w:uiPriority w:val="99"/>
    <w:unhideWhenUsed/>
    <w:rsid w:val="00F34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F34F9F"/>
  </w:style>
  <w:style w:type="paragraph" w:styleId="a8">
    <w:name w:val="List Paragraph"/>
    <w:basedOn w:val="a"/>
    <w:uiPriority w:val="34"/>
    <w:qFormat/>
    <w:rsid w:val="00AC7E3E"/>
    <w:pPr>
      <w:ind w:left="720"/>
      <w:contextualSpacing/>
    </w:pPr>
  </w:style>
  <w:style w:type="character" w:customStyle="1" w:styleId="10">
    <w:name w:val="标题 1 字符"/>
    <w:basedOn w:val="a0"/>
    <w:link w:val="1"/>
    <w:uiPriority w:val="9"/>
    <w:rsid w:val="00201242"/>
    <w:rPr>
      <w:rFonts w:ascii="Times New Roman" w:eastAsiaTheme="majorEastAsia" w:hAnsi="Times New Roman" w:cstheme="majorBidi"/>
      <w:b/>
      <w:kern w:val="2"/>
      <w:sz w:val="28"/>
      <w:szCs w:val="32"/>
    </w:rPr>
  </w:style>
  <w:style w:type="character" w:customStyle="1" w:styleId="20">
    <w:name w:val="标题 2 字符"/>
    <w:basedOn w:val="a0"/>
    <w:link w:val="2"/>
    <w:uiPriority w:val="9"/>
    <w:rsid w:val="00251B09"/>
    <w:rPr>
      <w:rFonts w:ascii="Times New Roman" w:hAnsi="Times New Roman" w:cs="Times New Roman"/>
      <w:b/>
      <w:bCs/>
    </w:rPr>
  </w:style>
  <w:style w:type="character" w:styleId="a9">
    <w:name w:val="Hyperlink"/>
    <w:basedOn w:val="a0"/>
    <w:uiPriority w:val="99"/>
    <w:unhideWhenUsed/>
    <w:rsid w:val="0020124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201242"/>
    <w:pPr>
      <w:spacing w:after="0"/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201242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201242"/>
    <w:pPr>
      <w:spacing w:line="240" w:lineRule="auto"/>
      <w:jc w:val="left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201242"/>
    <w:rPr>
      <w:rFonts w:ascii="Times New Roman" w:hAnsi="Times New Roman" w:cs="Times New Roman"/>
      <w:noProof/>
    </w:rPr>
  </w:style>
  <w:style w:type="table" w:styleId="11">
    <w:name w:val="Grid Table 1 Light"/>
    <w:basedOn w:val="a1"/>
    <w:uiPriority w:val="46"/>
    <w:rsid w:val="00E013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a">
    <w:name w:val="annotation reference"/>
    <w:basedOn w:val="a0"/>
    <w:uiPriority w:val="99"/>
    <w:semiHidden/>
    <w:unhideWhenUsed/>
    <w:rsid w:val="00FA0E0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A0E08"/>
    <w:pPr>
      <w:spacing w:line="240" w:lineRule="auto"/>
    </w:pPr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semiHidden/>
    <w:rsid w:val="00FA0E08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A0E0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FA0E08"/>
    <w:rPr>
      <w:rFonts w:ascii="Times New Roman" w:hAnsi="Times New Roman"/>
      <w:b/>
      <w:bCs/>
      <w:sz w:val="20"/>
      <w:szCs w:val="20"/>
    </w:rPr>
  </w:style>
  <w:style w:type="paragraph" w:styleId="af">
    <w:name w:val="Revision"/>
    <w:hidden/>
    <w:uiPriority w:val="99"/>
    <w:semiHidden/>
    <w:rsid w:val="00FA0E08"/>
    <w:pPr>
      <w:spacing w:after="0" w:line="240" w:lineRule="auto"/>
    </w:pPr>
    <w:rPr>
      <w:rFonts w:ascii="Times New Roman" w:hAnsi="Times New Roman"/>
    </w:rPr>
  </w:style>
  <w:style w:type="paragraph" w:styleId="af0">
    <w:name w:val="Balloon Text"/>
    <w:basedOn w:val="a"/>
    <w:link w:val="af1"/>
    <w:uiPriority w:val="99"/>
    <w:semiHidden/>
    <w:unhideWhenUsed/>
    <w:rsid w:val="00FA0E08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FA0E08"/>
    <w:rPr>
      <w:rFonts w:ascii="Microsoft YaHei UI" w:eastAsia="Microsoft YaHei UI" w:hAnsi="Times New Roman"/>
      <w:sz w:val="18"/>
      <w:szCs w:val="18"/>
    </w:rPr>
  </w:style>
  <w:style w:type="character" w:styleId="af2">
    <w:name w:val="Unresolved Mention"/>
    <w:basedOn w:val="a0"/>
    <w:uiPriority w:val="99"/>
    <w:semiHidden/>
    <w:unhideWhenUsed/>
    <w:rsid w:val="003612FB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251B09"/>
    <w:rPr>
      <w:rFonts w:ascii="Times New Roman" w:hAnsi="Times New Roman"/>
      <w:b/>
      <w:bCs/>
      <w:sz w:val="32"/>
      <w:szCs w:val="32"/>
    </w:rPr>
  </w:style>
  <w:style w:type="table" w:customStyle="1" w:styleId="12">
    <w:name w:val="网格型1"/>
    <w:basedOn w:val="a1"/>
    <w:next w:val="a3"/>
    <w:uiPriority w:val="39"/>
    <w:rsid w:val="00251B09"/>
    <w:pPr>
      <w:spacing w:after="0" w:line="240" w:lineRule="auto"/>
    </w:pPr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表格"/>
    <w:basedOn w:val="a"/>
    <w:link w:val="af4"/>
    <w:qFormat/>
    <w:rsid w:val="00C308A6"/>
    <w:pPr>
      <w:spacing w:after="0" w:line="220" w:lineRule="exact"/>
    </w:pPr>
    <w:rPr>
      <w:rFonts w:eastAsia="Times New Roman"/>
      <w:kern w:val="2"/>
      <w:sz w:val="18"/>
      <w:szCs w:val="21"/>
    </w:rPr>
  </w:style>
  <w:style w:type="character" w:customStyle="1" w:styleId="af4">
    <w:name w:val="表格 字符"/>
    <w:basedOn w:val="a0"/>
    <w:link w:val="af3"/>
    <w:rsid w:val="00C308A6"/>
    <w:rPr>
      <w:rFonts w:ascii="Times New Roman" w:eastAsia="Times New Roman" w:hAnsi="Times New Roman"/>
      <w:kern w:val="2"/>
      <w:sz w:val="18"/>
      <w:szCs w:val="21"/>
    </w:rPr>
  </w:style>
  <w:style w:type="paragraph" w:styleId="af5">
    <w:name w:val="Quote"/>
    <w:basedOn w:val="a"/>
    <w:next w:val="a"/>
    <w:link w:val="af6"/>
    <w:uiPriority w:val="29"/>
    <w:rsid w:val="00C308A6"/>
    <w:pPr>
      <w:spacing w:before="200" w:line="240" w:lineRule="auto"/>
      <w:ind w:left="864" w:right="864"/>
      <w:jc w:val="center"/>
    </w:pPr>
    <w:rPr>
      <w:i/>
      <w:iCs/>
      <w:color w:val="404040" w:themeColor="text1" w:themeTint="BF"/>
      <w:kern w:val="2"/>
      <w:sz w:val="21"/>
      <w:szCs w:val="21"/>
    </w:rPr>
  </w:style>
  <w:style w:type="character" w:customStyle="1" w:styleId="af6">
    <w:name w:val="引用 字符"/>
    <w:basedOn w:val="a0"/>
    <w:link w:val="af5"/>
    <w:uiPriority w:val="29"/>
    <w:rsid w:val="00C308A6"/>
    <w:rPr>
      <w:rFonts w:ascii="Times New Roman" w:hAnsi="Times New Roman"/>
      <w:i/>
      <w:iCs/>
      <w:color w:val="404040" w:themeColor="text1" w:themeTint="BF"/>
      <w:kern w:val="2"/>
      <w:sz w:val="21"/>
      <w:szCs w:val="21"/>
    </w:rPr>
  </w:style>
  <w:style w:type="paragraph" w:styleId="TOC">
    <w:name w:val="TOC Heading"/>
    <w:basedOn w:val="1"/>
    <w:next w:val="a"/>
    <w:uiPriority w:val="39"/>
    <w:unhideWhenUsed/>
    <w:qFormat/>
    <w:rsid w:val="0095186A"/>
    <w:pPr>
      <w:widowControl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a"/>
    <w:next w:val="a"/>
    <w:autoRedefine/>
    <w:uiPriority w:val="39"/>
    <w:unhideWhenUsed/>
    <w:rsid w:val="0095186A"/>
  </w:style>
  <w:style w:type="paragraph" w:styleId="TOC2">
    <w:name w:val="toc 2"/>
    <w:basedOn w:val="a"/>
    <w:next w:val="a"/>
    <w:autoRedefine/>
    <w:uiPriority w:val="39"/>
    <w:unhideWhenUsed/>
    <w:rsid w:val="0095186A"/>
    <w:pPr>
      <w:ind w:leftChars="200" w:left="420"/>
    </w:pPr>
  </w:style>
  <w:style w:type="paragraph" w:styleId="af7">
    <w:name w:val="No Spacing"/>
    <w:basedOn w:val="a"/>
    <w:uiPriority w:val="1"/>
    <w:qFormat/>
    <w:rsid w:val="00536B58"/>
    <w:pPr>
      <w:spacing w:after="0" w:line="480" w:lineRule="auto"/>
      <w:ind w:firstLine="482"/>
    </w:pPr>
    <w:rPr>
      <w:rFonts w:eastAsia="Times New Roman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78ADA-3300-46DB-A224-746EFC6C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7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Toxic Echo</dc:creator>
  <cp:keywords/>
  <dc:description/>
  <cp:lastModifiedBy>Xu Echo</cp:lastModifiedBy>
  <cp:revision>7</cp:revision>
  <cp:lastPrinted>2020-05-18T20:45:00Z</cp:lastPrinted>
  <dcterms:created xsi:type="dcterms:W3CDTF">2021-10-21T05:51:00Z</dcterms:created>
  <dcterms:modified xsi:type="dcterms:W3CDTF">2021-11-09T16:03:00Z</dcterms:modified>
</cp:coreProperties>
</file>