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DEF21" w14:textId="7039F782" w:rsidR="00D47AE2" w:rsidRPr="00D47AE2" w:rsidRDefault="00D47AE2" w:rsidP="00D47AE2">
      <w:pPr>
        <w:spacing w:after="0" w:line="240" w:lineRule="auto"/>
        <w:rPr>
          <w:rFonts w:ascii="Arial" w:eastAsia="Times New Roman" w:hAnsi="Arial" w:cs="Arial"/>
          <w:b/>
          <w:bCs/>
          <w:sz w:val="24"/>
          <w:szCs w:val="24"/>
        </w:rPr>
      </w:pPr>
      <w:r w:rsidRPr="00D47AE2">
        <w:rPr>
          <w:rFonts w:ascii="Arial" w:eastAsia="Times New Roman" w:hAnsi="Arial" w:cs="Arial"/>
          <w:b/>
          <w:bCs/>
          <w:sz w:val="24"/>
          <w:szCs w:val="24"/>
        </w:rPr>
        <w:t>Fig. S1 Flow chart of patients analyzed in the Mass General Brigham Biobank.</w:t>
      </w:r>
    </w:p>
    <w:p w14:paraId="365BA905" w14:textId="77777777" w:rsidR="00D47AE2" w:rsidRPr="00D47AE2" w:rsidRDefault="00D47AE2" w:rsidP="00D47AE2">
      <w:pPr>
        <w:spacing w:after="0" w:line="240" w:lineRule="auto"/>
        <w:rPr>
          <w:rFonts w:ascii="Arial" w:eastAsia="Times New Roman" w:hAnsi="Arial" w:cs="Arial"/>
          <w:b/>
          <w:bCs/>
          <w:sz w:val="24"/>
          <w:szCs w:val="24"/>
        </w:rPr>
      </w:pPr>
    </w:p>
    <w:p w14:paraId="756FEB19" w14:textId="77777777" w:rsidR="00D47AE2" w:rsidRPr="00D47AE2" w:rsidRDefault="00D47AE2" w:rsidP="00D47AE2">
      <w:pPr>
        <w:spacing w:after="0" w:line="480" w:lineRule="auto"/>
        <w:rPr>
          <w:rFonts w:ascii="Arial" w:eastAsia="Times New Roman" w:hAnsi="Arial" w:cs="Arial"/>
          <w:sz w:val="24"/>
          <w:szCs w:val="24"/>
        </w:rPr>
      </w:pPr>
      <w:r w:rsidRPr="00D47AE2">
        <w:rPr>
          <w:rFonts w:ascii="Arial" w:eastAsia="Times New Roman" w:hAnsi="Arial" w:cs="Arial"/>
          <w:noProof/>
          <w:sz w:val="24"/>
          <w:szCs w:val="24"/>
        </w:rPr>
        <w:drawing>
          <wp:inline distT="0" distB="0" distL="0" distR="0" wp14:anchorId="6245D3AC" wp14:editId="2BD65064">
            <wp:extent cx="5107021" cy="2998192"/>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stretch>
                      <a:fillRect/>
                    </a:stretch>
                  </pic:blipFill>
                  <pic:spPr>
                    <a:xfrm>
                      <a:off x="0" y="0"/>
                      <a:ext cx="5135801" cy="3015088"/>
                    </a:xfrm>
                    <a:prstGeom prst="rect">
                      <a:avLst/>
                    </a:prstGeom>
                  </pic:spPr>
                </pic:pic>
              </a:graphicData>
            </a:graphic>
          </wp:inline>
        </w:drawing>
      </w:r>
    </w:p>
    <w:p w14:paraId="619B0675" w14:textId="77777777" w:rsidR="00D47AE2" w:rsidRPr="00D47AE2" w:rsidRDefault="00D47AE2" w:rsidP="00D47AE2">
      <w:pPr>
        <w:spacing w:after="0" w:line="240" w:lineRule="auto"/>
        <w:rPr>
          <w:rFonts w:ascii="Arial" w:eastAsia="Times New Roman" w:hAnsi="Arial" w:cs="Arial"/>
          <w:sz w:val="24"/>
          <w:szCs w:val="24"/>
        </w:rPr>
      </w:pPr>
      <w:r w:rsidRPr="00D47AE2">
        <w:rPr>
          <w:rFonts w:ascii="Arial" w:eastAsia="Times New Roman" w:hAnsi="Arial" w:cs="Arial"/>
          <w:sz w:val="24"/>
          <w:szCs w:val="24"/>
        </w:rPr>
        <w:br w:type="page"/>
      </w:r>
    </w:p>
    <w:p w14:paraId="13539165" w14:textId="77777777" w:rsidR="00D47AE2" w:rsidRPr="00D47AE2" w:rsidRDefault="00D47AE2" w:rsidP="00D47AE2">
      <w:pPr>
        <w:spacing w:after="0" w:line="240" w:lineRule="auto"/>
        <w:rPr>
          <w:rFonts w:ascii="Arial" w:eastAsia="Times New Roman" w:hAnsi="Arial" w:cs="Arial"/>
          <w:b/>
          <w:bCs/>
          <w:sz w:val="24"/>
          <w:szCs w:val="24"/>
        </w:rPr>
      </w:pPr>
      <w:r w:rsidRPr="00D47AE2">
        <w:rPr>
          <w:rFonts w:ascii="Arial" w:eastAsia="Times New Roman" w:hAnsi="Arial" w:cs="Arial"/>
          <w:b/>
          <w:bCs/>
          <w:sz w:val="24"/>
          <w:szCs w:val="24"/>
        </w:rPr>
        <w:lastRenderedPageBreak/>
        <w:t>Fig. S2 Associations of 97 BMI SNPs and obesity polygenic risk score with clinically measured BMI in kg/m</w:t>
      </w:r>
      <w:r w:rsidRPr="00D47AE2">
        <w:rPr>
          <w:rFonts w:ascii="Arial" w:eastAsia="Times New Roman" w:hAnsi="Arial" w:cs="Arial"/>
          <w:b/>
          <w:bCs/>
          <w:sz w:val="24"/>
          <w:szCs w:val="24"/>
          <w:vertAlign w:val="superscript"/>
        </w:rPr>
        <w:t xml:space="preserve">2 </w:t>
      </w:r>
      <w:r w:rsidRPr="00D47AE2">
        <w:rPr>
          <w:rFonts w:ascii="Arial" w:eastAsia="Times New Roman" w:hAnsi="Arial" w:cs="Arial"/>
          <w:b/>
          <w:bCs/>
          <w:sz w:val="24"/>
          <w:szCs w:val="24"/>
        </w:rPr>
        <w:t>(</w:t>
      </w:r>
      <w:r w:rsidRPr="00D47AE2">
        <w:rPr>
          <w:rFonts w:ascii="Arial" w:eastAsia="Times New Roman" w:hAnsi="Arial" w:cs="Arial"/>
          <w:b/>
          <w:bCs/>
          <w:i/>
          <w:iCs/>
          <w:sz w:val="24"/>
          <w:szCs w:val="24"/>
        </w:rPr>
        <w:t xml:space="preserve">n </w:t>
      </w:r>
      <w:r w:rsidRPr="00D47AE2">
        <w:rPr>
          <w:rFonts w:ascii="Arial" w:eastAsia="Times New Roman" w:hAnsi="Arial" w:cs="Arial"/>
          <w:b/>
          <w:bCs/>
          <w:sz w:val="24"/>
          <w:szCs w:val="24"/>
        </w:rPr>
        <w:t>=33,511).</w:t>
      </w:r>
      <w:r w:rsidRPr="00D47AE2">
        <w:rPr>
          <w:rFonts w:ascii="Arial" w:eastAsia="Times New Roman" w:hAnsi="Arial" w:cs="Arial"/>
          <w:sz w:val="24"/>
          <w:szCs w:val="24"/>
        </w:rPr>
        <w:t xml:space="preserve"> A) Associations of the 97 BMI SNPs are from additive genetic models adjusted for age, sex, genotyping array, and 5 PCs of ancestry in kg/m</w:t>
      </w:r>
      <w:r w:rsidRPr="00D47AE2">
        <w:rPr>
          <w:rFonts w:ascii="Arial" w:eastAsia="Times New Roman" w:hAnsi="Arial" w:cs="Arial"/>
          <w:sz w:val="24"/>
          <w:szCs w:val="24"/>
          <w:vertAlign w:val="superscript"/>
        </w:rPr>
        <w:t>2</w:t>
      </w:r>
      <w:r w:rsidRPr="00D47AE2">
        <w:rPr>
          <w:rFonts w:ascii="Arial" w:eastAsia="Times New Roman" w:hAnsi="Arial" w:cs="Arial"/>
          <w:sz w:val="24"/>
          <w:szCs w:val="24"/>
        </w:rPr>
        <w:t xml:space="preserve">. The solid horizontal blue line represents the Bonferroni corrected </w:t>
      </w:r>
      <w:r w:rsidRPr="00D47AE2">
        <w:rPr>
          <w:rFonts w:ascii="Arial" w:eastAsia="Times New Roman" w:hAnsi="Arial" w:cs="Arial"/>
          <w:i/>
          <w:iCs/>
          <w:sz w:val="24"/>
          <w:szCs w:val="24"/>
        </w:rPr>
        <w:t xml:space="preserve">P </w:t>
      </w:r>
      <w:r w:rsidRPr="00D47AE2">
        <w:rPr>
          <w:rFonts w:ascii="Arial" w:eastAsia="Times New Roman" w:hAnsi="Arial" w:cs="Arial"/>
          <w:sz w:val="24"/>
          <w:szCs w:val="24"/>
        </w:rPr>
        <w:t>value cut-off (</w:t>
      </w:r>
      <w:r w:rsidRPr="00D47AE2">
        <w:rPr>
          <w:rFonts w:ascii="Arial" w:eastAsia="Times New Roman" w:hAnsi="Arial" w:cs="Arial"/>
          <w:i/>
          <w:iCs/>
          <w:sz w:val="24"/>
          <w:szCs w:val="24"/>
        </w:rPr>
        <w:t xml:space="preserve">P </w:t>
      </w:r>
      <w:r w:rsidRPr="00D47AE2">
        <w:rPr>
          <w:rFonts w:ascii="Arial" w:eastAsia="Times New Roman" w:hAnsi="Arial" w:cs="Arial"/>
          <w:sz w:val="24"/>
          <w:szCs w:val="24"/>
        </w:rPr>
        <w:t>value =5.15x10</w:t>
      </w:r>
      <w:r w:rsidRPr="00D47AE2">
        <w:rPr>
          <w:rFonts w:ascii="Arial" w:eastAsia="Times New Roman" w:hAnsi="Arial" w:cs="Arial"/>
          <w:sz w:val="24"/>
          <w:szCs w:val="24"/>
          <w:vertAlign w:val="superscript"/>
        </w:rPr>
        <w:t>-4</w:t>
      </w:r>
      <w:r w:rsidRPr="00D47AE2">
        <w:rPr>
          <w:rFonts w:ascii="Arial" w:eastAsia="Times New Roman" w:hAnsi="Arial" w:cs="Arial"/>
          <w:sz w:val="24"/>
          <w:szCs w:val="24"/>
        </w:rPr>
        <w:t>). The dashed vertical red line indicates effect estimate of 0. B) Distribution (</w:t>
      </w:r>
      <w:r w:rsidRPr="00D47AE2">
        <w:rPr>
          <w:rFonts w:ascii="Arial" w:eastAsia="Times New Roman" w:hAnsi="Arial" w:cs="Arial"/>
          <w:i/>
          <w:iCs/>
          <w:sz w:val="24"/>
          <w:szCs w:val="24"/>
        </w:rPr>
        <w:t>n</w:t>
      </w:r>
      <w:r w:rsidRPr="00D47AE2">
        <w:rPr>
          <w:rFonts w:ascii="Arial" w:eastAsia="Times New Roman" w:hAnsi="Arial" w:cs="Arial"/>
          <w:sz w:val="24"/>
          <w:szCs w:val="24"/>
        </w:rPr>
        <w:t xml:space="preserve">) of the weighted polygenic risk score and average measured BMI per each 10-point interval in the polygenic risk score. </w:t>
      </w:r>
    </w:p>
    <w:p w14:paraId="07FD8FD5" w14:textId="77777777" w:rsidR="00D47AE2" w:rsidRPr="00D47AE2" w:rsidRDefault="00D47AE2" w:rsidP="00D47AE2">
      <w:pPr>
        <w:spacing w:after="0" w:line="240" w:lineRule="auto"/>
        <w:rPr>
          <w:rFonts w:ascii="Arial" w:eastAsia="Times New Roman" w:hAnsi="Arial" w:cs="Arial"/>
          <w:b/>
          <w:bCs/>
          <w:sz w:val="24"/>
          <w:szCs w:val="24"/>
        </w:rPr>
      </w:pPr>
    </w:p>
    <w:p w14:paraId="2583A470" w14:textId="77777777" w:rsidR="00D47AE2" w:rsidRPr="00D47AE2" w:rsidRDefault="00D47AE2" w:rsidP="00D47AE2">
      <w:pPr>
        <w:spacing w:after="0" w:line="240" w:lineRule="auto"/>
        <w:rPr>
          <w:rFonts w:ascii="Arial" w:eastAsia="Times New Roman" w:hAnsi="Arial" w:cs="Arial"/>
          <w:b/>
          <w:bCs/>
          <w:sz w:val="24"/>
          <w:szCs w:val="24"/>
        </w:rPr>
      </w:pPr>
      <w:r w:rsidRPr="00D47AE2">
        <w:rPr>
          <w:rFonts w:ascii="Arial" w:eastAsia="Times New Roman" w:hAnsi="Arial" w:cs="Arial"/>
          <w:b/>
          <w:bCs/>
          <w:noProof/>
          <w:sz w:val="24"/>
          <w:szCs w:val="24"/>
        </w:rPr>
        <w:drawing>
          <wp:inline distT="0" distB="0" distL="0" distR="0" wp14:anchorId="57D6DD2D" wp14:editId="68EFE0CF">
            <wp:extent cx="5943600" cy="2368550"/>
            <wp:effectExtent l="0" t="0" r="0" b="6350"/>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pic:nvPicPr>
                  <pic:blipFill>
                    <a:blip r:embed="rId7"/>
                    <a:stretch>
                      <a:fillRect/>
                    </a:stretch>
                  </pic:blipFill>
                  <pic:spPr>
                    <a:xfrm>
                      <a:off x="0" y="0"/>
                      <a:ext cx="5943600" cy="2368550"/>
                    </a:xfrm>
                    <a:prstGeom prst="rect">
                      <a:avLst/>
                    </a:prstGeom>
                  </pic:spPr>
                </pic:pic>
              </a:graphicData>
            </a:graphic>
          </wp:inline>
        </w:drawing>
      </w:r>
      <w:r w:rsidRPr="00D47AE2">
        <w:rPr>
          <w:rFonts w:ascii="Arial" w:eastAsia="Times New Roman" w:hAnsi="Arial" w:cs="Arial"/>
          <w:b/>
          <w:bCs/>
          <w:sz w:val="24"/>
          <w:szCs w:val="24"/>
        </w:rPr>
        <w:br w:type="page"/>
      </w:r>
    </w:p>
    <w:p w14:paraId="46483028" w14:textId="77777777" w:rsidR="00D47AE2" w:rsidRPr="00D47AE2" w:rsidRDefault="00D47AE2" w:rsidP="00D47AE2">
      <w:pPr>
        <w:spacing w:after="0" w:line="240" w:lineRule="auto"/>
        <w:rPr>
          <w:rFonts w:ascii="Arial" w:eastAsia="Times New Roman" w:hAnsi="Arial" w:cs="Arial"/>
          <w:sz w:val="24"/>
          <w:szCs w:val="24"/>
        </w:rPr>
      </w:pPr>
      <w:r w:rsidRPr="00D47AE2">
        <w:rPr>
          <w:rFonts w:ascii="Arial" w:eastAsia="Times New Roman" w:hAnsi="Arial" w:cs="Arial"/>
          <w:b/>
          <w:bCs/>
          <w:sz w:val="24"/>
          <w:szCs w:val="24"/>
        </w:rPr>
        <w:lastRenderedPageBreak/>
        <w:t>Fig. S3 Associations of obesogenic lifestyle risk factors and obesity lifestyle risk index with clinically measured BMI in an electronic health record biobank (</w:t>
      </w:r>
      <w:r w:rsidRPr="00D47AE2">
        <w:rPr>
          <w:rFonts w:ascii="Arial" w:eastAsia="Times New Roman" w:hAnsi="Arial" w:cs="Arial"/>
          <w:b/>
          <w:bCs/>
          <w:i/>
          <w:iCs/>
          <w:sz w:val="24"/>
          <w:szCs w:val="24"/>
        </w:rPr>
        <w:t xml:space="preserve">n </w:t>
      </w:r>
      <w:r w:rsidRPr="00D47AE2">
        <w:rPr>
          <w:rFonts w:ascii="Arial" w:eastAsia="Times New Roman" w:hAnsi="Arial" w:cs="Arial"/>
          <w:b/>
          <w:bCs/>
          <w:sz w:val="24"/>
          <w:szCs w:val="24"/>
        </w:rPr>
        <w:t xml:space="preserve">=17,040). </w:t>
      </w:r>
      <w:r w:rsidRPr="00D47AE2">
        <w:rPr>
          <w:rFonts w:ascii="Arial" w:eastAsia="Times New Roman" w:hAnsi="Arial" w:cs="Arial"/>
          <w:sz w:val="24"/>
          <w:szCs w:val="24"/>
        </w:rPr>
        <w:t>A) Associations of obesogenic lifestyle risk factors with clinically measured BMI in kg/m</w:t>
      </w:r>
      <w:r w:rsidRPr="00D47AE2">
        <w:rPr>
          <w:rFonts w:ascii="Arial" w:eastAsia="Times New Roman" w:hAnsi="Arial" w:cs="Arial"/>
          <w:sz w:val="24"/>
          <w:szCs w:val="24"/>
          <w:vertAlign w:val="superscript"/>
        </w:rPr>
        <w:t>2</w:t>
      </w:r>
      <w:r w:rsidRPr="00D47AE2">
        <w:rPr>
          <w:rFonts w:ascii="Arial" w:eastAsia="Times New Roman" w:hAnsi="Arial" w:cs="Arial"/>
          <w:sz w:val="24"/>
          <w:szCs w:val="24"/>
        </w:rPr>
        <w:t>. Association results are from linear regression models adjusted for age at survey completion and sex. B) Distribution of the obesity lifestyle risk index and average measured BMI per each 1-standard deviation interval in the index. Abbreviations: confidence interval (CI), standard deviation (SD).</w:t>
      </w:r>
    </w:p>
    <w:p w14:paraId="5A6C55B5" w14:textId="77777777" w:rsidR="00D47AE2" w:rsidRPr="00D47AE2" w:rsidRDefault="00D47AE2" w:rsidP="00D47AE2">
      <w:pPr>
        <w:spacing w:after="0" w:line="240" w:lineRule="auto"/>
        <w:rPr>
          <w:rFonts w:ascii="Arial" w:eastAsia="Times New Roman" w:hAnsi="Arial" w:cs="Arial"/>
          <w:sz w:val="24"/>
          <w:szCs w:val="24"/>
        </w:rPr>
      </w:pPr>
    </w:p>
    <w:p w14:paraId="0920DF2B" w14:textId="77777777" w:rsidR="00D47AE2" w:rsidRPr="00D47AE2" w:rsidRDefault="00D47AE2" w:rsidP="00D47AE2">
      <w:pPr>
        <w:spacing w:after="0" w:line="480" w:lineRule="auto"/>
        <w:rPr>
          <w:rFonts w:ascii="Arial" w:eastAsia="Times New Roman" w:hAnsi="Arial" w:cs="Arial"/>
          <w:sz w:val="24"/>
          <w:szCs w:val="24"/>
        </w:rPr>
      </w:pPr>
      <w:r w:rsidRPr="00D47AE2">
        <w:rPr>
          <w:rFonts w:ascii="Arial" w:eastAsia="Times New Roman" w:hAnsi="Arial" w:cs="Arial"/>
          <w:noProof/>
          <w:sz w:val="24"/>
          <w:szCs w:val="24"/>
        </w:rPr>
        <w:drawing>
          <wp:inline distT="0" distB="0" distL="0" distR="0" wp14:anchorId="559060C1" wp14:editId="1EDCBA1C">
            <wp:extent cx="5943600" cy="2367915"/>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8"/>
                    <a:stretch>
                      <a:fillRect/>
                    </a:stretch>
                  </pic:blipFill>
                  <pic:spPr>
                    <a:xfrm>
                      <a:off x="0" y="0"/>
                      <a:ext cx="5943600" cy="2367915"/>
                    </a:xfrm>
                    <a:prstGeom prst="rect">
                      <a:avLst/>
                    </a:prstGeom>
                  </pic:spPr>
                </pic:pic>
              </a:graphicData>
            </a:graphic>
          </wp:inline>
        </w:drawing>
      </w:r>
    </w:p>
    <w:p w14:paraId="4D1E2300" w14:textId="77777777" w:rsidR="00D47AE2" w:rsidRPr="00D47AE2" w:rsidRDefault="00D47AE2" w:rsidP="00D47AE2">
      <w:pPr>
        <w:spacing w:after="0" w:line="240" w:lineRule="auto"/>
        <w:rPr>
          <w:rFonts w:ascii="Arial" w:eastAsia="Times New Roman" w:hAnsi="Arial" w:cs="Arial"/>
          <w:sz w:val="24"/>
          <w:szCs w:val="24"/>
        </w:rPr>
      </w:pPr>
      <w:r w:rsidRPr="00D47AE2">
        <w:rPr>
          <w:rFonts w:ascii="Arial" w:eastAsia="Times New Roman" w:hAnsi="Arial" w:cs="Arial"/>
          <w:sz w:val="24"/>
          <w:szCs w:val="24"/>
        </w:rPr>
        <w:br w:type="page"/>
      </w:r>
    </w:p>
    <w:p w14:paraId="1831A18D" w14:textId="41CD1D99" w:rsidR="00D47AE2" w:rsidRPr="00A02687" w:rsidRDefault="00D47AE2" w:rsidP="00D47AE2">
      <w:pPr>
        <w:spacing w:after="0" w:line="240" w:lineRule="auto"/>
        <w:rPr>
          <w:rFonts w:ascii="Arial" w:eastAsia="Times New Roman" w:hAnsi="Arial" w:cs="Arial"/>
          <w:sz w:val="24"/>
          <w:szCs w:val="24"/>
        </w:rPr>
      </w:pPr>
      <w:r w:rsidRPr="00D47AE2">
        <w:rPr>
          <w:rFonts w:ascii="Arial" w:eastAsia="Times New Roman" w:hAnsi="Arial" w:cs="Arial"/>
          <w:b/>
          <w:bCs/>
          <w:sz w:val="24"/>
          <w:szCs w:val="24"/>
        </w:rPr>
        <w:lastRenderedPageBreak/>
        <w:t xml:space="preserve">Fig. S4 Sensitivity analysis examining interactions between 97 BMI single nucleotide polymorphisms and obesity lifestyle risk </w:t>
      </w:r>
      <w:r w:rsidRPr="00A02687">
        <w:rPr>
          <w:rFonts w:ascii="Arial" w:eastAsia="Times New Roman" w:hAnsi="Arial" w:cs="Arial"/>
          <w:b/>
          <w:bCs/>
          <w:sz w:val="24"/>
          <w:szCs w:val="24"/>
        </w:rPr>
        <w:t>index on clinically measured BMI in an electronic health record biobank (</w:t>
      </w:r>
      <w:r w:rsidRPr="00A02687">
        <w:rPr>
          <w:rFonts w:ascii="Arial" w:eastAsia="Times New Roman" w:hAnsi="Arial" w:cs="Arial"/>
          <w:b/>
          <w:bCs/>
          <w:i/>
          <w:iCs/>
          <w:sz w:val="24"/>
          <w:szCs w:val="24"/>
        </w:rPr>
        <w:t xml:space="preserve">n </w:t>
      </w:r>
      <w:r w:rsidRPr="00A02687">
        <w:rPr>
          <w:rFonts w:ascii="Arial" w:eastAsia="Times New Roman" w:hAnsi="Arial" w:cs="Arial"/>
          <w:b/>
          <w:bCs/>
          <w:sz w:val="24"/>
          <w:szCs w:val="24"/>
        </w:rPr>
        <w:t>=17,040).</w:t>
      </w:r>
      <w:r w:rsidR="00A02687" w:rsidRPr="00A02687">
        <w:rPr>
          <w:rFonts w:ascii="Arial" w:eastAsia="Times New Roman" w:hAnsi="Arial" w:cs="Arial"/>
          <w:b/>
          <w:bCs/>
          <w:sz w:val="24"/>
          <w:szCs w:val="24"/>
        </w:rPr>
        <w:t xml:space="preserve"> </w:t>
      </w:r>
      <w:r w:rsidR="00A02687" w:rsidRPr="00A02687">
        <w:rPr>
          <w:rFonts w:ascii="Arial" w:hAnsi="Arial" w:cs="Arial"/>
          <w:i/>
          <w:iCs/>
          <w:sz w:val="24"/>
          <w:szCs w:val="24"/>
        </w:rPr>
        <w:t>P</w:t>
      </w:r>
      <w:r w:rsidR="00A02687" w:rsidRPr="00A02687">
        <w:rPr>
          <w:rFonts w:ascii="Arial" w:hAnsi="Arial" w:cs="Arial"/>
          <w:sz w:val="24"/>
          <w:szCs w:val="24"/>
          <w:vertAlign w:val="subscript"/>
        </w:rPr>
        <w:t>int</w:t>
      </w:r>
      <w:r w:rsidR="00A02687" w:rsidRPr="00A02687">
        <w:rPr>
          <w:rFonts w:ascii="Arial" w:hAnsi="Arial" w:cs="Arial"/>
          <w:i/>
          <w:iCs/>
          <w:sz w:val="24"/>
          <w:szCs w:val="24"/>
        </w:rPr>
        <w:t xml:space="preserve"> </w:t>
      </w:r>
      <w:r w:rsidR="00A02687" w:rsidRPr="00A02687">
        <w:rPr>
          <w:rFonts w:ascii="Arial" w:hAnsi="Arial" w:cs="Arial"/>
          <w:sz w:val="24"/>
          <w:szCs w:val="24"/>
        </w:rPr>
        <w:t xml:space="preserve">value </w:t>
      </w:r>
      <w:r w:rsidR="00A02687">
        <w:rPr>
          <w:rFonts w:ascii="Arial" w:hAnsi="Arial" w:cs="Arial"/>
          <w:sz w:val="24"/>
          <w:szCs w:val="24"/>
        </w:rPr>
        <w:t>and effect estimates are</w:t>
      </w:r>
      <w:r w:rsidR="00A02687" w:rsidRPr="00A02687">
        <w:rPr>
          <w:rFonts w:ascii="Arial" w:hAnsi="Arial" w:cs="Arial"/>
          <w:sz w:val="24"/>
          <w:szCs w:val="24"/>
        </w:rPr>
        <w:t xml:space="preserve"> for the interaction term between the </w:t>
      </w:r>
      <w:r w:rsidR="00A02687">
        <w:rPr>
          <w:rFonts w:ascii="Arial" w:hAnsi="Arial" w:cs="Arial"/>
          <w:sz w:val="24"/>
          <w:szCs w:val="24"/>
        </w:rPr>
        <w:t>97 BMI genetic variants</w:t>
      </w:r>
      <w:r w:rsidR="00A02687" w:rsidRPr="00A02687">
        <w:rPr>
          <w:rFonts w:ascii="Arial" w:hAnsi="Arial" w:cs="Arial"/>
          <w:sz w:val="24"/>
          <w:szCs w:val="24"/>
        </w:rPr>
        <w:t xml:space="preserve"> and the lifestyle index </w:t>
      </w:r>
      <w:r w:rsidR="00A02687">
        <w:rPr>
          <w:rFonts w:ascii="Arial" w:hAnsi="Arial" w:cs="Arial"/>
          <w:sz w:val="24"/>
          <w:szCs w:val="24"/>
        </w:rPr>
        <w:t xml:space="preserve">(continuous) </w:t>
      </w:r>
      <w:r w:rsidR="00A02687" w:rsidRPr="00A02687">
        <w:rPr>
          <w:rFonts w:ascii="Arial" w:hAnsi="Arial" w:cs="Arial"/>
          <w:sz w:val="24"/>
          <w:szCs w:val="24"/>
        </w:rPr>
        <w:t xml:space="preserve">on BMI in </w:t>
      </w:r>
      <w:r w:rsidR="00A02687" w:rsidRPr="002F1CCE">
        <w:rPr>
          <w:rFonts w:ascii="Arial" w:hAnsi="Arial" w:cs="Arial"/>
          <w:sz w:val="24"/>
          <w:szCs w:val="24"/>
        </w:rPr>
        <w:t xml:space="preserve">a multivariable linear regression model adjusted for age, sex, genotyping array, and 5 PCs of ancestry adding both the </w:t>
      </w:r>
      <w:r w:rsidR="00A02687" w:rsidRPr="002F1CCE">
        <w:rPr>
          <w:rFonts w:ascii="Arial" w:hAnsi="Arial" w:cs="Arial"/>
          <w:sz w:val="24"/>
          <w:szCs w:val="24"/>
        </w:rPr>
        <w:t>genetic variant</w:t>
      </w:r>
      <w:r w:rsidR="00A02687" w:rsidRPr="002F1CCE">
        <w:rPr>
          <w:rFonts w:ascii="Arial" w:hAnsi="Arial" w:cs="Arial"/>
          <w:sz w:val="24"/>
          <w:szCs w:val="24"/>
        </w:rPr>
        <w:t xml:space="preserve"> and the index as covariates.</w:t>
      </w:r>
      <w:r w:rsidR="002F1CCE" w:rsidRPr="002F1CCE">
        <w:rPr>
          <w:rFonts w:ascii="Arial" w:hAnsi="Arial" w:cs="Arial"/>
          <w:sz w:val="24"/>
          <w:szCs w:val="24"/>
        </w:rPr>
        <w:t xml:space="preserve"> </w:t>
      </w:r>
      <w:r w:rsidR="002F1CCE" w:rsidRPr="002F1CCE">
        <w:rPr>
          <w:rFonts w:ascii="Arial" w:hAnsi="Arial" w:cs="Arial"/>
          <w:sz w:val="24"/>
          <w:szCs w:val="24"/>
        </w:rPr>
        <w:t xml:space="preserve">The horizontal red line represents the </w:t>
      </w:r>
      <w:r w:rsidR="002F1CCE">
        <w:rPr>
          <w:rFonts w:ascii="Arial" w:hAnsi="Arial" w:cs="Arial"/>
          <w:sz w:val="24"/>
          <w:szCs w:val="24"/>
        </w:rPr>
        <w:t>unadjusted</w:t>
      </w:r>
      <w:r w:rsidR="002F1CCE" w:rsidRPr="002F1CCE">
        <w:rPr>
          <w:rFonts w:ascii="Arial" w:hAnsi="Arial" w:cs="Arial"/>
          <w:sz w:val="24"/>
          <w:szCs w:val="24"/>
        </w:rPr>
        <w:t xml:space="preserve"> </w:t>
      </w:r>
      <w:r w:rsidR="002F1CCE" w:rsidRPr="002F1CCE">
        <w:rPr>
          <w:rFonts w:ascii="Arial" w:hAnsi="Arial" w:cs="Arial"/>
          <w:i/>
          <w:iCs/>
          <w:sz w:val="24"/>
          <w:szCs w:val="24"/>
        </w:rPr>
        <w:t xml:space="preserve">P </w:t>
      </w:r>
      <w:r w:rsidR="002F1CCE" w:rsidRPr="002F1CCE">
        <w:rPr>
          <w:rFonts w:ascii="Arial" w:hAnsi="Arial" w:cs="Arial"/>
          <w:sz w:val="24"/>
          <w:szCs w:val="24"/>
        </w:rPr>
        <w:t>value cut-off (</w:t>
      </w:r>
      <w:r w:rsidR="002F1CCE" w:rsidRPr="002F1CCE">
        <w:rPr>
          <w:rFonts w:ascii="Arial" w:hAnsi="Arial" w:cs="Arial"/>
          <w:i/>
          <w:iCs/>
          <w:sz w:val="24"/>
          <w:szCs w:val="24"/>
        </w:rPr>
        <w:t xml:space="preserve">P </w:t>
      </w:r>
      <w:r w:rsidR="002F1CCE" w:rsidRPr="002F1CCE">
        <w:rPr>
          <w:rFonts w:ascii="Arial" w:hAnsi="Arial" w:cs="Arial"/>
          <w:sz w:val="24"/>
          <w:szCs w:val="24"/>
        </w:rPr>
        <w:t>value =</w:t>
      </w:r>
      <w:r w:rsidR="002F1CCE">
        <w:rPr>
          <w:rFonts w:ascii="Arial" w:hAnsi="Arial" w:cs="Arial"/>
          <w:sz w:val="24"/>
          <w:szCs w:val="24"/>
        </w:rPr>
        <w:t>0.05</w:t>
      </w:r>
      <w:r w:rsidR="002F1CCE" w:rsidRPr="002F1CCE">
        <w:rPr>
          <w:rFonts w:ascii="Arial" w:hAnsi="Arial" w:cs="Arial"/>
          <w:sz w:val="24"/>
          <w:szCs w:val="24"/>
        </w:rPr>
        <w:t>).</w:t>
      </w:r>
      <w:r w:rsidR="002F1CCE">
        <w:rPr>
          <w:rFonts w:ascii="Arial" w:hAnsi="Arial" w:cs="Arial"/>
          <w:sz w:val="24"/>
          <w:szCs w:val="24"/>
        </w:rPr>
        <w:t xml:space="preserve"> </w:t>
      </w:r>
      <w:r w:rsidR="002F1CCE" w:rsidRPr="002F1CCE">
        <w:rPr>
          <w:rFonts w:ascii="Arial" w:hAnsi="Arial" w:cs="Arial"/>
          <w:sz w:val="24"/>
          <w:szCs w:val="24"/>
        </w:rPr>
        <w:t>I</w:t>
      </w:r>
      <w:r w:rsidR="002F1CCE">
        <w:rPr>
          <w:rFonts w:ascii="Arial" w:hAnsi="Arial" w:cs="Arial"/>
          <w:sz w:val="24"/>
          <w:szCs w:val="24"/>
        </w:rPr>
        <w:t>ndividual i</w:t>
      </w:r>
      <w:r w:rsidR="002F1CCE" w:rsidRPr="002F1CCE">
        <w:rPr>
          <w:rFonts w:ascii="Arial" w:hAnsi="Arial" w:cs="Arial"/>
          <w:sz w:val="24"/>
          <w:szCs w:val="24"/>
        </w:rPr>
        <w:t xml:space="preserve">nteractions were considered significant at Bonferroni </w:t>
      </w:r>
      <w:r w:rsidR="002F1CCE" w:rsidRPr="002F1CCE">
        <w:rPr>
          <w:rFonts w:ascii="Arial" w:hAnsi="Arial" w:cs="Arial"/>
          <w:i/>
          <w:iCs/>
          <w:sz w:val="24"/>
          <w:szCs w:val="24"/>
        </w:rPr>
        <w:t>P</w:t>
      </w:r>
      <w:r w:rsidR="002F1CCE" w:rsidRPr="002F1CCE">
        <w:rPr>
          <w:rFonts w:ascii="Arial" w:hAnsi="Arial" w:cs="Arial"/>
          <w:sz w:val="24"/>
          <w:szCs w:val="24"/>
        </w:rPr>
        <w:t xml:space="preserve"> value cut-offs accounting for the total number of interaction tests</w:t>
      </w:r>
      <w:r w:rsidR="002F1CCE">
        <w:rPr>
          <w:rFonts w:ascii="Arial" w:hAnsi="Arial" w:cs="Arial"/>
          <w:sz w:val="24"/>
          <w:szCs w:val="24"/>
        </w:rPr>
        <w:t xml:space="preserve"> (97 tests)</w:t>
      </w:r>
      <w:r w:rsidR="002F1CCE" w:rsidRPr="002F1CCE">
        <w:rPr>
          <w:rFonts w:ascii="Arial" w:hAnsi="Arial" w:cs="Arial"/>
          <w:sz w:val="24"/>
          <w:szCs w:val="24"/>
        </w:rPr>
        <w:t>.</w:t>
      </w:r>
      <w:r w:rsidR="00EC3942">
        <w:rPr>
          <w:rFonts w:ascii="Arial" w:hAnsi="Arial" w:cs="Arial"/>
          <w:sz w:val="24"/>
          <w:szCs w:val="24"/>
        </w:rPr>
        <w:t xml:space="preserve"> The top 3 interaction signals are annotated with the symbol of the nearest gene.</w:t>
      </w:r>
    </w:p>
    <w:p w14:paraId="430F5CF0" w14:textId="77777777" w:rsidR="00D47AE2" w:rsidRPr="00A02687" w:rsidRDefault="00D47AE2" w:rsidP="00D47AE2">
      <w:pPr>
        <w:spacing w:after="0" w:line="240" w:lineRule="auto"/>
        <w:rPr>
          <w:rFonts w:ascii="Arial" w:eastAsia="Times New Roman" w:hAnsi="Arial" w:cs="Arial"/>
          <w:sz w:val="24"/>
          <w:szCs w:val="24"/>
        </w:rPr>
      </w:pPr>
    </w:p>
    <w:p w14:paraId="3F6D3E4D" w14:textId="77777777" w:rsidR="00D47AE2" w:rsidRPr="00D47AE2" w:rsidRDefault="00D47AE2" w:rsidP="00D47AE2">
      <w:pPr>
        <w:spacing w:after="0" w:line="240" w:lineRule="auto"/>
        <w:rPr>
          <w:rFonts w:ascii="Arial" w:eastAsia="Times New Roman" w:hAnsi="Arial" w:cs="Arial"/>
          <w:sz w:val="24"/>
          <w:szCs w:val="24"/>
        </w:rPr>
      </w:pPr>
    </w:p>
    <w:p w14:paraId="5CFBE504" w14:textId="77777777" w:rsidR="00D47AE2" w:rsidRPr="00D47AE2" w:rsidRDefault="00D47AE2" w:rsidP="00D47AE2">
      <w:pPr>
        <w:spacing w:after="0" w:line="480" w:lineRule="auto"/>
        <w:rPr>
          <w:rFonts w:ascii="Arial" w:eastAsia="Times New Roman" w:hAnsi="Arial" w:cs="Arial"/>
          <w:sz w:val="24"/>
          <w:szCs w:val="24"/>
        </w:rPr>
      </w:pPr>
      <w:r w:rsidRPr="00D47AE2">
        <w:rPr>
          <w:rFonts w:ascii="Arial" w:eastAsia="Times New Roman" w:hAnsi="Arial" w:cs="Arial"/>
          <w:noProof/>
          <w:sz w:val="24"/>
          <w:szCs w:val="24"/>
        </w:rPr>
        <w:drawing>
          <wp:inline distT="0" distB="0" distL="0" distR="0" wp14:anchorId="14DC9087" wp14:editId="6CA1420A">
            <wp:extent cx="3933198" cy="2820473"/>
            <wp:effectExtent l="0" t="0" r="381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9"/>
                    <a:stretch>
                      <a:fillRect/>
                    </a:stretch>
                  </pic:blipFill>
                  <pic:spPr>
                    <a:xfrm>
                      <a:off x="0" y="0"/>
                      <a:ext cx="3949943" cy="2832481"/>
                    </a:xfrm>
                    <a:prstGeom prst="rect">
                      <a:avLst/>
                    </a:prstGeom>
                  </pic:spPr>
                </pic:pic>
              </a:graphicData>
            </a:graphic>
          </wp:inline>
        </w:drawing>
      </w:r>
    </w:p>
    <w:p w14:paraId="468DAA83" w14:textId="77777777" w:rsidR="00D47AE2" w:rsidRPr="00D47AE2" w:rsidRDefault="00D47AE2" w:rsidP="00D47AE2">
      <w:pPr>
        <w:spacing w:after="0" w:line="240" w:lineRule="auto"/>
        <w:rPr>
          <w:rFonts w:ascii="Arial" w:eastAsia="Times New Roman" w:hAnsi="Arial" w:cs="Arial"/>
          <w:sz w:val="24"/>
          <w:szCs w:val="24"/>
        </w:rPr>
      </w:pPr>
      <w:r w:rsidRPr="00D47AE2">
        <w:rPr>
          <w:rFonts w:ascii="Arial" w:eastAsia="Times New Roman" w:hAnsi="Arial" w:cs="Arial"/>
          <w:sz w:val="24"/>
          <w:szCs w:val="24"/>
        </w:rPr>
        <w:br w:type="page"/>
      </w:r>
    </w:p>
    <w:p w14:paraId="43D3382F" w14:textId="1AF7CE1E" w:rsidR="00D47AE2" w:rsidRPr="00D47AE2" w:rsidRDefault="00D47AE2" w:rsidP="00D47AE2">
      <w:pPr>
        <w:spacing w:after="0" w:line="240" w:lineRule="auto"/>
        <w:rPr>
          <w:rFonts w:ascii="Arial" w:eastAsia="Times New Roman" w:hAnsi="Arial" w:cs="Arial"/>
          <w:b/>
          <w:bCs/>
          <w:sz w:val="24"/>
          <w:szCs w:val="24"/>
        </w:rPr>
      </w:pPr>
      <w:r w:rsidRPr="00D47AE2">
        <w:rPr>
          <w:rFonts w:ascii="Arial" w:eastAsia="Times New Roman" w:hAnsi="Arial" w:cs="Arial"/>
          <w:b/>
          <w:bCs/>
          <w:sz w:val="24"/>
          <w:szCs w:val="24"/>
        </w:rPr>
        <w:lastRenderedPageBreak/>
        <w:t>Fig. S5 Sensitivity analysis in an electronic health record biobank (</w:t>
      </w:r>
      <w:r w:rsidRPr="00D47AE2">
        <w:rPr>
          <w:rFonts w:ascii="Arial" w:eastAsia="Times New Roman" w:hAnsi="Arial" w:cs="Arial"/>
          <w:b/>
          <w:bCs/>
          <w:i/>
          <w:iCs/>
          <w:sz w:val="24"/>
          <w:szCs w:val="24"/>
        </w:rPr>
        <w:t xml:space="preserve">n </w:t>
      </w:r>
      <w:r w:rsidRPr="00D47AE2">
        <w:rPr>
          <w:rFonts w:ascii="Arial" w:eastAsia="Times New Roman" w:hAnsi="Arial" w:cs="Arial"/>
          <w:b/>
          <w:bCs/>
          <w:sz w:val="24"/>
          <w:szCs w:val="24"/>
        </w:rPr>
        <w:t>=17,040) examining interactions between the obesity polygenic risk score and obesogenic lifestyle risk factors on clinically measured BMI and associations between the obesity polygenic risk score per SD and BMI stratified by lifestyle risk factor</w:t>
      </w:r>
      <w:r w:rsidR="00A77E49">
        <w:rPr>
          <w:rFonts w:ascii="Arial" w:eastAsia="Times New Roman" w:hAnsi="Arial" w:cs="Arial"/>
          <w:b/>
          <w:bCs/>
          <w:sz w:val="24"/>
          <w:szCs w:val="24"/>
        </w:rPr>
        <w:t xml:space="preserve"> risk</w:t>
      </w:r>
      <w:r w:rsidRPr="00D47AE2">
        <w:rPr>
          <w:rFonts w:ascii="Arial" w:eastAsia="Times New Roman" w:hAnsi="Arial" w:cs="Arial"/>
          <w:b/>
          <w:bCs/>
          <w:sz w:val="24"/>
          <w:szCs w:val="24"/>
        </w:rPr>
        <w:t xml:space="preserve">. </w:t>
      </w:r>
      <w:r w:rsidRPr="00D47AE2">
        <w:rPr>
          <w:rFonts w:ascii="Arial" w:eastAsia="Times New Roman" w:hAnsi="Arial" w:cs="Arial"/>
          <w:sz w:val="24"/>
          <w:szCs w:val="24"/>
        </w:rPr>
        <w:t>Stratified associations are shown for the lowest risk category (e.g., moderate alcohol intake (1-2 drinks per day), highest education level (Masters, doctoral or professional degree), recommended physical activity duration (≥150 minutes of moderate or high intensity exercise per week), adequate sleep duration (≥8 and &lt;10 hours per night), never smoking, and day shift work) followed by the higher risk category (e.g., excessive or limited alcohol intake (more or less than 1 to 2 drinks per day), education level less than Masters, doctoral or professional degree, physical inactivity (&lt;150 minutes of moderate or high intensity exercise per week), inadequate sleep duration (&lt;8 hours or ≥10 hours per night), former smoking (associated with higher odds of obesity compared to current and never smoking</w:t>
      </w:r>
      <w:r w:rsidR="00D0681B">
        <w:rPr>
          <w:rFonts w:ascii="Arial" w:eastAsia="Times New Roman" w:hAnsi="Arial" w:cs="Arial"/>
          <w:sz w:val="24"/>
          <w:szCs w:val="24"/>
        </w:rPr>
        <w:t xml:space="preserve">; current smoking </w:t>
      </w:r>
      <w:r w:rsidR="008A2D9D">
        <w:rPr>
          <w:rFonts w:ascii="Arial" w:eastAsia="Times New Roman" w:hAnsi="Arial" w:cs="Arial"/>
          <w:sz w:val="24"/>
          <w:szCs w:val="24"/>
        </w:rPr>
        <w:t>was</w:t>
      </w:r>
      <w:r w:rsidR="00D0681B">
        <w:rPr>
          <w:rFonts w:ascii="Arial" w:eastAsia="Times New Roman" w:hAnsi="Arial" w:cs="Arial"/>
          <w:sz w:val="24"/>
          <w:szCs w:val="24"/>
        </w:rPr>
        <w:t xml:space="preserve"> excluded from the analysis</w:t>
      </w:r>
      <w:r w:rsidRPr="00D47AE2">
        <w:rPr>
          <w:rFonts w:ascii="Arial" w:eastAsia="Times New Roman" w:hAnsi="Arial" w:cs="Arial"/>
          <w:sz w:val="24"/>
          <w:szCs w:val="24"/>
        </w:rPr>
        <w:t>), and night shift work) for each trait.</w:t>
      </w:r>
      <w:r w:rsidRPr="00D47AE2">
        <w:rPr>
          <w:rFonts w:ascii="Arial" w:eastAsia="Times New Roman" w:hAnsi="Arial" w:cs="Arial"/>
          <w:b/>
          <w:bCs/>
          <w:sz w:val="24"/>
          <w:szCs w:val="24"/>
        </w:rPr>
        <w:t xml:space="preserve"> </w:t>
      </w:r>
      <w:r w:rsidRPr="00D47AE2">
        <w:rPr>
          <w:rFonts w:ascii="Arial" w:eastAsia="Times New Roman" w:hAnsi="Arial" w:cs="Arial"/>
          <w:sz w:val="24"/>
          <w:szCs w:val="24"/>
        </w:rPr>
        <w:t>Abbreviations: week (</w:t>
      </w:r>
      <w:proofErr w:type="spellStart"/>
      <w:r w:rsidRPr="00D47AE2">
        <w:rPr>
          <w:rFonts w:ascii="Arial" w:eastAsia="Times New Roman" w:hAnsi="Arial" w:cs="Arial"/>
          <w:sz w:val="24"/>
          <w:szCs w:val="24"/>
        </w:rPr>
        <w:t>wk</w:t>
      </w:r>
      <w:proofErr w:type="spellEnd"/>
      <w:r w:rsidRPr="00D47AE2">
        <w:rPr>
          <w:rFonts w:ascii="Arial" w:eastAsia="Times New Roman" w:hAnsi="Arial" w:cs="Arial"/>
          <w:sz w:val="24"/>
          <w:szCs w:val="24"/>
        </w:rPr>
        <w:t>), standard deviation (SD).</w:t>
      </w:r>
    </w:p>
    <w:p w14:paraId="191F3FB0" w14:textId="77777777" w:rsidR="00D47AE2" w:rsidRPr="00D47AE2" w:rsidRDefault="00D47AE2" w:rsidP="00D47AE2">
      <w:pPr>
        <w:spacing w:after="0" w:line="240" w:lineRule="auto"/>
        <w:rPr>
          <w:rFonts w:ascii="Arial" w:eastAsia="Times New Roman" w:hAnsi="Arial" w:cs="Arial"/>
          <w:b/>
          <w:bCs/>
          <w:sz w:val="24"/>
          <w:szCs w:val="24"/>
        </w:rPr>
      </w:pPr>
    </w:p>
    <w:p w14:paraId="3E88A867" w14:textId="77777777" w:rsidR="00683367" w:rsidRDefault="00683367" w:rsidP="00D47AE2">
      <w:pPr>
        <w:spacing w:after="0" w:line="480" w:lineRule="auto"/>
        <w:rPr>
          <w:rFonts w:ascii="Times New Roman" w:eastAsia="Times New Roman" w:hAnsi="Times New Roman" w:cs="Times New Roman"/>
          <w:noProof/>
          <w:sz w:val="24"/>
          <w:szCs w:val="24"/>
        </w:rPr>
      </w:pPr>
    </w:p>
    <w:p w14:paraId="5EDB09E5" w14:textId="0CC6B7DF" w:rsidR="00D47AE2" w:rsidRPr="00D47AE2" w:rsidRDefault="00683367" w:rsidP="00D47AE2">
      <w:pPr>
        <w:spacing w:after="0" w:line="480" w:lineRule="auto"/>
        <w:rPr>
          <w:rFonts w:ascii="Arial" w:eastAsia="Times New Roman" w:hAnsi="Arial" w:cs="Arial"/>
          <w:sz w:val="24"/>
          <w:szCs w:val="24"/>
        </w:rPr>
      </w:pPr>
      <w:r w:rsidRPr="00683367">
        <w:rPr>
          <w:rFonts w:ascii="Times New Roman" w:eastAsia="Times New Roman" w:hAnsi="Times New Roman" w:cs="Times New Roman"/>
          <w:noProof/>
          <w:sz w:val="24"/>
          <w:szCs w:val="24"/>
        </w:rPr>
        <w:drawing>
          <wp:inline distT="0" distB="0" distL="0" distR="0" wp14:anchorId="3DEE5EF6" wp14:editId="67852DC8">
            <wp:extent cx="5943600" cy="4309110"/>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
                    <a:stretch>
                      <a:fillRect/>
                    </a:stretch>
                  </pic:blipFill>
                  <pic:spPr>
                    <a:xfrm>
                      <a:off x="0" y="0"/>
                      <a:ext cx="5943600" cy="4309110"/>
                    </a:xfrm>
                    <a:prstGeom prst="rect">
                      <a:avLst/>
                    </a:prstGeom>
                  </pic:spPr>
                </pic:pic>
              </a:graphicData>
            </a:graphic>
          </wp:inline>
        </w:drawing>
      </w:r>
    </w:p>
    <w:p w14:paraId="1417708F" w14:textId="77777777" w:rsidR="00D47AE2" w:rsidRPr="00D47AE2" w:rsidRDefault="00D47AE2" w:rsidP="00D47AE2">
      <w:pPr>
        <w:spacing w:after="0" w:line="480" w:lineRule="auto"/>
        <w:rPr>
          <w:rFonts w:ascii="Arial" w:eastAsia="Times New Roman" w:hAnsi="Arial" w:cs="Arial"/>
          <w:sz w:val="24"/>
          <w:szCs w:val="24"/>
        </w:rPr>
      </w:pPr>
    </w:p>
    <w:p w14:paraId="6D2A9975" w14:textId="77777777" w:rsidR="00854A52" w:rsidRDefault="00854A52"/>
    <w:sectPr w:rsidR="00854A52" w:rsidSect="0060632C">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E445" w14:textId="77777777" w:rsidR="00654FEB" w:rsidRDefault="00654FEB" w:rsidP="00625BC3">
      <w:pPr>
        <w:spacing w:after="0" w:line="240" w:lineRule="auto"/>
      </w:pPr>
      <w:r>
        <w:separator/>
      </w:r>
    </w:p>
  </w:endnote>
  <w:endnote w:type="continuationSeparator" w:id="0">
    <w:p w14:paraId="31819B06" w14:textId="77777777" w:rsidR="00654FEB" w:rsidRDefault="00654FEB" w:rsidP="00625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7669312"/>
      <w:docPartObj>
        <w:docPartGallery w:val="Page Numbers (Bottom of Page)"/>
        <w:docPartUnique/>
      </w:docPartObj>
    </w:sdtPr>
    <w:sdtContent>
      <w:p w14:paraId="493A628D" w14:textId="379866F8" w:rsidR="00625BC3" w:rsidRDefault="00625BC3" w:rsidP="004C6F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C53BA8" w14:textId="77777777" w:rsidR="00625BC3" w:rsidRDefault="00625BC3" w:rsidP="00625B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357821"/>
      <w:docPartObj>
        <w:docPartGallery w:val="Page Numbers (Bottom of Page)"/>
        <w:docPartUnique/>
      </w:docPartObj>
    </w:sdtPr>
    <w:sdtContent>
      <w:p w14:paraId="3DBC376F" w14:textId="05CEFDEB" w:rsidR="00625BC3" w:rsidRDefault="00625BC3" w:rsidP="004C6F6D">
        <w:pPr>
          <w:pStyle w:val="Footer"/>
          <w:framePr w:wrap="none" w:vAnchor="text" w:hAnchor="margin" w:xAlign="right" w:y="1"/>
          <w:rPr>
            <w:rStyle w:val="PageNumber"/>
          </w:rPr>
        </w:pPr>
        <w:r w:rsidRPr="00625BC3">
          <w:rPr>
            <w:rStyle w:val="PageNumber"/>
            <w:rFonts w:ascii="Arial" w:hAnsi="Arial" w:cs="Arial"/>
            <w:sz w:val="20"/>
            <w:szCs w:val="20"/>
          </w:rPr>
          <w:fldChar w:fldCharType="begin"/>
        </w:r>
        <w:r w:rsidRPr="00625BC3">
          <w:rPr>
            <w:rStyle w:val="PageNumber"/>
            <w:rFonts w:ascii="Arial" w:hAnsi="Arial" w:cs="Arial"/>
            <w:sz w:val="20"/>
            <w:szCs w:val="20"/>
          </w:rPr>
          <w:instrText xml:space="preserve"> PAGE </w:instrText>
        </w:r>
        <w:r w:rsidRPr="00625BC3">
          <w:rPr>
            <w:rStyle w:val="PageNumber"/>
            <w:rFonts w:ascii="Arial" w:hAnsi="Arial" w:cs="Arial"/>
            <w:sz w:val="20"/>
            <w:szCs w:val="20"/>
          </w:rPr>
          <w:fldChar w:fldCharType="separate"/>
        </w:r>
        <w:r w:rsidRPr="00625BC3">
          <w:rPr>
            <w:rStyle w:val="PageNumber"/>
            <w:rFonts w:ascii="Arial" w:hAnsi="Arial" w:cs="Arial"/>
            <w:noProof/>
            <w:sz w:val="20"/>
            <w:szCs w:val="20"/>
          </w:rPr>
          <w:t>1</w:t>
        </w:r>
        <w:r w:rsidRPr="00625BC3">
          <w:rPr>
            <w:rStyle w:val="PageNumber"/>
            <w:rFonts w:ascii="Arial" w:hAnsi="Arial" w:cs="Arial"/>
            <w:sz w:val="20"/>
            <w:szCs w:val="20"/>
          </w:rPr>
          <w:fldChar w:fldCharType="end"/>
        </w:r>
      </w:p>
    </w:sdtContent>
  </w:sdt>
  <w:p w14:paraId="1566C808" w14:textId="77777777" w:rsidR="00625BC3" w:rsidRDefault="00625BC3" w:rsidP="00625BC3">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084F" w14:textId="77777777" w:rsidR="00654FEB" w:rsidRDefault="00654FEB" w:rsidP="00625BC3">
      <w:pPr>
        <w:spacing w:after="0" w:line="240" w:lineRule="auto"/>
      </w:pPr>
      <w:r>
        <w:separator/>
      </w:r>
    </w:p>
  </w:footnote>
  <w:footnote w:type="continuationSeparator" w:id="0">
    <w:p w14:paraId="7746A1F6" w14:textId="77777777" w:rsidR="00654FEB" w:rsidRDefault="00654FEB" w:rsidP="00625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6E2C" w14:textId="722F19FA" w:rsidR="00625BC3" w:rsidRPr="00625BC3" w:rsidRDefault="00625BC3">
    <w:pPr>
      <w:pStyle w:val="Header"/>
      <w:rPr>
        <w:rFonts w:ascii="Arial" w:hAnsi="Arial" w:cs="Arial"/>
        <w:b/>
        <w:bCs/>
        <w:i/>
        <w:iCs/>
      </w:rPr>
    </w:pPr>
    <w:r w:rsidRPr="00625BC3">
      <w:rPr>
        <w:rFonts w:ascii="Arial" w:hAnsi="Arial" w:cs="Arial"/>
        <w:b/>
        <w:bCs/>
        <w:i/>
        <w:iCs/>
      </w:rPr>
      <w:t xml:space="preserve">Additional File 1 - </w:t>
    </w:r>
    <w:r w:rsidRPr="00625BC3">
      <w:rPr>
        <w:rFonts w:ascii="Arial" w:hAnsi="Arial" w:cs="Arial"/>
        <w:b/>
        <w:bCs/>
        <w:i/>
        <w:iCs/>
      </w:rPr>
      <w:t>Interaction of obesity polygenic score with lifestyle risk factors in an electronic health record biobank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C8"/>
    <w:rsid w:val="002F1CCE"/>
    <w:rsid w:val="00625BC3"/>
    <w:rsid w:val="00654FEB"/>
    <w:rsid w:val="00683367"/>
    <w:rsid w:val="007939BF"/>
    <w:rsid w:val="007C4BAE"/>
    <w:rsid w:val="007E6BC8"/>
    <w:rsid w:val="00854A52"/>
    <w:rsid w:val="008A2D9D"/>
    <w:rsid w:val="009463EE"/>
    <w:rsid w:val="00A02687"/>
    <w:rsid w:val="00A77E49"/>
    <w:rsid w:val="00D0681B"/>
    <w:rsid w:val="00D47AE2"/>
    <w:rsid w:val="00E00152"/>
    <w:rsid w:val="00E71EDD"/>
    <w:rsid w:val="00EC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E213"/>
  <w15:chartTrackingRefBased/>
  <w15:docId w15:val="{9E898F72-1055-4360-83BA-77B30BFF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7AE2"/>
    <w:rPr>
      <w:sz w:val="16"/>
      <w:szCs w:val="16"/>
    </w:rPr>
  </w:style>
  <w:style w:type="paragraph" w:styleId="CommentText">
    <w:name w:val="annotation text"/>
    <w:basedOn w:val="Normal"/>
    <w:link w:val="CommentTextChar"/>
    <w:uiPriority w:val="99"/>
    <w:semiHidden/>
    <w:unhideWhenUsed/>
    <w:rsid w:val="00D47AE2"/>
    <w:pPr>
      <w:spacing w:after="0" w:line="240" w:lineRule="auto"/>
    </w:pPr>
    <w:rPr>
      <w:sz w:val="20"/>
      <w:szCs w:val="20"/>
    </w:rPr>
  </w:style>
  <w:style w:type="character" w:customStyle="1" w:styleId="CommentTextChar">
    <w:name w:val="Comment Text Char"/>
    <w:basedOn w:val="DefaultParagraphFont"/>
    <w:link w:val="CommentText"/>
    <w:uiPriority w:val="99"/>
    <w:semiHidden/>
    <w:rsid w:val="00D47AE2"/>
    <w:rPr>
      <w:sz w:val="20"/>
      <w:szCs w:val="20"/>
    </w:rPr>
  </w:style>
  <w:style w:type="paragraph" w:styleId="Header">
    <w:name w:val="header"/>
    <w:basedOn w:val="Normal"/>
    <w:link w:val="HeaderChar"/>
    <w:uiPriority w:val="99"/>
    <w:unhideWhenUsed/>
    <w:rsid w:val="00625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BC3"/>
  </w:style>
  <w:style w:type="paragraph" w:styleId="Footer">
    <w:name w:val="footer"/>
    <w:basedOn w:val="Normal"/>
    <w:link w:val="FooterChar"/>
    <w:uiPriority w:val="99"/>
    <w:unhideWhenUsed/>
    <w:rsid w:val="00625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BC3"/>
  </w:style>
  <w:style w:type="character" w:styleId="PageNumber">
    <w:name w:val="page number"/>
    <w:basedOn w:val="DefaultParagraphFont"/>
    <w:uiPriority w:val="99"/>
    <w:semiHidden/>
    <w:unhideWhenUsed/>
    <w:rsid w:val="0062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Miranda</dc:creator>
  <cp:keywords/>
  <dc:description/>
  <cp:lastModifiedBy>Dashti, Hassan S.</cp:lastModifiedBy>
  <cp:revision>14</cp:revision>
  <dcterms:created xsi:type="dcterms:W3CDTF">2021-11-18T22:14:00Z</dcterms:created>
  <dcterms:modified xsi:type="dcterms:W3CDTF">2021-11-19T16:31:00Z</dcterms:modified>
</cp:coreProperties>
</file>