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TableS1a: baseline characteristics between patients with symptomatic and asymptomatic BM in Cohort 1</w:t>
      </w:r>
    </w:p>
    <w:tbl>
      <w:tblPr>
        <w:tblStyle w:val="3"/>
        <w:tblW w:w="89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2168"/>
        <w:gridCol w:w="2470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Cohort 1</w:t>
            </w:r>
          </w:p>
        </w:tc>
        <w:tc>
          <w:tcPr>
            <w:tcW w:w="216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patients with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symptomatic BM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n=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7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patients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with asymptomatic BM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n=1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P value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male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female</w:t>
            </w:r>
          </w:p>
        </w:tc>
        <w:tc>
          <w:tcPr>
            <w:tcW w:w="2168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247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4(3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6.4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157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age: ＜65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age: ≥65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(9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9.1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ECOG: 0-1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ECOG: ≥2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(100%)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never smoker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current or former smoker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27.3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0.516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with CNS target lesions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without CNS target lesion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(3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6.4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7(6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BM 1-3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BM≥4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27.3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0.026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u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Patients with LM and patients with controlled BM were excluded in this part of analysis</w:t>
      </w:r>
    </w:p>
    <w:p>
      <w:pPr>
        <w:rPr>
          <w:rFonts w:hint="eastAsia" w:ascii="Times New Roman" w:hAnsi="Times New Roman" w:cs="Times New Roman"/>
          <w:b/>
          <w:bCs/>
          <w:sz w:val="30"/>
          <w:szCs w:val="30"/>
          <w:u w:val="none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u w:val="none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TableS1b: baseline characteristics between patients with symptomatic and asymptomatic BM in Cohort 2</w:t>
      </w:r>
    </w:p>
    <w:tbl>
      <w:tblPr>
        <w:tblStyle w:val="3"/>
        <w:tblW w:w="898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775"/>
        <w:gridCol w:w="2168"/>
        <w:gridCol w:w="2470"/>
        <w:gridCol w:w="157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5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Cohort 1</w:t>
            </w:r>
          </w:p>
        </w:tc>
        <w:tc>
          <w:tcPr>
            <w:tcW w:w="2168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patients with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symptomatic BM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n=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7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patients 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with asymptomatic BM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 n=1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1574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 xml:space="preserve">P value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5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male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female</w:t>
            </w:r>
          </w:p>
        </w:tc>
        <w:tc>
          <w:tcPr>
            <w:tcW w:w="2168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60%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247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1574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0.705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age: ＜65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age: ≥65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10%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0.357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ECOG: 0-1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ECOG: ≥2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88.9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2(11.1%)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0.063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never smoker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current or former smoker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40%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2.2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27.8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0.677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with CNS target lesions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without CNS target lesion</w:t>
            </w:r>
          </w:p>
        </w:tc>
        <w:tc>
          <w:tcPr>
            <w:tcW w:w="2168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247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8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44.4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55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.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6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157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0.254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775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BM 1-3</w:t>
            </w:r>
          </w:p>
          <w:p>
            <w:pP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BM≥4</w:t>
            </w:r>
          </w:p>
        </w:tc>
        <w:tc>
          <w:tcPr>
            <w:tcW w:w="2168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10%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90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247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11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(7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2.7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7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(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38.9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%)</w:t>
            </w:r>
          </w:p>
        </w:tc>
        <w:tc>
          <w:tcPr>
            <w:tcW w:w="1574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0.016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u w:val="none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Patients with LM and patients with controlled BM were excluded in this part of analysis</w:t>
      </w:r>
    </w:p>
    <w:p>
      <w:pPr>
        <w:rPr>
          <w:rFonts w:hint="default" w:ascii="Times New Roman" w:hAnsi="Times New Roman" w:cs="Times New Roman"/>
          <w:b/>
          <w:bCs/>
          <w:u w:val="none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u w:val="none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u w:val="none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u w:val="none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u w:val="none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TableS2: e</w:t>
      </w:r>
      <w:bookmarkStart w:id="0" w:name="_GoBack"/>
      <w:bookmarkEnd w:id="0"/>
      <w:r>
        <w:rPr>
          <w:rFonts w:hint="eastAsia" w:ascii="Times New Roman" w:hAnsi="Times New Roman" w:cs="Times New Roman"/>
          <w:b/>
          <w:bCs/>
          <w:lang w:val="en-US" w:eastAsia="zh-CN"/>
        </w:rPr>
        <w:t>fficacy in extracranial lesions and overall efficacy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  <w:t>Cohort 1 n=20</w:t>
            </w:r>
          </w:p>
        </w:tc>
        <w:tc>
          <w:tcPr>
            <w:tcW w:w="213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  <w:t>Cohort</w:t>
            </w: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  <w:t>2 n=32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  <w:t>Cohort</w:t>
            </w:r>
            <w:r>
              <w:rPr>
                <w:rFonts w:hint="eastAsia" w:ascii="Times New Roman" w:hAnsi="Times New Roman" w:cs="Times New Roman"/>
                <w:b/>
                <w:bCs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  <w:t>3 n=13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extracranial ORR in patients with extracranial lesion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83.3%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[95%CI:51.6%-97.9%]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(10/12)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24.1%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[95%CI:10.3%-43.5%]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(7/29)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33.3%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[95%CI:9.9%-65.1%]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(4/12)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extracranial ORR in patients with extracranial target lesion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90.9%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[95%CI:58.7%-99.8%]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(10/11)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50%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[95%CI:21.1%-78.9%]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(6/12)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66.7%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[95%CI:22.3%-95.7%]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(4/6)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overall ORR in patients with or without target lesion</w:t>
            </w:r>
          </w:p>
          <w:p>
            <w:pP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3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70%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[95%CI:45.7%-88.1%]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(14/20)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53.1%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[95%CI:34.7%-74.9%]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(17/32)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13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30.8%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[95%CI:9.1%-61.4%]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  <w:t>(4/13)</w:t>
            </w:r>
          </w:p>
          <w:p>
            <w:pPr>
              <w:jc w:val="center"/>
              <w:rPr>
                <w:rFonts w:hint="default" w:ascii="Times New Roman" w:hAnsi="Times New Roman" w:cs="Times New Roman" w:eastAsiaTheme="minorEastAsia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cs="Times New Roman" w:eastAsiaTheme="minorEastAsia"/>
          <w:lang w:val="en-US" w:eastAsia="zh-CN"/>
        </w:rPr>
      </w:pPr>
    </w:p>
    <w:p>
      <w:pPr>
        <w:rPr>
          <w:rFonts w:hint="default" w:ascii="Times New Roman" w:hAnsi="Times New Roman" w:cs="Times New Roman"/>
          <w:b/>
          <w:bCs/>
          <w:u w:val="none"/>
          <w:lang w:val="en-US" w:eastAsia="zh-CN"/>
        </w:rPr>
      </w:pPr>
    </w:p>
    <w:p>
      <w:pPr>
        <w:rPr>
          <w:rFonts w:hint="eastAsia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TableS3: progression pattern and survival outcome at the time of data cut-off</w:t>
      </w:r>
    </w:p>
    <w:tbl>
      <w:tblPr>
        <w:tblStyle w:val="3"/>
        <w:tblW w:w="917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0"/>
        <w:gridCol w:w="2217"/>
        <w:gridCol w:w="2082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Cohort 1 n=20</w:t>
            </w:r>
          </w:p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2082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Cohort2 n=32</w:t>
            </w:r>
          </w:p>
        </w:tc>
        <w:tc>
          <w:tcPr>
            <w:tcW w:w="2491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  <w:t>Cohort3 n=13</w:t>
            </w:r>
          </w:p>
          <w:p>
            <w:pPr>
              <w:rPr>
                <w:rFonts w:hint="default" w:ascii="Times New Roman" w:hAnsi="Times New Roman" w:cs="Times New Roman"/>
                <w:b/>
                <w:bCs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0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intracranial progression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extracranial progression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intracranial and extracranial progressio</w:t>
            </w: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n</w:t>
            </w:r>
          </w:p>
        </w:tc>
        <w:tc>
          <w:tcPr>
            <w:tcW w:w="2217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082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6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491" w:type="dxa"/>
            <w:tcBorders>
              <w:top w:val="single" w:color="auto" w:sz="12" w:space="0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4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Intracranial oligo-progression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2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8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0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Intracranial multi-porgression</w:t>
            </w:r>
          </w:p>
        </w:tc>
        <w:tc>
          <w:tcPr>
            <w:tcW w:w="22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08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380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Death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  <w:tc>
          <w:tcPr>
            <w:tcW w:w="2217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0</w:t>
            </w:r>
          </w:p>
        </w:tc>
        <w:tc>
          <w:tcPr>
            <w:tcW w:w="2082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5</w:t>
            </w:r>
          </w:p>
        </w:tc>
        <w:tc>
          <w:tcPr>
            <w:tcW w:w="2491" w:type="dxa"/>
            <w:tcBorders>
              <w:top w:val="nil"/>
              <w:left w:val="nil"/>
              <w:bottom w:val="single" w:color="auto" w:sz="12" w:space="0"/>
              <w:right w:val="nil"/>
            </w:tcBorders>
          </w:tcPr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3</w:t>
            </w:r>
          </w:p>
          <w:p>
            <w:pP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 xml:space="preserve">(1 patient committed suicide , </w:t>
            </w:r>
          </w:p>
          <w:p>
            <w:pP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  <w:t>1 patient died of myocardial infarction without the evidence of disease progression)</w:t>
            </w:r>
          </w:p>
          <w:p>
            <w:pPr>
              <w:rPr>
                <w:rFonts w:hint="default" w:ascii="Times New Roman" w:hAnsi="Times New Roman" w:cs="Times New Roman"/>
                <w:sz w:val="18"/>
                <w:szCs w:val="18"/>
                <w:vertAlign w:val="baseline"/>
                <w:lang w:val="en-US" w:eastAsia="zh-CN"/>
              </w:rPr>
            </w:pPr>
          </w:p>
        </w:tc>
      </w:tr>
    </w:tbl>
    <w:p>
      <w:pPr>
        <w:rPr>
          <w:rFonts w:hint="default" w:ascii="Times New Roman" w:hAnsi="Times New Roman" w:cs="Times New Roman"/>
          <w:b/>
          <w:bCs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lang w:val="en-US" w:eastAsia="zh-CN"/>
        </w:rPr>
        <w:t>Pattern of intracranial progression was only recorded for patients without LM in the baseline</w:t>
      </w:r>
    </w:p>
    <w:p>
      <w:pPr>
        <w:rPr>
          <w:rFonts w:hint="default" w:ascii="Times New Roman" w:hAnsi="Times New Roman" w:cs="Times New Roman"/>
          <w:b/>
          <w:bCs/>
          <w:u w:val="none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1BC3556"/>
    <w:rsid w:val="12E13702"/>
    <w:rsid w:val="1AD8205A"/>
    <w:rsid w:val="1C445023"/>
    <w:rsid w:val="1F8D2137"/>
    <w:rsid w:val="39602145"/>
    <w:rsid w:val="3A8C1824"/>
    <w:rsid w:val="3DD205AA"/>
    <w:rsid w:val="3E6720E7"/>
    <w:rsid w:val="3FF90DDD"/>
    <w:rsid w:val="478266C3"/>
    <w:rsid w:val="57EB4346"/>
    <w:rsid w:val="5E41023C"/>
    <w:rsid w:val="5FAC4302"/>
    <w:rsid w:val="66CD109B"/>
    <w:rsid w:val="69E36567"/>
    <w:rsid w:val="6ADA7E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2021-07-02T21:51:00Z</dcterms:created>
  <dc:creator>lenovo</dc:creator>
  <cp:lastModifiedBy>valiantmars</cp:lastModifiedBy>
  <dcterms:modified xsi:type="dcterms:W3CDTF">2021-11-25T16:24:55Z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