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1797C" w14:textId="65755E88" w:rsidR="00CC37F3" w:rsidRPr="00A226B5" w:rsidRDefault="0097533D" w:rsidP="00CC37F3">
      <w:pPr>
        <w:spacing w:line="480" w:lineRule="auto"/>
        <w:rPr>
          <w:rFonts w:ascii="Times New Roman" w:hAnsi="Times New Roman" w:cs="Times New Roman"/>
          <w:sz w:val="22"/>
        </w:rPr>
      </w:pPr>
      <w:r w:rsidRPr="00C234F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E6B7F29" wp14:editId="7F4ABAFC">
            <wp:simplePos x="0" y="0"/>
            <wp:positionH relativeFrom="column">
              <wp:posOffset>0</wp:posOffset>
            </wp:positionH>
            <wp:positionV relativeFrom="paragraph">
              <wp:posOffset>528075</wp:posOffset>
            </wp:positionV>
            <wp:extent cx="8863330" cy="2917190"/>
            <wp:effectExtent l="0" t="0" r="0" b="0"/>
            <wp:wrapTopAndBottom/>
            <wp:docPr id="5" name="内容占位符 4">
              <a:extLst xmlns:a="http://schemas.openxmlformats.org/drawingml/2006/main">
                <a:ext uri="{FF2B5EF4-FFF2-40B4-BE49-F238E27FC236}">
                  <a16:creationId xmlns:a16="http://schemas.microsoft.com/office/drawing/2014/main" id="{447B8D16-FFD1-4E63-A29D-31C2A1BAECE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内容占位符 4">
                      <a:extLst>
                        <a:ext uri="{FF2B5EF4-FFF2-40B4-BE49-F238E27FC236}">
                          <a16:creationId xmlns:a16="http://schemas.microsoft.com/office/drawing/2014/main" id="{447B8D16-FFD1-4E63-A29D-31C2A1BAECE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7AAF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C234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7AA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234F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234F6" w:rsidRPr="00C234F6">
        <w:rPr>
          <w:noProof/>
        </w:rPr>
        <w:t xml:space="preserve"> </w:t>
      </w:r>
      <w:r w:rsidR="00CC37F3" w:rsidRPr="00A226B5">
        <w:rPr>
          <w:rFonts w:ascii="Times New Roman" w:hAnsi="Times New Roman" w:cs="Times New Roman"/>
          <w:sz w:val="22"/>
        </w:rPr>
        <w:t>Kaplan-Meier curve for patients with HFpEF and non-HF</w:t>
      </w:r>
      <w:r w:rsidR="00CC37F3">
        <w:rPr>
          <w:rFonts w:ascii="Times New Roman" w:hAnsi="Times New Roman" w:cs="Times New Roman"/>
          <w:sz w:val="22"/>
        </w:rPr>
        <w:t xml:space="preserve"> patients using ESC criteria</w:t>
      </w:r>
      <w:r w:rsidR="00D552ED">
        <w:rPr>
          <w:rFonts w:ascii="Times New Roman" w:hAnsi="Times New Roman" w:cs="Times New Roman"/>
          <w:sz w:val="22"/>
        </w:rPr>
        <w:t xml:space="preserve"> in HCM</w:t>
      </w:r>
      <w:r w:rsidR="00CC37F3" w:rsidRPr="00A226B5">
        <w:rPr>
          <w:rFonts w:ascii="Times New Roman" w:hAnsi="Times New Roman" w:cs="Times New Roman"/>
          <w:sz w:val="22"/>
        </w:rPr>
        <w:t>.</w:t>
      </w:r>
    </w:p>
    <w:p w14:paraId="0A427FFA" w14:textId="77777777" w:rsidR="0097533D" w:rsidRPr="00A226B5" w:rsidRDefault="0097533D" w:rsidP="0097533D">
      <w:pPr>
        <w:spacing w:line="480" w:lineRule="auto"/>
        <w:rPr>
          <w:rFonts w:ascii="Times New Roman" w:hAnsi="Times New Roman" w:cs="Times New Roman"/>
          <w:sz w:val="22"/>
        </w:rPr>
      </w:pPr>
      <w:r w:rsidRPr="00A226B5">
        <w:rPr>
          <w:rFonts w:ascii="Times New Roman" w:hAnsi="Times New Roman" w:cs="Times New Roman"/>
          <w:sz w:val="22"/>
        </w:rPr>
        <w:t>Cumulative survival rate curves for all-cause death (A), cardiovascular death (B), and SCD (C).</w:t>
      </w:r>
    </w:p>
    <w:p w14:paraId="14F2E3BF" w14:textId="26CD8E9A" w:rsidR="0097533D" w:rsidRPr="00A226B5" w:rsidRDefault="0097533D" w:rsidP="0097533D">
      <w:pPr>
        <w:spacing w:line="480" w:lineRule="auto"/>
        <w:rPr>
          <w:rFonts w:ascii="Times New Roman" w:hAnsi="Times New Roman" w:cs="Times New Roman"/>
          <w:sz w:val="22"/>
        </w:rPr>
      </w:pPr>
      <w:r w:rsidRPr="00A226B5">
        <w:rPr>
          <w:rFonts w:ascii="Times New Roman" w:hAnsi="Times New Roman" w:cs="Times New Roman"/>
          <w:sz w:val="22"/>
        </w:rPr>
        <w:t xml:space="preserve">ESC, European Society of Cardiology; </w:t>
      </w:r>
      <w:r w:rsidR="00156424">
        <w:rPr>
          <w:rFonts w:ascii="Times New Roman" w:hAnsi="Times New Roman" w:cs="Times New Roman"/>
          <w:sz w:val="22"/>
        </w:rPr>
        <w:t xml:space="preserve">HCM, hypertrophic cardiomyopathy; </w:t>
      </w:r>
      <w:r w:rsidRPr="00A226B5">
        <w:rPr>
          <w:rFonts w:ascii="Times New Roman" w:hAnsi="Times New Roman" w:cs="Times New Roman"/>
          <w:sz w:val="22"/>
        </w:rPr>
        <w:t xml:space="preserve">HFpEF, heart failure with preserved ejection fraction; SCD, sudden cardiac death. </w:t>
      </w:r>
    </w:p>
    <w:p w14:paraId="3942DA8A" w14:textId="3755DEBC" w:rsidR="00C234F6" w:rsidRPr="0097533D" w:rsidRDefault="00C234F6" w:rsidP="00E06CA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A4F0E" w14:textId="77777777" w:rsidR="00C234F6" w:rsidRDefault="00C234F6" w:rsidP="00E06CA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A594260" w14:textId="6D477D67" w:rsidR="00003159" w:rsidRDefault="003F1D47" w:rsidP="00E06CA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3159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6574D17F" wp14:editId="58116CCE">
            <wp:simplePos x="0" y="0"/>
            <wp:positionH relativeFrom="column">
              <wp:posOffset>0</wp:posOffset>
            </wp:positionH>
            <wp:positionV relativeFrom="paragraph">
              <wp:posOffset>412750</wp:posOffset>
            </wp:positionV>
            <wp:extent cx="6692265" cy="2818130"/>
            <wp:effectExtent l="0" t="0" r="0" b="1270"/>
            <wp:wrapTopAndBottom/>
            <wp:docPr id="9" name="内容占位符 8">
              <a:extLst xmlns:a="http://schemas.openxmlformats.org/drawingml/2006/main">
                <a:ext uri="{FF2B5EF4-FFF2-40B4-BE49-F238E27FC236}">
                  <a16:creationId xmlns:a16="http://schemas.microsoft.com/office/drawing/2014/main" id="{76E8B549-C674-44CC-AF1E-EC4C351019B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内容占位符 8">
                      <a:extLst>
                        <a:ext uri="{FF2B5EF4-FFF2-40B4-BE49-F238E27FC236}">
                          <a16:creationId xmlns:a16="http://schemas.microsoft.com/office/drawing/2014/main" id="{76E8B549-C674-44CC-AF1E-EC4C351019B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265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AAF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0031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7AA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0315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03159" w:rsidRPr="00003159">
        <w:rPr>
          <w:noProof/>
        </w:rPr>
        <w:t xml:space="preserve"> </w:t>
      </w:r>
      <w:r w:rsidRPr="00A226B5">
        <w:rPr>
          <w:rFonts w:ascii="Times New Roman" w:hAnsi="Times New Roman" w:cs="Times New Roman"/>
          <w:sz w:val="22"/>
        </w:rPr>
        <w:t xml:space="preserve">Hazard ratio of HFpEF versus non-HF </w:t>
      </w:r>
      <w:r w:rsidR="0040345C">
        <w:rPr>
          <w:rFonts w:ascii="Times New Roman" w:hAnsi="Times New Roman" w:cs="Times New Roman"/>
          <w:sz w:val="22"/>
        </w:rPr>
        <w:t xml:space="preserve">using ESC criteria </w:t>
      </w:r>
      <w:r w:rsidRPr="00A226B5">
        <w:rPr>
          <w:rFonts w:ascii="Times New Roman" w:hAnsi="Times New Roman" w:cs="Times New Roman"/>
          <w:sz w:val="22"/>
        </w:rPr>
        <w:t>in 1178 patients with HCM.</w:t>
      </w:r>
    </w:p>
    <w:p w14:paraId="3F4553CA" w14:textId="43A30A92" w:rsidR="003F1D47" w:rsidRPr="006241CC" w:rsidRDefault="003F1D47" w:rsidP="003F1D47">
      <w:pPr>
        <w:spacing w:line="480" w:lineRule="auto"/>
        <w:rPr>
          <w:rFonts w:ascii="Times New Roman" w:hAnsi="Times New Roman" w:cs="Times New Roman"/>
          <w:sz w:val="22"/>
        </w:rPr>
      </w:pPr>
      <w:r w:rsidRPr="006241CC">
        <w:rPr>
          <w:rFonts w:ascii="Times New Roman" w:hAnsi="Times New Roman" w:cs="Times New Roman"/>
          <w:sz w:val="22"/>
          <w:vertAlign w:val="superscript"/>
        </w:rPr>
        <w:t>#</w:t>
      </w:r>
      <w:r>
        <w:rPr>
          <w:rFonts w:ascii="Times New Roman" w:hAnsi="Times New Roman" w:cs="Times New Roman"/>
          <w:sz w:val="22"/>
        </w:rPr>
        <w:t xml:space="preserve">Heart failure phenotypes were identified using </w:t>
      </w:r>
      <w:r w:rsidR="001A6B89">
        <w:rPr>
          <w:rFonts w:ascii="Times New Roman" w:hAnsi="Times New Roman" w:cs="Times New Roman"/>
          <w:sz w:val="22"/>
        </w:rPr>
        <w:t>ESC</w:t>
      </w:r>
      <w:r>
        <w:rPr>
          <w:rFonts w:ascii="Times New Roman" w:hAnsi="Times New Roman" w:cs="Times New Roman"/>
          <w:sz w:val="22"/>
        </w:rPr>
        <w:t xml:space="preserve"> criteria. </w:t>
      </w:r>
    </w:p>
    <w:p w14:paraId="61AC4A1E" w14:textId="77777777" w:rsidR="003F1D47" w:rsidRDefault="003F1D47" w:rsidP="003F1D47">
      <w:pPr>
        <w:spacing w:line="480" w:lineRule="auto"/>
        <w:rPr>
          <w:rFonts w:ascii="Times New Roman" w:hAnsi="Times New Roman" w:cs="Times New Roman"/>
          <w:sz w:val="22"/>
        </w:rPr>
      </w:pPr>
      <w:r w:rsidRPr="00A226B5">
        <w:rPr>
          <w:rFonts w:ascii="Times New Roman" w:hAnsi="Times New Roman" w:cs="Times New Roman"/>
          <w:sz w:val="22"/>
        </w:rPr>
        <w:t>*Multivariable Cox regression analysis, models were adjusted for the following covariates using a backward method: age, sex, maximal left ventricular wall thickness, atrial fibrillation, maximal left ventricular outflow tract gradient, and NYHA class.</w:t>
      </w:r>
    </w:p>
    <w:p w14:paraId="05CB33F4" w14:textId="77777777" w:rsidR="003F1D47" w:rsidRDefault="003F1D47" w:rsidP="003F1D47">
      <w:pPr>
        <w:spacing w:line="480" w:lineRule="auto"/>
        <w:rPr>
          <w:rFonts w:ascii="Times New Roman" w:hAnsi="Times New Roman" w:cs="Times New Roman"/>
          <w:sz w:val="22"/>
        </w:rPr>
      </w:pPr>
      <w:r w:rsidRPr="00A226B5">
        <w:rPr>
          <w:rFonts w:ascii="Times New Roman" w:hAnsi="Times New Roman" w:cs="Times New Roman"/>
          <w:sz w:val="22"/>
        </w:rPr>
        <w:t xml:space="preserve">CI, confidence interval; ESC, European Society of Cardiology; HFpEF, heart failure with preserved ejection fraction; </w:t>
      </w:r>
      <w:bookmarkStart w:id="0" w:name="_Hlk88418565"/>
      <w:r w:rsidRPr="00A226B5">
        <w:rPr>
          <w:rFonts w:ascii="Times New Roman" w:hAnsi="Times New Roman" w:cs="Times New Roman"/>
          <w:sz w:val="22"/>
        </w:rPr>
        <w:t xml:space="preserve">non-HF, patients without heart failure; </w:t>
      </w:r>
      <w:bookmarkEnd w:id="0"/>
      <w:r w:rsidRPr="00A226B5">
        <w:rPr>
          <w:rFonts w:ascii="Times New Roman" w:hAnsi="Times New Roman" w:cs="Times New Roman"/>
          <w:sz w:val="22"/>
        </w:rPr>
        <w:t>HR, hazard ratio; SCD, sudden cardiac death</w:t>
      </w:r>
      <w:r>
        <w:rPr>
          <w:rFonts w:ascii="Times New Roman" w:hAnsi="Times New Roman" w:cs="Times New Roman"/>
          <w:sz w:val="22"/>
        </w:rPr>
        <w:t>.</w:t>
      </w:r>
    </w:p>
    <w:p w14:paraId="1A824610" w14:textId="2EFA2FCA" w:rsidR="00E06CA2" w:rsidRPr="00665F82" w:rsidRDefault="00003159" w:rsidP="00E06C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B7CE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52BA2B2D" wp14:editId="3E7F994E">
            <wp:simplePos x="0" y="0"/>
            <wp:positionH relativeFrom="column">
              <wp:posOffset>156432</wp:posOffset>
            </wp:positionH>
            <wp:positionV relativeFrom="paragraph">
              <wp:posOffset>386867</wp:posOffset>
            </wp:positionV>
            <wp:extent cx="6141720" cy="3253740"/>
            <wp:effectExtent l="0" t="0" r="0" b="381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AAF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E06CA2" w:rsidRPr="00665F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7AA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D09F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06CA2" w:rsidRPr="00665F8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6CA2" w:rsidRPr="00665F82">
        <w:rPr>
          <w:rFonts w:ascii="Times New Roman" w:hAnsi="Times New Roman" w:cs="Times New Roman"/>
          <w:sz w:val="24"/>
          <w:szCs w:val="24"/>
        </w:rPr>
        <w:t>Hazard ratio of HFpEF versus non-HF in 613 HCM patients without septal reduction therapy.</w:t>
      </w:r>
      <w:r w:rsidR="00E06CA2" w:rsidRPr="00665F8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2C68F02" w14:textId="38BEC70D" w:rsidR="00E06CA2" w:rsidRPr="00665F82" w:rsidRDefault="00AB7CEF" w:rsidP="00E06C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B7CEF">
        <w:rPr>
          <w:rFonts w:ascii="Times New Roman" w:hAnsi="Times New Roman" w:cs="Times New Roman"/>
          <w:sz w:val="24"/>
          <w:szCs w:val="24"/>
        </w:rPr>
        <w:t xml:space="preserve"> </w:t>
      </w:r>
      <w:r w:rsidR="00E06CA2" w:rsidRPr="00665F82">
        <w:rPr>
          <w:rFonts w:ascii="Times New Roman" w:hAnsi="Times New Roman" w:cs="Times New Roman"/>
          <w:sz w:val="24"/>
          <w:szCs w:val="24"/>
        </w:rPr>
        <w:t>AHA, American Heart Association; CI, confidence interval; ESC, European Society of Cardiology; HFpEF, heart failure with preserved ejection fraction; non-HF, patients without heart failure; HR, hazard ratio; SCD, sudden cardiac death</w:t>
      </w:r>
    </w:p>
    <w:p w14:paraId="75626A87" w14:textId="1135B3C9" w:rsidR="003F5165" w:rsidRPr="00E06CA2" w:rsidRDefault="00E06CA2" w:rsidP="004F4FD6">
      <w:pPr>
        <w:spacing w:line="480" w:lineRule="auto"/>
      </w:pPr>
      <w:r w:rsidRPr="00665F82">
        <w:rPr>
          <w:rFonts w:ascii="Times New Roman" w:hAnsi="Times New Roman" w:cs="Times New Roman"/>
          <w:sz w:val="24"/>
          <w:szCs w:val="24"/>
        </w:rPr>
        <w:t>*Multivariable Cox regression analysis. Models were adjusted for the following covariates using a backward method: age, sex, maximal left ventricular wall thickness, atrial fibrillation, maximal left ventricular outflow tract gradient, and NYHA class.</w:t>
      </w:r>
    </w:p>
    <w:sectPr w:rsidR="003F5165" w:rsidRPr="00E06CA2" w:rsidSect="00C04EF5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73367" w14:textId="77777777" w:rsidR="00764E61" w:rsidRDefault="00764E61" w:rsidP="00E06CA2">
      <w:r>
        <w:separator/>
      </w:r>
    </w:p>
  </w:endnote>
  <w:endnote w:type="continuationSeparator" w:id="0">
    <w:p w14:paraId="6251D8BB" w14:textId="77777777" w:rsidR="00764E61" w:rsidRDefault="00764E61" w:rsidP="00E06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C5E27" w14:textId="77777777" w:rsidR="00764E61" w:rsidRDefault="00764E61" w:rsidP="00E06CA2">
      <w:r>
        <w:separator/>
      </w:r>
    </w:p>
  </w:footnote>
  <w:footnote w:type="continuationSeparator" w:id="0">
    <w:p w14:paraId="09168AF7" w14:textId="77777777" w:rsidR="00764E61" w:rsidRDefault="00764E61" w:rsidP="00E06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FE"/>
    <w:rsid w:val="00003159"/>
    <w:rsid w:val="00107A75"/>
    <w:rsid w:val="00156424"/>
    <w:rsid w:val="001A6B89"/>
    <w:rsid w:val="00243922"/>
    <w:rsid w:val="0033618D"/>
    <w:rsid w:val="00387DDF"/>
    <w:rsid w:val="003D4D19"/>
    <w:rsid w:val="003F1D47"/>
    <w:rsid w:val="003F5165"/>
    <w:rsid w:val="0040345C"/>
    <w:rsid w:val="00422453"/>
    <w:rsid w:val="0046567F"/>
    <w:rsid w:val="004F4FD6"/>
    <w:rsid w:val="005B2FF5"/>
    <w:rsid w:val="005D268E"/>
    <w:rsid w:val="006429E6"/>
    <w:rsid w:val="007605AC"/>
    <w:rsid w:val="007630E7"/>
    <w:rsid w:val="00764E61"/>
    <w:rsid w:val="008B6058"/>
    <w:rsid w:val="00907AAF"/>
    <w:rsid w:val="0097533D"/>
    <w:rsid w:val="009D4DFE"/>
    <w:rsid w:val="00AB7CEF"/>
    <w:rsid w:val="00B26534"/>
    <w:rsid w:val="00B32FD2"/>
    <w:rsid w:val="00C234F6"/>
    <w:rsid w:val="00C57981"/>
    <w:rsid w:val="00CC37F3"/>
    <w:rsid w:val="00D14A3C"/>
    <w:rsid w:val="00D552ED"/>
    <w:rsid w:val="00D7646B"/>
    <w:rsid w:val="00DD09F8"/>
    <w:rsid w:val="00E06CA2"/>
    <w:rsid w:val="00E92102"/>
    <w:rsid w:val="00EC50F3"/>
    <w:rsid w:val="00EE3137"/>
    <w:rsid w:val="00F779B0"/>
    <w:rsid w:val="00FC36E9"/>
    <w:rsid w:val="00FC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94935"/>
  <w15:chartTrackingRefBased/>
  <w15:docId w15:val="{DFD8F8CE-6ACD-4B2B-923B-649373C0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C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C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6C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6C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6CA2"/>
    <w:rPr>
      <w:sz w:val="18"/>
      <w:szCs w:val="18"/>
    </w:rPr>
  </w:style>
  <w:style w:type="table" w:styleId="a7">
    <w:name w:val="Table Grid"/>
    <w:basedOn w:val="a1"/>
    <w:uiPriority w:val="39"/>
    <w:rsid w:val="00F77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Jie</dc:creator>
  <cp:keywords/>
  <dc:description/>
  <cp:lastModifiedBy>Liu Jie</cp:lastModifiedBy>
  <cp:revision>33</cp:revision>
  <dcterms:created xsi:type="dcterms:W3CDTF">2021-04-30T14:59:00Z</dcterms:created>
  <dcterms:modified xsi:type="dcterms:W3CDTF">2021-12-03T07:51:00Z</dcterms:modified>
</cp:coreProperties>
</file>