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057DE4" w14:textId="77777777" w:rsidR="008D2447" w:rsidRPr="00F462F4" w:rsidRDefault="008D2447" w:rsidP="008D2447">
      <w:pPr>
        <w:jc w:val="center"/>
        <w:rPr>
          <w:rFonts w:ascii="Arial" w:hAnsi="Arial" w:cs="Arial"/>
          <w:b/>
          <w:bCs/>
          <w:sz w:val="28"/>
          <w:szCs w:val="28"/>
        </w:rPr>
      </w:pPr>
      <w:r>
        <w:rPr>
          <w:rFonts w:ascii="Arial" w:hAnsi="Arial" w:cs="Arial"/>
          <w:b/>
          <w:bCs/>
          <w:sz w:val="28"/>
          <w:szCs w:val="28"/>
        </w:rPr>
        <w:t xml:space="preserve">Malaria hospitalisation in East Africa: age, </w:t>
      </w:r>
      <w:proofErr w:type="gramStart"/>
      <w:r>
        <w:rPr>
          <w:rFonts w:ascii="Arial" w:hAnsi="Arial" w:cs="Arial"/>
          <w:b/>
          <w:bCs/>
          <w:sz w:val="28"/>
          <w:szCs w:val="28"/>
        </w:rPr>
        <w:t>phenotype</w:t>
      </w:r>
      <w:proofErr w:type="gramEnd"/>
      <w:r>
        <w:rPr>
          <w:rFonts w:ascii="Arial" w:hAnsi="Arial" w:cs="Arial"/>
          <w:b/>
          <w:bCs/>
          <w:sz w:val="28"/>
          <w:szCs w:val="28"/>
        </w:rPr>
        <w:t xml:space="preserve"> and transmission intensity</w:t>
      </w:r>
    </w:p>
    <w:p w14:paraId="2ABB6C18" w14:textId="77777777" w:rsidR="008D2447" w:rsidRDefault="008D2447" w:rsidP="008D2447">
      <w:pPr>
        <w:jc w:val="center"/>
        <w:rPr>
          <w:rFonts w:ascii="Arial" w:hAnsi="Arial" w:cs="Arial"/>
          <w:b/>
          <w:bCs/>
          <w:sz w:val="28"/>
          <w:szCs w:val="28"/>
        </w:rPr>
      </w:pPr>
    </w:p>
    <w:p w14:paraId="732EAD82" w14:textId="77777777" w:rsidR="008D2447" w:rsidRDefault="008D2447" w:rsidP="008D2447">
      <w:pPr>
        <w:rPr>
          <w:rFonts w:ascii="Arial" w:hAnsi="Arial" w:cs="Arial"/>
          <w:b/>
          <w:bCs/>
          <w:sz w:val="28"/>
          <w:szCs w:val="28"/>
        </w:rPr>
      </w:pPr>
    </w:p>
    <w:p w14:paraId="7426F98D" w14:textId="7BF93040" w:rsidR="008D2447" w:rsidRPr="00636091" w:rsidRDefault="008D2447" w:rsidP="008E6BF9">
      <w:pPr>
        <w:jc w:val="center"/>
        <w:rPr>
          <w:rFonts w:ascii="Arial" w:hAnsi="Arial" w:cs="Arial"/>
          <w:color w:val="000000"/>
        </w:rPr>
      </w:pPr>
      <w:r w:rsidRPr="009C66EA">
        <w:rPr>
          <w:rFonts w:ascii="Arial" w:hAnsi="Arial" w:cs="Arial"/>
          <w:color w:val="000000"/>
        </w:rPr>
        <w:t>Alice Kamau, </w:t>
      </w:r>
      <w:r w:rsidRPr="00365758">
        <w:rPr>
          <w:rFonts w:ascii="Arial" w:hAnsi="Arial" w:cs="Arial"/>
          <w:color w:val="000000" w:themeColor="text1"/>
        </w:rPr>
        <w:t>Robert S Paton,</w:t>
      </w:r>
      <w:r w:rsidRPr="00365758">
        <w:rPr>
          <w:rFonts w:ascii="Arial" w:hAnsi="Arial" w:cs="Arial"/>
          <w:b/>
          <w:bCs/>
          <w:color w:val="000000" w:themeColor="text1"/>
        </w:rPr>
        <w:t> </w:t>
      </w:r>
      <w:r w:rsidR="0058678E" w:rsidRPr="00365758">
        <w:rPr>
          <w:rFonts w:ascii="Arial" w:hAnsi="Arial" w:cs="Arial"/>
          <w:color w:val="000000" w:themeColor="text1"/>
        </w:rPr>
        <w:t>Sam</w:t>
      </w:r>
      <w:r w:rsidR="0058678E">
        <w:rPr>
          <w:rFonts w:ascii="Arial" w:hAnsi="Arial" w:cs="Arial"/>
          <w:color w:val="000000" w:themeColor="text1"/>
        </w:rPr>
        <w:t>uel</w:t>
      </w:r>
      <w:r w:rsidR="0058678E" w:rsidRPr="00365758">
        <w:rPr>
          <w:rFonts w:ascii="Arial" w:hAnsi="Arial" w:cs="Arial"/>
          <w:color w:val="000000" w:themeColor="text1"/>
        </w:rPr>
        <w:t xml:space="preserve"> </w:t>
      </w:r>
      <w:r w:rsidRPr="009C66EA">
        <w:rPr>
          <w:rFonts w:ascii="Arial" w:hAnsi="Arial" w:cs="Arial"/>
          <w:color w:val="000000"/>
        </w:rPr>
        <w:t>Akech, Arthur Mpimbaza, Cynthia Khazenzi, Morris Ogweru, Eda Mumo, </w:t>
      </w:r>
      <w:r>
        <w:rPr>
          <w:rFonts w:ascii="Arial" w:hAnsi="Arial" w:cs="Arial"/>
          <w:color w:val="000000"/>
        </w:rPr>
        <w:t xml:space="preserve">Victor A Alegana, </w:t>
      </w:r>
      <w:r w:rsidRPr="009C66EA">
        <w:rPr>
          <w:rFonts w:ascii="Arial" w:hAnsi="Arial" w:cs="Arial"/>
          <w:color w:val="000000"/>
        </w:rPr>
        <w:t>Ambrose Agweyu, Neema Mturi, Shebe</w:t>
      </w:r>
      <w:r>
        <w:rPr>
          <w:rFonts w:ascii="Arial" w:hAnsi="Arial" w:cs="Arial"/>
          <w:color w:val="000000"/>
          <w:lang w:val="en-US"/>
        </w:rPr>
        <w:t xml:space="preserve"> </w:t>
      </w:r>
      <w:r w:rsidRPr="009C66EA">
        <w:rPr>
          <w:rFonts w:ascii="Arial" w:hAnsi="Arial" w:cs="Arial"/>
          <w:color w:val="000000"/>
        </w:rPr>
        <w:t>Mohammed, Godfrey Bigogo,</w:t>
      </w:r>
      <w:r>
        <w:rPr>
          <w:rFonts w:ascii="Arial" w:hAnsi="Arial" w:cs="Arial"/>
          <w:color w:val="000000"/>
          <w:lang w:val="en-US"/>
        </w:rPr>
        <w:t xml:space="preserve"> </w:t>
      </w:r>
      <w:r w:rsidRPr="009C66EA">
        <w:rPr>
          <w:rFonts w:ascii="Arial" w:hAnsi="Arial" w:cs="Arial"/>
          <w:color w:val="000000"/>
          <w:lang w:val="en-US"/>
        </w:rPr>
        <w:t>Allan Audi</w:t>
      </w:r>
      <w:r w:rsidRPr="00404E3E">
        <w:rPr>
          <w:rFonts w:ascii="Arial" w:hAnsi="Arial" w:cs="Arial"/>
          <w:color w:val="000000"/>
          <w:lang w:val="en-US"/>
        </w:rPr>
        <w:t>, </w:t>
      </w:r>
      <w:r w:rsidRPr="00404E3E">
        <w:rPr>
          <w:rFonts w:ascii="Arial" w:hAnsi="Arial" w:cs="Arial"/>
          <w:color w:val="000000"/>
        </w:rPr>
        <w:t>James Kapisi,</w:t>
      </w:r>
      <w:r w:rsidRPr="00A72E3B">
        <w:rPr>
          <w:rFonts w:ascii="Arial" w:hAnsi="Arial" w:cs="Arial"/>
          <w:color w:val="000000"/>
        </w:rPr>
        <w:t xml:space="preserve"> Asadu</w:t>
      </w:r>
      <w:r>
        <w:rPr>
          <w:rFonts w:ascii="Arial" w:hAnsi="Arial" w:cs="Arial"/>
          <w:color w:val="000000"/>
          <w:lang w:val="en-US"/>
        </w:rPr>
        <w:t xml:space="preserve"> </w:t>
      </w:r>
      <w:r w:rsidRPr="00A72E3B">
        <w:rPr>
          <w:rFonts w:ascii="Arial" w:hAnsi="Arial" w:cs="Arial"/>
          <w:color w:val="000000"/>
        </w:rPr>
        <w:t>Sserwanga, Jane F Namuganga</w:t>
      </w:r>
      <w:r>
        <w:rPr>
          <w:rFonts w:ascii="Arial" w:hAnsi="Arial" w:cs="Arial"/>
          <w:color w:val="000000"/>
        </w:rPr>
        <w:t xml:space="preserve">, </w:t>
      </w:r>
      <w:r w:rsidRPr="009C66EA">
        <w:rPr>
          <w:rFonts w:ascii="Arial" w:hAnsi="Arial" w:cs="Arial"/>
          <w:color w:val="000000"/>
        </w:rPr>
        <w:t xml:space="preserve">Simon Kariuki, Nancy A Otieno, Bryan O Nyawanda, </w:t>
      </w:r>
      <w:r>
        <w:rPr>
          <w:rFonts w:ascii="Arial" w:hAnsi="Arial" w:cs="Arial"/>
          <w:color w:val="000000"/>
        </w:rPr>
        <w:t xml:space="preserve">Ally Olotu, Athuman Thabit, Nayha Salim, Salim Abdulla, </w:t>
      </w:r>
      <w:r w:rsidRPr="009C66EA">
        <w:rPr>
          <w:rFonts w:ascii="Arial" w:hAnsi="Arial" w:cs="Arial"/>
          <w:color w:val="000000"/>
        </w:rPr>
        <w:t>Amina F Mohamed, George Mtove, Hugh</w:t>
      </w:r>
      <w:r w:rsidRPr="00284F34">
        <w:rPr>
          <w:rFonts w:ascii="Arial" w:hAnsi="Arial" w:cs="Arial"/>
          <w:color w:val="000000" w:themeColor="text1"/>
        </w:rPr>
        <w:t xml:space="preserve"> Reyburn, </w:t>
      </w:r>
      <w:r w:rsidRPr="00A06B15">
        <w:rPr>
          <w:rFonts w:ascii="Arial" w:eastAsiaTheme="minorHAnsi" w:hAnsi="Arial" w:cs="Arial"/>
        </w:rPr>
        <w:t>Sunetra Gupta</w:t>
      </w:r>
      <w:r>
        <w:rPr>
          <w:rFonts w:ascii="Arial" w:eastAsiaTheme="minorHAnsi" w:hAnsi="Arial" w:cs="Arial"/>
        </w:rPr>
        <w:t xml:space="preserve">, </w:t>
      </w:r>
      <w:r w:rsidRPr="00567261">
        <w:rPr>
          <w:rFonts w:ascii="Arial" w:eastAsiaTheme="minorHAnsi" w:hAnsi="Arial" w:cs="Arial"/>
        </w:rPr>
        <w:t>Jos</w:t>
      </w:r>
      <w:r>
        <w:rPr>
          <w:rFonts w:ascii="Arial" w:eastAsiaTheme="minorHAnsi" w:hAnsi="Arial" w:cs="Arial"/>
        </w:rPr>
        <w:t>é</w:t>
      </w:r>
      <w:r w:rsidRPr="00567261">
        <w:rPr>
          <w:rFonts w:ascii="Arial" w:eastAsiaTheme="minorHAnsi" w:hAnsi="Arial" w:cs="Arial"/>
        </w:rPr>
        <w:t xml:space="preserve"> Louren</w:t>
      </w:r>
      <w:r>
        <w:rPr>
          <w:rFonts w:ascii="Arial" w:eastAsiaTheme="minorHAnsi" w:hAnsi="Arial" w:cs="Arial"/>
        </w:rPr>
        <w:t>ç</w:t>
      </w:r>
      <w:r w:rsidRPr="00567261">
        <w:rPr>
          <w:rFonts w:ascii="Arial" w:eastAsiaTheme="minorHAnsi" w:hAnsi="Arial" w:cs="Arial"/>
        </w:rPr>
        <w:t>o</w:t>
      </w:r>
      <w:r w:rsidRPr="00284F34">
        <w:rPr>
          <w:rFonts w:ascii="Arial" w:hAnsi="Arial" w:cs="Arial"/>
          <w:color w:val="000000" w:themeColor="text1"/>
        </w:rPr>
        <w:t>, Philip Bejon, Robert W Snow</w:t>
      </w:r>
    </w:p>
    <w:p w14:paraId="4261A1EB" w14:textId="77777777" w:rsidR="008D2447" w:rsidRDefault="008D2447" w:rsidP="004818FA">
      <w:pPr>
        <w:autoSpaceDE w:val="0"/>
        <w:autoSpaceDN w:val="0"/>
        <w:adjustRightInd w:val="0"/>
        <w:spacing w:before="120" w:after="120"/>
        <w:rPr>
          <w:rFonts w:ascii="Arial" w:hAnsi="Arial" w:cs="Arial"/>
          <w:b/>
          <w:bCs/>
          <w:color w:val="000000" w:themeColor="text1"/>
          <w:sz w:val="22"/>
          <w:szCs w:val="22"/>
        </w:rPr>
      </w:pPr>
      <w:r>
        <w:rPr>
          <w:rFonts w:ascii="Arial" w:hAnsi="Arial" w:cs="Arial"/>
          <w:b/>
          <w:bCs/>
          <w:color w:val="000000" w:themeColor="text1"/>
          <w:sz w:val="22"/>
          <w:szCs w:val="22"/>
        </w:rPr>
        <w:br w:type="page"/>
      </w:r>
    </w:p>
    <w:p w14:paraId="5F71B405" w14:textId="465EEAC7" w:rsidR="004818FA" w:rsidRPr="0014370F" w:rsidRDefault="004818FA" w:rsidP="004818FA">
      <w:pPr>
        <w:autoSpaceDE w:val="0"/>
        <w:autoSpaceDN w:val="0"/>
        <w:adjustRightInd w:val="0"/>
        <w:spacing w:before="120" w:after="120"/>
        <w:rPr>
          <w:rFonts w:ascii="Arial" w:hAnsi="Arial" w:cs="Arial"/>
          <w:b/>
          <w:bCs/>
          <w:color w:val="000000" w:themeColor="text1"/>
          <w:sz w:val="22"/>
          <w:szCs w:val="22"/>
        </w:rPr>
      </w:pPr>
      <w:r w:rsidRPr="0014370F">
        <w:rPr>
          <w:rFonts w:ascii="Arial" w:hAnsi="Arial" w:cs="Arial"/>
          <w:b/>
          <w:bCs/>
          <w:color w:val="000000" w:themeColor="text1"/>
          <w:sz w:val="22"/>
          <w:szCs w:val="22"/>
        </w:rPr>
        <w:lastRenderedPageBreak/>
        <w:t xml:space="preserve">Additional file </w:t>
      </w:r>
      <w:r>
        <w:rPr>
          <w:rFonts w:ascii="Arial" w:hAnsi="Arial" w:cs="Arial"/>
          <w:b/>
          <w:bCs/>
          <w:color w:val="000000" w:themeColor="text1"/>
          <w:sz w:val="22"/>
          <w:szCs w:val="22"/>
        </w:rPr>
        <w:t>3</w:t>
      </w:r>
      <w:r w:rsidRPr="0014370F">
        <w:rPr>
          <w:rFonts w:ascii="Arial" w:hAnsi="Arial" w:cs="Arial"/>
          <w:b/>
          <w:bCs/>
          <w:color w:val="000000" w:themeColor="text1"/>
          <w:sz w:val="22"/>
          <w:szCs w:val="22"/>
        </w:rPr>
        <w:t xml:space="preserve">: Supplementary </w:t>
      </w:r>
      <w:r>
        <w:rPr>
          <w:rFonts w:ascii="Arial" w:hAnsi="Arial" w:cs="Arial"/>
          <w:b/>
          <w:bCs/>
          <w:color w:val="000000" w:themeColor="text1"/>
          <w:sz w:val="22"/>
          <w:szCs w:val="22"/>
        </w:rPr>
        <w:t>methods</w:t>
      </w:r>
    </w:p>
    <w:p w14:paraId="281413FC" w14:textId="77777777" w:rsidR="004818FA" w:rsidRDefault="004818FA" w:rsidP="004818FA">
      <w:pPr>
        <w:spacing w:line="360" w:lineRule="auto"/>
        <w:rPr>
          <w:rFonts w:ascii="Arial" w:hAnsi="Arial" w:cs="Arial"/>
          <w:b/>
          <w:bCs/>
          <w:sz w:val="22"/>
          <w:szCs w:val="22"/>
        </w:rPr>
      </w:pPr>
    </w:p>
    <w:p w14:paraId="254F812A" w14:textId="77777777" w:rsidR="004818FA" w:rsidRPr="0014370F" w:rsidRDefault="004818FA" w:rsidP="004818FA">
      <w:pPr>
        <w:spacing w:line="360" w:lineRule="auto"/>
        <w:rPr>
          <w:rFonts w:ascii="Arial" w:hAnsi="Arial" w:cs="Arial"/>
          <w:sz w:val="22"/>
          <w:szCs w:val="22"/>
        </w:rPr>
      </w:pPr>
      <w:r w:rsidRPr="0014370F">
        <w:rPr>
          <w:rFonts w:ascii="Arial" w:hAnsi="Arial" w:cs="Arial"/>
          <w:sz w:val="22"/>
          <w:szCs w:val="22"/>
        </w:rPr>
        <w:t>We aimed to model how the average age of all-cause malaria admissions changed with parasite rate, while accounting for confounding inter-site factors intrinsic to the dataset. The age distribution (</w:t>
      </w:r>
      <w:r w:rsidRPr="0014370F">
        <w:rPr>
          <w:rFonts w:ascii="Arial" w:hAnsi="Arial" w:cs="Arial"/>
          <w:i/>
          <w:sz w:val="22"/>
          <w:szCs w:val="22"/>
        </w:rPr>
        <w:t>A</w:t>
      </w:r>
      <w:r w:rsidRPr="0014370F">
        <w:rPr>
          <w:rFonts w:ascii="Arial" w:hAnsi="Arial" w:cs="Arial"/>
          <w:sz w:val="22"/>
          <w:szCs w:val="22"/>
        </w:rPr>
        <w:t>) of cases admitted each hospital site-period (</w:t>
      </w:r>
      <w:r w:rsidRPr="0014370F">
        <w:rPr>
          <w:rFonts w:ascii="Arial" w:hAnsi="Arial" w:cs="Arial"/>
          <w:i/>
          <w:sz w:val="22"/>
          <w:szCs w:val="22"/>
        </w:rPr>
        <w:t>H</w:t>
      </w:r>
      <w:r w:rsidRPr="0014370F">
        <w:rPr>
          <w:rFonts w:ascii="Arial" w:hAnsi="Arial" w:cs="Arial"/>
          <w:sz w:val="22"/>
          <w:szCs w:val="22"/>
        </w:rPr>
        <w:t xml:space="preserve">) was modelled as a Gamma distribution with shape </w:t>
      </w:r>
      <m:oMath>
        <m:r>
          <w:rPr>
            <w:rFonts w:ascii="Cambria Math" w:hAnsi="Cambria Math" w:cs="Arial"/>
            <w:sz w:val="22"/>
            <w:szCs w:val="22"/>
          </w:rPr>
          <m:t>θ</m:t>
        </m:r>
      </m:oMath>
      <w:r w:rsidRPr="0014370F">
        <w:rPr>
          <w:rFonts w:ascii="Arial" w:hAnsi="Arial" w:cs="Arial"/>
          <w:sz w:val="22"/>
          <w:szCs w:val="22"/>
        </w:rPr>
        <w:t xml:space="preserve"> and rate </w:t>
      </w:r>
      <w:r w:rsidRPr="0014370F">
        <w:rPr>
          <w:rFonts w:ascii="Arial" w:hAnsi="Arial" w:cs="Arial"/>
          <w:i/>
          <w:sz w:val="22"/>
          <w:szCs w:val="22"/>
        </w:rPr>
        <w:t>R</w:t>
      </w:r>
      <w:r w:rsidRPr="0014370F">
        <w:rPr>
          <w:rFonts w:ascii="Arial" w:hAnsi="Arial" w:cs="Arial"/>
          <w:sz w:val="22"/>
          <w:szCs w:val="22"/>
        </w:rPr>
        <w:t>:</w:t>
      </w:r>
    </w:p>
    <w:p w14:paraId="761B0132" w14:textId="77777777" w:rsidR="004818FA" w:rsidRPr="00861D71" w:rsidRDefault="004818FA" w:rsidP="004818FA">
      <w:pPr>
        <w:spacing w:line="360" w:lineRule="auto"/>
        <w:rPr>
          <w:rFonts w:ascii="Arial" w:hAnsi="Arial" w:cs="Arial"/>
          <w:sz w:val="20"/>
          <w:szCs w:val="20"/>
        </w:rPr>
      </w:pPr>
    </w:p>
    <w:p w14:paraId="0509CC4F" w14:textId="77777777" w:rsidR="004818FA" w:rsidRPr="00861D71" w:rsidRDefault="004818FA" w:rsidP="004818FA">
      <w:pPr>
        <w:spacing w:line="360" w:lineRule="auto"/>
        <w:rPr>
          <w:rFonts w:ascii="Arial" w:hAnsi="Arial" w:cs="Arial"/>
          <w:iCs/>
          <w:sz w:val="20"/>
          <w:szCs w:val="20"/>
          <w:lang w:eastAsia="en-US"/>
        </w:rPr>
      </w:pPr>
      <m:oMathPara>
        <m:oMathParaPr>
          <m:jc m:val="centerGroup"/>
        </m:oMathParaPr>
        <m:oMath>
          <m:r>
            <w:rPr>
              <w:rFonts w:ascii="Cambria Math" w:hAnsi="Cambria Math" w:cs="Arial"/>
              <w:sz w:val="22"/>
              <w:szCs w:val="22"/>
            </w:rPr>
            <m:t>A ~ Γ </m:t>
          </m:r>
          <m:d>
            <m:dPr>
              <m:ctrlPr>
                <w:rPr>
                  <w:rFonts w:ascii="Cambria Math" w:hAnsi="Cambria Math" w:cs="Arial"/>
                  <w:i/>
                  <w:iCs/>
                  <w:sz w:val="20"/>
                  <w:szCs w:val="20"/>
                  <w:lang w:eastAsia="en-US"/>
                </w:rPr>
              </m:ctrlPr>
            </m:dPr>
            <m:e>
              <m:r>
                <w:rPr>
                  <w:rFonts w:ascii="Cambria Math" w:hAnsi="Cambria Math" w:cs="Arial"/>
                  <w:sz w:val="22"/>
                  <w:szCs w:val="22"/>
                </w:rPr>
                <m:t>θ,</m:t>
              </m:r>
              <m:sSup>
                <m:sSupPr>
                  <m:ctrlPr>
                    <w:rPr>
                      <w:rFonts w:ascii="Cambria Math" w:hAnsi="Cambria Math" w:cs="Arial"/>
                      <w:i/>
                      <w:iCs/>
                      <w:sz w:val="20"/>
                      <w:szCs w:val="20"/>
                      <w:lang w:eastAsia="en-US"/>
                    </w:rPr>
                  </m:ctrlPr>
                </m:sSupPr>
                <m:e>
                  <m:r>
                    <w:rPr>
                      <w:rFonts w:ascii="Cambria Math" w:hAnsi="Cambria Math" w:cs="Arial"/>
                      <w:sz w:val="22"/>
                      <w:szCs w:val="22"/>
                    </w:rPr>
                    <m:t>R</m:t>
                  </m:r>
                </m:e>
                <m:sup>
                  <m:r>
                    <w:rPr>
                      <w:rFonts w:ascii="Cambria Math" w:hAnsi="Cambria Math" w:cs="Arial"/>
                      <w:sz w:val="22"/>
                      <w:szCs w:val="22"/>
                    </w:rPr>
                    <m:t>H</m:t>
                  </m:r>
                </m:sup>
              </m:sSup>
            </m:e>
          </m:d>
        </m:oMath>
      </m:oMathPara>
    </w:p>
    <w:p w14:paraId="63EFB0F6" w14:textId="77777777" w:rsidR="004818FA" w:rsidRPr="00861D71" w:rsidRDefault="004818FA" w:rsidP="004818FA">
      <w:pPr>
        <w:spacing w:line="360" w:lineRule="auto"/>
        <w:rPr>
          <w:rFonts w:ascii="Arial" w:hAnsi="Arial" w:cs="Arial"/>
          <w:sz w:val="22"/>
          <w:szCs w:val="22"/>
        </w:rPr>
      </w:pPr>
    </w:p>
    <w:p w14:paraId="7D64CB65" w14:textId="77777777" w:rsidR="004818FA" w:rsidRPr="00861D71" w:rsidRDefault="004818FA" w:rsidP="004818FA">
      <w:pPr>
        <w:spacing w:line="360" w:lineRule="auto"/>
        <w:rPr>
          <w:rFonts w:ascii="Arial" w:hAnsi="Arial" w:cs="Arial"/>
          <w:sz w:val="22"/>
          <w:szCs w:val="22"/>
        </w:rPr>
      </w:pPr>
      <w:r w:rsidRPr="00861D71">
        <w:rPr>
          <w:rFonts w:ascii="Arial" w:hAnsi="Arial" w:cs="Arial"/>
          <w:sz w:val="22"/>
          <w:szCs w:val="22"/>
        </w:rPr>
        <w:t xml:space="preserve">The rate parameter is written as follows, where a log-linear function models the change in the distribution mean across </w:t>
      </w:r>
      <w:r>
        <w:rPr>
          <w:rFonts w:ascii="Arial" w:hAnsi="Arial" w:cs="Arial"/>
          <w:sz w:val="22"/>
          <w:szCs w:val="22"/>
        </w:rPr>
        <w:t>hospital site-periods</w:t>
      </w:r>
      <w:r w:rsidRPr="00861D71">
        <w:rPr>
          <w:rFonts w:ascii="Arial" w:hAnsi="Arial" w:cs="Arial"/>
          <w:sz w:val="22"/>
          <w:szCs w:val="22"/>
        </w:rPr>
        <w:t xml:space="preserve"> and with parasite rate (</w:t>
      </w:r>
      <w:proofErr w:type="gramStart"/>
      <w:r w:rsidRPr="006D2366">
        <w:rPr>
          <w:rFonts w:ascii="Arial" w:hAnsi="Arial" w:cs="Arial"/>
          <w:i/>
          <w:iCs/>
          <w:sz w:val="22"/>
          <w:szCs w:val="22"/>
        </w:rPr>
        <w:t>PR</w:t>
      </w:r>
      <w:r w:rsidRPr="006D2366">
        <w:rPr>
          <w:rFonts w:ascii="Arial" w:hAnsi="Arial" w:cs="Arial"/>
          <w:i/>
          <w:iCs/>
          <w:sz w:val="22"/>
          <w:szCs w:val="22"/>
          <w:vertAlign w:val="superscript"/>
        </w:rPr>
        <w:t>H,Y</w:t>
      </w:r>
      <w:proofErr w:type="gramEnd"/>
      <w:r w:rsidRPr="00861D71">
        <w:rPr>
          <w:rFonts w:ascii="Arial" w:hAnsi="Arial" w:cs="Arial"/>
          <w:sz w:val="22"/>
          <w:szCs w:val="22"/>
        </w:rPr>
        <w:t>):</w:t>
      </w:r>
    </w:p>
    <w:p w14:paraId="1EDBCF77" w14:textId="77777777" w:rsidR="004818FA" w:rsidRPr="00861D71" w:rsidRDefault="004818FA" w:rsidP="004818FA">
      <w:pPr>
        <w:spacing w:line="360" w:lineRule="auto"/>
        <w:rPr>
          <w:rFonts w:ascii="Arial" w:hAnsi="Arial" w:cs="Arial"/>
          <w:sz w:val="22"/>
          <w:szCs w:val="22"/>
        </w:rPr>
      </w:pPr>
    </w:p>
    <w:p w14:paraId="71B2BFC0" w14:textId="77777777" w:rsidR="004818FA" w:rsidRPr="00861D71" w:rsidRDefault="004D6BD9" w:rsidP="004818FA">
      <w:pPr>
        <w:spacing w:line="360" w:lineRule="auto"/>
        <w:rPr>
          <w:rFonts w:ascii="Arial" w:hAnsi="Arial" w:cs="Arial"/>
          <w:sz w:val="22"/>
          <w:szCs w:val="22"/>
        </w:rPr>
      </w:pPr>
      <m:oMathPara>
        <m:oMathParaPr>
          <m:jc m:val="centerGroup"/>
        </m:oMathParaPr>
        <m:oMath>
          <m:sSup>
            <m:sSupPr>
              <m:ctrlPr>
                <w:rPr>
                  <w:rFonts w:ascii="Cambria Math" w:hAnsi="Cambria Math" w:cs="Arial"/>
                  <w:i/>
                  <w:iCs/>
                  <w:sz w:val="20"/>
                  <w:szCs w:val="20"/>
                  <w:lang w:eastAsia="en-US"/>
                </w:rPr>
              </m:ctrlPr>
            </m:sSupPr>
            <m:e>
              <m:r>
                <w:rPr>
                  <w:rFonts w:ascii="Cambria Math" w:hAnsi="Cambria Math" w:cs="Arial"/>
                  <w:sz w:val="22"/>
                  <w:szCs w:val="22"/>
                </w:rPr>
                <m:t>R</m:t>
              </m:r>
            </m:e>
            <m:sup>
              <m:r>
                <w:rPr>
                  <w:rFonts w:ascii="Cambria Math" w:hAnsi="Cambria Math" w:cs="Arial"/>
                  <w:sz w:val="22"/>
                  <w:szCs w:val="22"/>
                </w:rPr>
                <m:t>H,Y</m:t>
              </m:r>
            </m:sup>
          </m:sSup>
          <m:r>
            <w:rPr>
              <w:rFonts w:ascii="Cambria Math" w:hAnsi="Cambria Math" w:cs="Arial"/>
              <w:sz w:val="22"/>
              <w:szCs w:val="22"/>
            </w:rPr>
            <m:t>= </m:t>
          </m:r>
          <m:f>
            <m:fPr>
              <m:ctrlPr>
                <w:rPr>
                  <w:rFonts w:ascii="Cambria Math" w:hAnsi="Cambria Math" w:cs="Arial"/>
                  <w:i/>
                  <w:iCs/>
                  <w:sz w:val="20"/>
                  <w:szCs w:val="20"/>
                  <w:lang w:eastAsia="en-US"/>
                </w:rPr>
              </m:ctrlPr>
            </m:fPr>
            <m:num>
              <m:r>
                <w:rPr>
                  <w:rFonts w:ascii="Cambria Math" w:hAnsi="Cambria Math" w:cs="Arial"/>
                  <w:sz w:val="22"/>
                  <w:szCs w:val="22"/>
                </w:rPr>
                <m:t>θ</m:t>
              </m:r>
            </m:num>
            <m:den>
              <m:r>
                <w:rPr>
                  <w:rFonts w:ascii="Cambria Math" w:hAnsi="Cambria Math" w:cs="Arial"/>
                  <w:sz w:val="22"/>
                  <w:szCs w:val="22"/>
                </w:rPr>
                <m:t>f(H,Y,S)</m:t>
              </m:r>
            </m:den>
          </m:f>
        </m:oMath>
      </m:oMathPara>
    </w:p>
    <w:p w14:paraId="71731971" w14:textId="77777777" w:rsidR="004818FA" w:rsidRPr="00861D71" w:rsidRDefault="004D6BD9" w:rsidP="004818FA">
      <w:pPr>
        <w:spacing w:line="360" w:lineRule="auto"/>
        <w:rPr>
          <w:rFonts w:ascii="Arial" w:hAnsi="Arial" w:cs="Arial"/>
          <w:sz w:val="22"/>
          <w:szCs w:val="22"/>
        </w:rPr>
      </w:pPr>
      <m:oMathPara>
        <m:oMathParaPr>
          <m:jc m:val="centerGroup"/>
        </m:oMathParaPr>
        <m:oMath>
          <m:func>
            <m:funcPr>
              <m:ctrlPr>
                <w:rPr>
                  <w:rFonts w:ascii="Cambria Math" w:hAnsi="Cambria Math" w:cs="Arial"/>
                  <w:i/>
                  <w:iCs/>
                  <w:sz w:val="20"/>
                  <w:szCs w:val="20"/>
                  <w:lang w:eastAsia="en-US"/>
                </w:rPr>
              </m:ctrlPr>
            </m:funcPr>
            <m:fName>
              <m:r>
                <w:rPr>
                  <w:rFonts w:ascii="Cambria Math" w:hAnsi="Cambria Math" w:cs="Arial"/>
                  <w:sz w:val="22"/>
                  <w:szCs w:val="22"/>
                </w:rPr>
                <m:t>log</m:t>
              </m:r>
            </m:fName>
            <m:e>
              <m:d>
                <m:dPr>
                  <m:begChr m:val="["/>
                  <m:endChr m:val="]"/>
                  <m:ctrlPr>
                    <w:rPr>
                      <w:rFonts w:ascii="Cambria Math" w:hAnsi="Cambria Math" w:cs="Arial"/>
                      <w:i/>
                      <w:iCs/>
                      <w:sz w:val="20"/>
                      <w:szCs w:val="20"/>
                      <w:lang w:eastAsia="en-US"/>
                    </w:rPr>
                  </m:ctrlPr>
                </m:dPr>
                <m:e>
                  <m:r>
                    <w:rPr>
                      <w:rFonts w:ascii="Cambria Math" w:hAnsi="Cambria Math" w:cs="Arial"/>
                      <w:sz w:val="22"/>
                      <w:szCs w:val="22"/>
                    </w:rPr>
                    <m:t>f</m:t>
                  </m:r>
                  <m:d>
                    <m:dPr>
                      <m:ctrlPr>
                        <w:rPr>
                          <w:rFonts w:ascii="Cambria Math" w:hAnsi="Cambria Math" w:cs="Arial"/>
                          <w:i/>
                          <w:iCs/>
                          <w:sz w:val="20"/>
                          <w:szCs w:val="20"/>
                          <w:lang w:eastAsia="en-US"/>
                        </w:rPr>
                      </m:ctrlPr>
                    </m:dPr>
                    <m:e>
                      <m:r>
                        <w:rPr>
                          <w:rFonts w:ascii="Cambria Math" w:hAnsi="Cambria Math" w:cs="Arial"/>
                          <w:sz w:val="22"/>
                          <w:szCs w:val="22"/>
                        </w:rPr>
                        <m:t>H,Y,</m:t>
                      </m:r>
                      <m:sSup>
                        <m:sSupPr>
                          <m:ctrlPr>
                            <w:rPr>
                              <w:rFonts w:ascii="Cambria Math" w:hAnsi="Cambria Math" w:cs="Arial"/>
                              <w:i/>
                              <w:sz w:val="20"/>
                              <w:szCs w:val="20"/>
                              <w:lang w:eastAsia="en-US"/>
                            </w:rPr>
                          </m:ctrlPr>
                        </m:sSupPr>
                        <m:e>
                          <m:r>
                            <w:rPr>
                              <w:rFonts w:ascii="Cambria Math" w:hAnsi="Cambria Math" w:cs="Arial"/>
                              <w:sz w:val="22"/>
                              <w:szCs w:val="22"/>
                            </w:rPr>
                            <m:t>PR</m:t>
                          </m:r>
                        </m:e>
                        <m:sup>
                          <m:r>
                            <w:rPr>
                              <w:rFonts w:ascii="Cambria Math" w:hAnsi="Cambria Math" w:cs="Arial"/>
                              <w:sz w:val="22"/>
                              <w:szCs w:val="22"/>
                            </w:rPr>
                            <m:t>H,Y</m:t>
                          </m:r>
                        </m:sup>
                      </m:sSup>
                    </m:e>
                  </m:d>
                </m:e>
              </m:d>
            </m:e>
          </m:func>
          <m:r>
            <w:rPr>
              <w:rFonts w:ascii="Cambria Math" w:hAnsi="Cambria Math" w:cs="Arial"/>
              <w:sz w:val="22"/>
              <w:szCs w:val="22"/>
            </w:rPr>
            <m:t>=α+</m:t>
          </m:r>
          <m:sSup>
            <m:sSupPr>
              <m:ctrlPr>
                <w:rPr>
                  <w:rFonts w:ascii="Cambria Math" w:hAnsi="Cambria Math" w:cs="Arial"/>
                  <w:i/>
                  <w:sz w:val="20"/>
                  <w:szCs w:val="20"/>
                  <w:lang w:eastAsia="en-US"/>
                </w:rPr>
              </m:ctrlPr>
            </m:sSupPr>
            <m:e>
              <m:r>
                <w:rPr>
                  <w:rFonts w:ascii="Cambria Math" w:hAnsi="Cambria Math" w:cs="Arial"/>
                  <w:sz w:val="22"/>
                  <w:szCs w:val="22"/>
                </w:rPr>
                <m:t>φ</m:t>
              </m:r>
            </m:e>
            <m:sup>
              <m:r>
                <w:rPr>
                  <w:rFonts w:ascii="Cambria Math" w:hAnsi="Cambria Math" w:cs="Arial"/>
                  <w:sz w:val="22"/>
                  <w:szCs w:val="22"/>
                </w:rPr>
                <m:t>H</m:t>
              </m:r>
            </m:sup>
          </m:sSup>
          <m:r>
            <w:rPr>
              <w:rFonts w:ascii="Cambria Math" w:hAnsi="Cambria Math" w:cs="Arial"/>
              <w:sz w:val="22"/>
              <w:szCs w:val="22"/>
            </w:rPr>
            <m:t>+</m:t>
          </m:r>
          <m:r>
            <w:rPr>
              <w:rFonts w:ascii="Cambria Math" w:hAnsi="Cambria Math" w:cs="Arial"/>
              <w:sz w:val="20"/>
              <w:szCs w:val="20"/>
              <w:lang w:eastAsia="en-US"/>
            </w:rPr>
            <m:t xml:space="preserve">β </m:t>
          </m:r>
          <m:sSup>
            <m:sSupPr>
              <m:ctrlPr>
                <w:rPr>
                  <w:rFonts w:ascii="Cambria Math" w:hAnsi="Cambria Math" w:cs="Arial"/>
                  <w:i/>
                  <w:iCs/>
                  <w:sz w:val="20"/>
                  <w:szCs w:val="20"/>
                  <w:lang w:eastAsia="en-US"/>
                </w:rPr>
              </m:ctrlPr>
            </m:sSupPr>
            <m:e>
              <m:r>
                <w:rPr>
                  <w:rFonts w:ascii="Cambria Math" w:hAnsi="Cambria Math" w:cs="Arial"/>
                  <w:sz w:val="22"/>
                  <w:szCs w:val="22"/>
                </w:rPr>
                <m:t>×PR</m:t>
              </m:r>
            </m:e>
            <m:sup>
              <m:r>
                <w:rPr>
                  <w:rFonts w:ascii="Cambria Math" w:hAnsi="Cambria Math" w:cs="Arial"/>
                  <w:sz w:val="22"/>
                  <w:szCs w:val="22"/>
                </w:rPr>
                <m:t>H</m:t>
              </m:r>
            </m:sup>
          </m:sSup>
        </m:oMath>
      </m:oMathPara>
    </w:p>
    <w:p w14:paraId="67A3E515" w14:textId="77777777" w:rsidR="004818FA" w:rsidRPr="004D2F7A" w:rsidRDefault="004D6BD9" w:rsidP="004818FA">
      <w:pPr>
        <w:spacing w:line="360" w:lineRule="auto"/>
        <w:rPr>
          <w:rFonts w:ascii="Arial" w:hAnsi="Arial" w:cs="Arial"/>
          <w:i/>
          <w:sz w:val="22"/>
          <w:szCs w:val="22"/>
        </w:rPr>
      </w:pPr>
      <m:oMathPara>
        <m:oMath>
          <m:sSup>
            <m:sSupPr>
              <m:ctrlPr>
                <w:rPr>
                  <w:rFonts w:ascii="Cambria Math" w:hAnsi="Cambria Math" w:cs="Arial"/>
                  <w:i/>
                  <w:sz w:val="20"/>
                  <w:szCs w:val="20"/>
                  <w:lang w:eastAsia="en-US"/>
                </w:rPr>
              </m:ctrlPr>
            </m:sSupPr>
            <m:e>
              <m:r>
                <w:rPr>
                  <w:rFonts w:ascii="Cambria Math" w:hAnsi="Cambria Math" w:cs="Arial"/>
                  <w:sz w:val="22"/>
                  <w:szCs w:val="22"/>
                </w:rPr>
                <m:t>φ</m:t>
              </m:r>
            </m:e>
            <m:sup>
              <m:r>
                <w:rPr>
                  <w:rFonts w:ascii="Cambria Math" w:hAnsi="Cambria Math" w:cs="Arial"/>
                  <w:sz w:val="22"/>
                  <w:szCs w:val="22"/>
                </w:rPr>
                <m:t>H</m:t>
              </m:r>
            </m:sup>
          </m:sSup>
          <m:r>
            <w:rPr>
              <w:rFonts w:ascii="Cambria Math" w:hAnsi="Cambria Math" w:cs="Arial"/>
              <w:sz w:val="22"/>
              <w:szCs w:val="22"/>
            </w:rPr>
            <m:t>~ N</m:t>
          </m:r>
          <m:d>
            <m:dPr>
              <m:ctrlPr>
                <w:rPr>
                  <w:rFonts w:ascii="Cambria Math" w:hAnsi="Cambria Math" w:cs="Arial"/>
                  <w:i/>
                  <w:sz w:val="20"/>
                  <w:szCs w:val="20"/>
                  <w:lang w:eastAsia="en-US"/>
                </w:rPr>
              </m:ctrlPr>
            </m:dPr>
            <m:e>
              <m:r>
                <w:rPr>
                  <w:rFonts w:ascii="Cambria Math" w:hAnsi="Cambria Math" w:cs="Arial"/>
                  <w:sz w:val="22"/>
                  <w:szCs w:val="22"/>
                </w:rPr>
                <m:t>0,</m:t>
              </m:r>
              <m:r>
                <w:rPr>
                  <w:rFonts w:ascii="Cambria Math" w:hAnsi="Cambria Math" w:cs="Arial"/>
                  <w:sz w:val="20"/>
                  <w:szCs w:val="20"/>
                  <w:lang w:eastAsia="en-US"/>
                </w:rPr>
                <m:t>σ</m:t>
              </m:r>
            </m:e>
          </m:d>
        </m:oMath>
      </m:oMathPara>
    </w:p>
    <w:p w14:paraId="1598392A" w14:textId="77777777" w:rsidR="004818FA" w:rsidRPr="00861D71" w:rsidRDefault="004818FA" w:rsidP="004818FA">
      <w:pPr>
        <w:spacing w:line="360" w:lineRule="auto"/>
        <w:rPr>
          <w:rFonts w:ascii="Arial" w:hAnsi="Arial" w:cs="Arial"/>
          <w:i/>
          <w:sz w:val="22"/>
          <w:szCs w:val="22"/>
        </w:rPr>
      </w:pPr>
    </w:p>
    <w:p w14:paraId="0BD5AE44" w14:textId="77777777" w:rsidR="004818FA" w:rsidRPr="00861D71" w:rsidRDefault="004818FA" w:rsidP="004818FA">
      <w:pPr>
        <w:spacing w:line="360" w:lineRule="auto"/>
        <w:rPr>
          <w:rFonts w:ascii="Arial" w:hAnsi="Arial" w:cs="Arial"/>
          <w:sz w:val="22"/>
          <w:szCs w:val="22"/>
        </w:rPr>
      </w:pPr>
      <w:r w:rsidRPr="00861D71">
        <w:rPr>
          <w:rFonts w:ascii="Arial" w:hAnsi="Arial" w:cs="Arial"/>
          <w:sz w:val="22"/>
          <w:szCs w:val="22"/>
        </w:rPr>
        <w:t xml:space="preserve">The intercept, </w:t>
      </w:r>
      <w:r w:rsidRPr="00861D71">
        <w:rPr>
          <w:rFonts w:ascii="Arial" w:hAnsi="Arial" w:cs="Arial"/>
          <w:i/>
          <w:sz w:val="22"/>
          <w:szCs w:val="22"/>
        </w:rPr>
        <w:t>α</w:t>
      </w:r>
      <w:r w:rsidRPr="00861D71">
        <w:rPr>
          <w:rFonts w:ascii="Arial" w:hAnsi="Arial" w:cs="Arial"/>
          <w:sz w:val="22"/>
          <w:szCs w:val="22"/>
        </w:rPr>
        <w:t xml:space="preserve">, </w:t>
      </w:r>
      <w:r>
        <w:rPr>
          <w:rFonts w:ascii="Arial" w:hAnsi="Arial" w:cs="Arial"/>
          <w:sz w:val="22"/>
          <w:szCs w:val="22"/>
        </w:rPr>
        <w:t xml:space="preserve">is </w:t>
      </w:r>
      <w:r w:rsidRPr="00861D71">
        <w:rPr>
          <w:rFonts w:ascii="Arial" w:hAnsi="Arial" w:cs="Arial"/>
          <w:sz w:val="22"/>
          <w:szCs w:val="22"/>
        </w:rPr>
        <w:t xml:space="preserve">augmented by </w:t>
      </w:r>
      <w:r>
        <w:rPr>
          <w:rFonts w:ascii="Arial" w:hAnsi="Arial" w:cs="Arial"/>
          <w:sz w:val="22"/>
          <w:szCs w:val="22"/>
        </w:rPr>
        <w:t xml:space="preserve">a random effect capturing hospital site-period </w:t>
      </w:r>
      <w:r w:rsidRPr="00861D71">
        <w:rPr>
          <w:rFonts w:ascii="Arial" w:hAnsi="Arial" w:cs="Arial"/>
          <w:sz w:val="22"/>
          <w:szCs w:val="22"/>
        </w:rPr>
        <w:t xml:space="preserve">specific deviations from the predicted mean age of admission were modelled with standard deviation </w:t>
      </w:r>
      <w:r w:rsidRPr="00861D71">
        <w:rPr>
          <w:rFonts w:ascii="Arial" w:hAnsi="Arial" w:cs="Arial"/>
          <w:i/>
          <w:sz w:val="22"/>
          <w:szCs w:val="22"/>
        </w:rPr>
        <w:t>σ</w:t>
      </w:r>
      <w:r w:rsidRPr="00861D71">
        <w:rPr>
          <w:rFonts w:ascii="Arial" w:hAnsi="Arial" w:cs="Arial"/>
          <w:sz w:val="22"/>
          <w:szCs w:val="22"/>
        </w:rPr>
        <w:t>. The effect of parasite rate was described by the coefficient</w:t>
      </w:r>
      <w:r>
        <w:rPr>
          <w:rFonts w:ascii="Arial" w:hAnsi="Arial" w:cs="Arial"/>
          <w:sz w:val="22"/>
          <w:szCs w:val="22"/>
        </w:rPr>
        <w:t xml:space="preserve"> </w:t>
      </w:r>
      <w:r w:rsidRPr="00861D71">
        <w:rPr>
          <w:rFonts w:ascii="Arial" w:hAnsi="Arial" w:cs="Arial"/>
          <w:sz w:val="22"/>
          <w:szCs w:val="22"/>
        </w:rPr>
        <w:t xml:space="preserve">β. </w:t>
      </w:r>
    </w:p>
    <w:p w14:paraId="1F8B2E69" w14:textId="77777777" w:rsidR="004818FA" w:rsidRDefault="004818FA" w:rsidP="004818FA">
      <w:pPr>
        <w:spacing w:line="360" w:lineRule="auto"/>
        <w:rPr>
          <w:rFonts w:ascii="Arial" w:hAnsi="Arial" w:cs="Arial"/>
          <w:sz w:val="22"/>
          <w:szCs w:val="22"/>
        </w:rPr>
      </w:pPr>
    </w:p>
    <w:p w14:paraId="39804577" w14:textId="77777777" w:rsidR="004818FA" w:rsidRDefault="004818FA" w:rsidP="004818FA">
      <w:pPr>
        <w:spacing w:line="360" w:lineRule="auto"/>
        <w:rPr>
          <w:rFonts w:ascii="Arial" w:hAnsi="Arial" w:cs="Arial"/>
          <w:sz w:val="22"/>
          <w:szCs w:val="22"/>
        </w:rPr>
      </w:pPr>
      <w:r>
        <w:rPr>
          <w:rFonts w:ascii="Arial" w:hAnsi="Arial" w:cs="Arial"/>
          <w:sz w:val="22"/>
          <w:szCs w:val="22"/>
        </w:rPr>
        <w:t xml:space="preserve">In a second Gamma-distributed GLMM, we considered differences in the age distribution of admissions for specific phenotypes (SMA, CM and RD). </w:t>
      </w:r>
      <w:r w:rsidRPr="00AE53FD">
        <w:rPr>
          <w:rFonts w:ascii="Arial" w:hAnsi="Arial" w:cs="Arial"/>
          <w:sz w:val="22"/>
          <w:szCs w:val="22"/>
        </w:rPr>
        <w:t>Records</w:t>
      </w:r>
      <w:r>
        <w:rPr>
          <w:rFonts w:ascii="Arial" w:hAnsi="Arial" w:cs="Arial"/>
          <w:sz w:val="22"/>
          <w:szCs w:val="22"/>
        </w:rPr>
        <w:t xml:space="preserve"> were filtered for admissions with a diagnosis of one or more of these phenotypes. </w:t>
      </w:r>
      <w:r w:rsidRPr="00B13ABE">
        <w:rPr>
          <w:rFonts w:ascii="Arial" w:hAnsi="Arial" w:cs="Arial"/>
          <w:sz w:val="22"/>
          <w:szCs w:val="22"/>
        </w:rPr>
        <w:t xml:space="preserve">Again, the mean </w:t>
      </w:r>
      <w:r>
        <w:rPr>
          <w:rFonts w:ascii="Arial" w:hAnsi="Arial" w:cs="Arial"/>
          <w:sz w:val="22"/>
          <w:szCs w:val="22"/>
        </w:rPr>
        <w:t>of the distribution was modelled</w:t>
      </w:r>
      <w:r w:rsidRPr="00B13ABE">
        <w:rPr>
          <w:rFonts w:ascii="Arial" w:hAnsi="Arial" w:cs="Arial"/>
          <w:sz w:val="22"/>
          <w:szCs w:val="22"/>
        </w:rPr>
        <w:t xml:space="preserve"> as a log-linear function of </w:t>
      </w:r>
      <w:r w:rsidRPr="00B13ABE">
        <w:rPr>
          <w:rFonts w:ascii="Arial" w:hAnsi="Arial" w:cs="Arial"/>
          <w:i/>
          <w:iCs/>
          <w:sz w:val="22"/>
          <w:szCs w:val="22"/>
        </w:rPr>
        <w:t>Pf</w:t>
      </w:r>
      <w:r w:rsidRPr="00B13ABE">
        <w:rPr>
          <w:rFonts w:ascii="Arial" w:hAnsi="Arial" w:cs="Arial"/>
          <w:sz w:val="22"/>
          <w:szCs w:val="22"/>
        </w:rPr>
        <w:t>PR</w:t>
      </w:r>
      <w:r w:rsidRPr="00B13ABE">
        <w:rPr>
          <w:rFonts w:ascii="Arial" w:hAnsi="Arial" w:cs="Arial"/>
          <w:sz w:val="22"/>
          <w:szCs w:val="22"/>
          <w:vertAlign w:val="subscript"/>
        </w:rPr>
        <w:t xml:space="preserve">2-10 </w:t>
      </w:r>
      <w:r>
        <w:rPr>
          <w:rFonts w:ascii="Arial" w:hAnsi="Arial" w:cs="Arial"/>
          <w:sz w:val="22"/>
          <w:szCs w:val="22"/>
        </w:rPr>
        <w:t xml:space="preserve">and random effect terms modelled phenotype-specific site-time deviations. We explored three hypotheses for phenotype-specific age distributions. In the first, null, model, all cases of </w:t>
      </w:r>
      <w:proofErr w:type="gramStart"/>
      <w:r>
        <w:rPr>
          <w:rFonts w:ascii="Arial" w:hAnsi="Arial" w:cs="Arial"/>
          <w:sz w:val="22"/>
          <w:szCs w:val="22"/>
        </w:rPr>
        <w:t>particular phenotypes</w:t>
      </w:r>
      <w:proofErr w:type="gramEnd"/>
      <w:r>
        <w:rPr>
          <w:rFonts w:ascii="Arial" w:hAnsi="Arial" w:cs="Arial"/>
          <w:sz w:val="22"/>
          <w:szCs w:val="22"/>
        </w:rPr>
        <w:t xml:space="preserve"> were assumed to follow the same age distribution and respond to changes in parasite prevalence in the same way. In a second model, it was assumed that the age distribution of each phenotype had a different average age of admission but responded in the same way to changes in </w:t>
      </w:r>
      <w:r w:rsidRPr="00866EB0">
        <w:rPr>
          <w:rFonts w:ascii="Arial" w:hAnsi="Arial" w:cs="Arial"/>
          <w:i/>
          <w:iCs/>
          <w:sz w:val="22"/>
          <w:szCs w:val="22"/>
        </w:rPr>
        <w:t>Pf</w:t>
      </w:r>
      <w:r>
        <w:rPr>
          <w:rFonts w:ascii="Arial" w:hAnsi="Arial" w:cs="Arial"/>
          <w:sz w:val="22"/>
          <w:szCs w:val="22"/>
        </w:rPr>
        <w:t>PR</w:t>
      </w:r>
      <w:r>
        <w:rPr>
          <w:rFonts w:ascii="Arial" w:hAnsi="Arial" w:cs="Arial"/>
          <w:sz w:val="22"/>
          <w:szCs w:val="22"/>
          <w:vertAlign w:val="subscript"/>
        </w:rPr>
        <w:t>2-10</w:t>
      </w:r>
      <w:r>
        <w:rPr>
          <w:rFonts w:ascii="Arial" w:hAnsi="Arial" w:cs="Arial"/>
          <w:sz w:val="22"/>
          <w:szCs w:val="22"/>
        </w:rPr>
        <w:t xml:space="preserve">. A third model assumed that not only was the age distribution of phenotypes on average different, but that each phenotype also responded differently to changes in parasite prevalence. We compared these three models using </w:t>
      </w:r>
      <w:r w:rsidRPr="00743922">
        <w:rPr>
          <w:rFonts w:ascii="Arial" w:hAnsi="Arial" w:cs="Arial"/>
          <w:sz w:val="22"/>
          <w:szCs w:val="22"/>
        </w:rPr>
        <w:t>the widely applicable information criterion, WAI</w:t>
      </w:r>
      <w:r>
        <w:rPr>
          <w:rFonts w:ascii="Arial" w:hAnsi="Arial" w:cs="Arial"/>
          <w:sz w:val="22"/>
          <w:szCs w:val="22"/>
        </w:rPr>
        <w:t>C.</w:t>
      </w:r>
    </w:p>
    <w:p w14:paraId="08F5BF79" w14:textId="77777777" w:rsidR="004818FA" w:rsidRDefault="004818FA" w:rsidP="004818FA">
      <w:pPr>
        <w:spacing w:line="360" w:lineRule="auto"/>
        <w:rPr>
          <w:rFonts w:ascii="Arial" w:hAnsi="Arial" w:cs="Arial"/>
          <w:sz w:val="22"/>
          <w:szCs w:val="22"/>
        </w:rPr>
      </w:pPr>
    </w:p>
    <w:p w14:paraId="56BF453F" w14:textId="77777777" w:rsidR="00A61BA4" w:rsidRDefault="00A61BA4"/>
    <w:sectPr w:rsidR="00A61BA4">
      <w:footerReference w:type="even" r:id="rId6"/>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AA814C" w14:textId="77777777" w:rsidR="004D6BD9" w:rsidRDefault="004D6BD9" w:rsidP="003C413F">
      <w:r>
        <w:separator/>
      </w:r>
    </w:p>
  </w:endnote>
  <w:endnote w:type="continuationSeparator" w:id="0">
    <w:p w14:paraId="73E6D238" w14:textId="77777777" w:rsidR="004D6BD9" w:rsidRDefault="004D6BD9" w:rsidP="003C41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altName w:val="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70045975"/>
      <w:docPartObj>
        <w:docPartGallery w:val="Page Numbers (Bottom of Page)"/>
        <w:docPartUnique/>
      </w:docPartObj>
    </w:sdtPr>
    <w:sdtContent>
      <w:p w14:paraId="272685C2" w14:textId="1724E822" w:rsidR="003C413F" w:rsidRDefault="003C413F" w:rsidP="008B63AB">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D231D43" w14:textId="77777777" w:rsidR="003C413F" w:rsidRDefault="003C413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79546658"/>
      <w:docPartObj>
        <w:docPartGallery w:val="Page Numbers (Bottom of Page)"/>
        <w:docPartUnique/>
      </w:docPartObj>
    </w:sdtPr>
    <w:sdtContent>
      <w:p w14:paraId="7B244CFF" w14:textId="50E50252" w:rsidR="003C413F" w:rsidRDefault="003C413F" w:rsidP="008B63AB">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AC82445" w14:textId="77777777" w:rsidR="003C413F" w:rsidRDefault="003C41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E6A5A2" w14:textId="77777777" w:rsidR="004D6BD9" w:rsidRDefault="004D6BD9" w:rsidP="003C413F">
      <w:r>
        <w:separator/>
      </w:r>
    </w:p>
  </w:footnote>
  <w:footnote w:type="continuationSeparator" w:id="0">
    <w:p w14:paraId="07D1160C" w14:textId="77777777" w:rsidR="004D6BD9" w:rsidRDefault="004D6BD9" w:rsidP="003C413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18FA"/>
    <w:rsid w:val="002326B4"/>
    <w:rsid w:val="00283637"/>
    <w:rsid w:val="00344DD5"/>
    <w:rsid w:val="00364E4E"/>
    <w:rsid w:val="003C413F"/>
    <w:rsid w:val="004578C1"/>
    <w:rsid w:val="004818FA"/>
    <w:rsid w:val="004B32A3"/>
    <w:rsid w:val="004D6BD9"/>
    <w:rsid w:val="0058678E"/>
    <w:rsid w:val="005E3124"/>
    <w:rsid w:val="00694277"/>
    <w:rsid w:val="00726FB0"/>
    <w:rsid w:val="008D2447"/>
    <w:rsid w:val="008E6BF9"/>
    <w:rsid w:val="00920675"/>
    <w:rsid w:val="00924238"/>
    <w:rsid w:val="0095126D"/>
    <w:rsid w:val="00A61BA4"/>
    <w:rsid w:val="00A87232"/>
    <w:rsid w:val="00AD2BBF"/>
    <w:rsid w:val="00AF7FDF"/>
    <w:rsid w:val="00C10D41"/>
    <w:rsid w:val="00CA4F99"/>
    <w:rsid w:val="00E03D78"/>
    <w:rsid w:val="00E05BA7"/>
    <w:rsid w:val="00E3505E"/>
    <w:rsid w:val="00F22B57"/>
    <w:rsid w:val="00FA67CE"/>
    <w:rsid w:val="00FF26F1"/>
  </w:rsids>
  <m:mathPr>
    <m:mathFont m:val="Cambria Math"/>
    <m:brkBin m:val="before"/>
    <m:brkBinSub m:val="--"/>
    <m:smallFrac m:val="0"/>
    <m:dispDef/>
    <m:lMargin m:val="0"/>
    <m:rMargin m:val="0"/>
    <m:defJc m:val="centerGroup"/>
    <m:wrapIndent m:val="1440"/>
    <m:intLim m:val="subSup"/>
    <m:naryLim m:val="undOvr"/>
  </m:mathPr>
  <w:themeFontLang w:val="en-KE"/>
  <w:clrSchemeMapping w:bg1="light1" w:t1="dark1" w:bg2="light2" w:t2="dark2" w:accent1="accent1" w:accent2="accent2" w:accent3="accent3" w:accent4="accent4" w:accent5="accent5" w:accent6="accent6" w:hyperlink="hyperlink" w:followedHyperlink="followedHyperlink"/>
  <w:decimalSymbol w:val="."/>
  <w:listSeparator w:val=","/>
  <w14:docId w14:val="64BEC455"/>
  <w15:chartTrackingRefBased/>
  <w15:docId w15:val="{0DE8C7E1-3FDA-FA4F-8D44-AE02B691BB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K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18FA"/>
    <w:rPr>
      <w:rFonts w:ascii="Times New Roman" w:eastAsia="Times New Roman" w:hAnsi="Times New Roman" w:cs="Times New Roman"/>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3C413F"/>
    <w:pPr>
      <w:tabs>
        <w:tab w:val="center" w:pos="4513"/>
        <w:tab w:val="right" w:pos="9026"/>
      </w:tabs>
    </w:pPr>
  </w:style>
  <w:style w:type="character" w:customStyle="1" w:styleId="FooterChar">
    <w:name w:val="Footer Char"/>
    <w:basedOn w:val="DefaultParagraphFont"/>
    <w:link w:val="Footer"/>
    <w:uiPriority w:val="99"/>
    <w:rsid w:val="003C413F"/>
    <w:rPr>
      <w:rFonts w:ascii="Times New Roman" w:eastAsia="Times New Roman" w:hAnsi="Times New Roman" w:cs="Times New Roman"/>
      <w:lang w:val="en-GB" w:eastAsia="en-GB"/>
    </w:rPr>
  </w:style>
  <w:style w:type="character" w:styleId="PageNumber">
    <w:name w:val="page number"/>
    <w:basedOn w:val="DefaultParagraphFont"/>
    <w:uiPriority w:val="99"/>
    <w:semiHidden/>
    <w:unhideWhenUsed/>
    <w:rsid w:val="003C41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377</Words>
  <Characters>2152</Characters>
  <Application>Microsoft Office Word</Application>
  <DocSecurity>0</DocSecurity>
  <Lines>17</Lines>
  <Paragraphs>5</Paragraphs>
  <ScaleCrop>false</ScaleCrop>
  <Company/>
  <LinksUpToDate>false</LinksUpToDate>
  <CharactersWithSpaces>2524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Alice Kamau</dc:creator>
  <cp:keywords/>
  <dc:description/>
  <cp:lastModifiedBy>Alice Kamau</cp:lastModifiedBy>
  <cp:revision>8</cp:revision>
  <dcterms:created xsi:type="dcterms:W3CDTF">2021-11-30T06:25:00Z</dcterms:created>
  <dcterms:modified xsi:type="dcterms:W3CDTF">2021-12-02T06:21:00Z</dcterms:modified>
</cp:coreProperties>
</file>