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DF6A" w14:textId="1DE590C3" w:rsidR="00E95E2F" w:rsidRDefault="00C07474" w:rsidP="00E95E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bookmarkStart w:id="0" w:name="_Hlk86932400"/>
      <w:r>
        <w:rPr>
          <w:rFonts w:ascii="Arial" w:hAnsi="Arial" w:cs="Arial"/>
          <w:b/>
          <w:bCs/>
          <w:sz w:val="24"/>
          <w:szCs w:val="24"/>
        </w:rPr>
        <w:t xml:space="preserve">Online </w:t>
      </w:r>
      <w:r w:rsidR="00B74ABB" w:rsidRPr="007604DA">
        <w:rPr>
          <w:rFonts w:ascii="Arial" w:hAnsi="Arial" w:cs="Arial"/>
          <w:b/>
          <w:bCs/>
          <w:sz w:val="24"/>
          <w:szCs w:val="24"/>
        </w:rPr>
        <w:t>S</w:t>
      </w:r>
      <w:r w:rsidR="00B74ABB">
        <w:rPr>
          <w:rFonts w:ascii="Arial" w:hAnsi="Arial" w:cs="Arial"/>
          <w:b/>
          <w:bCs/>
          <w:sz w:val="24"/>
          <w:szCs w:val="24"/>
        </w:rPr>
        <w:t xml:space="preserve">upplementary </w:t>
      </w:r>
      <w:r w:rsidR="00E95E2F">
        <w:rPr>
          <w:rFonts w:ascii="Arial" w:hAnsi="Arial" w:cs="Arial"/>
          <w:b/>
          <w:bCs/>
          <w:sz w:val="24"/>
          <w:szCs w:val="24"/>
        </w:rPr>
        <w:t>Material</w:t>
      </w:r>
      <w:bookmarkEnd w:id="0"/>
    </w:p>
    <w:p w14:paraId="21CF7C5A" w14:textId="79E08FBB" w:rsidR="00E95E2F" w:rsidRDefault="00E95E2F" w:rsidP="00E95E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A1F3655" w14:textId="61DB95EC" w:rsidR="00714B49" w:rsidRDefault="00714B49" w:rsidP="0063254D">
      <w:pPr>
        <w:spacing w:line="48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C07474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Pr="0063254D">
        <w:rPr>
          <w:rFonts w:ascii="Arial" w:hAnsi="Arial" w:cs="Arial"/>
          <w:sz w:val="24"/>
          <w:szCs w:val="24"/>
        </w:rPr>
        <w:t xml:space="preserve">Database information and </w:t>
      </w:r>
      <w:r w:rsidRPr="0063254D">
        <w:rPr>
          <w:rFonts w:ascii="Arial" w:hAnsi="Arial" w:cs="Arial"/>
          <w:sz w:val="24"/>
          <w:szCs w:val="24"/>
          <w:lang w:val="en-US"/>
        </w:rPr>
        <w:t>details of HER2 testing by study center</w:t>
      </w:r>
    </w:p>
    <w:tbl>
      <w:tblPr>
        <w:tblW w:w="10433" w:type="dxa"/>
        <w:tblLayout w:type="fixed"/>
        <w:tblCellMar>
          <w:top w:w="54" w:type="dxa"/>
          <w:bottom w:w="54" w:type="dxa"/>
        </w:tblCellMar>
        <w:tblLook w:val="0420" w:firstRow="1" w:lastRow="0" w:firstColumn="0" w:lastColumn="0" w:noHBand="0" w:noVBand="1"/>
      </w:tblPr>
      <w:tblGrid>
        <w:gridCol w:w="1306"/>
        <w:gridCol w:w="1305"/>
        <w:gridCol w:w="1304"/>
        <w:gridCol w:w="1303"/>
        <w:gridCol w:w="1304"/>
        <w:gridCol w:w="1304"/>
        <w:gridCol w:w="1304"/>
        <w:gridCol w:w="1303"/>
      </w:tblGrid>
      <w:tr w:rsidR="00714B49" w:rsidRPr="00441ADD" w14:paraId="46A76FE0" w14:textId="77777777" w:rsidTr="005E5B64">
        <w:trPr>
          <w:trHeight w:val="286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44C19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98203D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Combined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9B71A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JBCR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922C80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NTUH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1EBFD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SMC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7194F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SNUH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E2C1B7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JFCR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E7767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NCCHE</w:t>
            </w:r>
          </w:p>
        </w:tc>
      </w:tr>
      <w:tr w:rsidR="00714B49" w:rsidRPr="00441ADD" w14:paraId="1D3DD798" w14:textId="77777777" w:rsidTr="005E5B64">
        <w:trPr>
          <w:trHeight w:val="98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7BCCD4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Data available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D9C6F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2000-2015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1729BD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2000-2015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90238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2005-2015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C6C78F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2005-2014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E268AE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2004-2015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6A9BC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2004-2015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A78EC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2002-2015</w:t>
            </w:r>
          </w:p>
        </w:tc>
      </w:tr>
      <w:tr w:rsidR="00714B49" w:rsidRPr="00441ADD" w14:paraId="79FB6E52" w14:textId="77777777" w:rsidTr="005E5B64">
        <w:trPr>
          <w:trHeight w:val="1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49E3C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</w:rPr>
              <w:t>Data cut-off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75098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-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BA72C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Dec 2019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8EF32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July 2021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D0B14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Nov 2018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8F0E21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Dec 2019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DD83E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Nov 2020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FD643E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Jun 2020</w:t>
            </w:r>
          </w:p>
        </w:tc>
      </w:tr>
      <w:tr w:rsidR="00714B49" w:rsidRPr="00441ADD" w14:paraId="5D57B445" w14:textId="77777777" w:rsidTr="005E5B64">
        <w:trPr>
          <w:trHeight w:val="1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42ACA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A498C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D44240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E422D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3DA9A3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1C4A2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13C6A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785E0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14B49" w:rsidRPr="00441ADD" w14:paraId="7F503936" w14:textId="77777777" w:rsidTr="005E5B64">
        <w:trPr>
          <w:trHeight w:val="1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BA95D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No. of patients (%)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D16A6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28280 (100)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AAB2F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6716 (100)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5EB7D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4364 (100)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7E3D8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4532 (100)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4C893F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7704 (100)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9FD11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2779 (100)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E6472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2185 (100)</w:t>
            </w:r>
          </w:p>
        </w:tc>
      </w:tr>
      <w:tr w:rsidR="00714B49" w:rsidRPr="00441ADD" w14:paraId="77022599" w14:textId="77777777" w:rsidTr="005E5B64">
        <w:trPr>
          <w:trHeight w:val="1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AFB79D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HER2-zero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3EA8F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16020 (57)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A58B3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4281 (64)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9A253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1684 (39)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B4EEB7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2695 (59)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6D4E6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4178 (54)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923D1E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1622 (58)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F7F44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1560 (71)</w:t>
            </w:r>
          </w:p>
        </w:tc>
      </w:tr>
      <w:tr w:rsidR="00714B49" w:rsidRPr="00441ADD" w14:paraId="4C6F6F27" w14:textId="77777777" w:rsidTr="005E5B64">
        <w:trPr>
          <w:trHeight w:val="1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694CE1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HER2-low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B71599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12260 (43)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C481D3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2435 (36)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B53D10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2680 (61)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F47E9A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1837 (41)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A9DA73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3526 (46)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E34F6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1157 (42)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28A46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625 (29)</w:t>
            </w:r>
          </w:p>
        </w:tc>
      </w:tr>
      <w:tr w:rsidR="00714B49" w:rsidRPr="00441ADD" w14:paraId="4E5BAF30" w14:textId="77777777" w:rsidTr="005E5B64">
        <w:trPr>
          <w:trHeight w:val="1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080F32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 xml:space="preserve">  IHC 1+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BDDCF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8843 (31)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93693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1733 (26)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F8038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1732 (40)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969D84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1466 (32)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259B22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2446 (32)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BD3A73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949 (34)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8121D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517 (24)</w:t>
            </w:r>
          </w:p>
        </w:tc>
      </w:tr>
      <w:tr w:rsidR="00714B49" w:rsidRPr="00441ADD" w14:paraId="01C5BBE2" w14:textId="77777777" w:rsidTr="005E5B64">
        <w:trPr>
          <w:trHeight w:val="1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5C974F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 xml:space="preserve">  IHC 2+ ISH -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5877E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3417 (12)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CBC5CB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702 (10)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6FA822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948 (22)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1DA58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371 (8)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725270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1080 (14)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15ED1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208 (7)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2F4061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lang w:val="en-US"/>
              </w:rPr>
              <w:t>108 (5)</w:t>
            </w:r>
          </w:p>
        </w:tc>
      </w:tr>
      <w:tr w:rsidR="00714B49" w:rsidRPr="00441ADD" w14:paraId="7E173CE3" w14:textId="77777777" w:rsidTr="005E5B64">
        <w:trPr>
          <w:trHeight w:val="569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C57D48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HER2 antibody used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40521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5A8E4" w14:textId="77777777" w:rsidR="00714B49" w:rsidRPr="00441ADD" w:rsidRDefault="00714B49" w:rsidP="005E5B64">
            <w:pPr>
              <w:widowControl w:val="0"/>
              <w:shd w:val="clear" w:color="auto" w:fill="FFFFFF"/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proofErr w:type="spellStart"/>
            <w:r w:rsidRPr="00441ADD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Dako</w:t>
            </w:r>
            <w:proofErr w:type="spellEnd"/>
            <w:r w:rsidRPr="00441ADD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(A0485) up to Jan 2005;</w:t>
            </w:r>
          </w:p>
          <w:p w14:paraId="7FCD0DDD" w14:textId="77777777" w:rsidR="00714B49" w:rsidRPr="00441ADD" w:rsidRDefault="00714B49" w:rsidP="005E5B64">
            <w:pPr>
              <w:widowControl w:val="0"/>
              <w:shd w:val="clear" w:color="auto" w:fill="FFFFFF"/>
              <w:spacing w:line="36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41ADD">
              <w:rPr>
                <w:rFonts w:ascii="Arial" w:hAnsi="Arial" w:cs="Arial"/>
                <w:color w:val="212121"/>
                <w:sz w:val="17"/>
                <w:szCs w:val="17"/>
                <w:shd w:val="clear" w:color="auto" w:fill="FFFFFF"/>
              </w:rPr>
              <w:t>Thermo-scientific cerb-B2 SP3 (RM9103-S)</w:t>
            </w:r>
          </w:p>
          <w:p w14:paraId="7899CBB8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from Feb 2005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295C89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 4B5 Ventana</w:t>
            </w:r>
          </w:p>
          <w:p w14:paraId="30CFD600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(Roche)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19CDC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4B5 Ventana</w:t>
            </w:r>
          </w:p>
          <w:p w14:paraId="45FB7C1D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(Roche)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5365B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4B5 Ventana</w:t>
            </w:r>
          </w:p>
          <w:p w14:paraId="1D932863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(Roche)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8123F3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441ADD">
              <w:rPr>
                <w:rFonts w:ascii="Arial" w:eastAsia="Times New Roman" w:hAnsi="Arial" w:cs="Arial"/>
                <w:sz w:val="17"/>
                <w:szCs w:val="17"/>
              </w:rPr>
              <w:t>Hercep</w:t>
            </w:r>
            <w:proofErr w:type="spellEnd"/>
            <w:r w:rsidRPr="00441ADD">
              <w:rPr>
                <w:rFonts w:ascii="Arial" w:eastAsia="Times New Roman" w:hAnsi="Arial" w:cs="Arial"/>
                <w:sz w:val="17"/>
                <w:szCs w:val="17"/>
              </w:rPr>
              <w:t xml:space="preserve"> Test (</w:t>
            </w:r>
            <w:proofErr w:type="spellStart"/>
            <w:r w:rsidRPr="00441ADD">
              <w:rPr>
                <w:rFonts w:ascii="Arial" w:eastAsia="Times New Roman" w:hAnsi="Arial" w:cs="Arial"/>
                <w:sz w:val="17"/>
                <w:szCs w:val="17"/>
              </w:rPr>
              <w:t>Dako</w:t>
            </w:r>
            <w:proofErr w:type="spellEnd"/>
            <w:r w:rsidRPr="00441ADD">
              <w:rPr>
                <w:rFonts w:ascii="Arial" w:eastAsia="Times New Roman" w:hAnsi="Arial" w:cs="Arial"/>
                <w:sz w:val="17"/>
                <w:szCs w:val="17"/>
              </w:rPr>
              <w:t>) up to Feb 2012; HER2 4B5 (Roche) from Mar 2012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4CEDC8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4B5 Ventana</w:t>
            </w:r>
          </w:p>
          <w:p w14:paraId="1C4AD698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hAnsi="Arial" w:cs="Arial"/>
                <w:sz w:val="17"/>
                <w:szCs w:val="17"/>
              </w:rPr>
              <w:t>(Roche)</w:t>
            </w:r>
          </w:p>
        </w:tc>
      </w:tr>
      <w:tr w:rsidR="00714B49" w:rsidRPr="00441ADD" w14:paraId="0E78C810" w14:textId="77777777" w:rsidTr="005E5B64">
        <w:trPr>
          <w:trHeight w:val="286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7CF18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41AD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HER2 detection system used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0A4A8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9B22C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Ventana multimer detection kit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152676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Ventana multimer detection kit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16CF6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Ventana multimer detection kit</w:t>
            </w:r>
            <w:r w:rsidRPr="00441ADD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DE905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441ADD">
              <w:rPr>
                <w:rFonts w:ascii="Arial" w:eastAsia="Times New Roman" w:hAnsi="Arial" w:cs="Arial"/>
                <w:sz w:val="17"/>
                <w:szCs w:val="17"/>
              </w:rPr>
              <w:t>OptiView</w:t>
            </w:r>
            <w:proofErr w:type="spellEnd"/>
            <w:r w:rsidRPr="00441ADD">
              <w:rPr>
                <w:rFonts w:ascii="Arial" w:eastAsia="Times New Roman" w:hAnsi="Arial" w:cs="Arial"/>
                <w:sz w:val="17"/>
                <w:szCs w:val="17"/>
              </w:rPr>
              <w:t xml:space="preserve"> DAB IHC Detection Kit (Ventana)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911B84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Ventana multimer detection kit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D9615B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sz w:val="17"/>
                <w:szCs w:val="17"/>
              </w:rPr>
            </w:pPr>
            <w:r w:rsidRPr="00441ADD">
              <w:rPr>
                <w:rFonts w:ascii="Arial" w:eastAsia="Yu Gothic" w:hAnsi="Arial" w:cs="Arial"/>
                <w:color w:val="212121"/>
                <w:sz w:val="17"/>
                <w:szCs w:val="17"/>
                <w:shd w:val="clear" w:color="auto" w:fill="FFFFFF"/>
              </w:rPr>
              <w:t>I-VIEW (Ventana)</w:t>
            </w:r>
          </w:p>
        </w:tc>
      </w:tr>
      <w:tr w:rsidR="00714B49" w:rsidRPr="00441ADD" w14:paraId="4E7FE2BE" w14:textId="77777777" w:rsidTr="005E5B64">
        <w:trPr>
          <w:trHeight w:val="42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9FC5C9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Type of ISH used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37DCB" w14:textId="77777777" w:rsidR="00714B49" w:rsidRPr="00441ADD" w:rsidRDefault="00714B49" w:rsidP="005E5B6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ADC36A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FISH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2E9E4A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 FISH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7B3C20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SISH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E56CA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FISH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461F2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FISH from Jan 2009 to Feb 2012, DISH from March 2012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FE3D3B" w14:textId="77777777" w:rsidR="00714B49" w:rsidRPr="00441ADD" w:rsidRDefault="00714B49" w:rsidP="005E5B64">
            <w:pPr>
              <w:widowControl w:val="0"/>
              <w:spacing w:line="36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 FISH</w:t>
            </w:r>
          </w:p>
        </w:tc>
      </w:tr>
    </w:tbl>
    <w:p w14:paraId="1B2A697E" w14:textId="77777777" w:rsidR="00714B49" w:rsidRPr="00CC4442" w:rsidRDefault="00714B49" w:rsidP="00714B49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CC4442">
        <w:rPr>
          <w:rFonts w:ascii="Arial" w:hAnsi="Arial" w:cs="Arial"/>
          <w:sz w:val="16"/>
          <w:szCs w:val="16"/>
          <w:lang w:val="en-US"/>
        </w:rPr>
        <w:t xml:space="preserve">Abbreviation: </w:t>
      </w:r>
      <w:r w:rsidRPr="00CC4442">
        <w:rPr>
          <w:rFonts w:ascii="Arial" w:hAnsi="Arial" w:cs="Arial"/>
          <w:sz w:val="16"/>
          <w:szCs w:val="16"/>
        </w:rPr>
        <w:t xml:space="preserve">JBCR, Singapore Health Services’ Joint Breast Cancer Registry; NTUH, National Taiwan University Hospital; SMC, Samsung Medical Centre; SNUH, Seoul National University Hospital; JFCR, Japanese Foundation for Cancer Research; NCCHE, National Cancer Centre Hospital East; </w:t>
      </w:r>
      <w:r w:rsidRPr="00CC4442">
        <w:rPr>
          <w:rFonts w:ascii="Arial" w:hAnsi="Arial" w:cs="Arial"/>
          <w:bCs/>
          <w:iCs/>
          <w:sz w:val="16"/>
          <w:szCs w:val="16"/>
          <w:lang w:val="en-US"/>
        </w:rPr>
        <w:t xml:space="preserve">IHC, </w:t>
      </w:r>
      <w:proofErr w:type="gramStart"/>
      <w:r w:rsidRPr="00CC4442">
        <w:rPr>
          <w:rFonts w:ascii="Arial" w:hAnsi="Arial" w:cs="Arial"/>
          <w:bCs/>
          <w:iCs/>
          <w:sz w:val="16"/>
          <w:szCs w:val="16"/>
          <w:lang w:val="en-US"/>
        </w:rPr>
        <w:t>immunohistochemistry;</w:t>
      </w:r>
      <w:r w:rsidRPr="00CC4442">
        <w:rPr>
          <w:rFonts w:ascii="Arial" w:hAnsi="Arial" w:cs="Arial"/>
          <w:sz w:val="16"/>
          <w:szCs w:val="16"/>
        </w:rPr>
        <w:t xml:space="preserve"> </w:t>
      </w:r>
      <w:r w:rsidRPr="00CC444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CC4442">
        <w:rPr>
          <w:rFonts w:ascii="Arial" w:hAnsi="Arial" w:cs="Arial"/>
          <w:sz w:val="16"/>
          <w:szCs w:val="16"/>
        </w:rPr>
        <w:t>ISH</w:t>
      </w:r>
      <w:proofErr w:type="gramEnd"/>
      <w:r w:rsidRPr="00CC4442">
        <w:rPr>
          <w:rFonts w:ascii="Arial" w:hAnsi="Arial" w:cs="Arial"/>
          <w:sz w:val="16"/>
          <w:szCs w:val="16"/>
        </w:rPr>
        <w:t xml:space="preserve">-, </w:t>
      </w:r>
      <w:r w:rsidRPr="00CC4442">
        <w:rPr>
          <w:rFonts w:ascii="Arial" w:hAnsi="Arial" w:cs="Arial"/>
          <w:sz w:val="16"/>
          <w:szCs w:val="16"/>
          <w:lang w:val="en-US"/>
        </w:rPr>
        <w:t xml:space="preserve">in-situ hybridization non-amplified; </w:t>
      </w:r>
      <w:r w:rsidRPr="00CC4442">
        <w:rPr>
          <w:rFonts w:ascii="Arial" w:hAnsi="Arial" w:cs="Arial"/>
          <w:sz w:val="16"/>
          <w:szCs w:val="16"/>
        </w:rPr>
        <w:t xml:space="preserve">FISH, </w:t>
      </w:r>
      <w:r w:rsidRPr="00CC4442">
        <w:rPr>
          <w:rFonts w:ascii="Arial" w:hAnsi="Arial" w:cs="Arial"/>
          <w:sz w:val="16"/>
          <w:szCs w:val="16"/>
          <w:lang w:val="en-US"/>
        </w:rPr>
        <w:t>Fluorescence in-situ hybridization; SISH, Silver in-situ hybridization; DISH, Dual in-situ hybridization.</w:t>
      </w:r>
    </w:p>
    <w:p w14:paraId="1920D26C" w14:textId="77777777" w:rsidR="002C6FD5" w:rsidRDefault="002C6FD5" w:rsidP="00E95E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CC0FC59" w14:textId="77777777" w:rsidR="00714B49" w:rsidRDefault="00714B4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D773ECE" w14:textId="40137605" w:rsidR="005D6983" w:rsidRDefault="002C7CCA" w:rsidP="0063254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C07474">
        <w:rPr>
          <w:rFonts w:ascii="Arial" w:hAnsi="Arial" w:cs="Arial"/>
          <w:b/>
          <w:bCs/>
          <w:sz w:val="24"/>
          <w:szCs w:val="24"/>
        </w:rPr>
        <w:t>S</w:t>
      </w:r>
      <w:r w:rsidR="002C6FD5">
        <w:rPr>
          <w:rFonts w:ascii="Arial" w:hAnsi="Arial" w:cs="Arial"/>
          <w:b/>
          <w:bCs/>
          <w:sz w:val="24"/>
          <w:szCs w:val="24"/>
        </w:rPr>
        <w:t>2</w:t>
      </w:r>
      <w:r w:rsidR="00EF616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3254D">
        <w:rPr>
          <w:rFonts w:ascii="Arial" w:hAnsi="Arial" w:cs="Arial"/>
          <w:sz w:val="24"/>
          <w:szCs w:val="24"/>
        </w:rPr>
        <w:t>Sensitivity analysis of relapse-free survival and overall survival by HER2 and hormone receptor status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10433" w:type="dxa"/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850"/>
        <w:gridCol w:w="709"/>
        <w:gridCol w:w="283"/>
        <w:gridCol w:w="1701"/>
        <w:gridCol w:w="709"/>
        <w:gridCol w:w="657"/>
      </w:tblGrid>
      <w:tr w:rsidR="005D6983" w:rsidRPr="00441ADD" w14:paraId="74D9F14E" w14:textId="77777777" w:rsidTr="00CC4442">
        <w:trPr>
          <w:trHeight w:val="316"/>
        </w:trPr>
        <w:tc>
          <w:tcPr>
            <w:tcW w:w="3823" w:type="dxa"/>
          </w:tcPr>
          <w:p w14:paraId="02B12906" w14:textId="77777777" w:rsidR="005D6983" w:rsidRPr="00441ADD" w:rsidRDefault="005D6983" w:rsidP="00441ADD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</w:p>
        </w:tc>
        <w:tc>
          <w:tcPr>
            <w:tcW w:w="6610" w:type="dxa"/>
            <w:gridSpan w:val="7"/>
          </w:tcPr>
          <w:p w14:paraId="617F89E5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Sensitivity </w:t>
            </w:r>
            <w:proofErr w:type="spellStart"/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analysis</w:t>
            </w: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vertAlign w:val="superscript"/>
              </w:rPr>
              <w:t>a</w:t>
            </w:r>
            <w:proofErr w:type="spellEnd"/>
          </w:p>
        </w:tc>
      </w:tr>
      <w:tr w:rsidR="005D6983" w:rsidRPr="00441ADD" w14:paraId="0D1A6483" w14:textId="77777777" w:rsidTr="00CC4442">
        <w:trPr>
          <w:trHeight w:val="332"/>
        </w:trPr>
        <w:tc>
          <w:tcPr>
            <w:tcW w:w="3823" w:type="dxa"/>
          </w:tcPr>
          <w:p w14:paraId="680B2961" w14:textId="77777777" w:rsidR="005D6983" w:rsidRPr="00441ADD" w:rsidRDefault="005D6983" w:rsidP="00441ADD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F3F6BBF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Center</w:t>
            </w:r>
            <w:proofErr w:type="spellEnd"/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-adjusted</w:t>
            </w:r>
          </w:p>
        </w:tc>
        <w:tc>
          <w:tcPr>
            <w:tcW w:w="283" w:type="dxa"/>
            <w:vAlign w:val="center"/>
          </w:tcPr>
          <w:p w14:paraId="0F153B62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067" w:type="dxa"/>
            <w:gridSpan w:val="3"/>
            <w:vAlign w:val="center"/>
          </w:tcPr>
          <w:p w14:paraId="3C93CC88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Multivariable-</w:t>
            </w:r>
            <w:proofErr w:type="spellStart"/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adjusted</w:t>
            </w: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0810FC" w:rsidRPr="00441ADD" w14:paraId="7B4D88EC" w14:textId="77777777" w:rsidTr="00CC4442">
        <w:trPr>
          <w:trHeight w:val="649"/>
        </w:trPr>
        <w:tc>
          <w:tcPr>
            <w:tcW w:w="3823" w:type="dxa"/>
          </w:tcPr>
          <w:p w14:paraId="488EA6AB" w14:textId="77777777" w:rsidR="005D6983" w:rsidRPr="00441ADD" w:rsidRDefault="005D6983" w:rsidP="00441ADD">
            <w:pPr>
              <w:tabs>
                <w:tab w:val="left" w:pos="4357"/>
              </w:tabs>
              <w:spacing w:line="360" w:lineRule="auto"/>
              <w:jc w:val="both"/>
              <w:rPr>
                <w:rFonts w:ascii="Arial" w:hAnsi="Arial" w:cs="Arial"/>
                <w:i/>
                <w:iCs/>
                <w:sz w:val="17"/>
                <w:szCs w:val="17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39CC6FD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Hazard ratio</w:t>
            </w:r>
          </w:p>
          <w:p w14:paraId="508A9BB8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(95% CI)</w:t>
            </w:r>
          </w:p>
        </w:tc>
        <w:tc>
          <w:tcPr>
            <w:tcW w:w="850" w:type="dxa"/>
            <w:vAlign w:val="center"/>
          </w:tcPr>
          <w:p w14:paraId="7084CA71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  <w:t>P</w:t>
            </w:r>
          </w:p>
        </w:tc>
        <w:tc>
          <w:tcPr>
            <w:tcW w:w="709" w:type="dxa"/>
            <w:vAlign w:val="center"/>
          </w:tcPr>
          <w:p w14:paraId="315740C5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  <w:t>P (int)</w:t>
            </w:r>
          </w:p>
        </w:tc>
        <w:tc>
          <w:tcPr>
            <w:tcW w:w="283" w:type="dxa"/>
          </w:tcPr>
          <w:p w14:paraId="7B5C98CF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  <w:vAlign w:val="center"/>
          </w:tcPr>
          <w:p w14:paraId="2A5F35D6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Hazard ratio</w:t>
            </w:r>
          </w:p>
          <w:p w14:paraId="21A1174E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(95% CI)</w:t>
            </w:r>
          </w:p>
        </w:tc>
        <w:tc>
          <w:tcPr>
            <w:tcW w:w="709" w:type="dxa"/>
            <w:vAlign w:val="center"/>
          </w:tcPr>
          <w:p w14:paraId="3C07C688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  <w:t>P</w:t>
            </w:r>
          </w:p>
        </w:tc>
        <w:tc>
          <w:tcPr>
            <w:tcW w:w="657" w:type="dxa"/>
            <w:vAlign w:val="center"/>
          </w:tcPr>
          <w:p w14:paraId="115815EB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i/>
                <w:color w:val="000000"/>
                <w:sz w:val="17"/>
                <w:szCs w:val="17"/>
              </w:rPr>
              <w:t>P (int)</w:t>
            </w:r>
          </w:p>
        </w:tc>
      </w:tr>
      <w:tr w:rsidR="000810FC" w:rsidRPr="00441ADD" w14:paraId="78AAFC16" w14:textId="77777777" w:rsidTr="00CC4442">
        <w:trPr>
          <w:trHeight w:val="151"/>
        </w:trPr>
        <w:tc>
          <w:tcPr>
            <w:tcW w:w="3823" w:type="dxa"/>
            <w:vAlign w:val="center"/>
          </w:tcPr>
          <w:p w14:paraId="688ABA8C" w14:textId="77777777" w:rsidR="005D6983" w:rsidRPr="00441ADD" w:rsidRDefault="002C7CCA" w:rsidP="00441ADD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Relapse-free survival </w:t>
            </w:r>
          </w:p>
        </w:tc>
        <w:tc>
          <w:tcPr>
            <w:tcW w:w="1701" w:type="dxa"/>
          </w:tcPr>
          <w:p w14:paraId="2D236D98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</w:tcPr>
          <w:p w14:paraId="433026CD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</w:tcPr>
          <w:p w14:paraId="294D645C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</w:p>
        </w:tc>
        <w:tc>
          <w:tcPr>
            <w:tcW w:w="283" w:type="dxa"/>
          </w:tcPr>
          <w:p w14:paraId="190FE7C1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</w:p>
        </w:tc>
        <w:tc>
          <w:tcPr>
            <w:tcW w:w="1701" w:type="dxa"/>
          </w:tcPr>
          <w:p w14:paraId="123A91C9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</w:tcPr>
          <w:p w14:paraId="6BF7881C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</w:p>
        </w:tc>
        <w:tc>
          <w:tcPr>
            <w:tcW w:w="657" w:type="dxa"/>
          </w:tcPr>
          <w:p w14:paraId="122D8DF0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</w:p>
        </w:tc>
      </w:tr>
      <w:tr w:rsidR="000810FC" w:rsidRPr="00441ADD" w14:paraId="1C70D1AC" w14:textId="77777777" w:rsidTr="00CC4442">
        <w:trPr>
          <w:trHeight w:val="151"/>
        </w:trPr>
        <w:tc>
          <w:tcPr>
            <w:tcW w:w="3823" w:type="dxa"/>
            <w:shd w:val="clear" w:color="auto" w:fill="auto"/>
            <w:vAlign w:val="center"/>
          </w:tcPr>
          <w:p w14:paraId="5295D845" w14:textId="77777777" w:rsidR="005D6983" w:rsidRPr="00441ADD" w:rsidRDefault="002C7CCA" w:rsidP="00441ADD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 Overall: HER2-low vs HER2-zero</w:t>
            </w:r>
          </w:p>
        </w:tc>
        <w:tc>
          <w:tcPr>
            <w:tcW w:w="1701" w:type="dxa"/>
            <w:shd w:val="clear" w:color="auto" w:fill="auto"/>
          </w:tcPr>
          <w:p w14:paraId="5996A7B5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0.89 (0.83 - 0.95)</w:t>
            </w:r>
          </w:p>
        </w:tc>
        <w:tc>
          <w:tcPr>
            <w:tcW w:w="850" w:type="dxa"/>
            <w:shd w:val="clear" w:color="auto" w:fill="auto"/>
          </w:tcPr>
          <w:p w14:paraId="03ACA007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&lt;0.001</w:t>
            </w:r>
          </w:p>
        </w:tc>
        <w:tc>
          <w:tcPr>
            <w:tcW w:w="709" w:type="dxa"/>
          </w:tcPr>
          <w:p w14:paraId="1083D4C8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83" w:type="dxa"/>
          </w:tcPr>
          <w:p w14:paraId="2C86C4E3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93C1633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0.93 (0.87 - 0.99)</w:t>
            </w:r>
          </w:p>
        </w:tc>
        <w:tc>
          <w:tcPr>
            <w:tcW w:w="709" w:type="dxa"/>
          </w:tcPr>
          <w:p w14:paraId="212C8549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0.022</w:t>
            </w:r>
          </w:p>
        </w:tc>
        <w:tc>
          <w:tcPr>
            <w:tcW w:w="657" w:type="dxa"/>
          </w:tcPr>
          <w:p w14:paraId="4402046E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</w:tr>
      <w:tr w:rsidR="000810FC" w:rsidRPr="00441ADD" w14:paraId="4545477A" w14:textId="77777777" w:rsidTr="00CC4442">
        <w:trPr>
          <w:trHeight w:val="151"/>
        </w:trPr>
        <w:tc>
          <w:tcPr>
            <w:tcW w:w="3823" w:type="dxa"/>
            <w:shd w:val="clear" w:color="auto" w:fill="auto"/>
            <w:vAlign w:val="center"/>
          </w:tcPr>
          <w:p w14:paraId="2F286191" w14:textId="77777777" w:rsidR="005D6983" w:rsidRPr="00441ADD" w:rsidRDefault="005D6983" w:rsidP="00441ADD">
            <w:pPr>
              <w:spacing w:line="36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</w:tcPr>
          <w:p w14:paraId="3B33C65A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50" w:type="dxa"/>
            <w:shd w:val="clear" w:color="auto" w:fill="auto"/>
          </w:tcPr>
          <w:p w14:paraId="4C4D39E5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9" w:type="dxa"/>
          </w:tcPr>
          <w:p w14:paraId="49B2DFCE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3" w:type="dxa"/>
          </w:tcPr>
          <w:p w14:paraId="6E40C4F7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5D11D7C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9" w:type="dxa"/>
          </w:tcPr>
          <w:p w14:paraId="0264EB4D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57" w:type="dxa"/>
          </w:tcPr>
          <w:p w14:paraId="74A3A6DC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810FC" w:rsidRPr="00441ADD" w14:paraId="1AD086CB" w14:textId="77777777" w:rsidTr="00CC4442">
        <w:trPr>
          <w:trHeight w:val="151"/>
        </w:trPr>
        <w:tc>
          <w:tcPr>
            <w:tcW w:w="3823" w:type="dxa"/>
            <w:vAlign w:val="center"/>
          </w:tcPr>
          <w:p w14:paraId="0DD3DFFA" w14:textId="77777777" w:rsidR="005D6983" w:rsidRPr="00441ADD" w:rsidRDefault="002C7CCA" w:rsidP="00441ADD">
            <w:pPr>
              <w:spacing w:line="36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 Hormone receptor-positive: HER2-low vs HER2-zero</w:t>
            </w:r>
          </w:p>
        </w:tc>
        <w:tc>
          <w:tcPr>
            <w:tcW w:w="1701" w:type="dxa"/>
            <w:shd w:val="clear" w:color="auto" w:fill="auto"/>
          </w:tcPr>
          <w:p w14:paraId="14442655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0.94 (0.87 - 1.02)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57F3A50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0.118</w:t>
            </w:r>
          </w:p>
        </w:tc>
        <w:tc>
          <w:tcPr>
            <w:tcW w:w="709" w:type="dxa"/>
            <w:vMerge w:val="restart"/>
            <w:vAlign w:val="center"/>
          </w:tcPr>
          <w:p w14:paraId="4CECC1B7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0.995</w:t>
            </w:r>
          </w:p>
        </w:tc>
        <w:tc>
          <w:tcPr>
            <w:tcW w:w="283" w:type="dxa"/>
          </w:tcPr>
          <w:p w14:paraId="31D05B3A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148A06E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0.92 (0.86 – 0.99)</w:t>
            </w:r>
          </w:p>
        </w:tc>
        <w:tc>
          <w:tcPr>
            <w:tcW w:w="709" w:type="dxa"/>
            <w:vAlign w:val="bottom"/>
          </w:tcPr>
          <w:p w14:paraId="7A3F6610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0.038</w:t>
            </w:r>
          </w:p>
        </w:tc>
        <w:tc>
          <w:tcPr>
            <w:tcW w:w="657" w:type="dxa"/>
            <w:vMerge w:val="restart"/>
            <w:vAlign w:val="center"/>
          </w:tcPr>
          <w:p w14:paraId="6D3B664D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0.829</w:t>
            </w:r>
          </w:p>
        </w:tc>
      </w:tr>
      <w:tr w:rsidR="000810FC" w:rsidRPr="00441ADD" w14:paraId="6A30D205" w14:textId="77777777" w:rsidTr="00CC4442">
        <w:trPr>
          <w:trHeight w:val="151"/>
        </w:trPr>
        <w:tc>
          <w:tcPr>
            <w:tcW w:w="3823" w:type="dxa"/>
            <w:vAlign w:val="center"/>
          </w:tcPr>
          <w:p w14:paraId="4CCFE619" w14:textId="77777777" w:rsidR="005D6983" w:rsidRPr="00441ADD" w:rsidRDefault="002C7CCA" w:rsidP="00441ADD">
            <w:pPr>
              <w:spacing w:line="36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 Hormone receptor-negative: HER2-low vs HER2-zero</w:t>
            </w:r>
          </w:p>
        </w:tc>
        <w:tc>
          <w:tcPr>
            <w:tcW w:w="1701" w:type="dxa"/>
            <w:shd w:val="clear" w:color="auto" w:fill="auto"/>
          </w:tcPr>
          <w:p w14:paraId="5EBB2A71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0.94 (0.82 - 1.08)</w:t>
            </w:r>
          </w:p>
        </w:tc>
        <w:tc>
          <w:tcPr>
            <w:tcW w:w="850" w:type="dxa"/>
            <w:shd w:val="clear" w:color="auto" w:fill="auto"/>
          </w:tcPr>
          <w:p w14:paraId="4D581754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0.378</w:t>
            </w:r>
          </w:p>
        </w:tc>
        <w:tc>
          <w:tcPr>
            <w:tcW w:w="709" w:type="dxa"/>
            <w:vMerge/>
          </w:tcPr>
          <w:p w14:paraId="4783C908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283" w:type="dxa"/>
          </w:tcPr>
          <w:p w14:paraId="25C417BE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1701" w:type="dxa"/>
          </w:tcPr>
          <w:p w14:paraId="6ECF93B6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0.94 (0.82 - 1.07)</w:t>
            </w:r>
          </w:p>
        </w:tc>
        <w:tc>
          <w:tcPr>
            <w:tcW w:w="709" w:type="dxa"/>
          </w:tcPr>
          <w:p w14:paraId="2C629618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0.356</w:t>
            </w:r>
          </w:p>
        </w:tc>
        <w:tc>
          <w:tcPr>
            <w:tcW w:w="657" w:type="dxa"/>
            <w:vMerge/>
          </w:tcPr>
          <w:p w14:paraId="5D24DCA0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</w:tr>
      <w:tr w:rsidR="000810FC" w:rsidRPr="00441ADD" w14:paraId="69D8B729" w14:textId="77777777" w:rsidTr="00CC4442">
        <w:trPr>
          <w:trHeight w:val="151"/>
        </w:trPr>
        <w:tc>
          <w:tcPr>
            <w:tcW w:w="3823" w:type="dxa"/>
            <w:vAlign w:val="center"/>
          </w:tcPr>
          <w:p w14:paraId="6DF5F93B" w14:textId="77777777" w:rsidR="005D6983" w:rsidRPr="00441ADD" w:rsidRDefault="005D6983" w:rsidP="00441ADD">
            <w:pPr>
              <w:spacing w:line="360" w:lineRule="auto"/>
              <w:ind w:right="-108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</w:tcPr>
          <w:p w14:paraId="10675076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50" w:type="dxa"/>
            <w:shd w:val="clear" w:color="auto" w:fill="auto"/>
          </w:tcPr>
          <w:p w14:paraId="66867470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9" w:type="dxa"/>
          </w:tcPr>
          <w:p w14:paraId="4F2DE805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283" w:type="dxa"/>
          </w:tcPr>
          <w:p w14:paraId="2F2AE0E8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1701" w:type="dxa"/>
          </w:tcPr>
          <w:p w14:paraId="1B02FD00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</w:tcPr>
          <w:p w14:paraId="5CB09EDF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657" w:type="dxa"/>
          </w:tcPr>
          <w:p w14:paraId="7ECBC1DA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</w:tr>
      <w:tr w:rsidR="000810FC" w:rsidRPr="00441ADD" w14:paraId="5C2031D7" w14:textId="77777777" w:rsidTr="00CC4442">
        <w:trPr>
          <w:trHeight w:val="151"/>
        </w:trPr>
        <w:tc>
          <w:tcPr>
            <w:tcW w:w="3823" w:type="dxa"/>
            <w:shd w:val="clear" w:color="auto" w:fill="auto"/>
            <w:vAlign w:val="center"/>
          </w:tcPr>
          <w:p w14:paraId="39F7A08C" w14:textId="77777777" w:rsidR="005D6983" w:rsidRPr="00441ADD" w:rsidRDefault="002C7CCA" w:rsidP="00441ADD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Overall survival</w:t>
            </w:r>
          </w:p>
        </w:tc>
        <w:tc>
          <w:tcPr>
            <w:tcW w:w="1701" w:type="dxa"/>
          </w:tcPr>
          <w:p w14:paraId="6BD6EFFA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</w:tcPr>
          <w:p w14:paraId="2FC130D9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</w:tcPr>
          <w:p w14:paraId="217BC562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283" w:type="dxa"/>
          </w:tcPr>
          <w:p w14:paraId="244FFE32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1701" w:type="dxa"/>
          </w:tcPr>
          <w:p w14:paraId="2BD7837B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</w:tcPr>
          <w:p w14:paraId="05DBCBD2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657" w:type="dxa"/>
          </w:tcPr>
          <w:p w14:paraId="5C26EB5D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</w:tr>
      <w:tr w:rsidR="000810FC" w:rsidRPr="00441ADD" w14:paraId="536C6947" w14:textId="77777777" w:rsidTr="00CC4442">
        <w:trPr>
          <w:trHeight w:val="151"/>
        </w:trPr>
        <w:tc>
          <w:tcPr>
            <w:tcW w:w="3823" w:type="dxa"/>
            <w:shd w:val="clear" w:color="auto" w:fill="auto"/>
            <w:vAlign w:val="center"/>
          </w:tcPr>
          <w:p w14:paraId="5A24E3E3" w14:textId="77777777" w:rsidR="005D6983" w:rsidRPr="00441ADD" w:rsidRDefault="002C7CCA" w:rsidP="00441ADD">
            <w:pPr>
              <w:spacing w:line="36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 Overall: HER2-low vs HER2-zero</w:t>
            </w:r>
          </w:p>
        </w:tc>
        <w:tc>
          <w:tcPr>
            <w:tcW w:w="1701" w:type="dxa"/>
          </w:tcPr>
          <w:p w14:paraId="5447730D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0.83 (0.76 - 0.91)</w:t>
            </w:r>
          </w:p>
        </w:tc>
        <w:tc>
          <w:tcPr>
            <w:tcW w:w="850" w:type="dxa"/>
          </w:tcPr>
          <w:p w14:paraId="54158FAA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&lt;0.001</w:t>
            </w:r>
          </w:p>
        </w:tc>
        <w:tc>
          <w:tcPr>
            <w:tcW w:w="709" w:type="dxa"/>
          </w:tcPr>
          <w:p w14:paraId="5A3553B5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DengXian" w:hAnsi="Arial" w:cs="Arial"/>
                <w:b/>
                <w:bCs/>
                <w:iCs/>
                <w:sz w:val="17"/>
                <w:szCs w:val="17"/>
                <w:lang w:val="en-US"/>
              </w:rPr>
              <w:t>-</w:t>
            </w:r>
          </w:p>
        </w:tc>
        <w:tc>
          <w:tcPr>
            <w:tcW w:w="283" w:type="dxa"/>
          </w:tcPr>
          <w:p w14:paraId="4AD9369F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1701" w:type="dxa"/>
          </w:tcPr>
          <w:p w14:paraId="0A1152DF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0.88 (0.81 - 0.97)</w:t>
            </w:r>
          </w:p>
        </w:tc>
        <w:tc>
          <w:tcPr>
            <w:tcW w:w="709" w:type="dxa"/>
          </w:tcPr>
          <w:p w14:paraId="55A4F812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0.006</w:t>
            </w:r>
          </w:p>
        </w:tc>
        <w:tc>
          <w:tcPr>
            <w:tcW w:w="657" w:type="dxa"/>
          </w:tcPr>
          <w:p w14:paraId="34CDBA2F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</w:tr>
      <w:tr w:rsidR="000810FC" w:rsidRPr="00441ADD" w14:paraId="0064434D" w14:textId="77777777" w:rsidTr="00CC4442">
        <w:trPr>
          <w:trHeight w:val="151"/>
        </w:trPr>
        <w:tc>
          <w:tcPr>
            <w:tcW w:w="3823" w:type="dxa"/>
            <w:shd w:val="clear" w:color="auto" w:fill="auto"/>
            <w:vAlign w:val="center"/>
          </w:tcPr>
          <w:p w14:paraId="010F9839" w14:textId="77777777" w:rsidR="005D6983" w:rsidRPr="00441ADD" w:rsidRDefault="005D6983" w:rsidP="00441ADD">
            <w:pPr>
              <w:spacing w:line="36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E4F6480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</w:tcPr>
          <w:p w14:paraId="56CF5944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</w:tcPr>
          <w:p w14:paraId="6BA0780B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283" w:type="dxa"/>
          </w:tcPr>
          <w:p w14:paraId="062A1EE2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1701" w:type="dxa"/>
          </w:tcPr>
          <w:p w14:paraId="18EF7256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</w:tcPr>
          <w:p w14:paraId="3502037E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657" w:type="dxa"/>
          </w:tcPr>
          <w:p w14:paraId="294CBFBB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</w:tr>
      <w:tr w:rsidR="000810FC" w:rsidRPr="00441ADD" w14:paraId="3A501449" w14:textId="77777777" w:rsidTr="00CC4442">
        <w:trPr>
          <w:trHeight w:val="151"/>
        </w:trPr>
        <w:tc>
          <w:tcPr>
            <w:tcW w:w="3823" w:type="dxa"/>
            <w:shd w:val="clear" w:color="auto" w:fill="auto"/>
            <w:vAlign w:val="center"/>
          </w:tcPr>
          <w:p w14:paraId="217696B3" w14:textId="77777777" w:rsidR="005D6983" w:rsidRPr="00441ADD" w:rsidRDefault="002C7CCA" w:rsidP="00441ADD">
            <w:pPr>
              <w:spacing w:line="360" w:lineRule="auto"/>
              <w:ind w:right="-108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 Hormone receptor-positive: HER2-low vs HER2-zero</w:t>
            </w:r>
          </w:p>
        </w:tc>
        <w:tc>
          <w:tcPr>
            <w:tcW w:w="1701" w:type="dxa"/>
          </w:tcPr>
          <w:p w14:paraId="5D800D92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0.93 (0.84 - 1.03)</w:t>
            </w:r>
          </w:p>
        </w:tc>
        <w:tc>
          <w:tcPr>
            <w:tcW w:w="850" w:type="dxa"/>
            <w:vAlign w:val="bottom"/>
          </w:tcPr>
          <w:p w14:paraId="14957947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0.170</w:t>
            </w:r>
          </w:p>
        </w:tc>
        <w:tc>
          <w:tcPr>
            <w:tcW w:w="709" w:type="dxa"/>
            <w:vMerge w:val="restart"/>
          </w:tcPr>
          <w:p w14:paraId="455A4719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0.143</w:t>
            </w:r>
          </w:p>
        </w:tc>
        <w:tc>
          <w:tcPr>
            <w:tcW w:w="283" w:type="dxa"/>
          </w:tcPr>
          <w:p w14:paraId="33666DAA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B89D597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0.92 (0.83 - 1.02)</w:t>
            </w:r>
          </w:p>
        </w:tc>
        <w:tc>
          <w:tcPr>
            <w:tcW w:w="709" w:type="dxa"/>
            <w:vAlign w:val="bottom"/>
          </w:tcPr>
          <w:p w14:paraId="71D402F4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0.096</w:t>
            </w:r>
          </w:p>
        </w:tc>
        <w:tc>
          <w:tcPr>
            <w:tcW w:w="657" w:type="dxa"/>
            <w:vMerge w:val="restart"/>
            <w:vAlign w:val="center"/>
          </w:tcPr>
          <w:p w14:paraId="6D8249A4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0.151</w:t>
            </w:r>
          </w:p>
        </w:tc>
      </w:tr>
      <w:tr w:rsidR="000810FC" w:rsidRPr="00441ADD" w14:paraId="09E655DC" w14:textId="77777777" w:rsidTr="00CC4442">
        <w:trPr>
          <w:trHeight w:val="151"/>
        </w:trPr>
        <w:tc>
          <w:tcPr>
            <w:tcW w:w="3823" w:type="dxa"/>
            <w:shd w:val="clear" w:color="auto" w:fill="auto"/>
            <w:vAlign w:val="center"/>
          </w:tcPr>
          <w:p w14:paraId="2D270A2A" w14:textId="77777777" w:rsidR="005D6983" w:rsidRPr="00441ADD" w:rsidRDefault="002C7CCA" w:rsidP="00441ADD">
            <w:pPr>
              <w:spacing w:line="360" w:lineRule="auto"/>
              <w:ind w:right="-108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41A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 Hormone receptor-negative: HER2-low vs HER2-zero</w:t>
            </w:r>
          </w:p>
        </w:tc>
        <w:tc>
          <w:tcPr>
            <w:tcW w:w="1701" w:type="dxa"/>
          </w:tcPr>
          <w:p w14:paraId="4DBDB856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0.81 (0.68 – 0.95)</w:t>
            </w:r>
          </w:p>
        </w:tc>
        <w:tc>
          <w:tcPr>
            <w:tcW w:w="850" w:type="dxa"/>
          </w:tcPr>
          <w:p w14:paraId="0255953C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0.012</w:t>
            </w:r>
          </w:p>
        </w:tc>
        <w:tc>
          <w:tcPr>
            <w:tcW w:w="709" w:type="dxa"/>
            <w:vMerge/>
          </w:tcPr>
          <w:p w14:paraId="284AD80B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283" w:type="dxa"/>
          </w:tcPr>
          <w:p w14:paraId="5A4EEF25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  <w:tc>
          <w:tcPr>
            <w:tcW w:w="1701" w:type="dxa"/>
          </w:tcPr>
          <w:p w14:paraId="2139446C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0.80 (0.67 – 0.94)</w:t>
            </w:r>
          </w:p>
        </w:tc>
        <w:tc>
          <w:tcPr>
            <w:tcW w:w="709" w:type="dxa"/>
          </w:tcPr>
          <w:p w14:paraId="2D029EE1" w14:textId="77777777" w:rsidR="005D6983" w:rsidRPr="00441ADD" w:rsidRDefault="002C7CCA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  <w:r w:rsidRPr="00441ADD">
              <w:rPr>
                <w:rFonts w:ascii="Arial" w:eastAsia="Times New Roman" w:hAnsi="Arial" w:cs="Arial"/>
                <w:sz w:val="17"/>
                <w:szCs w:val="17"/>
              </w:rPr>
              <w:t>0.008</w:t>
            </w:r>
          </w:p>
        </w:tc>
        <w:tc>
          <w:tcPr>
            <w:tcW w:w="657" w:type="dxa"/>
            <w:vMerge/>
          </w:tcPr>
          <w:p w14:paraId="5895E7B1" w14:textId="77777777" w:rsidR="005D6983" w:rsidRPr="00441ADD" w:rsidRDefault="005D6983" w:rsidP="00441ADD">
            <w:pPr>
              <w:spacing w:line="360" w:lineRule="auto"/>
              <w:ind w:left="-144" w:right="-144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val="en-US"/>
              </w:rPr>
            </w:pPr>
          </w:p>
        </w:tc>
      </w:tr>
    </w:tbl>
    <w:p w14:paraId="64788341" w14:textId="77777777" w:rsidR="005D6983" w:rsidRPr="00CC4442" w:rsidRDefault="002C7CCA" w:rsidP="00441ADD">
      <w:pPr>
        <w:spacing w:line="360" w:lineRule="auto"/>
        <w:rPr>
          <w:rFonts w:ascii="Arial" w:hAnsi="Arial" w:cs="Arial"/>
          <w:sz w:val="16"/>
          <w:szCs w:val="16"/>
        </w:rPr>
      </w:pPr>
      <w:r w:rsidRPr="00CC4442">
        <w:rPr>
          <w:rFonts w:ascii="Arial" w:hAnsi="Arial" w:cs="Arial"/>
          <w:sz w:val="16"/>
          <w:szCs w:val="16"/>
        </w:rPr>
        <w:t xml:space="preserve">Abbreviation: int, interaction between HER2 and hormone receptor status. </w:t>
      </w:r>
    </w:p>
    <w:p w14:paraId="7E504680" w14:textId="77777777" w:rsidR="005D6983" w:rsidRPr="00CC4442" w:rsidRDefault="002C7CCA" w:rsidP="00441ADD">
      <w:pPr>
        <w:spacing w:line="360" w:lineRule="auto"/>
        <w:rPr>
          <w:rFonts w:ascii="Arial" w:hAnsi="Arial" w:cs="Arial"/>
          <w:sz w:val="16"/>
          <w:szCs w:val="16"/>
        </w:rPr>
      </w:pPr>
      <w:r w:rsidRPr="00CC4442">
        <w:rPr>
          <w:rFonts w:ascii="Arial" w:hAnsi="Arial" w:cs="Arial"/>
          <w:sz w:val="16"/>
          <w:szCs w:val="16"/>
        </w:rPr>
        <w:t>a Patients diagnosed in 2000-2010 were censored at the maximum follow-up time of patients diagnosed in 2011-2015 (9.82 years)</w:t>
      </w:r>
    </w:p>
    <w:p w14:paraId="68ADA04C" w14:textId="59E04798" w:rsidR="005D6983" w:rsidRPr="00CC4442" w:rsidRDefault="002C7CCA" w:rsidP="00441ADD">
      <w:pPr>
        <w:spacing w:line="360" w:lineRule="auto"/>
        <w:rPr>
          <w:rFonts w:ascii="Arial" w:hAnsi="Arial" w:cs="Arial"/>
          <w:sz w:val="16"/>
          <w:szCs w:val="16"/>
        </w:rPr>
      </w:pPr>
      <w:r w:rsidRPr="00CC4442">
        <w:rPr>
          <w:rFonts w:ascii="Arial" w:hAnsi="Arial" w:cs="Arial"/>
          <w:sz w:val="16"/>
          <w:szCs w:val="16"/>
        </w:rPr>
        <w:t xml:space="preserve">b Covariates adjusted were study </w:t>
      </w:r>
      <w:proofErr w:type="spellStart"/>
      <w:r w:rsidRPr="00CC4442">
        <w:rPr>
          <w:rFonts w:ascii="Arial" w:hAnsi="Arial" w:cs="Arial"/>
          <w:sz w:val="16"/>
          <w:szCs w:val="16"/>
        </w:rPr>
        <w:t>center</w:t>
      </w:r>
      <w:proofErr w:type="spellEnd"/>
      <w:r w:rsidRPr="00CC4442">
        <w:rPr>
          <w:rFonts w:ascii="Arial" w:hAnsi="Arial" w:cs="Arial"/>
          <w:sz w:val="16"/>
          <w:szCs w:val="16"/>
        </w:rPr>
        <w:t xml:space="preserve">, age at diagnosis, ethnicity, year of diagnosis, histology, overall stage, hormone receptor status, grade, received radiotherapy, endocrine therapy and chemotherapy.  </w:t>
      </w:r>
      <w:bookmarkStart w:id="1" w:name="_Hlk79501687"/>
      <w:bookmarkEnd w:id="1"/>
    </w:p>
    <w:p w14:paraId="67EB70ED" w14:textId="77777777" w:rsidR="005D6983" w:rsidRDefault="005D6983" w:rsidP="00441ADD">
      <w:pPr>
        <w:spacing w:line="360" w:lineRule="auto"/>
        <w:sectPr w:rsidR="005D6983">
          <w:footerReference w:type="default" r:id="rId7"/>
          <w:pgSz w:w="11906" w:h="16838"/>
          <w:pgMar w:top="720" w:right="720" w:bottom="777" w:left="720" w:header="0" w:footer="720" w:gutter="0"/>
          <w:cols w:space="720"/>
          <w:formProt w:val="0"/>
          <w:docGrid w:linePitch="360" w:charSpace="8192"/>
        </w:sectPr>
      </w:pPr>
    </w:p>
    <w:p w14:paraId="4E5834D3" w14:textId="77777777" w:rsidR="005D6983" w:rsidRDefault="005D6983" w:rsidP="00441AD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8EF5EBE" w14:textId="77777777" w:rsidR="005D6983" w:rsidRDefault="005D6983">
      <w:pPr>
        <w:sectPr w:rsidR="005D6983">
          <w:type w:val="continuous"/>
          <w:pgSz w:w="11906" w:h="16838"/>
          <w:pgMar w:top="720" w:right="720" w:bottom="777" w:left="720" w:header="0" w:footer="720" w:gutter="0"/>
          <w:cols w:space="720"/>
          <w:formProt w:val="0"/>
          <w:docGrid w:linePitch="360" w:charSpace="8192"/>
        </w:sectPr>
      </w:pPr>
    </w:p>
    <w:p w14:paraId="02125B92" w14:textId="2C2F2E53" w:rsidR="005D6983" w:rsidRPr="0063254D" w:rsidRDefault="002C7CCA" w:rsidP="0063254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Figure </w:t>
      </w:r>
      <w:r w:rsidR="00C07474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EF616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3254D">
        <w:rPr>
          <w:rFonts w:ascii="Arial" w:hAnsi="Arial" w:cs="Arial"/>
          <w:sz w:val="24"/>
          <w:szCs w:val="24"/>
        </w:rPr>
        <w:t xml:space="preserve">Flowchart of patients included in the ABCCG cohort analysis. </w:t>
      </w:r>
    </w:p>
    <w:p w14:paraId="154F9A87" w14:textId="3093A31F" w:rsidR="005D6983" w:rsidRDefault="00255ADA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2AE5A58B" wp14:editId="2524E0C1">
            <wp:extent cx="6645910" cy="3479165"/>
            <wp:effectExtent l="0" t="0" r="254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CC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29E7E026" w14:textId="2910EE29" w:rsidR="005D6983" w:rsidRDefault="002C7CCA" w:rsidP="0063254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br w:type="page"/>
      </w:r>
      <w:r w:rsidR="00E95E2F"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C07474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EF616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3254D">
        <w:rPr>
          <w:rFonts w:ascii="Arial" w:hAnsi="Arial" w:cs="Arial"/>
          <w:sz w:val="24"/>
          <w:szCs w:val="24"/>
          <w:lang w:val="en-US"/>
        </w:rPr>
        <w:t>Estimated heterogeneity between study centers in (A) relapse-free survival, and (B) overall survival</w:t>
      </w:r>
      <w:r w:rsidRPr="00CC4442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EF6166">
        <w:rPr>
          <w:rFonts w:ascii="Arial" w:hAnsi="Arial" w:cs="Arial"/>
          <w:sz w:val="24"/>
          <w:szCs w:val="24"/>
          <w:lang w:val="en-US"/>
        </w:rPr>
        <w:t>(</w:t>
      </w:r>
      <w:r>
        <w:rPr>
          <w:rFonts w:ascii="Arial" w:hAnsi="Arial" w:cs="Arial"/>
          <w:sz w:val="24"/>
          <w:szCs w:val="24"/>
          <w:lang w:val="en-US"/>
        </w:rPr>
        <w:t xml:space="preserve">based on pooling univariable HR estimate </w:t>
      </w:r>
      <w:r>
        <w:rPr>
          <w:rFonts w:ascii="Arial" w:hAnsi="Arial" w:cs="Arial"/>
          <w:sz w:val="24"/>
          <w:szCs w:val="24"/>
        </w:rPr>
        <w:t xml:space="preserve">from each </w:t>
      </w:r>
      <w:proofErr w:type="spellStart"/>
      <w:r>
        <w:rPr>
          <w:rFonts w:ascii="Arial" w:hAnsi="Arial" w:cs="Arial"/>
          <w:sz w:val="24"/>
          <w:szCs w:val="24"/>
        </w:rPr>
        <w:t>center</w:t>
      </w:r>
      <w:proofErr w:type="spellEnd"/>
      <w:r>
        <w:rPr>
          <w:rFonts w:ascii="Arial" w:hAnsi="Arial" w:cs="Arial"/>
          <w:sz w:val="24"/>
          <w:szCs w:val="24"/>
        </w:rPr>
        <w:t xml:space="preserve"> with a random effect restricted maximum likelihood estimation model.</w:t>
      </w:r>
      <w:r>
        <w:rPr>
          <w:rFonts w:ascii="Arial" w:hAnsi="Arial" w:cs="Arial"/>
          <w:sz w:val="24"/>
          <w:szCs w:val="24"/>
          <w:lang w:val="en-US"/>
        </w:rPr>
        <w:t xml:space="preserve"> HR, hazard ratio; I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, index of heterogeneity</w:t>
      </w:r>
      <w:r w:rsidR="00EF6166" w:rsidRPr="00584A53">
        <w:rPr>
          <w:rFonts w:ascii="Arial" w:hAnsi="Arial" w:cs="Arial"/>
          <w:sz w:val="24"/>
          <w:szCs w:val="24"/>
          <w:lang w:val="en-US"/>
        </w:rPr>
        <w:t>)</w:t>
      </w:r>
    </w:p>
    <w:tbl>
      <w:tblPr>
        <w:tblStyle w:val="TableGrid"/>
        <w:tblW w:w="10466" w:type="dxa"/>
        <w:tblLayout w:type="fixed"/>
        <w:tblLook w:val="04A0" w:firstRow="1" w:lastRow="0" w:firstColumn="1" w:lastColumn="0" w:noHBand="0" w:noVBand="1"/>
      </w:tblPr>
      <w:tblGrid>
        <w:gridCol w:w="10466"/>
      </w:tblGrid>
      <w:tr w:rsidR="005D6983" w14:paraId="407817AF" w14:textId="77777777">
        <w:tc>
          <w:tcPr>
            <w:tcW w:w="10466" w:type="dxa"/>
            <w:tcBorders>
              <w:top w:val="nil"/>
              <w:left w:val="nil"/>
              <w:bottom w:val="nil"/>
              <w:right w:val="nil"/>
            </w:tcBorders>
          </w:tcPr>
          <w:p w14:paraId="3F8ED7A3" w14:textId="77777777" w:rsidR="005D6983" w:rsidRDefault="002E4A9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DengXian"/>
              </w:rPr>
              <w:pict w14:anchorId="23E71D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tole_rId24" o:spid="_x0000_s2053" type="#_x0000_t75" style="position:absolute;left:0;text-align:left;margin-left:0;margin-top:0;width:50pt;height:50pt;z-index:251657216;visibility:hidden">
                  <o:lock v:ext="edit" selection="t"/>
                </v:shape>
              </w:pict>
            </w:r>
            <w:r w:rsidR="002C7CCA">
              <w:rPr>
                <w:rFonts w:eastAsia="DengXian"/>
              </w:rPr>
              <w:object w:dxaOrig="8925" w:dyaOrig="3450" w14:anchorId="74578C08">
                <v:shape id="ole_rId24" o:spid="_x0000_i1025" type="#_x0000_t75" style="width:447pt;height:172.5pt;visibility:visible;mso-wrap-distance-right:0" o:ole="">
                  <v:imagedata r:id="rId9" o:title=""/>
                </v:shape>
                <o:OLEObject Type="Embed" ProgID="PBrush" ShapeID="ole_rId24" DrawAspect="Content" ObjectID="_1701348617" r:id="rId10"/>
              </w:object>
            </w:r>
          </w:p>
          <w:p w14:paraId="65F36D24" w14:textId="77777777" w:rsidR="005D6983" w:rsidRDefault="002E4A9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eastAsia="DengXian"/>
              </w:rPr>
              <w:pict w14:anchorId="5DA407B0">
                <v:shape id="_x0000_tole_rId26" o:spid="_x0000_s2051" type="#_x0000_t75" style="position:absolute;left:0;text-align:left;margin-left:0;margin-top:0;width:50pt;height:50pt;z-index:251658240;visibility:hidden">
                  <o:lock v:ext="edit" selection="t"/>
                </v:shape>
              </w:pict>
            </w:r>
            <w:r w:rsidR="002C7CCA">
              <w:rPr>
                <w:rFonts w:eastAsia="DengXian"/>
              </w:rPr>
              <w:object w:dxaOrig="8760" w:dyaOrig="3315" w14:anchorId="78C7E3A5">
                <v:shape id="ole_rId26" o:spid="_x0000_i1026" type="#_x0000_t75" style="width:439pt;height:166.5pt;visibility:visible;mso-wrap-distance-right:0" o:ole="">
                  <v:imagedata r:id="rId11" o:title=""/>
                </v:shape>
                <o:OLEObject Type="Embed" ProgID="PBrush" ShapeID="ole_rId26" DrawAspect="Content" ObjectID="_1701348618" r:id="rId12"/>
              </w:object>
            </w:r>
          </w:p>
          <w:p w14:paraId="46AEF19E" w14:textId="77777777" w:rsidR="005D6983" w:rsidRDefault="005D698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A3173E2" w14:textId="77777777" w:rsidR="005D6983" w:rsidRDefault="005D6983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63780BD" w14:textId="77777777" w:rsidR="005D6983" w:rsidRDefault="005D6983">
      <w:pPr>
        <w:sectPr w:rsidR="005D6983">
          <w:footerReference w:type="default" r:id="rId13"/>
          <w:pgSz w:w="11906" w:h="16838"/>
          <w:pgMar w:top="720" w:right="720" w:bottom="777" w:left="720" w:header="0" w:footer="720" w:gutter="0"/>
          <w:cols w:space="720"/>
          <w:formProt w:val="0"/>
          <w:docGrid w:linePitch="360" w:charSpace="8192"/>
        </w:sectPr>
      </w:pPr>
    </w:p>
    <w:p w14:paraId="0A52B21F" w14:textId="77777777" w:rsidR="005D6983" w:rsidRDefault="005D698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881279" w14:textId="77777777" w:rsidR="005D6983" w:rsidRDefault="005D6983">
      <w:pPr>
        <w:sectPr w:rsidR="005D6983">
          <w:type w:val="continuous"/>
          <w:pgSz w:w="11906" w:h="16838"/>
          <w:pgMar w:top="720" w:right="720" w:bottom="777" w:left="720" w:header="0" w:footer="720" w:gutter="0"/>
          <w:cols w:space="720"/>
          <w:formProt w:val="0"/>
          <w:docGrid w:linePitch="360" w:charSpace="8192"/>
        </w:sectPr>
      </w:pPr>
    </w:p>
    <w:p w14:paraId="148868FD" w14:textId="77777777" w:rsidR="00D606D3" w:rsidRDefault="00D606D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C39832C" w14:textId="098D63BA" w:rsidR="005D6983" w:rsidRDefault="002C7CCA" w:rsidP="00E061C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Figure </w:t>
      </w:r>
      <w:r w:rsidR="00C07474">
        <w:rPr>
          <w:rFonts w:ascii="Arial" w:hAnsi="Arial" w:cs="Arial"/>
          <w:b/>
          <w:bCs/>
          <w:sz w:val="24"/>
          <w:szCs w:val="24"/>
        </w:rPr>
        <w:t>S</w:t>
      </w:r>
      <w:r w:rsidR="0058521C">
        <w:rPr>
          <w:rFonts w:ascii="Arial" w:hAnsi="Arial" w:cs="Arial"/>
          <w:b/>
          <w:bCs/>
          <w:sz w:val="24"/>
          <w:szCs w:val="24"/>
        </w:rPr>
        <w:t>3</w:t>
      </w:r>
      <w:r w:rsidR="00572008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72008" w:rsidRPr="0063254D">
        <w:rPr>
          <w:rFonts w:ascii="Arial" w:hAnsi="Arial" w:cs="Arial"/>
          <w:sz w:val="24"/>
          <w:szCs w:val="24"/>
          <w:lang w:val="en-US"/>
        </w:rPr>
        <w:t xml:space="preserve">Association of </w:t>
      </w:r>
      <w:r w:rsidR="00572008" w:rsidRPr="0063254D">
        <w:rPr>
          <w:rFonts w:ascii="Arial" w:hAnsi="Arial" w:cs="Arial"/>
          <w:i/>
          <w:iCs/>
          <w:color w:val="000000"/>
          <w:sz w:val="24"/>
          <w:szCs w:val="24"/>
        </w:rPr>
        <w:t xml:space="preserve">ERBB2 </w:t>
      </w:r>
      <w:r w:rsidR="00572008" w:rsidRPr="0063254D">
        <w:rPr>
          <w:rFonts w:ascii="Arial" w:hAnsi="Arial" w:cs="Arial"/>
          <w:color w:val="000000"/>
          <w:sz w:val="24"/>
          <w:szCs w:val="24"/>
        </w:rPr>
        <w:t xml:space="preserve">mRNA expression with HER2 IHC and </w:t>
      </w:r>
      <w:r w:rsidR="00572008" w:rsidRPr="0063254D">
        <w:rPr>
          <w:rFonts w:ascii="Arial" w:hAnsi="Arial" w:cs="Arial"/>
          <w:i/>
          <w:iCs/>
          <w:sz w:val="24"/>
          <w:szCs w:val="24"/>
        </w:rPr>
        <w:t>ERBB2</w:t>
      </w:r>
      <w:r w:rsidR="00572008" w:rsidRPr="0063254D">
        <w:rPr>
          <w:rFonts w:ascii="Arial" w:hAnsi="Arial" w:cs="Arial"/>
          <w:sz w:val="24"/>
          <w:szCs w:val="24"/>
        </w:rPr>
        <w:t xml:space="preserve"> CNV </w:t>
      </w:r>
      <w:r w:rsidR="00572008" w:rsidRPr="0063254D">
        <w:rPr>
          <w:rFonts w:ascii="Arial" w:hAnsi="Arial" w:cs="Arial"/>
          <w:color w:val="000000"/>
          <w:sz w:val="24"/>
          <w:szCs w:val="24"/>
        </w:rPr>
        <w:t>by hormone receptor status (TCGA-BRCA)</w:t>
      </w:r>
      <w:r w:rsidR="00572008" w:rsidRPr="0063254D">
        <w:rPr>
          <w:rFonts w:ascii="Arial" w:hAnsi="Arial" w:cs="Arial"/>
          <w:sz w:val="24"/>
          <w:szCs w:val="24"/>
        </w:rPr>
        <w:t>:</w:t>
      </w:r>
      <w:r w:rsidR="0057200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(A-D) </w:t>
      </w:r>
      <w:r>
        <w:rPr>
          <w:rFonts w:ascii="Arial" w:hAnsi="Arial" w:cs="Arial"/>
          <w:sz w:val="24"/>
          <w:szCs w:val="24"/>
        </w:rPr>
        <w:t>Hormone receptor-positive subgroup of TCGA-BRCA dataset: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ERBB2 </w:t>
      </w:r>
      <w:r>
        <w:rPr>
          <w:rFonts w:ascii="Arial" w:hAnsi="Arial" w:cs="Arial"/>
          <w:color w:val="000000"/>
          <w:sz w:val="24"/>
          <w:szCs w:val="24"/>
        </w:rPr>
        <w:t>mRNA expression by (A) HER2-low and HER2-zero, (B) HER2 IHC score, (C)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ERBB2</w:t>
      </w:r>
      <w:r>
        <w:rPr>
          <w:rFonts w:ascii="Arial" w:hAnsi="Arial" w:cs="Arial"/>
          <w:sz w:val="24"/>
          <w:szCs w:val="24"/>
        </w:rPr>
        <w:t xml:space="preserve"> CNV;</w:t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(D) </w:t>
      </w:r>
      <w:r>
        <w:rPr>
          <w:rFonts w:ascii="Arial" w:hAnsi="Arial" w:cs="Arial"/>
          <w:i/>
          <w:iCs/>
          <w:sz w:val="24"/>
          <w:szCs w:val="24"/>
        </w:rPr>
        <w:t>ERBB2</w:t>
      </w:r>
      <w:r>
        <w:rPr>
          <w:rFonts w:ascii="Arial" w:hAnsi="Arial" w:cs="Arial"/>
          <w:sz w:val="24"/>
          <w:szCs w:val="24"/>
        </w:rPr>
        <w:t xml:space="preserve"> CNV against HER2 IHC. </w:t>
      </w:r>
      <w:r>
        <w:rPr>
          <w:rFonts w:ascii="Arial" w:hAnsi="Arial" w:cs="Arial"/>
          <w:color w:val="000000"/>
          <w:sz w:val="24"/>
          <w:szCs w:val="24"/>
        </w:rPr>
        <w:t xml:space="preserve">(E-H) </w:t>
      </w:r>
      <w:r>
        <w:rPr>
          <w:rFonts w:ascii="Arial" w:hAnsi="Arial" w:cs="Arial"/>
          <w:sz w:val="24"/>
          <w:szCs w:val="24"/>
        </w:rPr>
        <w:t>Hormone receptor-negative subgroup of TCGA-BRCA dataset: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ERBB2 </w:t>
      </w:r>
      <w:r>
        <w:rPr>
          <w:rFonts w:ascii="Arial" w:hAnsi="Arial" w:cs="Arial"/>
          <w:color w:val="000000"/>
          <w:sz w:val="24"/>
          <w:szCs w:val="24"/>
        </w:rPr>
        <w:t xml:space="preserve">mRNA expression by (E) HER2-low and HER2-zero, (F) HER2 IHC score, (G) </w:t>
      </w:r>
      <w:r>
        <w:rPr>
          <w:rFonts w:ascii="Arial" w:hAnsi="Arial" w:cs="Arial"/>
          <w:i/>
          <w:iCs/>
          <w:sz w:val="24"/>
          <w:szCs w:val="24"/>
        </w:rPr>
        <w:t>ERBB2</w:t>
      </w:r>
      <w:r>
        <w:rPr>
          <w:rFonts w:ascii="Arial" w:hAnsi="Arial" w:cs="Arial"/>
          <w:sz w:val="24"/>
          <w:szCs w:val="24"/>
        </w:rPr>
        <w:t xml:space="preserve"> CNV;</w:t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(H) </w:t>
      </w:r>
      <w:r>
        <w:rPr>
          <w:rFonts w:ascii="Arial" w:hAnsi="Arial" w:cs="Arial"/>
          <w:i/>
          <w:iCs/>
          <w:sz w:val="24"/>
          <w:szCs w:val="24"/>
        </w:rPr>
        <w:t>ERBB2</w:t>
      </w:r>
      <w:r>
        <w:rPr>
          <w:rFonts w:ascii="Arial" w:hAnsi="Arial" w:cs="Arial"/>
          <w:sz w:val="24"/>
          <w:szCs w:val="24"/>
        </w:rPr>
        <w:t xml:space="preserve"> CNV against HER2 IHC.  </w:t>
      </w:r>
    </w:p>
    <w:p w14:paraId="456A194F" w14:textId="1AA4C6FF" w:rsidR="005D6983" w:rsidRDefault="00810AE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E72F3C3" wp14:editId="5B99EF71">
            <wp:extent cx="6645910" cy="413956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CCA">
        <w:br w:type="page"/>
      </w:r>
    </w:p>
    <w:p w14:paraId="6233B9D0" w14:textId="77777777" w:rsidR="005D6983" w:rsidRDefault="005D6983">
      <w:pPr>
        <w:sectPr w:rsidR="005D6983">
          <w:footerReference w:type="default" r:id="rId15"/>
          <w:type w:val="continuous"/>
          <w:pgSz w:w="11906" w:h="16838"/>
          <w:pgMar w:top="720" w:right="720" w:bottom="777" w:left="720" w:header="0" w:footer="720" w:gutter="0"/>
          <w:cols w:space="720"/>
          <w:formProt w:val="0"/>
          <w:docGrid w:linePitch="360" w:charSpace="8192"/>
        </w:sectPr>
      </w:pPr>
    </w:p>
    <w:p w14:paraId="2959DE3A" w14:textId="10379F54" w:rsidR="005D6983" w:rsidRPr="00EF6166" w:rsidRDefault="002C7CCA" w:rsidP="0063254D">
      <w:pPr>
        <w:spacing w:line="480" w:lineRule="auto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Figure </w:t>
      </w:r>
      <w:r w:rsidR="00C07474">
        <w:rPr>
          <w:rFonts w:ascii="Arial" w:hAnsi="Arial" w:cs="Arial"/>
          <w:b/>
          <w:bCs/>
          <w:sz w:val="24"/>
          <w:szCs w:val="24"/>
        </w:rPr>
        <w:t>S</w:t>
      </w:r>
      <w:r w:rsidR="0058521C">
        <w:rPr>
          <w:rFonts w:ascii="Arial" w:hAnsi="Arial" w:cs="Arial"/>
          <w:b/>
          <w:bCs/>
          <w:sz w:val="24"/>
          <w:szCs w:val="24"/>
        </w:rPr>
        <w:t>4</w:t>
      </w:r>
      <w:r w:rsidR="00EF616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63254D">
        <w:rPr>
          <w:rFonts w:ascii="Arial" w:hAnsi="Arial" w:cs="Arial"/>
          <w:sz w:val="24"/>
          <w:szCs w:val="24"/>
        </w:rPr>
        <w:t xml:space="preserve">Relapse-free survival by </w:t>
      </w:r>
      <w:r w:rsidRPr="0063254D">
        <w:rPr>
          <w:rFonts w:ascii="Arial" w:hAnsi="Arial" w:cs="Arial"/>
          <w:i/>
          <w:sz w:val="24"/>
          <w:szCs w:val="24"/>
        </w:rPr>
        <w:t>ERBB2</w:t>
      </w:r>
      <w:r w:rsidRPr="0063254D">
        <w:rPr>
          <w:rFonts w:ascii="Arial" w:hAnsi="Arial" w:cs="Arial"/>
          <w:sz w:val="24"/>
          <w:szCs w:val="24"/>
        </w:rPr>
        <w:t xml:space="preserve"> mRNA expression levels</w:t>
      </w:r>
      <w:r w:rsidRPr="00632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3254D">
        <w:rPr>
          <w:rFonts w:ascii="Arial" w:hAnsi="Arial" w:cs="Arial"/>
          <w:sz w:val="24"/>
          <w:szCs w:val="24"/>
        </w:rPr>
        <w:t>in</w:t>
      </w:r>
      <w:r w:rsidRPr="0063254D">
        <w:rPr>
          <w:rFonts w:ascii="Arial" w:hAnsi="Arial" w:cs="Arial"/>
          <w:color w:val="0070C0"/>
          <w:sz w:val="24"/>
          <w:szCs w:val="24"/>
        </w:rPr>
        <w:t xml:space="preserve"> </w:t>
      </w:r>
      <w:r w:rsidRPr="0063254D">
        <w:rPr>
          <w:rFonts w:ascii="Arial" w:hAnsi="Arial" w:cs="Arial"/>
          <w:sz w:val="24"/>
          <w:szCs w:val="24"/>
        </w:rPr>
        <w:t>combined TCGA-BRCA and METABRIC dataset</w:t>
      </w:r>
      <w:r w:rsidR="00EF6166">
        <w:rPr>
          <w:rFonts w:ascii="Arial" w:hAnsi="Arial" w:cs="Arial"/>
          <w:b/>
          <w:bCs/>
          <w:sz w:val="24"/>
          <w:szCs w:val="24"/>
        </w:rPr>
        <w:t xml:space="preserve"> </w:t>
      </w:r>
      <w:r w:rsidR="00EF6166" w:rsidRPr="00CC4442">
        <w:rPr>
          <w:rFonts w:ascii="Arial" w:hAnsi="Arial" w:cs="Arial"/>
          <w:sz w:val="24"/>
          <w:szCs w:val="24"/>
          <w:shd w:val="clear" w:color="auto" w:fill="FFFFFF"/>
        </w:rPr>
        <w:t>(Quartile 1: lowest; Quartile 4: highest)</w:t>
      </w:r>
    </w:p>
    <w:p w14:paraId="77AF1D6D" w14:textId="77777777" w:rsidR="005D6983" w:rsidRDefault="002C7CCA">
      <w:pPr>
        <w:spacing w:line="276" w:lineRule="auto"/>
        <w:rPr>
          <w:rFonts w:ascii="Arial" w:hAnsi="Arial" w:cs="Arial"/>
          <w:color w:val="0070C0"/>
          <w:sz w:val="24"/>
          <w:szCs w:val="24"/>
        </w:rPr>
      </w:pPr>
      <w:r>
        <w:rPr>
          <w:noProof/>
        </w:rPr>
        <w:drawing>
          <wp:inline distT="0" distB="0" distL="0" distR="0" wp14:anchorId="08938CDD" wp14:editId="1F8FC298">
            <wp:extent cx="5239385" cy="4700270"/>
            <wp:effectExtent l="0" t="0" r="0" b="0"/>
            <wp:docPr id="19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8CDF2" w14:textId="77777777" w:rsidR="005D6983" w:rsidRDefault="005D6983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5D6983">
      <w:footerReference w:type="default" r:id="rId17"/>
      <w:pgSz w:w="11906" w:h="16838"/>
      <w:pgMar w:top="720" w:right="720" w:bottom="777" w:left="720" w:header="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A7D00" w14:textId="77777777" w:rsidR="002E4A90" w:rsidRDefault="002E4A90">
      <w:r>
        <w:separator/>
      </w:r>
    </w:p>
  </w:endnote>
  <w:endnote w:type="continuationSeparator" w:id="0">
    <w:p w14:paraId="1C003EDE" w14:textId="77777777" w:rsidR="002E4A90" w:rsidRDefault="002E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aker 2 Lancet">
    <w:charset w:val="01"/>
    <w:family w:val="roman"/>
    <w:pitch w:val="variable"/>
  </w:font>
  <w:font w:name="ScalaLancetPro">
    <w:altName w:val="Cambria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6270695"/>
      <w:docPartObj>
        <w:docPartGallery w:val="Page Numbers (Bottom of Page)"/>
        <w:docPartUnique/>
      </w:docPartObj>
    </w:sdtPr>
    <w:sdtEndPr/>
    <w:sdtContent>
      <w:p w14:paraId="0DBD6F00" w14:textId="77777777" w:rsidR="005D6983" w:rsidRDefault="002C7CCA">
        <w:pPr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32</w:t>
        </w:r>
        <w:r>
          <w:fldChar w:fldCharType="end"/>
        </w:r>
      </w:p>
      <w:p w14:paraId="375817DC" w14:textId="77777777" w:rsidR="005D6983" w:rsidRDefault="002E4A90"/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9479872"/>
      <w:docPartObj>
        <w:docPartGallery w:val="Page Numbers (Bottom of Page)"/>
        <w:docPartUnique/>
      </w:docPartObj>
    </w:sdtPr>
    <w:sdtEndPr/>
    <w:sdtContent>
      <w:p w14:paraId="6D8FAB4B" w14:textId="77777777" w:rsidR="005D6983" w:rsidRDefault="002C7CCA">
        <w:pPr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34</w:t>
        </w:r>
        <w:r>
          <w:fldChar w:fldCharType="end"/>
        </w:r>
      </w:p>
      <w:p w14:paraId="3BAB5B06" w14:textId="77777777" w:rsidR="005D6983" w:rsidRDefault="002E4A90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102217"/>
      <w:docPartObj>
        <w:docPartGallery w:val="Page Numbers (Bottom of Page)"/>
        <w:docPartUnique/>
      </w:docPartObj>
    </w:sdtPr>
    <w:sdtEndPr/>
    <w:sdtContent>
      <w:p w14:paraId="3C342E3F" w14:textId="77777777" w:rsidR="005D6983" w:rsidRDefault="002C7CCA">
        <w:pPr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36</w:t>
        </w:r>
        <w:r>
          <w:fldChar w:fldCharType="end"/>
        </w:r>
      </w:p>
      <w:p w14:paraId="38DEEDFF" w14:textId="77777777" w:rsidR="005D6983" w:rsidRDefault="002E4A90"/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530299"/>
      <w:docPartObj>
        <w:docPartGallery w:val="Page Numbers (Bottom of Page)"/>
        <w:docPartUnique/>
      </w:docPartObj>
    </w:sdtPr>
    <w:sdtEndPr/>
    <w:sdtContent>
      <w:p w14:paraId="1C780840" w14:textId="77777777" w:rsidR="005D6983" w:rsidRDefault="002C7CCA">
        <w:pPr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38</w:t>
        </w:r>
        <w:r>
          <w:fldChar w:fldCharType="end"/>
        </w:r>
      </w:p>
      <w:p w14:paraId="43E13C8B" w14:textId="77777777" w:rsidR="005D6983" w:rsidRDefault="002E4A90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D2B9A" w14:textId="77777777" w:rsidR="002E4A90" w:rsidRDefault="002E4A90">
      <w:r>
        <w:separator/>
      </w:r>
    </w:p>
  </w:footnote>
  <w:footnote w:type="continuationSeparator" w:id="0">
    <w:p w14:paraId="1E29A544" w14:textId="77777777" w:rsidR="002E4A90" w:rsidRDefault="002E4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983"/>
    <w:rsid w:val="000128B7"/>
    <w:rsid w:val="0001386D"/>
    <w:rsid w:val="00017B30"/>
    <w:rsid w:val="0002035C"/>
    <w:rsid w:val="00023AB2"/>
    <w:rsid w:val="00030BFC"/>
    <w:rsid w:val="00047325"/>
    <w:rsid w:val="00050B47"/>
    <w:rsid w:val="00052741"/>
    <w:rsid w:val="000810FC"/>
    <w:rsid w:val="00081BFD"/>
    <w:rsid w:val="0008321D"/>
    <w:rsid w:val="00084E7B"/>
    <w:rsid w:val="00092A5F"/>
    <w:rsid w:val="000D7BBA"/>
    <w:rsid w:val="000E1454"/>
    <w:rsid w:val="000E6687"/>
    <w:rsid w:val="000F0DA2"/>
    <w:rsid w:val="00122465"/>
    <w:rsid w:val="001279C4"/>
    <w:rsid w:val="001715D7"/>
    <w:rsid w:val="001B1E26"/>
    <w:rsid w:val="001D703F"/>
    <w:rsid w:val="001F0CB0"/>
    <w:rsid w:val="0020282C"/>
    <w:rsid w:val="00237CF4"/>
    <w:rsid w:val="0024609F"/>
    <w:rsid w:val="00255ADA"/>
    <w:rsid w:val="00291E99"/>
    <w:rsid w:val="00294949"/>
    <w:rsid w:val="002B21C7"/>
    <w:rsid w:val="002B485F"/>
    <w:rsid w:val="002C6959"/>
    <w:rsid w:val="002C6FD5"/>
    <w:rsid w:val="002C7CCA"/>
    <w:rsid w:val="002E4A90"/>
    <w:rsid w:val="00301B14"/>
    <w:rsid w:val="00323C4B"/>
    <w:rsid w:val="00327FC7"/>
    <w:rsid w:val="003437F0"/>
    <w:rsid w:val="00353C33"/>
    <w:rsid w:val="00365854"/>
    <w:rsid w:val="003928AD"/>
    <w:rsid w:val="003A1C50"/>
    <w:rsid w:val="003C35B2"/>
    <w:rsid w:val="003C638F"/>
    <w:rsid w:val="003F2E18"/>
    <w:rsid w:val="00420F0D"/>
    <w:rsid w:val="00441ADD"/>
    <w:rsid w:val="00452F2F"/>
    <w:rsid w:val="00486199"/>
    <w:rsid w:val="00492B45"/>
    <w:rsid w:val="004A7ED7"/>
    <w:rsid w:val="004C1608"/>
    <w:rsid w:val="004E17F4"/>
    <w:rsid w:val="004E5FE1"/>
    <w:rsid w:val="004E7FD2"/>
    <w:rsid w:val="00501DDB"/>
    <w:rsid w:val="00507F2A"/>
    <w:rsid w:val="00534919"/>
    <w:rsid w:val="00540758"/>
    <w:rsid w:val="00542F7A"/>
    <w:rsid w:val="00547B36"/>
    <w:rsid w:val="00571F6A"/>
    <w:rsid w:val="00572008"/>
    <w:rsid w:val="005753C0"/>
    <w:rsid w:val="00584A53"/>
    <w:rsid w:val="0058521C"/>
    <w:rsid w:val="005A4708"/>
    <w:rsid w:val="005D4435"/>
    <w:rsid w:val="005D6983"/>
    <w:rsid w:val="005E09FB"/>
    <w:rsid w:val="005E1F34"/>
    <w:rsid w:val="005E6006"/>
    <w:rsid w:val="00605445"/>
    <w:rsid w:val="00610423"/>
    <w:rsid w:val="006108F7"/>
    <w:rsid w:val="0063254D"/>
    <w:rsid w:val="00654A00"/>
    <w:rsid w:val="00691BBD"/>
    <w:rsid w:val="006C764F"/>
    <w:rsid w:val="006C7D0F"/>
    <w:rsid w:val="006E7CA4"/>
    <w:rsid w:val="00700AD6"/>
    <w:rsid w:val="0070766F"/>
    <w:rsid w:val="00714B49"/>
    <w:rsid w:val="00720979"/>
    <w:rsid w:val="00725A57"/>
    <w:rsid w:val="00731B18"/>
    <w:rsid w:val="007346FD"/>
    <w:rsid w:val="007604DA"/>
    <w:rsid w:val="0076208C"/>
    <w:rsid w:val="00764374"/>
    <w:rsid w:val="00767EEA"/>
    <w:rsid w:val="00781206"/>
    <w:rsid w:val="0078256D"/>
    <w:rsid w:val="007C5E82"/>
    <w:rsid w:val="007E4DD6"/>
    <w:rsid w:val="007F37B8"/>
    <w:rsid w:val="007F48D3"/>
    <w:rsid w:val="007F4F19"/>
    <w:rsid w:val="00810AE8"/>
    <w:rsid w:val="00817ED2"/>
    <w:rsid w:val="00863E06"/>
    <w:rsid w:val="00883593"/>
    <w:rsid w:val="00894D9D"/>
    <w:rsid w:val="008E040F"/>
    <w:rsid w:val="008F0FF2"/>
    <w:rsid w:val="0091564A"/>
    <w:rsid w:val="00915F34"/>
    <w:rsid w:val="009262E3"/>
    <w:rsid w:val="009B58C5"/>
    <w:rsid w:val="009E31F7"/>
    <w:rsid w:val="009F6B4D"/>
    <w:rsid w:val="00A14ABE"/>
    <w:rsid w:val="00A364DD"/>
    <w:rsid w:val="00A53CA5"/>
    <w:rsid w:val="00A604E0"/>
    <w:rsid w:val="00A72CBD"/>
    <w:rsid w:val="00AC0CC7"/>
    <w:rsid w:val="00AC1679"/>
    <w:rsid w:val="00AF3F06"/>
    <w:rsid w:val="00B74ABB"/>
    <w:rsid w:val="00BB4328"/>
    <w:rsid w:val="00BC52B5"/>
    <w:rsid w:val="00BD2301"/>
    <w:rsid w:val="00BD415C"/>
    <w:rsid w:val="00C07474"/>
    <w:rsid w:val="00C1060A"/>
    <w:rsid w:val="00C422C5"/>
    <w:rsid w:val="00C53FA8"/>
    <w:rsid w:val="00CA6871"/>
    <w:rsid w:val="00CB01AE"/>
    <w:rsid w:val="00CB051A"/>
    <w:rsid w:val="00CC4442"/>
    <w:rsid w:val="00CD062D"/>
    <w:rsid w:val="00CD19DF"/>
    <w:rsid w:val="00CF7E9F"/>
    <w:rsid w:val="00D00E1E"/>
    <w:rsid w:val="00D2570A"/>
    <w:rsid w:val="00D5274D"/>
    <w:rsid w:val="00D565BC"/>
    <w:rsid w:val="00D606D3"/>
    <w:rsid w:val="00D64590"/>
    <w:rsid w:val="00D72128"/>
    <w:rsid w:val="00D74BE0"/>
    <w:rsid w:val="00D8274B"/>
    <w:rsid w:val="00D842A9"/>
    <w:rsid w:val="00DA33A2"/>
    <w:rsid w:val="00DB1D83"/>
    <w:rsid w:val="00DD38A3"/>
    <w:rsid w:val="00DE705B"/>
    <w:rsid w:val="00DF65B2"/>
    <w:rsid w:val="00E05EED"/>
    <w:rsid w:val="00E061C3"/>
    <w:rsid w:val="00E06B3E"/>
    <w:rsid w:val="00E3207F"/>
    <w:rsid w:val="00E42796"/>
    <w:rsid w:val="00E7217F"/>
    <w:rsid w:val="00E7326D"/>
    <w:rsid w:val="00E95E2F"/>
    <w:rsid w:val="00EF6166"/>
    <w:rsid w:val="00F07E4B"/>
    <w:rsid w:val="00F13F1E"/>
    <w:rsid w:val="00F3179B"/>
    <w:rsid w:val="00F463D4"/>
    <w:rsid w:val="00F57133"/>
    <w:rsid w:val="00F729F3"/>
    <w:rsid w:val="00F83E84"/>
    <w:rsid w:val="00F85DC9"/>
    <w:rsid w:val="00F912E4"/>
    <w:rsid w:val="00FB1C9A"/>
    <w:rsid w:val="00FB6448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35E18694"/>
  <w15:docId w15:val="{8CDAEB08-D07E-4F57-9256-14D4F26F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Theme="minorEastAsia" w:hAnsi="Microsoft Sans Serif" w:cs="Microsoft Sans Serif"/>
        <w:lang w:val="en-SG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6E"/>
  </w:style>
  <w:style w:type="paragraph" w:styleId="Heading2">
    <w:name w:val="heading 2"/>
    <w:basedOn w:val="Normal"/>
    <w:link w:val="Heading2Char"/>
    <w:uiPriority w:val="9"/>
    <w:qFormat/>
    <w:rsid w:val="00065794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F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0657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D19E7"/>
  </w:style>
  <w:style w:type="character" w:customStyle="1" w:styleId="FooterChar">
    <w:name w:val="Footer Char"/>
    <w:basedOn w:val="DefaultParagraphFont"/>
    <w:link w:val="Footer"/>
    <w:uiPriority w:val="99"/>
    <w:qFormat/>
    <w:rsid w:val="009D19E7"/>
  </w:style>
  <w:style w:type="character" w:styleId="CommentReference">
    <w:name w:val="annotation reference"/>
    <w:basedOn w:val="DefaultParagraphFont"/>
    <w:uiPriority w:val="99"/>
    <w:semiHidden/>
    <w:unhideWhenUsed/>
    <w:qFormat/>
    <w:rsid w:val="00F43C1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F43C13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43C13"/>
    <w:rPr>
      <w:b/>
      <w:bCs/>
    </w:rPr>
  </w:style>
  <w:style w:type="character" w:styleId="Emphasis">
    <w:name w:val="Emphasis"/>
    <w:basedOn w:val="DefaultParagraphFont"/>
    <w:uiPriority w:val="20"/>
    <w:qFormat/>
    <w:rsid w:val="00065794"/>
    <w:rPr>
      <w:i/>
      <w:iCs/>
    </w:rPr>
  </w:style>
  <w:style w:type="character" w:styleId="Hyperlink">
    <w:name w:val="Hyperlink"/>
    <w:basedOn w:val="DefaultParagraphFont"/>
    <w:uiPriority w:val="99"/>
    <w:unhideWhenUsed/>
    <w:rsid w:val="00065794"/>
    <w:rPr>
      <w:color w:val="0000FF"/>
      <w:u w:val="single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3B11F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C30E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994DEC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C833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18D3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7E3311"/>
    <w:rPr>
      <w:color w:val="605E5C"/>
      <w:shd w:val="clear" w:color="auto" w:fill="E1DFDD"/>
    </w:rPr>
  </w:style>
  <w:style w:type="character" w:customStyle="1" w:styleId="result">
    <w:name w:val="result"/>
    <w:basedOn w:val="DefaultParagraphFont"/>
    <w:qFormat/>
    <w:rsid w:val="00311ACF"/>
    <w:rPr>
      <w:color w:val="000080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B7671F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qFormat/>
    <w:rsid w:val="00C76ACF"/>
    <w:pPr>
      <w:tabs>
        <w:tab w:val="left" w:pos="264"/>
      </w:tabs>
      <w:spacing w:line="480" w:lineRule="auto"/>
      <w:ind w:left="264" w:hanging="264"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D19E7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9D19E7"/>
    <w:pPr>
      <w:tabs>
        <w:tab w:val="center" w:pos="4513"/>
        <w:tab w:val="right" w:pos="9026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F43C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43C13"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065794"/>
    <w:rPr>
      <w:rFonts w:ascii="Calibri" w:hAnsi="Calibri" w:cs="Calibri"/>
      <w:sz w:val="22"/>
      <w:szCs w:val="22"/>
    </w:rPr>
  </w:style>
  <w:style w:type="paragraph" w:customStyle="1" w:styleId="Pa15">
    <w:name w:val="Pa15"/>
    <w:basedOn w:val="Normal"/>
    <w:next w:val="Normal"/>
    <w:uiPriority w:val="99"/>
    <w:qFormat/>
    <w:rsid w:val="00B01B84"/>
    <w:pPr>
      <w:spacing w:line="140" w:lineRule="atLeast"/>
    </w:pPr>
    <w:rPr>
      <w:rFonts w:ascii="Shaker 2 Lancet" w:hAnsi="Shaker 2 Lancet"/>
      <w:sz w:val="24"/>
      <w:szCs w:val="24"/>
    </w:rPr>
  </w:style>
  <w:style w:type="paragraph" w:customStyle="1" w:styleId="Default">
    <w:name w:val="Default"/>
    <w:qFormat/>
    <w:rsid w:val="00C31E1C"/>
    <w:rPr>
      <w:rFonts w:ascii="ScalaLancetPro" w:eastAsia="DengXian" w:hAnsi="ScalaLancetPro" w:cs="ScalaLancetPro"/>
      <w:color w:val="000000"/>
      <w:sz w:val="24"/>
      <w:szCs w:val="24"/>
    </w:rPr>
  </w:style>
  <w:style w:type="paragraph" w:styleId="Revision">
    <w:name w:val="Revision"/>
    <w:uiPriority w:val="99"/>
    <w:semiHidden/>
    <w:qFormat/>
    <w:rsid w:val="00B20557"/>
  </w:style>
  <w:style w:type="paragraph" w:customStyle="1" w:styleId="EndNoteBibliography">
    <w:name w:val="EndNote Bibliography"/>
    <w:basedOn w:val="Normal"/>
    <w:link w:val="EndNoteBibliographyChar"/>
    <w:qFormat/>
    <w:rsid w:val="003B11FD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C30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5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4E7F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4a-back-to-top">
    <w:name w:val="i4a-back-to-top"/>
    <w:basedOn w:val="Normal"/>
    <w:rsid w:val="004E7FD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oleObject" Target="embeddings/oleObject2.bin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1514B-D122-4842-8659-87F12FA6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T</dc:creator>
  <dc:description/>
  <cp:lastModifiedBy>YSYap</cp:lastModifiedBy>
  <cp:revision>6</cp:revision>
  <cp:lastPrinted>2021-10-07T07:19:00Z</cp:lastPrinted>
  <dcterms:created xsi:type="dcterms:W3CDTF">2021-11-12T14:06:00Z</dcterms:created>
  <dcterms:modified xsi:type="dcterms:W3CDTF">2021-12-18T08:04:00Z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id="Odgo9E1B"/&gt;&lt;style id="http://www.zotero.org/styles/nature" hasBibliography="1" bibliographyStyleHasBeenSet="1"/&gt;&lt;prefs&gt;&lt;pref name="fieldType" value="Field"/&gt;&lt;pref name="automaticJournalAbbrevia</vt:lpwstr>
  </property>
  <property fmtid="{D5CDD505-2E9C-101B-9397-08002B2CF9AE}" pid="3" name="ZOTERO_PREF_2">
    <vt:lpwstr>tions" value="true"/&gt;&lt;/prefs&gt;&lt;/data&gt;</vt:lpwstr>
  </property>
</Properties>
</file>