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23B1" w14:textId="77777777" w:rsidR="00FD441C" w:rsidRPr="00982267" w:rsidRDefault="00FD441C" w:rsidP="00FD441C">
      <w:pPr>
        <w:spacing w:line="276" w:lineRule="auto"/>
        <w:rPr>
          <w:rFonts w:ascii="Segoe UI" w:hAnsi="Segoe UI" w:cs="Segoe UI"/>
          <w:color w:val="1F4E79"/>
          <w:sz w:val="20"/>
          <w:szCs w:val="20"/>
          <w:lang w:val="en-US"/>
        </w:rPr>
      </w:pPr>
      <w:r w:rsidRPr="00EF4E90">
        <w:rPr>
          <w:rFonts w:ascii="Segoe UI" w:hAnsi="Segoe UI" w:cs="Segoe UI"/>
          <w:color w:val="1F4E79"/>
          <w:sz w:val="20"/>
          <w:szCs w:val="20"/>
        </w:rPr>
        <w:t>A</w:t>
      </w:r>
      <w:proofErr w:type="spellStart"/>
      <w:r>
        <w:rPr>
          <w:rFonts w:ascii="Segoe UI" w:hAnsi="Segoe UI" w:cs="Segoe UI"/>
          <w:color w:val="1F4E79"/>
          <w:sz w:val="20"/>
          <w:szCs w:val="20"/>
          <w:lang w:val="en-US"/>
        </w:rPr>
        <w:t>dditional</w:t>
      </w:r>
      <w:proofErr w:type="spellEnd"/>
      <w:r>
        <w:rPr>
          <w:rFonts w:ascii="Segoe UI" w:hAnsi="Segoe UI" w:cs="Segoe UI"/>
          <w:color w:val="1F4E79"/>
          <w:sz w:val="20"/>
          <w:szCs w:val="20"/>
          <w:lang w:val="en-US"/>
        </w:rPr>
        <w:t xml:space="preserve"> file</w:t>
      </w:r>
      <w:r w:rsidRPr="00EF4E90">
        <w:rPr>
          <w:rFonts w:ascii="Segoe UI" w:hAnsi="Segoe UI" w:cs="Segoe UI"/>
          <w:color w:val="1F4E79"/>
          <w:sz w:val="20"/>
          <w:szCs w:val="20"/>
        </w:rPr>
        <w:t xml:space="preserve"> 1: Definition</w:t>
      </w:r>
      <w:r>
        <w:rPr>
          <w:rFonts w:ascii="Segoe UI" w:hAnsi="Segoe UI" w:cs="Segoe UI"/>
          <w:color w:val="1F4E79"/>
          <w:sz w:val="20"/>
          <w:szCs w:val="20"/>
          <w:lang w:val="en-US"/>
        </w:rPr>
        <w:t xml:space="preserve"> of terminologies</w:t>
      </w:r>
    </w:p>
    <w:p w14:paraId="7E60F9DA" w14:textId="77777777" w:rsidR="00FD441C" w:rsidRDefault="00FD441C" w:rsidP="00FD441C">
      <w:p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</w:p>
    <w:p w14:paraId="742F2DD5" w14:textId="22BB16A8" w:rsidR="00FD441C" w:rsidRPr="00FD441C" w:rsidRDefault="00FD441C" w:rsidP="00FD441C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  <w:r w:rsidRPr="00FD441C">
        <w:rPr>
          <w:rFonts w:ascii="Segoe UI" w:hAnsi="Segoe UI" w:cs="Segoe UI"/>
          <w:b/>
          <w:bCs/>
          <w:i/>
          <w:iCs/>
          <w:color w:val="333333"/>
          <w:sz w:val="20"/>
          <w:szCs w:val="20"/>
        </w:rPr>
        <w:t>Multimorbidity</w:t>
      </w:r>
      <w:r w:rsidRPr="00FD441C">
        <w:rPr>
          <w:rFonts w:ascii="Segoe UI" w:hAnsi="Segoe UI" w:cs="Segoe UI"/>
          <w:color w:val="333333"/>
          <w:sz w:val="20"/>
          <w:szCs w:val="20"/>
        </w:rPr>
        <w:t>: co-existence of two or more chronic conditions</w:t>
      </w:r>
    </w:p>
    <w:p w14:paraId="50FE36B8" w14:textId="77777777" w:rsidR="00FD441C" w:rsidRPr="002B0DA0" w:rsidRDefault="00FD441C" w:rsidP="00FD441C">
      <w:p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</w:p>
    <w:p w14:paraId="43861F83" w14:textId="77777777" w:rsidR="00FD441C" w:rsidRPr="00FD441C" w:rsidRDefault="00FD441C" w:rsidP="00FD441C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  <w:r w:rsidRPr="00FD441C">
        <w:rPr>
          <w:rFonts w:ascii="Segoe UI" w:hAnsi="Segoe UI" w:cs="Segoe UI"/>
          <w:b/>
          <w:bCs/>
          <w:i/>
          <w:iCs/>
          <w:color w:val="333333"/>
          <w:sz w:val="20"/>
          <w:szCs w:val="20"/>
        </w:rPr>
        <w:t>Chronic conditions</w:t>
      </w:r>
      <w:r w:rsidRPr="00FD441C">
        <w:rPr>
          <w:rFonts w:ascii="Segoe UI" w:hAnsi="Segoe UI" w:cs="Segoe UI"/>
          <w:color w:val="333333"/>
          <w:sz w:val="20"/>
          <w:szCs w:val="20"/>
        </w:rPr>
        <w:t>: conditions that last for a period of one year or longer, which demands continuous care and/or hinder daily activities and functioning</w:t>
      </w:r>
    </w:p>
    <w:p w14:paraId="0B73C94C" w14:textId="77777777" w:rsidR="00FD441C" w:rsidRPr="002B0DA0" w:rsidRDefault="00FD441C" w:rsidP="00FD441C">
      <w:p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</w:p>
    <w:p w14:paraId="73FE20E1" w14:textId="77777777" w:rsidR="00FD441C" w:rsidRPr="00FD441C" w:rsidRDefault="00FD441C" w:rsidP="00FD441C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  <w:r w:rsidRPr="00FD441C">
        <w:rPr>
          <w:rFonts w:ascii="Segoe UI" w:hAnsi="Segoe UI" w:cs="Segoe UI"/>
          <w:b/>
          <w:bCs/>
          <w:i/>
          <w:iCs/>
          <w:color w:val="333333"/>
          <w:sz w:val="20"/>
          <w:szCs w:val="20"/>
        </w:rPr>
        <w:t>Costs of multimorbidity</w:t>
      </w:r>
      <w:r w:rsidRPr="00FD441C">
        <w:rPr>
          <w:rFonts w:ascii="Segoe UI" w:hAnsi="Segoe UI" w:cs="Segoe UI"/>
          <w:color w:val="333333"/>
          <w:sz w:val="20"/>
          <w:szCs w:val="20"/>
        </w:rPr>
        <w:t>: encompasses direct and indirect costs associated with the prevention, diagnosis, treatment and management of multimorbidity, regardless of the payer</w:t>
      </w:r>
    </w:p>
    <w:p w14:paraId="77404162" w14:textId="77777777" w:rsidR="00FD441C" w:rsidRPr="002B0DA0" w:rsidRDefault="00FD441C" w:rsidP="00FD441C">
      <w:p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</w:p>
    <w:p w14:paraId="7719514C" w14:textId="77777777" w:rsidR="00FD441C" w:rsidRPr="00FD441C" w:rsidRDefault="00FD441C" w:rsidP="00FD441C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  <w:r w:rsidRPr="00FD441C">
        <w:rPr>
          <w:rFonts w:ascii="Segoe UI" w:hAnsi="Segoe UI" w:cs="Segoe UI"/>
          <w:b/>
          <w:bCs/>
          <w:i/>
          <w:iCs/>
          <w:color w:val="333333"/>
          <w:sz w:val="20"/>
          <w:szCs w:val="20"/>
        </w:rPr>
        <w:t>Direct cost</w:t>
      </w:r>
      <w:r w:rsidRPr="00FD441C">
        <w:rPr>
          <w:rFonts w:ascii="Segoe UI" w:hAnsi="Segoe UI" w:cs="Segoe UI"/>
          <w:color w:val="333333"/>
          <w:sz w:val="20"/>
          <w:szCs w:val="20"/>
        </w:rPr>
        <w:t>: all costs incurred that are attributable to the use of healthcare resource, intervention or service. Direct costs can be further categorized into direct medical costs and direct non-medical costs</w:t>
      </w:r>
    </w:p>
    <w:p w14:paraId="2150C4D3" w14:textId="77777777" w:rsidR="00FD441C" w:rsidRPr="002B0DA0" w:rsidRDefault="00FD441C" w:rsidP="00FD441C">
      <w:p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</w:p>
    <w:p w14:paraId="329BA201" w14:textId="0D01F742" w:rsidR="00FD441C" w:rsidRPr="00FD441C" w:rsidRDefault="00FD441C" w:rsidP="00FD441C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  <w:r w:rsidRPr="00FD441C">
        <w:rPr>
          <w:rFonts w:ascii="Segoe UI" w:hAnsi="Segoe UI" w:cs="Segoe UI"/>
          <w:b/>
          <w:bCs/>
          <w:i/>
          <w:iCs/>
          <w:color w:val="333333"/>
          <w:sz w:val="20"/>
          <w:szCs w:val="20"/>
        </w:rPr>
        <w:t>Direct medical cost</w:t>
      </w:r>
      <w:r w:rsidRPr="00FD441C">
        <w:rPr>
          <w:rFonts w:ascii="Segoe UI" w:hAnsi="Segoe UI" w:cs="Segoe UI"/>
          <w:color w:val="333333"/>
          <w:sz w:val="20"/>
          <w:szCs w:val="20"/>
        </w:rPr>
        <w:t>: the cost of a defined health service or intervention and all follow-up costs for medication and medical equipment; e.g. Diagnostics, hospitalization, outpatient, emergency, drugs and medicine, equipment.</w:t>
      </w:r>
    </w:p>
    <w:p w14:paraId="17A2C18E" w14:textId="77777777" w:rsidR="00FD441C" w:rsidRPr="002B0DA0" w:rsidRDefault="00FD441C" w:rsidP="00FD441C">
      <w:p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</w:p>
    <w:p w14:paraId="59E8191C" w14:textId="641515AF" w:rsidR="00FD441C" w:rsidRPr="00FD441C" w:rsidRDefault="00FD441C" w:rsidP="00FD441C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  <w:r w:rsidRPr="00FD441C">
        <w:rPr>
          <w:rFonts w:ascii="Segoe UI" w:hAnsi="Segoe UI" w:cs="Segoe UI"/>
          <w:b/>
          <w:bCs/>
          <w:i/>
          <w:iCs/>
          <w:color w:val="333333"/>
          <w:sz w:val="20"/>
          <w:szCs w:val="20"/>
        </w:rPr>
        <w:t>Direct non-medical cost</w:t>
      </w:r>
      <w:r w:rsidRPr="00FD441C">
        <w:rPr>
          <w:rFonts w:ascii="Segoe UI" w:hAnsi="Segoe UI" w:cs="Segoe UI"/>
          <w:color w:val="333333"/>
          <w:sz w:val="20"/>
          <w:szCs w:val="20"/>
        </w:rPr>
        <w:t>: costs incurred in the process of seeking and after receiving health services</w:t>
      </w:r>
      <w:r w:rsidR="005E26F8">
        <w:rPr>
          <w:rFonts w:ascii="Segoe UI" w:hAnsi="Segoe UI" w:cs="Segoe UI"/>
          <w:color w:val="333333"/>
          <w:sz w:val="20"/>
          <w:szCs w:val="20"/>
          <w:lang w:val="en-US"/>
        </w:rPr>
        <w:t xml:space="preserve">, </w:t>
      </w:r>
      <w:r w:rsidR="005E26F8" w:rsidRPr="005E26F8">
        <w:rPr>
          <w:rFonts w:ascii="Segoe UI" w:hAnsi="Segoe UI" w:cs="Segoe UI"/>
          <w:color w:val="333333"/>
          <w:sz w:val="20"/>
          <w:szCs w:val="20"/>
          <w:lang w:val="en-US"/>
        </w:rPr>
        <w:t xml:space="preserve">that are not involved in the direct purchasing of medical </w:t>
      </w:r>
      <w:r w:rsidR="00EF0B77">
        <w:rPr>
          <w:rFonts w:ascii="Segoe UI" w:hAnsi="Segoe UI" w:cs="Segoe UI"/>
          <w:color w:val="333333"/>
          <w:sz w:val="20"/>
          <w:szCs w:val="20"/>
          <w:lang w:val="en-US"/>
        </w:rPr>
        <w:t xml:space="preserve">products or </w:t>
      </w:r>
      <w:r w:rsidR="005E26F8" w:rsidRPr="005E26F8">
        <w:rPr>
          <w:rFonts w:ascii="Segoe UI" w:hAnsi="Segoe UI" w:cs="Segoe UI"/>
          <w:color w:val="333333"/>
          <w:sz w:val="20"/>
          <w:szCs w:val="20"/>
          <w:lang w:val="en-US"/>
        </w:rPr>
        <w:t>services</w:t>
      </w:r>
      <w:r w:rsidRPr="00FD441C">
        <w:rPr>
          <w:rFonts w:ascii="Segoe UI" w:hAnsi="Segoe UI" w:cs="Segoe UI"/>
          <w:color w:val="333333"/>
          <w:sz w:val="20"/>
          <w:szCs w:val="20"/>
        </w:rPr>
        <w:t>; e.g. Transportation/travel costs, food, accommodation and additional paid caregiver time.</w:t>
      </w:r>
    </w:p>
    <w:p w14:paraId="38182DAD" w14:textId="77777777" w:rsidR="00FD441C" w:rsidRPr="002B0DA0" w:rsidRDefault="00FD441C" w:rsidP="00FD441C">
      <w:p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</w:p>
    <w:p w14:paraId="129D0BE9" w14:textId="5E127F9B" w:rsidR="00FD441C" w:rsidRPr="00FD441C" w:rsidRDefault="00FD441C" w:rsidP="00FD441C">
      <w:pPr>
        <w:pStyle w:val="ListParagraph"/>
        <w:numPr>
          <w:ilvl w:val="0"/>
          <w:numId w:val="1"/>
        </w:num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  <w:r w:rsidRPr="00FD441C">
        <w:rPr>
          <w:rFonts w:ascii="Segoe UI" w:hAnsi="Segoe UI" w:cs="Segoe UI"/>
          <w:b/>
          <w:bCs/>
          <w:i/>
          <w:iCs/>
          <w:color w:val="333333"/>
          <w:sz w:val="20"/>
          <w:szCs w:val="20"/>
        </w:rPr>
        <w:t>Indirect cost</w:t>
      </w:r>
      <w:r w:rsidRPr="00FD441C">
        <w:rPr>
          <w:rFonts w:ascii="Segoe UI" w:hAnsi="Segoe UI" w:cs="Segoe UI"/>
          <w:color w:val="333333"/>
          <w:sz w:val="20"/>
          <w:szCs w:val="20"/>
        </w:rPr>
        <w:t xml:space="preserve">: costs incurred </w:t>
      </w:r>
      <w:r w:rsidR="003F4F35" w:rsidRPr="003F4F35">
        <w:rPr>
          <w:rFonts w:ascii="Segoe UI" w:hAnsi="Segoe UI" w:cs="Segoe UI"/>
          <w:color w:val="333333"/>
          <w:sz w:val="20"/>
          <w:szCs w:val="20"/>
        </w:rPr>
        <w:t>as a result of losses from the disease</w:t>
      </w:r>
      <w:r w:rsidR="003F4F35">
        <w:rPr>
          <w:rFonts w:ascii="Segoe UI" w:hAnsi="Segoe UI" w:cs="Segoe UI"/>
          <w:color w:val="333333"/>
          <w:sz w:val="20"/>
          <w:szCs w:val="20"/>
          <w:lang w:val="en-US"/>
        </w:rPr>
        <w:t>(s)</w:t>
      </w:r>
      <w:r w:rsidR="003F4F35" w:rsidRPr="003F4F35">
        <w:rPr>
          <w:rFonts w:ascii="Segoe UI" w:hAnsi="Segoe UI" w:cs="Segoe UI"/>
          <w:color w:val="333333"/>
          <w:sz w:val="20"/>
          <w:szCs w:val="20"/>
        </w:rPr>
        <w:t xml:space="preserve"> or disease management</w:t>
      </w:r>
      <w:r w:rsidRPr="00FD441C">
        <w:rPr>
          <w:rFonts w:ascii="Segoe UI" w:hAnsi="Segoe UI" w:cs="Segoe UI"/>
          <w:color w:val="333333"/>
          <w:sz w:val="20"/>
          <w:szCs w:val="20"/>
        </w:rPr>
        <w:t>; e.g. Time loss, wage loss, interest from debst/loans.</w:t>
      </w:r>
    </w:p>
    <w:p w14:paraId="2DDE96C1" w14:textId="77777777" w:rsidR="00FD441C" w:rsidRPr="002B0DA0" w:rsidRDefault="00FD441C" w:rsidP="00FD441C">
      <w:pPr>
        <w:spacing w:line="276" w:lineRule="auto"/>
        <w:rPr>
          <w:rFonts w:ascii="Segoe UI" w:hAnsi="Segoe UI" w:cs="Segoe UI"/>
          <w:color w:val="333333"/>
          <w:sz w:val="20"/>
          <w:szCs w:val="20"/>
        </w:rPr>
      </w:pPr>
    </w:p>
    <w:p w14:paraId="2F16848C" w14:textId="77777777" w:rsidR="00ED5021" w:rsidRDefault="00ED5021"/>
    <w:sectPr w:rsidR="00ED50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E69C8"/>
    <w:multiLevelType w:val="hybridMultilevel"/>
    <w:tmpl w:val="F7CCD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1C"/>
    <w:rsid w:val="002B30F1"/>
    <w:rsid w:val="00377F1F"/>
    <w:rsid w:val="003F4F35"/>
    <w:rsid w:val="005E26F8"/>
    <w:rsid w:val="005F222F"/>
    <w:rsid w:val="00956668"/>
    <w:rsid w:val="00A4105D"/>
    <w:rsid w:val="00D9490E"/>
    <w:rsid w:val="00ED5021"/>
    <w:rsid w:val="00EF0B77"/>
    <w:rsid w:val="00FD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B4CB4"/>
  <w15:chartTrackingRefBased/>
  <w15:docId w15:val="{AB447FC3-4D78-B549-9624-5C4D0883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41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Tran</dc:creator>
  <cp:keywords/>
  <dc:description/>
  <cp:lastModifiedBy>phuong.bichtran@outlook.com</cp:lastModifiedBy>
  <cp:revision>4</cp:revision>
  <dcterms:created xsi:type="dcterms:W3CDTF">2021-09-16T10:55:00Z</dcterms:created>
  <dcterms:modified xsi:type="dcterms:W3CDTF">2022-03-13T22:23:00Z</dcterms:modified>
</cp:coreProperties>
</file>