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2436B" w14:textId="77777777" w:rsidR="00553A7A" w:rsidRPr="00EF7EB4" w:rsidRDefault="00553A7A" w:rsidP="00553A7A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97211901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Figure S6. Summary presentations of study sample sizes (n) and numbers of data pairs compared (N), accuracy root mean square (Arms), mean bias (SD) and limits of agreement (</w:t>
      </w:r>
      <w:proofErr w:type="spellStart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LoA</w:t>
      </w:r>
      <w:proofErr w:type="spellEnd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) of pulse oximeters for the subgroup of non-Black, non-White ethnic groups</w:t>
      </w:r>
      <w:bookmarkEnd w:id="0"/>
    </w:p>
    <w:p w14:paraId="09912209" w14:textId="77777777" w:rsidR="00553A7A" w:rsidRPr="00D63E55" w:rsidRDefault="00553A7A" w:rsidP="00553A7A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63E5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E5AA121" wp14:editId="65E44095">
            <wp:extent cx="5731510" cy="2464435"/>
            <wp:effectExtent l="0" t="0" r="2540" b="0"/>
            <wp:docPr id="5" name="Picture 5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375A9" w14:textId="77777777" w:rsidR="00553A7A" w:rsidRPr="00D63E55" w:rsidRDefault="00553A7A" w:rsidP="00553A7A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 xml:space="preserve">Note: </w:t>
      </w:r>
    </w:p>
    <w:p w14:paraId="0E558553" w14:textId="77777777" w:rsidR="00553A7A" w:rsidRPr="00D63E55" w:rsidRDefault="00553A7A" w:rsidP="00553A7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The Chi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test for heterogeneity in the primary analysis suggested a </w:t>
      </w:r>
      <w:proofErr w:type="gramStart"/>
      <w:r w:rsidRPr="00D63E55">
        <w:rPr>
          <w:rFonts w:ascii="Times New Roman" w:hAnsi="Times New Roman" w:cs="Times New Roman"/>
          <w:sz w:val="20"/>
          <w:szCs w:val="20"/>
        </w:rPr>
        <w:t>Q(</w:t>
      </w:r>
      <w:proofErr w:type="spellStart"/>
      <w:proofErr w:type="gramEnd"/>
      <w:r w:rsidRPr="00D63E55">
        <w:rPr>
          <w:rFonts w:ascii="Times New Roman" w:hAnsi="Times New Roman" w:cs="Times New Roman"/>
          <w:sz w:val="20"/>
          <w:szCs w:val="20"/>
        </w:rPr>
        <w:t>df</w:t>
      </w:r>
      <w:proofErr w:type="spellEnd"/>
      <w:r w:rsidRPr="00D63E55">
        <w:rPr>
          <w:rFonts w:ascii="Times New Roman" w:hAnsi="Times New Roman" w:cs="Times New Roman"/>
          <w:sz w:val="20"/>
          <w:szCs w:val="20"/>
        </w:rPr>
        <w:t xml:space="preserve"> = 8) = 56.20, with P value &lt; 0.0001. </w:t>
      </w:r>
    </w:p>
    <w:p w14:paraId="01E88C16" w14:textId="77777777" w:rsidR="00553A7A" w:rsidRPr="00D63E55" w:rsidRDefault="00553A7A" w:rsidP="00553A7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Tau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between the 3 studies = 0 (95% CI 0 to 2.34); Tau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between the 9 comparisons = 0.23 (0.07 to 0.90).</w:t>
      </w:r>
    </w:p>
    <w:p w14:paraId="5152CDAE" w14:textId="77777777" w:rsidR="00553A7A" w:rsidRPr="00D63E55" w:rsidRDefault="00553A7A" w:rsidP="00553A7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The estimated overall I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for the primary analysis = 47.95%, of which about 0% is due to between-studies heterogeneity, and 47.95% due to within-study heterogeneity. </w:t>
      </w:r>
    </w:p>
    <w:p w14:paraId="70A97410" w14:textId="77777777" w:rsidR="00553A7A" w:rsidRPr="00D63E55" w:rsidRDefault="00553A7A" w:rsidP="00553A7A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FD67137" w14:textId="7BF4F185" w:rsidR="00553A7A" w:rsidRPr="00D63E55" w:rsidRDefault="00553A7A" w:rsidP="00553A7A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553A7A" w:rsidRPr="00D63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E2D47"/>
    <w:multiLevelType w:val="hybridMultilevel"/>
    <w:tmpl w:val="CD4A1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305DFD"/>
    <w:multiLevelType w:val="hybridMultilevel"/>
    <w:tmpl w:val="E1087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C00F40"/>
    <w:multiLevelType w:val="hybridMultilevel"/>
    <w:tmpl w:val="AD8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6790E"/>
    <w:multiLevelType w:val="hybridMultilevel"/>
    <w:tmpl w:val="AB52D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A7A"/>
    <w:rsid w:val="00125731"/>
    <w:rsid w:val="00194366"/>
    <w:rsid w:val="00553A7A"/>
    <w:rsid w:val="008048CE"/>
    <w:rsid w:val="00C8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2DE72"/>
  <w15:chartTrackingRefBased/>
  <w15:docId w15:val="{0196FD8A-38CD-445E-8913-65CE1ADA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3A7A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53A7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553A7A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53A7A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53A7A"/>
    <w:rPr>
      <w:rFonts w:eastAsia="SimSu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>University of Manchester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2</cp:revision>
  <dcterms:created xsi:type="dcterms:W3CDTF">2022-06-21T14:09:00Z</dcterms:created>
  <dcterms:modified xsi:type="dcterms:W3CDTF">2022-06-22T12:46:00Z</dcterms:modified>
</cp:coreProperties>
</file>