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76D58" w14:textId="04CD2D98" w:rsidR="00035A02" w:rsidRPr="00116E85" w:rsidRDefault="0071328B">
      <w:pPr>
        <w:rPr>
          <w:b/>
          <w:i/>
          <w:sz w:val="20"/>
          <w:szCs w:val="20"/>
        </w:rPr>
      </w:pPr>
      <w:r>
        <w:rPr>
          <w:b/>
          <w:i/>
          <w:sz w:val="20"/>
          <w:szCs w:val="20"/>
        </w:rPr>
        <w:t xml:space="preserve">Additional file </w:t>
      </w:r>
      <w:r w:rsidR="005E00A4" w:rsidRPr="00116E85">
        <w:rPr>
          <w:b/>
          <w:i/>
          <w:sz w:val="20"/>
          <w:szCs w:val="20"/>
        </w:rPr>
        <w:t>1</w:t>
      </w:r>
      <w:r w:rsidR="00035A02" w:rsidRPr="00116E85">
        <w:rPr>
          <w:b/>
          <w:i/>
          <w:sz w:val="20"/>
          <w:szCs w:val="20"/>
        </w:rPr>
        <w:t>: Overview of included papers</w:t>
      </w:r>
    </w:p>
    <w:tbl>
      <w:tblPr>
        <w:tblStyle w:val="GridTable4-Accent3"/>
        <w:tblW w:w="13883" w:type="dxa"/>
        <w:tblLayout w:type="fixed"/>
        <w:tblLook w:val="04A0" w:firstRow="1" w:lastRow="0" w:firstColumn="1" w:lastColumn="0" w:noHBand="0" w:noVBand="1"/>
      </w:tblPr>
      <w:tblGrid>
        <w:gridCol w:w="1555"/>
        <w:gridCol w:w="1555"/>
        <w:gridCol w:w="2976"/>
        <w:gridCol w:w="1843"/>
        <w:gridCol w:w="1843"/>
        <w:gridCol w:w="1985"/>
        <w:gridCol w:w="2126"/>
      </w:tblGrid>
      <w:tr w:rsidR="00513216" w:rsidRPr="00116E85" w14:paraId="6CDE416A" w14:textId="77777777" w:rsidTr="00513216">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555" w:type="dxa"/>
          </w:tcPr>
          <w:p w14:paraId="4003C825" w14:textId="71399971" w:rsidR="00513216" w:rsidRPr="00116E85" w:rsidRDefault="000F3CD1" w:rsidP="0024508D">
            <w:pPr>
              <w:rPr>
                <w:rFonts w:eastAsia="Times New Roman"/>
                <w:sz w:val="20"/>
                <w:szCs w:val="20"/>
                <w:lang w:eastAsia="en-GB"/>
              </w:rPr>
            </w:pPr>
            <w:r>
              <w:rPr>
                <w:rFonts w:eastAsia="Times New Roman"/>
                <w:sz w:val="20"/>
                <w:szCs w:val="20"/>
                <w:lang w:eastAsia="en-GB"/>
              </w:rPr>
              <w:t>Number in reference list</w:t>
            </w:r>
            <w:r w:rsidR="00B23EB5">
              <w:rPr>
                <w:rFonts w:eastAsia="Times New Roman"/>
                <w:sz w:val="20"/>
                <w:szCs w:val="20"/>
                <w:lang w:eastAsia="en-GB"/>
              </w:rPr>
              <w:t xml:space="preserve"> of main paper</w:t>
            </w:r>
            <w:r>
              <w:rPr>
                <w:rFonts w:eastAsia="Times New Roman"/>
                <w:sz w:val="20"/>
                <w:szCs w:val="20"/>
                <w:lang w:eastAsia="en-GB"/>
              </w:rPr>
              <w:t xml:space="preserve"> </w:t>
            </w:r>
          </w:p>
        </w:tc>
        <w:tc>
          <w:tcPr>
            <w:tcW w:w="1555" w:type="dxa"/>
            <w:hideMark/>
          </w:tcPr>
          <w:p w14:paraId="64FA2548" w14:textId="393BA3B2" w:rsidR="00513216" w:rsidRPr="00116E85" w:rsidRDefault="00513216" w:rsidP="0024508D">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Author(s), date and country </w:t>
            </w:r>
          </w:p>
        </w:tc>
        <w:tc>
          <w:tcPr>
            <w:tcW w:w="2976" w:type="dxa"/>
            <w:hideMark/>
          </w:tcPr>
          <w:p w14:paraId="6B7525B4" w14:textId="77777777" w:rsidR="00513216" w:rsidRPr="00116E85" w:rsidRDefault="00513216" w:rsidP="0024508D">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Aim of study</w:t>
            </w:r>
          </w:p>
        </w:tc>
        <w:tc>
          <w:tcPr>
            <w:tcW w:w="1843" w:type="dxa"/>
          </w:tcPr>
          <w:p w14:paraId="52258F65" w14:textId="095A2DFB" w:rsidR="00513216" w:rsidRPr="00116E85" w:rsidRDefault="00513216" w:rsidP="0024508D">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Type of study or document </w:t>
            </w:r>
          </w:p>
        </w:tc>
        <w:tc>
          <w:tcPr>
            <w:tcW w:w="1843" w:type="dxa"/>
            <w:hideMark/>
          </w:tcPr>
          <w:p w14:paraId="08344F79" w14:textId="1B7427BF" w:rsidR="00513216" w:rsidRPr="00116E85" w:rsidRDefault="00513216" w:rsidP="0024508D">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Sample</w:t>
            </w:r>
          </w:p>
        </w:tc>
        <w:tc>
          <w:tcPr>
            <w:tcW w:w="1985" w:type="dxa"/>
            <w:hideMark/>
          </w:tcPr>
          <w:p w14:paraId="59D989C8" w14:textId="77777777" w:rsidR="00513216" w:rsidRPr="00116E85" w:rsidRDefault="00513216" w:rsidP="0024508D">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Data collection and analysis </w:t>
            </w:r>
          </w:p>
        </w:tc>
        <w:tc>
          <w:tcPr>
            <w:tcW w:w="2126" w:type="dxa"/>
            <w:hideMark/>
          </w:tcPr>
          <w:p w14:paraId="098799AC" w14:textId="3EA2EF9D" w:rsidR="00513216" w:rsidRPr="00116E85" w:rsidRDefault="00D026A8" w:rsidP="004F2618">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 xml:space="preserve">Type of </w:t>
            </w:r>
            <w:r w:rsidR="00513216" w:rsidRPr="00116E85">
              <w:rPr>
                <w:rFonts w:eastAsia="Times New Roman"/>
                <w:sz w:val="20"/>
                <w:szCs w:val="20"/>
                <w:lang w:eastAsia="en-GB"/>
              </w:rPr>
              <w:t>venue(s)</w:t>
            </w:r>
          </w:p>
        </w:tc>
      </w:tr>
      <w:tr w:rsidR="00513216" w:rsidRPr="00116E85" w14:paraId="2E70320A" w14:textId="77777777" w:rsidTr="00513216">
        <w:trPr>
          <w:cnfStyle w:val="000000100000" w:firstRow="0" w:lastRow="0" w:firstColumn="0" w:lastColumn="0" w:oddVBand="0" w:evenVBand="0" w:oddHBand="1" w:evenHBand="0" w:firstRowFirstColumn="0" w:firstRowLastColumn="0" w:lastRowFirstColumn="0" w:lastRowLastColumn="0"/>
          <w:trHeight w:val="1399"/>
        </w:trPr>
        <w:tc>
          <w:tcPr>
            <w:cnfStyle w:val="001000000000" w:firstRow="0" w:lastRow="0" w:firstColumn="1" w:lastColumn="0" w:oddVBand="0" w:evenVBand="0" w:oddHBand="0" w:evenHBand="0" w:firstRowFirstColumn="0" w:firstRowLastColumn="0" w:lastRowFirstColumn="0" w:lastRowLastColumn="0"/>
            <w:tcW w:w="1555" w:type="dxa"/>
          </w:tcPr>
          <w:p w14:paraId="6EFA50A1" w14:textId="02838389" w:rsidR="00513216" w:rsidRPr="00116E85" w:rsidRDefault="006C0F32" w:rsidP="0024508D">
            <w:pPr>
              <w:rPr>
                <w:rFonts w:eastAsia="Times New Roman"/>
                <w:sz w:val="20"/>
                <w:szCs w:val="20"/>
                <w:lang w:eastAsia="en-GB"/>
              </w:rPr>
            </w:pPr>
            <w:r>
              <w:rPr>
                <w:rFonts w:eastAsia="Times New Roman"/>
                <w:sz w:val="20"/>
                <w:szCs w:val="20"/>
                <w:lang w:eastAsia="en-GB"/>
              </w:rPr>
              <w:t>31</w:t>
            </w:r>
          </w:p>
        </w:tc>
        <w:tc>
          <w:tcPr>
            <w:tcW w:w="1555" w:type="dxa"/>
          </w:tcPr>
          <w:p w14:paraId="7F51FA9B" w14:textId="6C21FD2B" w:rsidR="00513216" w:rsidRPr="006C0F32" w:rsidRDefault="00513216" w:rsidP="0024508D">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Age UK (2018)</w:t>
            </w:r>
          </w:p>
          <w:p w14:paraId="5C55FE01" w14:textId="77777777" w:rsidR="00513216" w:rsidRPr="006C0F32" w:rsidRDefault="00513216" w:rsidP="0024508D">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6C15654E" w14:textId="1D7367BF" w:rsidR="00513216" w:rsidRPr="006C0F32" w:rsidRDefault="00513216" w:rsidP="0024508D">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34474672" w14:textId="0F322C27" w:rsidR="00513216" w:rsidRPr="00116E85" w:rsidRDefault="00513216" w:rsidP="00F718B7">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delve further into findings around creative and cultural participation – what it is, who does what, and how it differs depending on people’s</w:t>
            </w:r>
          </w:p>
          <w:p w14:paraId="0BDC43A5" w14:textId="30CC4631" w:rsidR="00513216" w:rsidRPr="00116E85" w:rsidRDefault="00956783" w:rsidP="00F718B7">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overall level of wellbeing</w:t>
            </w:r>
          </w:p>
        </w:tc>
        <w:tc>
          <w:tcPr>
            <w:tcW w:w="1843" w:type="dxa"/>
          </w:tcPr>
          <w:p w14:paraId="1C1BD068" w14:textId="5F43A2CB" w:rsidR="00513216" w:rsidRPr="00116E85" w:rsidRDefault="00513216" w:rsidP="0024508D">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Report</w:t>
            </w:r>
          </w:p>
        </w:tc>
        <w:tc>
          <w:tcPr>
            <w:tcW w:w="1843" w:type="dxa"/>
          </w:tcPr>
          <w:p w14:paraId="7216F9D9" w14:textId="48D63F1D" w:rsidR="00513216" w:rsidRPr="00116E85" w:rsidRDefault="00D026A8" w:rsidP="0024508D">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767BF263" w14:textId="6370107F" w:rsidR="00513216" w:rsidRPr="00116E85" w:rsidRDefault="00D026A8" w:rsidP="0024508D">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0C0ECA36" w14:textId="54684CB9" w:rsidR="00513216" w:rsidRPr="00116E85" w:rsidRDefault="00513216" w:rsidP="0024508D">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Cultural sector (museum)</w:t>
            </w:r>
          </w:p>
        </w:tc>
      </w:tr>
      <w:tr w:rsidR="00513216" w:rsidRPr="00116E85" w14:paraId="033DCAFB" w14:textId="77777777" w:rsidTr="00956783">
        <w:trPr>
          <w:trHeight w:val="1644"/>
        </w:trPr>
        <w:tc>
          <w:tcPr>
            <w:cnfStyle w:val="001000000000" w:firstRow="0" w:lastRow="0" w:firstColumn="1" w:lastColumn="0" w:oddVBand="0" w:evenVBand="0" w:oddHBand="0" w:evenHBand="0" w:firstRowFirstColumn="0" w:firstRowLastColumn="0" w:lastRowFirstColumn="0" w:lastRowLastColumn="0"/>
            <w:tcW w:w="1555" w:type="dxa"/>
          </w:tcPr>
          <w:p w14:paraId="1A7B425C" w14:textId="4DDD4C21" w:rsidR="00513216" w:rsidRPr="00116E85" w:rsidRDefault="006C0F32" w:rsidP="0024508D">
            <w:pPr>
              <w:rPr>
                <w:rFonts w:eastAsia="Times New Roman"/>
                <w:sz w:val="20"/>
                <w:szCs w:val="20"/>
                <w:lang w:eastAsia="en-GB"/>
              </w:rPr>
            </w:pPr>
            <w:r>
              <w:rPr>
                <w:rFonts w:eastAsia="Times New Roman"/>
                <w:sz w:val="20"/>
                <w:szCs w:val="20"/>
                <w:lang w:eastAsia="en-GB"/>
              </w:rPr>
              <w:t>32</w:t>
            </w:r>
          </w:p>
        </w:tc>
        <w:tc>
          <w:tcPr>
            <w:tcW w:w="1555" w:type="dxa"/>
          </w:tcPr>
          <w:p w14:paraId="52BEDE2C" w14:textId="4C4C104F" w:rsidR="00513216" w:rsidRPr="006C0F32" w:rsidRDefault="00513216" w:rsidP="0024508D">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Ander et al. (201</w:t>
            </w:r>
            <w:r w:rsidR="00D73C71" w:rsidRPr="006C0F32">
              <w:rPr>
                <w:rFonts w:eastAsia="Times New Roman"/>
                <w:sz w:val="20"/>
                <w:szCs w:val="20"/>
                <w:lang w:eastAsia="en-GB"/>
              </w:rPr>
              <w:t>3</w:t>
            </w:r>
            <w:r w:rsidRPr="006C0F32">
              <w:rPr>
                <w:rFonts w:eastAsia="Times New Roman"/>
                <w:sz w:val="20"/>
                <w:szCs w:val="20"/>
                <w:lang w:eastAsia="en-GB"/>
              </w:rPr>
              <w:t>)</w:t>
            </w:r>
          </w:p>
          <w:p w14:paraId="590F5C73" w14:textId="77777777" w:rsidR="00513216" w:rsidRPr="006C0F32" w:rsidRDefault="00513216" w:rsidP="0024508D">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43A4167D" w14:textId="285D8C4D" w:rsidR="00513216" w:rsidRPr="006C0F32" w:rsidRDefault="00513216" w:rsidP="0024508D">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08FF9893" w14:textId="05E3231B" w:rsidR="00513216" w:rsidRPr="00116E85" w:rsidRDefault="00513216" w:rsidP="0024508D">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investigate the impact of museum object handling sessions on hospital clients receiving occupational therapy in neurological rehabilitation and in an older adult acute inpatient mental health service</w:t>
            </w:r>
          </w:p>
        </w:tc>
        <w:tc>
          <w:tcPr>
            <w:tcW w:w="1843" w:type="dxa"/>
          </w:tcPr>
          <w:p w14:paraId="37B8D778" w14:textId="7F1D0365" w:rsidR="00513216" w:rsidRPr="00116E85" w:rsidRDefault="00513216" w:rsidP="0024508D">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Qualitative</w:t>
            </w:r>
          </w:p>
        </w:tc>
        <w:tc>
          <w:tcPr>
            <w:tcW w:w="1843" w:type="dxa"/>
          </w:tcPr>
          <w:p w14:paraId="487CC85C" w14:textId="13A8952D" w:rsidR="00513216" w:rsidRPr="00116E85" w:rsidRDefault="00582036" w:rsidP="0024508D">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 xml:space="preserve">Unclear </w:t>
            </w:r>
          </w:p>
        </w:tc>
        <w:tc>
          <w:tcPr>
            <w:tcW w:w="1985" w:type="dxa"/>
          </w:tcPr>
          <w:p w14:paraId="761F5A3E" w14:textId="0787E3EC" w:rsidR="00513216" w:rsidRPr="00116E85" w:rsidRDefault="00513216" w:rsidP="0024508D">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Interviews; Grounded theory method</w:t>
            </w:r>
          </w:p>
        </w:tc>
        <w:tc>
          <w:tcPr>
            <w:tcW w:w="2126" w:type="dxa"/>
          </w:tcPr>
          <w:p w14:paraId="2BD60126" w14:textId="2ED94496" w:rsidR="00513216" w:rsidRPr="00116E85" w:rsidRDefault="00513216" w:rsidP="0024508D">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6BE25F5" w14:textId="77777777" w:rsidTr="00956783">
        <w:trPr>
          <w:cnfStyle w:val="000000100000" w:firstRow="0" w:lastRow="0" w:firstColumn="0" w:lastColumn="0" w:oddVBand="0" w:evenVBand="0" w:oddHBand="1" w:evenHBand="0" w:firstRowFirstColumn="0" w:firstRowLastColumn="0" w:lastRowFirstColumn="0" w:lastRowLastColumn="0"/>
          <w:trHeight w:val="1401"/>
        </w:trPr>
        <w:tc>
          <w:tcPr>
            <w:cnfStyle w:val="001000000000" w:firstRow="0" w:lastRow="0" w:firstColumn="1" w:lastColumn="0" w:oddVBand="0" w:evenVBand="0" w:oddHBand="0" w:evenHBand="0" w:firstRowFirstColumn="0" w:firstRowLastColumn="0" w:lastRowFirstColumn="0" w:lastRowLastColumn="0"/>
            <w:tcW w:w="1555" w:type="dxa"/>
          </w:tcPr>
          <w:p w14:paraId="4813A2E9" w14:textId="023E324A" w:rsidR="0030566E" w:rsidRDefault="006C0F32" w:rsidP="0030566E">
            <w:pPr>
              <w:rPr>
                <w:rFonts w:eastAsia="Times New Roman"/>
                <w:sz w:val="20"/>
                <w:szCs w:val="20"/>
                <w:lang w:eastAsia="en-GB"/>
              </w:rPr>
            </w:pPr>
            <w:r>
              <w:rPr>
                <w:rFonts w:eastAsia="Times New Roman"/>
                <w:sz w:val="20"/>
                <w:szCs w:val="20"/>
                <w:lang w:eastAsia="en-GB"/>
              </w:rPr>
              <w:t>33</w:t>
            </w:r>
          </w:p>
        </w:tc>
        <w:tc>
          <w:tcPr>
            <w:tcW w:w="1555" w:type="dxa"/>
          </w:tcPr>
          <w:p w14:paraId="76169CED"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Beauchet et al. (2018)</w:t>
            </w:r>
          </w:p>
          <w:p w14:paraId="5C8F3984"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345D9472" w14:textId="7D9E5BE2"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Canada</w:t>
            </w:r>
          </w:p>
        </w:tc>
        <w:tc>
          <w:tcPr>
            <w:tcW w:w="2976" w:type="dxa"/>
          </w:tcPr>
          <w:p w14:paraId="05149E0D" w14:textId="59EE22B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examine the effect of the MMFA participatory-based art activity on well-being, quality of life and health condition in older community dwellers</w:t>
            </w:r>
          </w:p>
        </w:tc>
        <w:tc>
          <w:tcPr>
            <w:tcW w:w="1843" w:type="dxa"/>
          </w:tcPr>
          <w:p w14:paraId="03001AE3" w14:textId="276D9565"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 xml:space="preserve">Report </w:t>
            </w:r>
          </w:p>
        </w:tc>
        <w:tc>
          <w:tcPr>
            <w:tcW w:w="1843" w:type="dxa"/>
          </w:tcPr>
          <w:p w14:paraId="361438DA" w14:textId="210ACD3E"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130 participants, aged 65 years or older</w:t>
            </w:r>
          </w:p>
        </w:tc>
        <w:tc>
          <w:tcPr>
            <w:tcW w:w="1985" w:type="dxa"/>
          </w:tcPr>
          <w:p w14:paraId="40D5DA7D" w14:textId="727CABB8"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Self-Administered Questionnaire, EQ-5D, computer proficiency questionnaire; Statistical analysis</w:t>
            </w:r>
          </w:p>
        </w:tc>
        <w:tc>
          <w:tcPr>
            <w:tcW w:w="2126" w:type="dxa"/>
          </w:tcPr>
          <w:p w14:paraId="672BCF57" w14:textId="63C9DE44"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 xml:space="preserve">Museum </w:t>
            </w:r>
          </w:p>
        </w:tc>
      </w:tr>
      <w:tr w:rsidR="0030566E" w:rsidRPr="00116E85" w14:paraId="707222F2" w14:textId="77777777" w:rsidTr="00956783">
        <w:trPr>
          <w:trHeight w:val="1814"/>
        </w:trPr>
        <w:tc>
          <w:tcPr>
            <w:cnfStyle w:val="001000000000" w:firstRow="0" w:lastRow="0" w:firstColumn="1" w:lastColumn="0" w:oddVBand="0" w:evenVBand="0" w:oddHBand="0" w:evenHBand="0" w:firstRowFirstColumn="0" w:firstRowLastColumn="0" w:lastRowFirstColumn="0" w:lastRowLastColumn="0"/>
            <w:tcW w:w="1555" w:type="dxa"/>
          </w:tcPr>
          <w:p w14:paraId="6D43A9DE" w14:textId="11536CE8" w:rsidR="0030566E" w:rsidRPr="00116E85" w:rsidRDefault="006C0F32" w:rsidP="0030566E">
            <w:pPr>
              <w:rPr>
                <w:rFonts w:eastAsia="Times New Roman"/>
                <w:sz w:val="20"/>
                <w:szCs w:val="20"/>
                <w:lang w:eastAsia="en-GB"/>
              </w:rPr>
            </w:pPr>
            <w:r>
              <w:rPr>
                <w:rFonts w:eastAsia="Times New Roman"/>
                <w:sz w:val="20"/>
                <w:szCs w:val="20"/>
                <w:lang w:eastAsia="en-GB"/>
              </w:rPr>
              <w:t>34</w:t>
            </w:r>
          </w:p>
        </w:tc>
        <w:tc>
          <w:tcPr>
            <w:tcW w:w="1555" w:type="dxa"/>
          </w:tcPr>
          <w:p w14:paraId="59AA3698" w14:textId="3F26DF6B"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Beauchet et al. (2020)</w:t>
            </w:r>
          </w:p>
          <w:p w14:paraId="71FD4F64"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1DDB97EE"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Canada</w:t>
            </w:r>
          </w:p>
          <w:p w14:paraId="7EBACCC6" w14:textId="670D3ACF"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p>
        </w:tc>
        <w:tc>
          <w:tcPr>
            <w:tcW w:w="2976" w:type="dxa"/>
          </w:tcPr>
          <w:p w14:paraId="5F4EBF5D" w14:textId="0F06B45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examine changes in well-being, quality of life and frailty associated with a wee</w:t>
            </w:r>
            <w:r w:rsidR="00956783">
              <w:rPr>
                <w:rFonts w:eastAsia="Times New Roman"/>
                <w:sz w:val="20"/>
                <w:szCs w:val="20"/>
                <w:lang w:eastAsia="en-GB"/>
              </w:rPr>
              <w:t xml:space="preserve">kly art-based activity - “Thursday at the Museum” - </w:t>
            </w:r>
            <w:r w:rsidRPr="00116E85">
              <w:rPr>
                <w:rFonts w:eastAsia="Times New Roman"/>
                <w:sz w:val="20"/>
                <w:szCs w:val="20"/>
                <w:lang w:eastAsia="en-GB"/>
              </w:rPr>
              <w:t>performed at the Mont</w:t>
            </w:r>
            <w:r w:rsidR="00956783">
              <w:rPr>
                <w:rFonts w:eastAsia="Times New Roman"/>
                <w:sz w:val="20"/>
                <w:szCs w:val="20"/>
                <w:lang w:eastAsia="en-GB"/>
              </w:rPr>
              <w:t xml:space="preserve">real Museum of Fine Arts </w:t>
            </w:r>
            <w:r w:rsidRPr="00116E85">
              <w:rPr>
                <w:rFonts w:eastAsia="Times New Roman"/>
                <w:sz w:val="20"/>
                <w:szCs w:val="20"/>
                <w:lang w:eastAsia="en-GB"/>
              </w:rPr>
              <w:t>in community-dwelling older adults</w:t>
            </w:r>
          </w:p>
        </w:tc>
        <w:tc>
          <w:tcPr>
            <w:tcW w:w="1843" w:type="dxa"/>
          </w:tcPr>
          <w:p w14:paraId="6B10414D" w14:textId="65BC7B18"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Quantitative</w:t>
            </w:r>
          </w:p>
        </w:tc>
        <w:tc>
          <w:tcPr>
            <w:tcW w:w="1843" w:type="dxa"/>
          </w:tcPr>
          <w:p w14:paraId="0ACB3963"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130 community-dwelling</w:t>
            </w:r>
          </w:p>
          <w:p w14:paraId="69A6241A" w14:textId="3165537F"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older adults (mean age 71.6±4.9, 91.5 % female)</w:t>
            </w:r>
          </w:p>
        </w:tc>
        <w:tc>
          <w:tcPr>
            <w:tcW w:w="1985" w:type="dxa"/>
          </w:tcPr>
          <w:p w14:paraId="25C3E079" w14:textId="17410263"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Questionnaire; Statistical analysis</w:t>
            </w:r>
          </w:p>
        </w:tc>
        <w:tc>
          <w:tcPr>
            <w:tcW w:w="2126" w:type="dxa"/>
          </w:tcPr>
          <w:p w14:paraId="6687526E" w14:textId="34053BE0"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BE50ADD" w14:textId="77777777" w:rsidTr="00956783">
        <w:trPr>
          <w:cnfStyle w:val="000000100000" w:firstRow="0" w:lastRow="0" w:firstColumn="0" w:lastColumn="0" w:oddVBand="0" w:evenVBand="0" w:oddHBand="1" w:evenHBand="0" w:firstRowFirstColumn="0" w:firstRowLastColumn="0" w:lastRowFirstColumn="0" w:lastRowLastColumn="0"/>
          <w:trHeight w:val="2117"/>
        </w:trPr>
        <w:tc>
          <w:tcPr>
            <w:cnfStyle w:val="001000000000" w:firstRow="0" w:lastRow="0" w:firstColumn="1" w:lastColumn="0" w:oddVBand="0" w:evenVBand="0" w:oddHBand="0" w:evenHBand="0" w:firstRowFirstColumn="0" w:firstRowLastColumn="0" w:lastRowFirstColumn="0" w:lastRowLastColumn="0"/>
            <w:tcW w:w="1555" w:type="dxa"/>
          </w:tcPr>
          <w:p w14:paraId="6B4543B2" w14:textId="335EE080" w:rsidR="0030566E" w:rsidRPr="00116E85" w:rsidRDefault="006C0F32" w:rsidP="0030566E">
            <w:pPr>
              <w:rPr>
                <w:rFonts w:eastAsia="Times New Roman"/>
                <w:sz w:val="20"/>
                <w:szCs w:val="20"/>
                <w:lang w:eastAsia="en-GB"/>
              </w:rPr>
            </w:pPr>
            <w:r>
              <w:rPr>
                <w:rFonts w:eastAsia="Times New Roman"/>
                <w:sz w:val="20"/>
                <w:szCs w:val="20"/>
                <w:lang w:eastAsia="en-GB"/>
              </w:rPr>
              <w:lastRenderedPageBreak/>
              <w:t>35</w:t>
            </w:r>
          </w:p>
        </w:tc>
        <w:tc>
          <w:tcPr>
            <w:tcW w:w="1555" w:type="dxa"/>
          </w:tcPr>
          <w:p w14:paraId="1EDC6D93"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Bengtsson et al. (2015)</w:t>
            </w:r>
          </w:p>
          <w:p w14:paraId="09646EEE"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319E861E" w14:textId="6D0061B9"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Sweden</w:t>
            </w:r>
          </w:p>
        </w:tc>
        <w:tc>
          <w:tcPr>
            <w:tcW w:w="2976" w:type="dxa"/>
          </w:tcPr>
          <w:p w14:paraId="3BBAC058"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investigate whether the Swedish Semantisk</w:t>
            </w:r>
          </w:p>
          <w:p w14:paraId="298C0457" w14:textId="0671C458"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Milj¨obeskrivning (SMB) method can help describe what characterizes an ideal level of pleasantness and other SMB dimensions in the outdoor environment of nursing homes</w:t>
            </w:r>
          </w:p>
        </w:tc>
        <w:tc>
          <w:tcPr>
            <w:tcW w:w="1843" w:type="dxa"/>
          </w:tcPr>
          <w:p w14:paraId="0390711C" w14:textId="1186A163"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Quantitative</w:t>
            </w:r>
          </w:p>
        </w:tc>
        <w:tc>
          <w:tcPr>
            <w:tcW w:w="1843" w:type="dxa"/>
          </w:tcPr>
          <w:p w14:paraId="50EEEFC2"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26 pensioners (20 women, 6</w:t>
            </w:r>
          </w:p>
          <w:p w14:paraId="7970B99E"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men; mean age = 72 years); 26</w:t>
            </w:r>
          </w:p>
          <w:p w14:paraId="748DE1EC"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nursing home staff (25 women,</w:t>
            </w:r>
          </w:p>
          <w:p w14:paraId="7B8F5678" w14:textId="022120E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1 man; mean age = 47 years)</w:t>
            </w:r>
          </w:p>
        </w:tc>
        <w:tc>
          <w:tcPr>
            <w:tcW w:w="1985" w:type="dxa"/>
          </w:tcPr>
          <w:p w14:paraId="44F523C4" w14:textId="31C9DA70"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SMB tool; Statistical analysis</w:t>
            </w:r>
          </w:p>
        </w:tc>
        <w:tc>
          <w:tcPr>
            <w:tcW w:w="2126" w:type="dxa"/>
          </w:tcPr>
          <w:p w14:paraId="1E33F2A8"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Garden</w:t>
            </w:r>
          </w:p>
          <w:p w14:paraId="0B69FEE2" w14:textId="27CDD368"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p>
        </w:tc>
      </w:tr>
      <w:tr w:rsidR="0030566E" w:rsidRPr="00116E85" w14:paraId="25815905" w14:textId="77777777" w:rsidTr="00956783">
        <w:trPr>
          <w:trHeight w:val="1409"/>
        </w:trPr>
        <w:tc>
          <w:tcPr>
            <w:cnfStyle w:val="001000000000" w:firstRow="0" w:lastRow="0" w:firstColumn="1" w:lastColumn="0" w:oddVBand="0" w:evenVBand="0" w:oddHBand="0" w:evenHBand="0" w:firstRowFirstColumn="0" w:firstRowLastColumn="0" w:lastRowFirstColumn="0" w:lastRowLastColumn="0"/>
            <w:tcW w:w="1555" w:type="dxa"/>
          </w:tcPr>
          <w:p w14:paraId="30C23DD2" w14:textId="39F77430" w:rsidR="0030566E" w:rsidRPr="00116E85" w:rsidRDefault="006C0F32" w:rsidP="0030566E">
            <w:pPr>
              <w:rPr>
                <w:rFonts w:eastAsia="Times New Roman"/>
                <w:sz w:val="20"/>
                <w:szCs w:val="20"/>
                <w:lang w:eastAsia="en-GB"/>
              </w:rPr>
            </w:pPr>
            <w:r>
              <w:rPr>
                <w:rFonts w:eastAsia="Times New Roman"/>
                <w:sz w:val="20"/>
                <w:szCs w:val="20"/>
                <w:lang w:eastAsia="en-GB"/>
              </w:rPr>
              <w:t>36</w:t>
            </w:r>
          </w:p>
        </w:tc>
        <w:tc>
          <w:tcPr>
            <w:tcW w:w="1555" w:type="dxa"/>
          </w:tcPr>
          <w:p w14:paraId="5BC0EE63"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Bennington et al. (2016)</w:t>
            </w:r>
          </w:p>
          <w:p w14:paraId="1386371E"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2E0A449A" w14:textId="1EFD23A3"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States of America</w:t>
            </w:r>
          </w:p>
        </w:tc>
        <w:tc>
          <w:tcPr>
            <w:tcW w:w="2976" w:type="dxa"/>
          </w:tcPr>
          <w:p w14:paraId="5AF68769" w14:textId="4FFB4776"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identify the therapeutic benefits of utilizing the art museum, in art therapy programs, with older adults</w:t>
            </w:r>
          </w:p>
        </w:tc>
        <w:tc>
          <w:tcPr>
            <w:tcW w:w="1843" w:type="dxa"/>
          </w:tcPr>
          <w:p w14:paraId="3EB59B37" w14:textId="489D7BF9"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Qualitative</w:t>
            </w:r>
          </w:p>
        </w:tc>
        <w:tc>
          <w:tcPr>
            <w:tcW w:w="1843" w:type="dxa"/>
          </w:tcPr>
          <w:p w14:paraId="58105F2D" w14:textId="7D12F27B"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8 participants, 7 female and 1 male, aged 75 years or older</w:t>
            </w:r>
          </w:p>
        </w:tc>
        <w:tc>
          <w:tcPr>
            <w:tcW w:w="1985" w:type="dxa"/>
          </w:tcPr>
          <w:p w14:paraId="07202528" w14:textId="5FBF7F78"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Artwork, journaling, research observations and session notes; Phenomenological methods</w:t>
            </w:r>
          </w:p>
        </w:tc>
        <w:tc>
          <w:tcPr>
            <w:tcW w:w="2126" w:type="dxa"/>
          </w:tcPr>
          <w:p w14:paraId="773E20E8" w14:textId="5089F583"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8FBF08F" w14:textId="77777777" w:rsidTr="00956783">
        <w:trPr>
          <w:cnfStyle w:val="000000100000" w:firstRow="0" w:lastRow="0" w:firstColumn="0" w:lastColumn="0" w:oddVBand="0" w:evenVBand="0" w:oddHBand="1" w:evenHBand="0" w:firstRowFirstColumn="0" w:firstRowLastColumn="0" w:lastRowFirstColumn="0" w:lastRowLastColumn="0"/>
          <w:trHeight w:val="1401"/>
        </w:trPr>
        <w:tc>
          <w:tcPr>
            <w:cnfStyle w:val="001000000000" w:firstRow="0" w:lastRow="0" w:firstColumn="1" w:lastColumn="0" w:oddVBand="0" w:evenVBand="0" w:oddHBand="0" w:evenHBand="0" w:firstRowFirstColumn="0" w:firstRowLastColumn="0" w:lastRowFirstColumn="0" w:lastRowLastColumn="0"/>
            <w:tcW w:w="1555" w:type="dxa"/>
          </w:tcPr>
          <w:p w14:paraId="3CB242E6" w14:textId="68D66CF2" w:rsidR="0030566E" w:rsidRPr="00116E85" w:rsidRDefault="006C0F32" w:rsidP="0030566E">
            <w:pPr>
              <w:rPr>
                <w:rFonts w:eastAsia="Times New Roman"/>
                <w:sz w:val="20"/>
                <w:szCs w:val="20"/>
                <w:lang w:eastAsia="en-GB"/>
              </w:rPr>
            </w:pPr>
            <w:r>
              <w:rPr>
                <w:rFonts w:eastAsia="Times New Roman"/>
                <w:sz w:val="20"/>
                <w:szCs w:val="20"/>
                <w:lang w:eastAsia="en-GB"/>
              </w:rPr>
              <w:t>37</w:t>
            </w:r>
          </w:p>
        </w:tc>
        <w:tc>
          <w:tcPr>
            <w:tcW w:w="1555" w:type="dxa"/>
          </w:tcPr>
          <w:p w14:paraId="0ECBFAEE"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Brown and Thompson (2020)</w:t>
            </w:r>
          </w:p>
          <w:p w14:paraId="4266466A"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1A8F6C8F" w14:textId="68A8350F"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0B44581C" w14:textId="17DDA81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share museum resources and activities that can support quality of life improvements for older people</w:t>
            </w:r>
          </w:p>
        </w:tc>
        <w:tc>
          <w:tcPr>
            <w:tcW w:w="1843" w:type="dxa"/>
          </w:tcPr>
          <w:p w14:paraId="2FA40CEB" w14:textId="3E20FE20"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Report</w:t>
            </w:r>
          </w:p>
        </w:tc>
        <w:tc>
          <w:tcPr>
            <w:tcW w:w="1843" w:type="dxa"/>
          </w:tcPr>
          <w:p w14:paraId="57F4D973" w14:textId="14270192"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67470237" w14:textId="499BAFD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2A2CF856" w14:textId="3F5DDB7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234C61C8" w14:textId="77777777" w:rsidTr="00956783">
        <w:trPr>
          <w:trHeight w:val="1407"/>
        </w:trPr>
        <w:tc>
          <w:tcPr>
            <w:cnfStyle w:val="001000000000" w:firstRow="0" w:lastRow="0" w:firstColumn="1" w:lastColumn="0" w:oddVBand="0" w:evenVBand="0" w:oddHBand="0" w:evenHBand="0" w:firstRowFirstColumn="0" w:firstRowLastColumn="0" w:lastRowFirstColumn="0" w:lastRowLastColumn="0"/>
            <w:tcW w:w="1555" w:type="dxa"/>
          </w:tcPr>
          <w:p w14:paraId="02558F9E" w14:textId="429A1DAF" w:rsidR="0030566E" w:rsidRPr="00116E85" w:rsidRDefault="006C0F32" w:rsidP="0030566E">
            <w:pPr>
              <w:rPr>
                <w:rFonts w:eastAsia="Times New Roman"/>
                <w:sz w:val="20"/>
                <w:szCs w:val="20"/>
                <w:lang w:eastAsia="en-GB"/>
              </w:rPr>
            </w:pPr>
            <w:r>
              <w:rPr>
                <w:rFonts w:eastAsia="Times New Roman"/>
                <w:sz w:val="20"/>
                <w:szCs w:val="20"/>
                <w:lang w:eastAsia="en-GB"/>
              </w:rPr>
              <w:t>38</w:t>
            </w:r>
          </w:p>
        </w:tc>
        <w:tc>
          <w:tcPr>
            <w:tcW w:w="1555" w:type="dxa"/>
          </w:tcPr>
          <w:p w14:paraId="4EBE1FC8"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Camic et al. (2014)</w:t>
            </w:r>
          </w:p>
          <w:p w14:paraId="6ED60FA6"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1EFEC255" w14:textId="252344E6"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2E71F525" w14:textId="1524B494"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understand the experience of an eight-week art-gallery-based interve</w:t>
            </w:r>
            <w:r w:rsidR="00956783">
              <w:rPr>
                <w:rFonts w:eastAsia="Times New Roman"/>
                <w:sz w:val="20"/>
                <w:szCs w:val="20"/>
                <w:lang w:eastAsia="en-GB"/>
              </w:rPr>
              <w:t xml:space="preserve">ntion offered at two </w:t>
            </w:r>
            <w:r w:rsidRPr="00116E85">
              <w:rPr>
                <w:rFonts w:eastAsia="Times New Roman"/>
                <w:sz w:val="20"/>
                <w:szCs w:val="20"/>
                <w:lang w:eastAsia="en-GB"/>
              </w:rPr>
              <w:t>different galleries for people with mild to moderate dementia and their carers</w:t>
            </w:r>
          </w:p>
        </w:tc>
        <w:tc>
          <w:tcPr>
            <w:tcW w:w="1843" w:type="dxa"/>
          </w:tcPr>
          <w:p w14:paraId="17139E48" w14:textId="2821DBB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Mixed-methods</w:t>
            </w:r>
          </w:p>
        </w:tc>
        <w:tc>
          <w:tcPr>
            <w:tcW w:w="1843" w:type="dxa"/>
          </w:tcPr>
          <w:p w14:paraId="35F6BD45"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24 participants</w:t>
            </w:r>
          </w:p>
          <w:p w14:paraId="64D6641B" w14:textId="55C7C5F9"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(12 with dementia), aged 58-94 years</w:t>
            </w:r>
          </w:p>
        </w:tc>
        <w:tc>
          <w:tcPr>
            <w:tcW w:w="1985" w:type="dxa"/>
          </w:tcPr>
          <w:p w14:paraId="0FCB4D95" w14:textId="6C02CD5A"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Questionnaires and interviews; Statistical analysis, Thematic analysis</w:t>
            </w:r>
          </w:p>
        </w:tc>
        <w:tc>
          <w:tcPr>
            <w:tcW w:w="2126" w:type="dxa"/>
          </w:tcPr>
          <w:p w14:paraId="056C0494" w14:textId="323E6746"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 (art gallery)</w:t>
            </w:r>
          </w:p>
        </w:tc>
      </w:tr>
      <w:tr w:rsidR="0030566E" w:rsidRPr="00116E85" w14:paraId="01025F2E" w14:textId="77777777" w:rsidTr="00956783">
        <w:trPr>
          <w:cnfStyle w:val="000000100000" w:firstRow="0" w:lastRow="0" w:firstColumn="0" w:lastColumn="0" w:oddVBand="0" w:evenVBand="0" w:oddHBand="1" w:evenHBand="0" w:firstRowFirstColumn="0" w:firstRowLastColumn="0" w:lastRowFirstColumn="0" w:lastRowLastColumn="0"/>
          <w:trHeight w:val="1417"/>
        </w:trPr>
        <w:tc>
          <w:tcPr>
            <w:cnfStyle w:val="001000000000" w:firstRow="0" w:lastRow="0" w:firstColumn="1" w:lastColumn="0" w:oddVBand="0" w:evenVBand="0" w:oddHBand="0" w:evenHBand="0" w:firstRowFirstColumn="0" w:firstRowLastColumn="0" w:lastRowFirstColumn="0" w:lastRowLastColumn="0"/>
            <w:tcW w:w="1555" w:type="dxa"/>
          </w:tcPr>
          <w:p w14:paraId="0DAAB275" w14:textId="2199E453" w:rsidR="0030566E" w:rsidRPr="00116E85" w:rsidRDefault="006C0F32" w:rsidP="0030566E">
            <w:pPr>
              <w:rPr>
                <w:rFonts w:eastAsia="Times New Roman"/>
                <w:sz w:val="20"/>
                <w:szCs w:val="20"/>
                <w:lang w:eastAsia="en-GB"/>
              </w:rPr>
            </w:pPr>
            <w:r>
              <w:rPr>
                <w:rFonts w:eastAsia="Times New Roman"/>
                <w:sz w:val="20"/>
                <w:szCs w:val="20"/>
                <w:lang w:eastAsia="en-GB"/>
              </w:rPr>
              <w:t>39</w:t>
            </w:r>
          </w:p>
        </w:tc>
        <w:tc>
          <w:tcPr>
            <w:tcW w:w="1555" w:type="dxa"/>
          </w:tcPr>
          <w:p w14:paraId="33EACF43"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Camic et al. (2019)</w:t>
            </w:r>
          </w:p>
          <w:p w14:paraId="521E0C04"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7450328A" w14:textId="65BFC4A6"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4A5EF149"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examine the wellbeing impact of handling museum</w:t>
            </w:r>
          </w:p>
          <w:p w14:paraId="43AFCF92" w14:textId="375B6346"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artefacts, by testing for differences across domain, time, gender and stages of dementia</w:t>
            </w:r>
          </w:p>
        </w:tc>
        <w:tc>
          <w:tcPr>
            <w:tcW w:w="1843" w:type="dxa"/>
          </w:tcPr>
          <w:p w14:paraId="6F1143F0" w14:textId="336AD4BA"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Quantitative (quasi-experimental)</w:t>
            </w:r>
          </w:p>
        </w:tc>
        <w:tc>
          <w:tcPr>
            <w:tcW w:w="1843" w:type="dxa"/>
          </w:tcPr>
          <w:p w14:paraId="6972687A"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80 participants aged 54-89 years (M = 74.81 years,</w:t>
            </w:r>
          </w:p>
          <w:p w14:paraId="4ABADC32" w14:textId="651EF34C"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SD = 7.6 years) took part in the study (53 males)</w:t>
            </w:r>
          </w:p>
        </w:tc>
        <w:tc>
          <w:tcPr>
            <w:tcW w:w="1985" w:type="dxa"/>
          </w:tcPr>
          <w:p w14:paraId="7D9E40ED" w14:textId="1D2022BB"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Questionnaire; Statistical analysis</w:t>
            </w:r>
          </w:p>
        </w:tc>
        <w:tc>
          <w:tcPr>
            <w:tcW w:w="2126" w:type="dxa"/>
          </w:tcPr>
          <w:p w14:paraId="3B2DD157" w14:textId="79117C0E"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210F36E5" w14:textId="77777777" w:rsidTr="00956783">
        <w:trPr>
          <w:trHeight w:val="1191"/>
        </w:trPr>
        <w:tc>
          <w:tcPr>
            <w:cnfStyle w:val="001000000000" w:firstRow="0" w:lastRow="0" w:firstColumn="1" w:lastColumn="0" w:oddVBand="0" w:evenVBand="0" w:oddHBand="0" w:evenHBand="0" w:firstRowFirstColumn="0" w:firstRowLastColumn="0" w:lastRowFirstColumn="0" w:lastRowLastColumn="0"/>
            <w:tcW w:w="1555" w:type="dxa"/>
          </w:tcPr>
          <w:p w14:paraId="03A6FA19" w14:textId="260706F9" w:rsidR="0030566E" w:rsidRPr="00116E85" w:rsidRDefault="006C0F32" w:rsidP="0030566E">
            <w:pPr>
              <w:rPr>
                <w:rFonts w:eastAsia="Times New Roman"/>
                <w:sz w:val="20"/>
                <w:szCs w:val="20"/>
                <w:lang w:eastAsia="en-GB"/>
              </w:rPr>
            </w:pPr>
            <w:r>
              <w:rPr>
                <w:rFonts w:eastAsia="Times New Roman"/>
                <w:sz w:val="20"/>
                <w:szCs w:val="20"/>
                <w:lang w:eastAsia="en-GB"/>
              </w:rPr>
              <w:t>40</w:t>
            </w:r>
          </w:p>
        </w:tc>
        <w:tc>
          <w:tcPr>
            <w:tcW w:w="1555" w:type="dxa"/>
          </w:tcPr>
          <w:p w14:paraId="54DA70BF"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Cann (2017)</w:t>
            </w:r>
          </w:p>
          <w:p w14:paraId="5B2433DD"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p>
          <w:p w14:paraId="16E69561"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p w14:paraId="785B98D7" w14:textId="7DE4FD68"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p>
        </w:tc>
        <w:tc>
          <w:tcPr>
            <w:tcW w:w="2976" w:type="dxa"/>
          </w:tcPr>
          <w:p w14:paraId="6D036DC2" w14:textId="6539D686"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discuss how the arts and cultural activities are a vital part of a health and care system and have potential to fulfil the theme of active ageing</w:t>
            </w:r>
          </w:p>
        </w:tc>
        <w:tc>
          <w:tcPr>
            <w:tcW w:w="1843" w:type="dxa"/>
          </w:tcPr>
          <w:p w14:paraId="2F5AD23F" w14:textId="3441D46A"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Commentary piece</w:t>
            </w:r>
          </w:p>
        </w:tc>
        <w:tc>
          <w:tcPr>
            <w:tcW w:w="1843" w:type="dxa"/>
          </w:tcPr>
          <w:p w14:paraId="37969CD8" w14:textId="09872A7F"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280BDD91" w14:textId="13851809"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6A3FC802" w14:textId="262A5182"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6416BC47" w14:textId="77777777" w:rsidTr="00956783">
        <w:trPr>
          <w:cnfStyle w:val="000000100000" w:firstRow="0" w:lastRow="0" w:firstColumn="0" w:lastColumn="0" w:oddVBand="0" w:evenVBand="0" w:oddHBand="1" w:evenHBand="0" w:firstRowFirstColumn="0" w:firstRowLastColumn="0" w:lastRowFirstColumn="0" w:lastRowLastColumn="0"/>
          <w:trHeight w:val="2041"/>
        </w:trPr>
        <w:tc>
          <w:tcPr>
            <w:cnfStyle w:val="001000000000" w:firstRow="0" w:lastRow="0" w:firstColumn="1" w:lastColumn="0" w:oddVBand="0" w:evenVBand="0" w:oddHBand="0" w:evenHBand="0" w:firstRowFirstColumn="0" w:firstRowLastColumn="0" w:lastRowFirstColumn="0" w:lastRowLastColumn="0"/>
            <w:tcW w:w="1555" w:type="dxa"/>
          </w:tcPr>
          <w:p w14:paraId="09864CB7" w14:textId="0C5C5974" w:rsidR="0030566E" w:rsidRPr="00116E85" w:rsidRDefault="00B23EB5" w:rsidP="0030566E">
            <w:pPr>
              <w:rPr>
                <w:rFonts w:eastAsia="Times New Roman"/>
                <w:sz w:val="20"/>
                <w:szCs w:val="20"/>
                <w:lang w:eastAsia="en-GB"/>
              </w:rPr>
            </w:pPr>
            <w:r>
              <w:rPr>
                <w:rFonts w:eastAsia="Times New Roman"/>
                <w:sz w:val="20"/>
                <w:szCs w:val="20"/>
                <w:lang w:eastAsia="en-GB"/>
              </w:rPr>
              <w:lastRenderedPageBreak/>
              <w:t>20</w:t>
            </w:r>
          </w:p>
        </w:tc>
        <w:tc>
          <w:tcPr>
            <w:tcW w:w="1555" w:type="dxa"/>
          </w:tcPr>
          <w:p w14:paraId="63962A34"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Collective Encounters (2020)</w:t>
            </w:r>
          </w:p>
          <w:p w14:paraId="12DDF319"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0A3BF610" w14:textId="67C3B044"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395B7DE2" w14:textId="423F03B0"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report findings from a series of free events exploring how the participatory theatre sector was responding to COVID-19 and the effect lockdown and social distancing was having on participants, participatory theatre makers and their practice</w:t>
            </w:r>
          </w:p>
        </w:tc>
        <w:tc>
          <w:tcPr>
            <w:tcW w:w="1843" w:type="dxa"/>
          </w:tcPr>
          <w:p w14:paraId="2AEF913C" w14:textId="11F24410"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Report</w:t>
            </w:r>
          </w:p>
        </w:tc>
        <w:tc>
          <w:tcPr>
            <w:tcW w:w="1843" w:type="dxa"/>
          </w:tcPr>
          <w:p w14:paraId="05F9182E" w14:textId="770CF7D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40213E5B" w14:textId="2019B522"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5661F1E3" w14:textId="6764852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Theatre</w:t>
            </w:r>
            <w:r w:rsidR="00956783">
              <w:rPr>
                <w:rFonts w:eastAsia="Times New Roman"/>
                <w:sz w:val="20"/>
                <w:szCs w:val="20"/>
                <w:lang w:eastAsia="en-GB"/>
              </w:rPr>
              <w:t xml:space="preserve"> (</w:t>
            </w:r>
            <w:r w:rsidR="00956783" w:rsidRPr="00956783">
              <w:rPr>
                <w:rFonts w:eastAsia="Times New Roman"/>
                <w:sz w:val="20"/>
                <w:szCs w:val="20"/>
                <w:lang w:eastAsia="en-GB"/>
              </w:rPr>
              <w:t>report on the digital but mentions libraries as solutions to challenges</w:t>
            </w:r>
            <w:r w:rsidR="00956783">
              <w:rPr>
                <w:rFonts w:eastAsia="Times New Roman"/>
                <w:sz w:val="20"/>
                <w:szCs w:val="20"/>
                <w:lang w:eastAsia="en-GB"/>
              </w:rPr>
              <w:t>)</w:t>
            </w:r>
          </w:p>
        </w:tc>
      </w:tr>
      <w:tr w:rsidR="0030566E" w:rsidRPr="00116E85" w14:paraId="7E63C44F" w14:textId="77777777" w:rsidTr="00956783">
        <w:trPr>
          <w:trHeight w:val="907"/>
        </w:trPr>
        <w:tc>
          <w:tcPr>
            <w:cnfStyle w:val="001000000000" w:firstRow="0" w:lastRow="0" w:firstColumn="1" w:lastColumn="0" w:oddVBand="0" w:evenVBand="0" w:oddHBand="0" w:evenHBand="0" w:firstRowFirstColumn="0" w:firstRowLastColumn="0" w:lastRowFirstColumn="0" w:lastRowLastColumn="0"/>
            <w:tcW w:w="1555" w:type="dxa"/>
          </w:tcPr>
          <w:p w14:paraId="40EF830F" w14:textId="3E6E90DB" w:rsidR="0030566E" w:rsidRPr="00116E85" w:rsidRDefault="006C0F32" w:rsidP="0030566E">
            <w:pPr>
              <w:rPr>
                <w:rFonts w:eastAsia="Times New Roman"/>
                <w:sz w:val="20"/>
                <w:szCs w:val="20"/>
                <w:lang w:eastAsia="en-GB"/>
              </w:rPr>
            </w:pPr>
            <w:r>
              <w:rPr>
                <w:rFonts w:eastAsia="Times New Roman"/>
                <w:sz w:val="20"/>
                <w:szCs w:val="20"/>
                <w:lang w:eastAsia="en-GB"/>
              </w:rPr>
              <w:t>41</w:t>
            </w:r>
          </w:p>
        </w:tc>
        <w:tc>
          <w:tcPr>
            <w:tcW w:w="1555" w:type="dxa"/>
          </w:tcPr>
          <w:p w14:paraId="21D3E2B6"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Culture Health and Wellbeing Alliance (2020)</w:t>
            </w:r>
          </w:p>
          <w:p w14:paraId="58AD2C51"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7BE0382B" w14:textId="068A1538"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63D7CDA5" w14:textId="0DC4D285" w:rsidR="00956783"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bring to light the scope, breadth and reach of the work that cultural and creative organisations and individuals have been doing since lockdown to reach the most vulnerable</w:t>
            </w:r>
          </w:p>
        </w:tc>
        <w:tc>
          <w:tcPr>
            <w:tcW w:w="1843" w:type="dxa"/>
          </w:tcPr>
          <w:p w14:paraId="712D2984" w14:textId="4D22B79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Report</w:t>
            </w:r>
          </w:p>
        </w:tc>
        <w:tc>
          <w:tcPr>
            <w:tcW w:w="1843" w:type="dxa"/>
          </w:tcPr>
          <w:p w14:paraId="68F90EE0" w14:textId="47E9F8D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 xml:space="preserve">Based on 50 projects from 48 organisations </w:t>
            </w:r>
          </w:p>
        </w:tc>
        <w:tc>
          <w:tcPr>
            <w:tcW w:w="1985" w:type="dxa"/>
          </w:tcPr>
          <w:p w14:paraId="35BCA2B5" w14:textId="3D2877F4"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20BAD2D9" w14:textId="68463F0A"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Various cultural sectors (Museum)</w:t>
            </w:r>
          </w:p>
        </w:tc>
      </w:tr>
      <w:tr w:rsidR="0030566E" w:rsidRPr="00116E85" w14:paraId="317E4483" w14:textId="77777777" w:rsidTr="00F23A23">
        <w:trPr>
          <w:cnfStyle w:val="000000100000" w:firstRow="0" w:lastRow="0" w:firstColumn="0" w:lastColumn="0" w:oddVBand="0" w:evenVBand="0" w:oddHBand="1" w:evenHBand="0" w:firstRowFirstColumn="0" w:firstRowLastColumn="0" w:lastRowFirstColumn="0" w:lastRowLastColumn="0"/>
          <w:trHeight w:val="1499"/>
        </w:trPr>
        <w:tc>
          <w:tcPr>
            <w:cnfStyle w:val="001000000000" w:firstRow="0" w:lastRow="0" w:firstColumn="1" w:lastColumn="0" w:oddVBand="0" w:evenVBand="0" w:oddHBand="0" w:evenHBand="0" w:firstRowFirstColumn="0" w:firstRowLastColumn="0" w:lastRowFirstColumn="0" w:lastRowLastColumn="0"/>
            <w:tcW w:w="1555" w:type="dxa"/>
          </w:tcPr>
          <w:p w14:paraId="4218870F" w14:textId="49A13036" w:rsidR="0030566E" w:rsidRPr="00116E85" w:rsidRDefault="00B23EB5" w:rsidP="0030566E">
            <w:pPr>
              <w:rPr>
                <w:rFonts w:eastAsia="Times New Roman"/>
                <w:sz w:val="20"/>
                <w:szCs w:val="20"/>
                <w:lang w:eastAsia="en-GB"/>
              </w:rPr>
            </w:pPr>
            <w:r>
              <w:rPr>
                <w:rFonts w:eastAsia="Times New Roman"/>
                <w:sz w:val="20"/>
                <w:szCs w:val="20"/>
                <w:lang w:eastAsia="en-GB"/>
              </w:rPr>
              <w:t>21</w:t>
            </w:r>
          </w:p>
        </w:tc>
        <w:tc>
          <w:tcPr>
            <w:tcW w:w="1555" w:type="dxa"/>
          </w:tcPr>
          <w:p w14:paraId="7B7A7D51"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Cutler (2020)</w:t>
            </w:r>
          </w:p>
          <w:p w14:paraId="25267926"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4202249E" w14:textId="50026FDC"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67438FFF" w14:textId="3743B7EB"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explore how arts organisations have supported the wellbeing of older people during the COVID-19 pandemic, the challenges that they are facing, and what needs to be in place to for sustained support</w:t>
            </w:r>
          </w:p>
        </w:tc>
        <w:tc>
          <w:tcPr>
            <w:tcW w:w="1843" w:type="dxa"/>
          </w:tcPr>
          <w:p w14:paraId="25F8183C" w14:textId="068545C1"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Report</w:t>
            </w:r>
          </w:p>
        </w:tc>
        <w:tc>
          <w:tcPr>
            <w:tcW w:w="1843" w:type="dxa"/>
          </w:tcPr>
          <w:p w14:paraId="39C66D2B" w14:textId="04C24B34"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0C56ED61" w14:textId="64E5B67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7DDD6525" w14:textId="41A0572B"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Museum </w:t>
            </w:r>
          </w:p>
        </w:tc>
      </w:tr>
      <w:tr w:rsidR="0030566E" w:rsidRPr="00116E85" w14:paraId="28B5FFB1" w14:textId="77777777" w:rsidTr="0041133E">
        <w:trPr>
          <w:trHeight w:val="1587"/>
        </w:trPr>
        <w:tc>
          <w:tcPr>
            <w:cnfStyle w:val="001000000000" w:firstRow="0" w:lastRow="0" w:firstColumn="1" w:lastColumn="0" w:oddVBand="0" w:evenVBand="0" w:oddHBand="0" w:evenHBand="0" w:firstRowFirstColumn="0" w:firstRowLastColumn="0" w:lastRowFirstColumn="0" w:lastRowLastColumn="0"/>
            <w:tcW w:w="1555" w:type="dxa"/>
          </w:tcPr>
          <w:p w14:paraId="36D8CBEE" w14:textId="1F8A5DEA" w:rsidR="0030566E" w:rsidRPr="00116E85" w:rsidRDefault="006C0F32" w:rsidP="0030566E">
            <w:pPr>
              <w:rPr>
                <w:rFonts w:eastAsia="Times New Roman"/>
                <w:sz w:val="20"/>
                <w:szCs w:val="20"/>
                <w:lang w:eastAsia="en-GB"/>
              </w:rPr>
            </w:pPr>
            <w:r>
              <w:rPr>
                <w:rFonts w:eastAsia="Times New Roman"/>
                <w:sz w:val="20"/>
                <w:szCs w:val="20"/>
                <w:lang w:eastAsia="en-GB"/>
              </w:rPr>
              <w:t>42</w:t>
            </w:r>
          </w:p>
        </w:tc>
        <w:tc>
          <w:tcPr>
            <w:tcW w:w="1555" w:type="dxa"/>
          </w:tcPr>
          <w:p w14:paraId="06343322"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Duncan (2018)</w:t>
            </w:r>
          </w:p>
          <w:p w14:paraId="1B9A5FB8"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0EDD9902" w14:textId="0C56CA72"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5CE85C9D"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explore the introduction of the Armchair Gallery app,</w:t>
            </w:r>
          </w:p>
          <w:p w14:paraId="6643A72F" w14:textId="5935ED3E"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managed by City Arts, with older people and understanding how creativity and digital technology can be of benefit in later life</w:t>
            </w:r>
          </w:p>
        </w:tc>
        <w:tc>
          <w:tcPr>
            <w:tcW w:w="1843" w:type="dxa"/>
          </w:tcPr>
          <w:p w14:paraId="4C719E86" w14:textId="6B467983"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Report and evaluation </w:t>
            </w:r>
          </w:p>
        </w:tc>
        <w:tc>
          <w:tcPr>
            <w:tcW w:w="1843" w:type="dxa"/>
          </w:tcPr>
          <w:p w14:paraId="09B09393"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App used by 228 participants, aged between 50-100 years (203 aged 65+ years) – 167 females; 61 males</w:t>
            </w:r>
          </w:p>
          <w:p w14:paraId="3DDB5C76"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p>
        </w:tc>
        <w:tc>
          <w:tcPr>
            <w:tcW w:w="1985" w:type="dxa"/>
          </w:tcPr>
          <w:p w14:paraId="2376F648" w14:textId="561A20FA"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Interviews with 10 care staff/volunteers and 3 observations; not clear how data were analysed </w:t>
            </w:r>
          </w:p>
        </w:tc>
        <w:tc>
          <w:tcPr>
            <w:tcW w:w="2126" w:type="dxa"/>
          </w:tcPr>
          <w:p w14:paraId="25D2F2B6" w14:textId="0E48F1F8" w:rsidR="0030566E" w:rsidRPr="00116E85" w:rsidRDefault="0041133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Museum; Sculpture park (G</w:t>
            </w:r>
            <w:r w:rsidR="0030566E" w:rsidRPr="00116E85">
              <w:rPr>
                <w:rFonts w:eastAsia="Times New Roman"/>
                <w:sz w:val="20"/>
                <w:szCs w:val="20"/>
                <w:lang w:eastAsia="en-GB"/>
              </w:rPr>
              <w:t>arden)</w:t>
            </w:r>
          </w:p>
        </w:tc>
      </w:tr>
      <w:tr w:rsidR="0030566E" w:rsidRPr="00116E85" w14:paraId="38E79AE0" w14:textId="77777777" w:rsidTr="00F23A23">
        <w:trPr>
          <w:cnfStyle w:val="000000100000" w:firstRow="0" w:lastRow="0" w:firstColumn="0" w:lastColumn="0" w:oddVBand="0" w:evenVBand="0" w:oddHBand="1" w:evenHBand="0" w:firstRowFirstColumn="0" w:firstRowLastColumn="0" w:lastRowFirstColumn="0" w:lastRowLastColumn="0"/>
          <w:trHeight w:val="2117"/>
        </w:trPr>
        <w:tc>
          <w:tcPr>
            <w:cnfStyle w:val="001000000000" w:firstRow="0" w:lastRow="0" w:firstColumn="1" w:lastColumn="0" w:oddVBand="0" w:evenVBand="0" w:oddHBand="0" w:evenHBand="0" w:firstRowFirstColumn="0" w:firstRowLastColumn="0" w:lastRowFirstColumn="0" w:lastRowLastColumn="0"/>
            <w:tcW w:w="1555" w:type="dxa"/>
          </w:tcPr>
          <w:p w14:paraId="40054E10" w14:textId="7B8B4DAB" w:rsidR="0030566E" w:rsidRPr="00116E85" w:rsidRDefault="006C0F32" w:rsidP="0030566E">
            <w:pPr>
              <w:rPr>
                <w:rFonts w:eastAsia="Times New Roman"/>
                <w:sz w:val="20"/>
                <w:szCs w:val="20"/>
                <w:lang w:eastAsia="en-GB"/>
              </w:rPr>
            </w:pPr>
            <w:r>
              <w:rPr>
                <w:rFonts w:eastAsia="Times New Roman"/>
                <w:sz w:val="20"/>
                <w:szCs w:val="20"/>
                <w:lang w:eastAsia="en-GB"/>
              </w:rPr>
              <w:lastRenderedPageBreak/>
              <w:t>43</w:t>
            </w:r>
          </w:p>
        </w:tc>
        <w:tc>
          <w:tcPr>
            <w:tcW w:w="1555" w:type="dxa"/>
          </w:tcPr>
          <w:p w14:paraId="70D3255D" w14:textId="2E150AF4" w:rsidR="0030566E" w:rsidRPr="006C0F32" w:rsidRDefault="0041133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Fancourt et al. (2020</w:t>
            </w:r>
            <w:r w:rsidR="0030566E" w:rsidRPr="006C0F32">
              <w:rPr>
                <w:rFonts w:eastAsia="Times New Roman"/>
                <w:sz w:val="20"/>
                <w:szCs w:val="20"/>
                <w:lang w:eastAsia="en-GB"/>
              </w:rPr>
              <w:t>)</w:t>
            </w:r>
          </w:p>
          <w:p w14:paraId="6F4D48C8"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42CABBED" w14:textId="02EE255C"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76985720" w14:textId="19B676EC"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explore associations between community engagement and the risk of dementia incidence over a 12-year period, while controlling for a wide range of social confounders and accounting for the competing risk of death in older adults</w:t>
            </w:r>
          </w:p>
        </w:tc>
        <w:tc>
          <w:tcPr>
            <w:tcW w:w="1843" w:type="dxa"/>
          </w:tcPr>
          <w:p w14:paraId="4D535345" w14:textId="11E68CFA"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Quantitative</w:t>
            </w:r>
          </w:p>
        </w:tc>
        <w:tc>
          <w:tcPr>
            <w:tcW w:w="1843" w:type="dxa"/>
          </w:tcPr>
          <w:p w14:paraId="10AE6698" w14:textId="54BB019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sz w:val="20"/>
                <w:szCs w:val="20"/>
              </w:rPr>
              <w:t>Data analysed from 9550 adults aged 50+ from the English Longitudinal Study of Ageing, with baseline from 2004 to 2005</w:t>
            </w:r>
          </w:p>
        </w:tc>
        <w:tc>
          <w:tcPr>
            <w:tcW w:w="1985" w:type="dxa"/>
          </w:tcPr>
          <w:p w14:paraId="0DA2979C" w14:textId="32D5C058"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Questionnaire; Statistical analysis</w:t>
            </w:r>
          </w:p>
        </w:tc>
        <w:tc>
          <w:tcPr>
            <w:tcW w:w="2126" w:type="dxa"/>
          </w:tcPr>
          <w:p w14:paraId="319EEC9A" w14:textId="46A53D3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C93E052" w14:textId="77777777" w:rsidTr="00F624FD">
        <w:trPr>
          <w:trHeight w:val="1835"/>
        </w:trPr>
        <w:tc>
          <w:tcPr>
            <w:cnfStyle w:val="001000000000" w:firstRow="0" w:lastRow="0" w:firstColumn="1" w:lastColumn="0" w:oddVBand="0" w:evenVBand="0" w:oddHBand="0" w:evenHBand="0" w:firstRowFirstColumn="0" w:firstRowLastColumn="0" w:lastRowFirstColumn="0" w:lastRowLastColumn="0"/>
            <w:tcW w:w="1555" w:type="dxa"/>
          </w:tcPr>
          <w:p w14:paraId="126B491F" w14:textId="7F992727" w:rsidR="0030566E" w:rsidRPr="00116E85" w:rsidRDefault="006C0F32" w:rsidP="0030566E">
            <w:pPr>
              <w:rPr>
                <w:rFonts w:eastAsia="Times New Roman"/>
                <w:sz w:val="20"/>
                <w:szCs w:val="20"/>
                <w:lang w:eastAsia="en-GB"/>
              </w:rPr>
            </w:pPr>
            <w:r>
              <w:rPr>
                <w:rFonts w:eastAsia="Times New Roman"/>
                <w:sz w:val="20"/>
                <w:szCs w:val="20"/>
                <w:lang w:eastAsia="en-GB"/>
              </w:rPr>
              <w:t>44</w:t>
            </w:r>
          </w:p>
        </w:tc>
        <w:tc>
          <w:tcPr>
            <w:tcW w:w="1555" w:type="dxa"/>
          </w:tcPr>
          <w:p w14:paraId="392D5FC8" w14:textId="62875795" w:rsidR="0030566E" w:rsidRPr="006C0F32" w:rsidRDefault="0041133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Flatt et al. (2015</w:t>
            </w:r>
            <w:r w:rsidR="0030566E" w:rsidRPr="006C0F32">
              <w:rPr>
                <w:rFonts w:eastAsia="Times New Roman"/>
                <w:sz w:val="20"/>
                <w:szCs w:val="20"/>
                <w:lang w:eastAsia="en-GB"/>
              </w:rPr>
              <w:t>)</w:t>
            </w:r>
          </w:p>
          <w:p w14:paraId="1CC0459D"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7FE2DA8D" w14:textId="173B563A"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States of America</w:t>
            </w:r>
          </w:p>
        </w:tc>
        <w:tc>
          <w:tcPr>
            <w:tcW w:w="2976" w:type="dxa"/>
          </w:tcPr>
          <w:p w14:paraId="3CE74830" w14:textId="5934B418"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describe the subjective experiences of older adults with early-stage Alzheimer’s disease or related cognitive disorders (ADRDs) and their family caregivers who participated in an art museum engagement activity</w:t>
            </w:r>
          </w:p>
        </w:tc>
        <w:tc>
          <w:tcPr>
            <w:tcW w:w="1843" w:type="dxa"/>
          </w:tcPr>
          <w:p w14:paraId="0FC921BF" w14:textId="20D6F76A"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Qualitative</w:t>
            </w:r>
          </w:p>
        </w:tc>
        <w:tc>
          <w:tcPr>
            <w:tcW w:w="1843" w:type="dxa"/>
          </w:tcPr>
          <w:p w14:paraId="32205ABA" w14:textId="7D9E2E1F"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10 persons with ADRD (8 were 60 or older and half were female) and 10 family (6=female) caregivers (6 were 60 years or older)</w:t>
            </w:r>
          </w:p>
        </w:tc>
        <w:tc>
          <w:tcPr>
            <w:tcW w:w="1985" w:type="dxa"/>
          </w:tcPr>
          <w:p w14:paraId="1E457035" w14:textId="4B7B26FA"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Focus group and survey; Thematic analysis, statistical analysis</w:t>
            </w:r>
          </w:p>
        </w:tc>
        <w:tc>
          <w:tcPr>
            <w:tcW w:w="2126" w:type="dxa"/>
          </w:tcPr>
          <w:p w14:paraId="68EE648A" w14:textId="7B5FBE55"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6BEB45D" w14:textId="77777777" w:rsidTr="00EF7036">
        <w:trPr>
          <w:cnfStyle w:val="000000100000" w:firstRow="0" w:lastRow="0" w:firstColumn="0" w:lastColumn="0" w:oddVBand="0" w:evenVBand="0" w:oddHBand="1" w:evenHBand="0" w:firstRowFirstColumn="0" w:firstRowLastColumn="0" w:lastRowFirstColumn="0" w:lastRowLastColumn="0"/>
          <w:trHeight w:val="2257"/>
        </w:trPr>
        <w:tc>
          <w:tcPr>
            <w:cnfStyle w:val="001000000000" w:firstRow="0" w:lastRow="0" w:firstColumn="1" w:lastColumn="0" w:oddVBand="0" w:evenVBand="0" w:oddHBand="0" w:evenHBand="0" w:firstRowFirstColumn="0" w:firstRowLastColumn="0" w:lastRowFirstColumn="0" w:lastRowLastColumn="0"/>
            <w:tcW w:w="1555" w:type="dxa"/>
          </w:tcPr>
          <w:p w14:paraId="26316720" w14:textId="7C38CF10" w:rsidR="0030566E" w:rsidRPr="00116E85" w:rsidRDefault="006C0F32" w:rsidP="0030566E">
            <w:pPr>
              <w:rPr>
                <w:rFonts w:eastAsia="Times New Roman"/>
                <w:sz w:val="20"/>
                <w:szCs w:val="20"/>
                <w:lang w:eastAsia="en-GB"/>
              </w:rPr>
            </w:pPr>
            <w:r>
              <w:rPr>
                <w:rFonts w:eastAsia="Times New Roman"/>
                <w:sz w:val="20"/>
                <w:szCs w:val="20"/>
                <w:lang w:eastAsia="en-GB"/>
              </w:rPr>
              <w:t>45</w:t>
            </w:r>
          </w:p>
        </w:tc>
        <w:tc>
          <w:tcPr>
            <w:tcW w:w="1555" w:type="dxa"/>
          </w:tcPr>
          <w:p w14:paraId="426C8267"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Ford (2012)</w:t>
            </w:r>
          </w:p>
          <w:p w14:paraId="57D37FBC"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730C9B66" w14:textId="67D832BA"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 xml:space="preserve">Fieldwork conducted in the United States of America </w:t>
            </w:r>
          </w:p>
        </w:tc>
        <w:tc>
          <w:tcPr>
            <w:tcW w:w="2976" w:type="dxa"/>
          </w:tcPr>
          <w:p w14:paraId="783DA25B"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identify the benefits for individuals with dementia from</w:t>
            </w:r>
          </w:p>
          <w:p w14:paraId="45B28453" w14:textId="6F8A7B4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participating in highly creative engagement activities</w:t>
            </w:r>
          </w:p>
        </w:tc>
        <w:tc>
          <w:tcPr>
            <w:tcW w:w="1843" w:type="dxa"/>
          </w:tcPr>
          <w:p w14:paraId="1D2C5774" w14:textId="38E47C45"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Qualitative</w:t>
            </w:r>
          </w:p>
        </w:tc>
        <w:tc>
          <w:tcPr>
            <w:tcW w:w="1843" w:type="dxa"/>
          </w:tcPr>
          <w:p w14:paraId="3FE761E6"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A Winston Churchill Travelling Fellowship study carried out in</w:t>
            </w:r>
          </w:p>
          <w:p w14:paraId="2AA37C0A"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six cities across the USA</w:t>
            </w:r>
          </w:p>
          <w:p w14:paraId="6C8B501F" w14:textId="30802A66" w:rsidR="0030566E" w:rsidRPr="00116E85" w:rsidRDefault="0030566E" w:rsidP="0030566E">
            <w:p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Pr>
            </w:pPr>
          </w:p>
        </w:tc>
        <w:tc>
          <w:tcPr>
            <w:tcW w:w="1985" w:type="dxa"/>
          </w:tcPr>
          <w:p w14:paraId="3D5793F6"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Data, observations and knowledge were gathered from various access programmes in</w:t>
            </w:r>
          </w:p>
          <w:p w14:paraId="63D429E5"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museums and galleries and in alternative environments from hospitals, to</w:t>
            </w:r>
          </w:p>
          <w:p w14:paraId="378DABA6" w14:textId="5D5814C0"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day centres and residential care</w:t>
            </w:r>
          </w:p>
        </w:tc>
        <w:tc>
          <w:tcPr>
            <w:tcW w:w="2126" w:type="dxa"/>
          </w:tcPr>
          <w:p w14:paraId="50FED8D8" w14:textId="651B1A44"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6568A930" w14:textId="77777777" w:rsidTr="00314766">
        <w:trPr>
          <w:trHeight w:val="2400"/>
        </w:trPr>
        <w:tc>
          <w:tcPr>
            <w:cnfStyle w:val="001000000000" w:firstRow="0" w:lastRow="0" w:firstColumn="1" w:lastColumn="0" w:oddVBand="0" w:evenVBand="0" w:oddHBand="0" w:evenHBand="0" w:firstRowFirstColumn="0" w:firstRowLastColumn="0" w:lastRowFirstColumn="0" w:lastRowLastColumn="0"/>
            <w:tcW w:w="1555" w:type="dxa"/>
          </w:tcPr>
          <w:p w14:paraId="5CE34206" w14:textId="4740B7E5" w:rsidR="0030566E" w:rsidRPr="00116E85" w:rsidRDefault="006C0F32" w:rsidP="0030566E">
            <w:pPr>
              <w:rPr>
                <w:rFonts w:eastAsia="Times New Roman"/>
                <w:sz w:val="20"/>
                <w:szCs w:val="20"/>
                <w:lang w:eastAsia="en-GB"/>
              </w:rPr>
            </w:pPr>
            <w:r>
              <w:rPr>
                <w:rFonts w:eastAsia="Times New Roman"/>
                <w:sz w:val="20"/>
                <w:szCs w:val="20"/>
                <w:lang w:eastAsia="en-GB"/>
              </w:rPr>
              <w:lastRenderedPageBreak/>
              <w:t>46</w:t>
            </w:r>
          </w:p>
        </w:tc>
        <w:tc>
          <w:tcPr>
            <w:tcW w:w="1555" w:type="dxa"/>
          </w:tcPr>
          <w:p w14:paraId="54B662C2"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Ganga et al. (2017)</w:t>
            </w:r>
          </w:p>
          <w:p w14:paraId="73F78437"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5B4F1CA2" w14:textId="799826B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050A4C3F" w14:textId="65E482E8"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understand the impact of House of Memories Family Carers Awareness Day and to provide suggestions for the future development of the programme</w:t>
            </w:r>
          </w:p>
        </w:tc>
        <w:tc>
          <w:tcPr>
            <w:tcW w:w="1843" w:type="dxa"/>
          </w:tcPr>
          <w:p w14:paraId="79976AEE" w14:textId="42E7A463"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Mixed-methods </w:t>
            </w:r>
          </w:p>
        </w:tc>
        <w:tc>
          <w:tcPr>
            <w:tcW w:w="1843" w:type="dxa"/>
          </w:tcPr>
          <w:p w14:paraId="4B9A363E"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Survey to 50 informal carers (70% aged 50 or older and 91% were female); </w:t>
            </w:r>
          </w:p>
          <w:p w14:paraId="771BB4BF" w14:textId="761FBEEA"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8 museum staff interviewed</w:t>
            </w:r>
          </w:p>
        </w:tc>
        <w:tc>
          <w:tcPr>
            <w:tcW w:w="1985" w:type="dxa"/>
          </w:tcPr>
          <w:p w14:paraId="0AFEC9ED"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Pre-post survey – 66 useable responses</w:t>
            </w:r>
          </w:p>
          <w:p w14:paraId="6B954616"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8 semi-structured interviews with museum staff</w:t>
            </w:r>
          </w:p>
          <w:p w14:paraId="58AEB4A6"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Participant observation of 8 sessions</w:t>
            </w:r>
          </w:p>
          <w:p w14:paraId="7CF1F580" w14:textId="41552B7B"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Social return on investment </w:t>
            </w:r>
          </w:p>
        </w:tc>
        <w:tc>
          <w:tcPr>
            <w:tcW w:w="2126" w:type="dxa"/>
          </w:tcPr>
          <w:p w14:paraId="696421EA" w14:textId="5C7B2976"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329FBAFF" w14:textId="77777777" w:rsidTr="00712A10">
        <w:trPr>
          <w:cnfStyle w:val="000000100000" w:firstRow="0" w:lastRow="0" w:firstColumn="0" w:lastColumn="0" w:oddVBand="0" w:evenVBand="0" w:oddHBand="1"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1555" w:type="dxa"/>
          </w:tcPr>
          <w:p w14:paraId="6F02947C" w14:textId="609624E5" w:rsidR="0030566E" w:rsidRPr="00116E85" w:rsidRDefault="006C0F32" w:rsidP="0030566E">
            <w:pPr>
              <w:rPr>
                <w:rFonts w:eastAsia="Times New Roman"/>
                <w:sz w:val="20"/>
                <w:szCs w:val="20"/>
                <w:lang w:eastAsia="en-GB"/>
              </w:rPr>
            </w:pPr>
            <w:r>
              <w:rPr>
                <w:rFonts w:eastAsia="Times New Roman"/>
                <w:sz w:val="20"/>
                <w:szCs w:val="20"/>
                <w:lang w:eastAsia="en-GB"/>
              </w:rPr>
              <w:t>47</w:t>
            </w:r>
          </w:p>
        </w:tc>
        <w:tc>
          <w:tcPr>
            <w:tcW w:w="1555" w:type="dxa"/>
          </w:tcPr>
          <w:p w14:paraId="7299B54B" w14:textId="4F490D63"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Gould (2013</w:t>
            </w:r>
            <w:r w:rsidR="0048112E" w:rsidRPr="006C0F32">
              <w:rPr>
                <w:rFonts w:eastAsia="Times New Roman"/>
                <w:sz w:val="20"/>
                <w:szCs w:val="20"/>
                <w:lang w:eastAsia="en-GB"/>
              </w:rPr>
              <w:t>)</w:t>
            </w:r>
          </w:p>
          <w:p w14:paraId="0DCCF8E9"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1F9D0F3B" w14:textId="0B75B40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2922D947"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report findings from A4D’s landmark pilot programme</w:t>
            </w:r>
          </w:p>
          <w:p w14:paraId="675E174F" w14:textId="38F63C8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London Arts Challenge in 2012 (LAC) at arts venues around the capital (a range of activities were explored – we drew data on museums) </w:t>
            </w:r>
          </w:p>
        </w:tc>
        <w:tc>
          <w:tcPr>
            <w:tcW w:w="1843" w:type="dxa"/>
          </w:tcPr>
          <w:p w14:paraId="099F2541" w14:textId="27F70253"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Evaluation </w:t>
            </w:r>
          </w:p>
        </w:tc>
        <w:tc>
          <w:tcPr>
            <w:tcW w:w="1843" w:type="dxa"/>
          </w:tcPr>
          <w:p w14:paraId="6E94C519"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52 people with dementia (42 involved in the evaluation) aged 69-91 years (55%=female)</w:t>
            </w:r>
          </w:p>
          <w:p w14:paraId="1FB1197A" w14:textId="3B87602F" w:rsidR="0030566E" w:rsidRPr="00116E85" w:rsidRDefault="00712A10"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49 carers (39 evaluated)</w:t>
            </w:r>
          </w:p>
        </w:tc>
        <w:tc>
          <w:tcPr>
            <w:tcW w:w="1985" w:type="dxa"/>
          </w:tcPr>
          <w:p w14:paraId="4D978E40"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Questionnaire (open and closed questions)</w:t>
            </w:r>
          </w:p>
          <w:p w14:paraId="4A3907D7"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Attendance register </w:t>
            </w:r>
          </w:p>
          <w:p w14:paraId="682B26BF" w14:textId="08EE8DB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Observations </w:t>
            </w:r>
          </w:p>
        </w:tc>
        <w:tc>
          <w:tcPr>
            <w:tcW w:w="2126" w:type="dxa"/>
          </w:tcPr>
          <w:p w14:paraId="5A7A6DE3" w14:textId="63C47913"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Museum </w:t>
            </w:r>
          </w:p>
        </w:tc>
      </w:tr>
      <w:tr w:rsidR="0030566E" w:rsidRPr="00116E85" w14:paraId="366853E9" w14:textId="77777777" w:rsidTr="00712A10">
        <w:trPr>
          <w:trHeight w:val="1134"/>
        </w:trPr>
        <w:tc>
          <w:tcPr>
            <w:cnfStyle w:val="001000000000" w:firstRow="0" w:lastRow="0" w:firstColumn="1" w:lastColumn="0" w:oddVBand="0" w:evenVBand="0" w:oddHBand="0" w:evenHBand="0" w:firstRowFirstColumn="0" w:firstRowLastColumn="0" w:lastRowFirstColumn="0" w:lastRowLastColumn="0"/>
            <w:tcW w:w="1555" w:type="dxa"/>
          </w:tcPr>
          <w:p w14:paraId="1F401D4C" w14:textId="29D51AC5" w:rsidR="0030566E" w:rsidRPr="00116E85" w:rsidRDefault="006C0F32" w:rsidP="0030566E">
            <w:pPr>
              <w:rPr>
                <w:rFonts w:eastAsia="Times New Roman"/>
                <w:sz w:val="20"/>
                <w:szCs w:val="20"/>
                <w:lang w:eastAsia="en-GB"/>
              </w:rPr>
            </w:pPr>
            <w:r>
              <w:rPr>
                <w:rFonts w:eastAsia="Times New Roman"/>
                <w:sz w:val="20"/>
                <w:szCs w:val="20"/>
                <w:lang w:eastAsia="en-GB"/>
              </w:rPr>
              <w:t>48</w:t>
            </w:r>
          </w:p>
        </w:tc>
        <w:tc>
          <w:tcPr>
            <w:tcW w:w="1555" w:type="dxa"/>
          </w:tcPr>
          <w:p w14:paraId="32EA9C9A" w14:textId="3A4ED02C" w:rsidR="0030566E" w:rsidRPr="006C0F32" w:rsidRDefault="00D21916"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Goulding (2013</w:t>
            </w:r>
            <w:r w:rsidR="0030566E" w:rsidRPr="006C0F32">
              <w:rPr>
                <w:rFonts w:eastAsia="Times New Roman"/>
                <w:sz w:val="20"/>
                <w:szCs w:val="20"/>
                <w:lang w:eastAsia="en-GB"/>
              </w:rPr>
              <w:t>)</w:t>
            </w:r>
          </w:p>
          <w:p w14:paraId="6D867BBC"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2C9C97E7" w14:textId="5B45D98D"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24178317"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understand how the lives</w:t>
            </w:r>
          </w:p>
          <w:p w14:paraId="0E7C4280" w14:textId="350CC9B8"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of older people can be improved by examining their use of contemporary visual art in an art gallery and museum</w:t>
            </w:r>
          </w:p>
        </w:tc>
        <w:tc>
          <w:tcPr>
            <w:tcW w:w="1843" w:type="dxa"/>
          </w:tcPr>
          <w:p w14:paraId="500FEA36" w14:textId="0778364F"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Qualitative</w:t>
            </w:r>
          </w:p>
        </w:tc>
        <w:tc>
          <w:tcPr>
            <w:tcW w:w="1843" w:type="dxa"/>
          </w:tcPr>
          <w:p w14:paraId="0D98FEEC" w14:textId="29C836A3"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43 participants aged 60-92 (17 males, 26 females)</w:t>
            </w:r>
          </w:p>
        </w:tc>
        <w:tc>
          <w:tcPr>
            <w:tcW w:w="1985" w:type="dxa"/>
          </w:tcPr>
          <w:p w14:paraId="41786D64" w14:textId="674E261A"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Interviews; no information on data analysis </w:t>
            </w:r>
          </w:p>
        </w:tc>
        <w:tc>
          <w:tcPr>
            <w:tcW w:w="2126" w:type="dxa"/>
          </w:tcPr>
          <w:p w14:paraId="44095E02" w14:textId="1849A01E"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 (art gallery)</w:t>
            </w:r>
          </w:p>
        </w:tc>
      </w:tr>
      <w:tr w:rsidR="0030566E" w:rsidRPr="00116E85" w14:paraId="1C11D84F" w14:textId="77777777" w:rsidTr="000C5E98">
        <w:trPr>
          <w:cnfStyle w:val="000000100000" w:firstRow="0" w:lastRow="0" w:firstColumn="0" w:lastColumn="0" w:oddVBand="0" w:evenVBand="0" w:oddHBand="1" w:evenHBand="0" w:firstRowFirstColumn="0" w:firstRowLastColumn="0" w:lastRowFirstColumn="0" w:lastRowLastColumn="0"/>
          <w:trHeight w:val="1842"/>
        </w:trPr>
        <w:tc>
          <w:tcPr>
            <w:cnfStyle w:val="001000000000" w:firstRow="0" w:lastRow="0" w:firstColumn="1" w:lastColumn="0" w:oddVBand="0" w:evenVBand="0" w:oddHBand="0" w:evenHBand="0" w:firstRowFirstColumn="0" w:firstRowLastColumn="0" w:lastRowFirstColumn="0" w:lastRowLastColumn="0"/>
            <w:tcW w:w="1555" w:type="dxa"/>
          </w:tcPr>
          <w:p w14:paraId="08EE92AD" w14:textId="331679DD" w:rsidR="0030566E" w:rsidRPr="00116E85" w:rsidRDefault="006C0F32" w:rsidP="0030566E">
            <w:pPr>
              <w:rPr>
                <w:rFonts w:eastAsia="Times New Roman"/>
                <w:sz w:val="20"/>
                <w:szCs w:val="20"/>
                <w:lang w:eastAsia="en-GB"/>
              </w:rPr>
            </w:pPr>
            <w:r>
              <w:rPr>
                <w:rFonts w:eastAsia="Times New Roman"/>
                <w:sz w:val="20"/>
                <w:szCs w:val="20"/>
                <w:lang w:eastAsia="en-GB"/>
              </w:rPr>
              <w:t>49</w:t>
            </w:r>
          </w:p>
        </w:tc>
        <w:tc>
          <w:tcPr>
            <w:tcW w:w="1555" w:type="dxa"/>
          </w:tcPr>
          <w:p w14:paraId="20B36E1D" w14:textId="2F23E91D" w:rsidR="0030566E" w:rsidRPr="006C0F32" w:rsidRDefault="00712A10"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Hendriks et al. (2019</w:t>
            </w:r>
            <w:r w:rsidR="0030566E" w:rsidRPr="006C0F32">
              <w:rPr>
                <w:rFonts w:eastAsia="Times New Roman"/>
                <w:sz w:val="20"/>
                <w:szCs w:val="20"/>
                <w:lang w:eastAsia="en-GB"/>
              </w:rPr>
              <w:t>)</w:t>
            </w:r>
          </w:p>
          <w:p w14:paraId="1E941053"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13B6159D" w14:textId="31430610"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Netherlands</w:t>
            </w:r>
          </w:p>
        </w:tc>
        <w:tc>
          <w:tcPr>
            <w:tcW w:w="2976" w:type="dxa"/>
          </w:tcPr>
          <w:p w14:paraId="4B67E6D3" w14:textId="530C7463"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evaluate the implementation of an interactive museum program for people with dementia and their caregivers and the impact of the program’s implementation on the organization and on the attitudes toward dementia of the museum staff</w:t>
            </w:r>
          </w:p>
        </w:tc>
        <w:tc>
          <w:tcPr>
            <w:tcW w:w="1843" w:type="dxa"/>
          </w:tcPr>
          <w:p w14:paraId="6C0F0EBB" w14:textId="0334D0C9"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Mixed-methods</w:t>
            </w:r>
          </w:p>
        </w:tc>
        <w:tc>
          <w:tcPr>
            <w:tcW w:w="1843" w:type="dxa"/>
          </w:tcPr>
          <w:p w14:paraId="18B51339" w14:textId="0931992C"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23 stakeholders interviewed and 176 participants (museum employees) completed the questionnaire</w:t>
            </w:r>
          </w:p>
        </w:tc>
        <w:tc>
          <w:tcPr>
            <w:tcW w:w="1985" w:type="dxa"/>
          </w:tcPr>
          <w:p w14:paraId="4DCC6226"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Interviews, Approaches</w:t>
            </w:r>
          </w:p>
          <w:p w14:paraId="75AF2BC6" w14:textId="34DE1BD4"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Dementia Questionnaire; Content analysis and Statistical analysis</w:t>
            </w:r>
          </w:p>
        </w:tc>
        <w:tc>
          <w:tcPr>
            <w:tcW w:w="2126" w:type="dxa"/>
          </w:tcPr>
          <w:p w14:paraId="5C2F425D" w14:textId="3B1DBCC0"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564C1AA3" w14:textId="77777777" w:rsidTr="00513216">
        <w:trPr>
          <w:trHeight w:val="1531"/>
        </w:trPr>
        <w:tc>
          <w:tcPr>
            <w:cnfStyle w:val="001000000000" w:firstRow="0" w:lastRow="0" w:firstColumn="1" w:lastColumn="0" w:oddVBand="0" w:evenVBand="0" w:oddHBand="0" w:evenHBand="0" w:firstRowFirstColumn="0" w:firstRowLastColumn="0" w:lastRowFirstColumn="0" w:lastRowLastColumn="0"/>
            <w:tcW w:w="1555" w:type="dxa"/>
          </w:tcPr>
          <w:p w14:paraId="462D0D23" w14:textId="245874A7" w:rsidR="0030566E" w:rsidRPr="00116E85" w:rsidRDefault="006C0F32" w:rsidP="0030566E">
            <w:pPr>
              <w:rPr>
                <w:rFonts w:eastAsia="Times New Roman"/>
                <w:sz w:val="20"/>
                <w:szCs w:val="20"/>
                <w:lang w:eastAsia="en-GB"/>
              </w:rPr>
            </w:pPr>
            <w:r>
              <w:rPr>
                <w:rFonts w:eastAsia="Times New Roman"/>
                <w:sz w:val="20"/>
                <w:szCs w:val="20"/>
                <w:lang w:eastAsia="en-GB"/>
              </w:rPr>
              <w:lastRenderedPageBreak/>
              <w:t>50</w:t>
            </w:r>
          </w:p>
        </w:tc>
        <w:tc>
          <w:tcPr>
            <w:tcW w:w="1555" w:type="dxa"/>
          </w:tcPr>
          <w:p w14:paraId="63357120" w14:textId="1A3010AE" w:rsidR="0030566E" w:rsidRPr="006C0F32" w:rsidRDefault="00825BED"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Hendriks et al. (2019</w:t>
            </w:r>
            <w:r w:rsidR="0030566E" w:rsidRPr="006C0F32">
              <w:rPr>
                <w:rFonts w:eastAsia="Times New Roman"/>
                <w:sz w:val="20"/>
                <w:szCs w:val="20"/>
                <w:lang w:eastAsia="en-GB"/>
              </w:rPr>
              <w:t>)</w:t>
            </w:r>
          </w:p>
          <w:p w14:paraId="1441B204"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7E69596B" w14:textId="375711AE"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Netherlands</w:t>
            </w:r>
          </w:p>
        </w:tc>
        <w:tc>
          <w:tcPr>
            <w:tcW w:w="2976" w:type="dxa"/>
          </w:tcPr>
          <w:p w14:paraId="2A986C9D" w14:textId="272DCEB6"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investigate whether responsiveness during museum programs depends on the type of artwork shown and/or characteristics of the person with dementia, such as severity of dementia or specific cognitive impairments</w:t>
            </w:r>
          </w:p>
        </w:tc>
        <w:tc>
          <w:tcPr>
            <w:tcW w:w="1843" w:type="dxa"/>
          </w:tcPr>
          <w:p w14:paraId="6D8D462C" w14:textId="2EB9FFBC"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Quantitative (cross-sectional)</w:t>
            </w:r>
          </w:p>
        </w:tc>
        <w:tc>
          <w:tcPr>
            <w:tcW w:w="1843" w:type="dxa"/>
          </w:tcPr>
          <w:p w14:paraId="348B831A" w14:textId="51887CA1"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72 participants, 43 female and 29 male, with an average age of 81.33</w:t>
            </w:r>
          </w:p>
        </w:tc>
        <w:tc>
          <w:tcPr>
            <w:tcW w:w="1985" w:type="dxa"/>
          </w:tcPr>
          <w:p w14:paraId="405F55EE"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Assessment of Art Attributes scale, Interact instrument, Global Deterioration Scale; Statistical analysis  </w:t>
            </w:r>
          </w:p>
          <w:p w14:paraId="24705C9C"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p>
          <w:p w14:paraId="67313B88" w14:textId="7C220679"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p>
        </w:tc>
        <w:tc>
          <w:tcPr>
            <w:tcW w:w="2126" w:type="dxa"/>
          </w:tcPr>
          <w:p w14:paraId="66C5CE5C" w14:textId="0A68F404"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83B56ED" w14:textId="77777777" w:rsidTr="00825BED">
        <w:trPr>
          <w:cnfStyle w:val="000000100000" w:firstRow="0" w:lastRow="0" w:firstColumn="0" w:lastColumn="0" w:oddVBand="0" w:evenVBand="0" w:oddHBand="1" w:evenHBand="0" w:firstRowFirstColumn="0" w:firstRowLastColumn="0" w:lastRowFirstColumn="0" w:lastRowLastColumn="0"/>
          <w:trHeight w:val="1972"/>
        </w:trPr>
        <w:tc>
          <w:tcPr>
            <w:cnfStyle w:val="001000000000" w:firstRow="0" w:lastRow="0" w:firstColumn="1" w:lastColumn="0" w:oddVBand="0" w:evenVBand="0" w:oddHBand="0" w:evenHBand="0" w:firstRowFirstColumn="0" w:firstRowLastColumn="0" w:lastRowFirstColumn="0" w:lastRowLastColumn="0"/>
            <w:tcW w:w="1555" w:type="dxa"/>
          </w:tcPr>
          <w:p w14:paraId="2DA4D8A0" w14:textId="571F0BCE" w:rsidR="0030566E" w:rsidRPr="00116E85" w:rsidRDefault="006C0F32" w:rsidP="0030566E">
            <w:pPr>
              <w:rPr>
                <w:rFonts w:eastAsia="Times New Roman"/>
                <w:sz w:val="20"/>
                <w:szCs w:val="20"/>
                <w:lang w:eastAsia="en-GB"/>
              </w:rPr>
            </w:pPr>
            <w:r>
              <w:rPr>
                <w:rFonts w:eastAsia="Times New Roman"/>
                <w:sz w:val="20"/>
                <w:szCs w:val="20"/>
                <w:lang w:eastAsia="en-GB"/>
              </w:rPr>
              <w:t>51</w:t>
            </w:r>
          </w:p>
        </w:tc>
        <w:tc>
          <w:tcPr>
            <w:tcW w:w="1555" w:type="dxa"/>
          </w:tcPr>
          <w:p w14:paraId="44B84AB8"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Howarth et al. (2020)</w:t>
            </w:r>
          </w:p>
          <w:p w14:paraId="6D174E88"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p>
          <w:p w14:paraId="322CA182"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p w14:paraId="31BCCE3C" w14:textId="3CCDF838"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p>
        </w:tc>
        <w:tc>
          <w:tcPr>
            <w:tcW w:w="2976" w:type="dxa"/>
          </w:tcPr>
          <w:p w14:paraId="34BEDC9D"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examine how social prescribing and, in particular, nature-based solutions, such</w:t>
            </w:r>
          </w:p>
          <w:p w14:paraId="3340A2D9" w14:textId="192245FC"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as gardening, can be used as a non-medical asset-based approach by health professionals working in the community to promote health and wellbeing</w:t>
            </w:r>
          </w:p>
        </w:tc>
        <w:tc>
          <w:tcPr>
            <w:tcW w:w="1843" w:type="dxa"/>
          </w:tcPr>
          <w:p w14:paraId="62F4E16C" w14:textId="7E563ACE"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Mixed-methods</w:t>
            </w:r>
          </w:p>
        </w:tc>
        <w:tc>
          <w:tcPr>
            <w:tcW w:w="1843" w:type="dxa"/>
          </w:tcPr>
          <w:p w14:paraId="51B42A82" w14:textId="1C75CBA1"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47 participants aged 30-85 years, although most people are over 60 years of age</w:t>
            </w:r>
          </w:p>
        </w:tc>
        <w:tc>
          <w:tcPr>
            <w:tcW w:w="1985" w:type="dxa"/>
          </w:tcPr>
          <w:p w14:paraId="6E1194FC"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Short version of Warwick-Edinburgh</w:t>
            </w:r>
          </w:p>
          <w:p w14:paraId="4483DA96" w14:textId="338D7BE9"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Mental Well-being Scale (before and after visit), focus groups; Statistical analysis, Thematic analysis</w:t>
            </w:r>
          </w:p>
        </w:tc>
        <w:tc>
          <w:tcPr>
            <w:tcW w:w="2126" w:type="dxa"/>
          </w:tcPr>
          <w:p w14:paraId="116580A4" w14:textId="45FA67C5"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Garden</w:t>
            </w:r>
          </w:p>
        </w:tc>
      </w:tr>
      <w:tr w:rsidR="0030566E" w:rsidRPr="00116E85" w14:paraId="7F69FE51" w14:textId="77777777" w:rsidTr="00E41E51">
        <w:trPr>
          <w:trHeight w:val="2116"/>
        </w:trPr>
        <w:tc>
          <w:tcPr>
            <w:cnfStyle w:val="001000000000" w:firstRow="0" w:lastRow="0" w:firstColumn="1" w:lastColumn="0" w:oddVBand="0" w:evenVBand="0" w:oddHBand="0" w:evenHBand="0" w:firstRowFirstColumn="0" w:firstRowLastColumn="0" w:lastRowFirstColumn="0" w:lastRowLastColumn="0"/>
            <w:tcW w:w="1555" w:type="dxa"/>
          </w:tcPr>
          <w:p w14:paraId="1C6EC695" w14:textId="494D62E4" w:rsidR="0030566E" w:rsidRPr="00116E85" w:rsidRDefault="006C0F32" w:rsidP="0030566E">
            <w:pPr>
              <w:rPr>
                <w:rFonts w:eastAsia="Times New Roman"/>
                <w:sz w:val="20"/>
                <w:szCs w:val="20"/>
                <w:lang w:eastAsia="en-GB"/>
              </w:rPr>
            </w:pPr>
            <w:r>
              <w:rPr>
                <w:rFonts w:eastAsia="Times New Roman"/>
                <w:sz w:val="20"/>
                <w:szCs w:val="20"/>
                <w:lang w:eastAsia="en-GB"/>
              </w:rPr>
              <w:t>52</w:t>
            </w:r>
          </w:p>
        </w:tc>
        <w:tc>
          <w:tcPr>
            <w:tcW w:w="1555" w:type="dxa"/>
          </w:tcPr>
          <w:p w14:paraId="63172DE7"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Johnson et al. (2017)</w:t>
            </w:r>
          </w:p>
          <w:p w14:paraId="0B48F494"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59B04AB2" w14:textId="08DB7656"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5B2E7B02" w14:textId="4214A050"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compare the impact of two museum-based activities and a social activity on the subjective wellbeing of people with dementia and their caregivers</w:t>
            </w:r>
          </w:p>
        </w:tc>
        <w:tc>
          <w:tcPr>
            <w:tcW w:w="1843" w:type="dxa"/>
          </w:tcPr>
          <w:p w14:paraId="23CE84FA" w14:textId="1DE09DE3"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Quantitative</w:t>
            </w:r>
          </w:p>
        </w:tc>
        <w:tc>
          <w:tcPr>
            <w:tcW w:w="1843" w:type="dxa"/>
          </w:tcPr>
          <w:p w14:paraId="2131EE98" w14:textId="599A0C90"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66 participants, 36 people with dementia (25 male, 11 female, average age = 74 SD 7.06) and 30 caregivers (4 male, 26 female, average age = 66 SD 9.95)</w:t>
            </w:r>
          </w:p>
        </w:tc>
        <w:tc>
          <w:tcPr>
            <w:tcW w:w="1985" w:type="dxa"/>
          </w:tcPr>
          <w:p w14:paraId="139B0228" w14:textId="1CDD3EA7" w:rsidR="0030566E" w:rsidRPr="00116E85" w:rsidRDefault="0030566E" w:rsidP="00E3434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Visual analog scales, Evaluation questionnaire; Statistical analysis</w:t>
            </w:r>
          </w:p>
        </w:tc>
        <w:tc>
          <w:tcPr>
            <w:tcW w:w="2126" w:type="dxa"/>
          </w:tcPr>
          <w:p w14:paraId="3CAE7034" w14:textId="540C9B0B"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D3565A1" w14:textId="77777777" w:rsidTr="00825BED">
        <w:trPr>
          <w:cnfStyle w:val="000000100000" w:firstRow="0" w:lastRow="0" w:firstColumn="0" w:lastColumn="0" w:oddVBand="0" w:evenVBand="0" w:oddHBand="1" w:evenHBand="0" w:firstRowFirstColumn="0" w:firstRowLastColumn="0" w:lastRowFirstColumn="0" w:lastRowLastColumn="0"/>
          <w:trHeight w:val="1304"/>
        </w:trPr>
        <w:tc>
          <w:tcPr>
            <w:cnfStyle w:val="001000000000" w:firstRow="0" w:lastRow="0" w:firstColumn="1" w:lastColumn="0" w:oddVBand="0" w:evenVBand="0" w:oddHBand="0" w:evenHBand="0" w:firstRowFirstColumn="0" w:firstRowLastColumn="0" w:lastRowFirstColumn="0" w:lastRowLastColumn="0"/>
            <w:tcW w:w="1555" w:type="dxa"/>
          </w:tcPr>
          <w:p w14:paraId="02E620C1" w14:textId="79373B81" w:rsidR="0030566E" w:rsidRPr="00116E85" w:rsidRDefault="006C0F32" w:rsidP="0030566E">
            <w:pPr>
              <w:rPr>
                <w:rFonts w:eastAsia="Times New Roman"/>
                <w:sz w:val="20"/>
                <w:szCs w:val="20"/>
                <w:lang w:eastAsia="en-GB"/>
              </w:rPr>
            </w:pPr>
            <w:r>
              <w:rPr>
                <w:rFonts w:eastAsia="Times New Roman"/>
                <w:sz w:val="20"/>
                <w:szCs w:val="20"/>
                <w:lang w:eastAsia="en-GB"/>
              </w:rPr>
              <w:t>53</w:t>
            </w:r>
          </w:p>
        </w:tc>
        <w:tc>
          <w:tcPr>
            <w:tcW w:w="1555" w:type="dxa"/>
          </w:tcPr>
          <w:p w14:paraId="751A6928"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Joyce (2005)</w:t>
            </w:r>
          </w:p>
          <w:p w14:paraId="1141295B"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63E20D9D" w14:textId="0BDC4B6C"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72313D3D" w14:textId="283A2143"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describe and evaluate an innovative project that brought together the skills and creative vision of a major national museums group in partnership with a housing action trust</w:t>
            </w:r>
          </w:p>
        </w:tc>
        <w:tc>
          <w:tcPr>
            <w:tcW w:w="1843" w:type="dxa"/>
          </w:tcPr>
          <w:p w14:paraId="7FE1F2DF" w14:textId="75E762C5"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More a commentary and lessons learnt rather than a formal evaluation </w:t>
            </w:r>
          </w:p>
        </w:tc>
        <w:tc>
          <w:tcPr>
            <w:tcW w:w="1843" w:type="dxa"/>
          </w:tcPr>
          <w:p w14:paraId="66073B01" w14:textId="19E39A2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3E6F7A4B" w14:textId="52E6B6DB"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55B35C6C" w14:textId="08E3EE82"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03AB56EB" w14:textId="77777777" w:rsidTr="00825BED">
        <w:trPr>
          <w:trHeight w:val="1814"/>
        </w:trPr>
        <w:tc>
          <w:tcPr>
            <w:cnfStyle w:val="001000000000" w:firstRow="0" w:lastRow="0" w:firstColumn="1" w:lastColumn="0" w:oddVBand="0" w:evenVBand="0" w:oddHBand="0" w:evenHBand="0" w:firstRowFirstColumn="0" w:firstRowLastColumn="0" w:lastRowFirstColumn="0" w:lastRowLastColumn="0"/>
            <w:tcW w:w="1555" w:type="dxa"/>
          </w:tcPr>
          <w:p w14:paraId="349B44FA" w14:textId="0FDE7931" w:rsidR="0030566E" w:rsidRPr="00116E85" w:rsidRDefault="006C0F32" w:rsidP="0030566E">
            <w:pPr>
              <w:rPr>
                <w:rFonts w:eastAsia="Times New Roman"/>
                <w:sz w:val="20"/>
                <w:szCs w:val="20"/>
                <w:lang w:eastAsia="en-GB"/>
              </w:rPr>
            </w:pPr>
            <w:r>
              <w:rPr>
                <w:rFonts w:eastAsia="Times New Roman"/>
                <w:sz w:val="20"/>
                <w:szCs w:val="20"/>
                <w:lang w:eastAsia="en-GB"/>
              </w:rPr>
              <w:lastRenderedPageBreak/>
              <w:t>54</w:t>
            </w:r>
          </w:p>
        </w:tc>
        <w:tc>
          <w:tcPr>
            <w:tcW w:w="1555" w:type="dxa"/>
          </w:tcPr>
          <w:p w14:paraId="3E690BDF" w14:textId="7E8D6604" w:rsidR="0030566E" w:rsidRPr="006C0F32" w:rsidRDefault="00E34341"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Liptak et al. (2014</w:t>
            </w:r>
            <w:r w:rsidR="0030566E" w:rsidRPr="006C0F32">
              <w:rPr>
                <w:rFonts w:eastAsia="Times New Roman"/>
                <w:sz w:val="20"/>
                <w:szCs w:val="20"/>
                <w:lang w:eastAsia="en-GB"/>
              </w:rPr>
              <w:t>)</w:t>
            </w:r>
          </w:p>
          <w:p w14:paraId="5EF94AD1"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2D123B2F" w14:textId="1CB827D8"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States of America</w:t>
            </w:r>
          </w:p>
        </w:tc>
        <w:tc>
          <w:tcPr>
            <w:tcW w:w="2976" w:type="dxa"/>
          </w:tcPr>
          <w:p w14:paraId="2F75514B" w14:textId="457501B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To describe humour and laughter in persons with cognitive impairment and caregivers who were recalling a shared experience in a focus group – all had been part of an art engagement activity at the Andy Warhol Art Museum </w:t>
            </w:r>
          </w:p>
        </w:tc>
        <w:tc>
          <w:tcPr>
            <w:tcW w:w="1843" w:type="dxa"/>
          </w:tcPr>
          <w:p w14:paraId="24ED906B" w14:textId="1D462C20"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Qualitative</w:t>
            </w:r>
          </w:p>
        </w:tc>
        <w:tc>
          <w:tcPr>
            <w:tcW w:w="1843" w:type="dxa"/>
          </w:tcPr>
          <w:p w14:paraId="42BC6E35" w14:textId="281796E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20 participants (10 with cognitive impairment and 10 caregivers), 11 females and 9 males, the majority were 60 years or older</w:t>
            </w:r>
          </w:p>
        </w:tc>
        <w:tc>
          <w:tcPr>
            <w:tcW w:w="1985" w:type="dxa"/>
          </w:tcPr>
          <w:p w14:paraId="51DCB76D" w14:textId="2C04D624"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Focus groups (n=4); Content analysis</w:t>
            </w:r>
          </w:p>
        </w:tc>
        <w:tc>
          <w:tcPr>
            <w:tcW w:w="2126" w:type="dxa"/>
          </w:tcPr>
          <w:p w14:paraId="1B75B814" w14:textId="6CD52E55"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630EC094" w14:textId="77777777" w:rsidTr="00E34341">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1555" w:type="dxa"/>
          </w:tcPr>
          <w:p w14:paraId="1E7B03CE" w14:textId="03111720" w:rsidR="0030566E" w:rsidRPr="00116E85" w:rsidRDefault="006C0F32" w:rsidP="0030566E">
            <w:pPr>
              <w:rPr>
                <w:rFonts w:eastAsia="Times New Roman"/>
                <w:sz w:val="20"/>
                <w:szCs w:val="20"/>
                <w:lang w:eastAsia="en-GB"/>
              </w:rPr>
            </w:pPr>
            <w:r>
              <w:rPr>
                <w:rFonts w:eastAsia="Times New Roman"/>
                <w:sz w:val="20"/>
                <w:szCs w:val="20"/>
                <w:lang w:eastAsia="en-GB"/>
              </w:rPr>
              <w:t>55</w:t>
            </w:r>
          </w:p>
        </w:tc>
        <w:tc>
          <w:tcPr>
            <w:tcW w:w="1555" w:type="dxa"/>
          </w:tcPr>
          <w:p w14:paraId="3E1EBAF1"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Lynch (2019)</w:t>
            </w:r>
          </w:p>
          <w:p w14:paraId="3BF686EB"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73488FA9" w14:textId="7BA2B744"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41BC494B" w14:textId="1DE9B3D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To capture key contributions and learnings from </w:t>
            </w:r>
            <w:r w:rsidRPr="00116E85">
              <w:rPr>
                <w:rFonts w:eastAsia="Times New Roman"/>
                <w:i/>
                <w:iCs/>
                <w:sz w:val="20"/>
                <w:szCs w:val="20"/>
                <w:lang w:eastAsia="en-GB"/>
              </w:rPr>
              <w:t>The Ageing Well: Creative Ageing and the City</w:t>
            </w:r>
            <w:r w:rsidRPr="00116E85">
              <w:rPr>
                <w:rFonts w:eastAsia="Times New Roman"/>
                <w:sz w:val="20"/>
                <w:szCs w:val="20"/>
                <w:lang w:eastAsia="en-GB"/>
              </w:rPr>
              <w:t xml:space="preserve"> symposium</w:t>
            </w:r>
          </w:p>
        </w:tc>
        <w:tc>
          <w:tcPr>
            <w:tcW w:w="1843" w:type="dxa"/>
          </w:tcPr>
          <w:p w14:paraId="0A73A211" w14:textId="5E47F6AB"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Report</w:t>
            </w:r>
          </w:p>
        </w:tc>
        <w:tc>
          <w:tcPr>
            <w:tcW w:w="1843" w:type="dxa"/>
          </w:tcPr>
          <w:p w14:paraId="6F54A8AC" w14:textId="5DD4E3B6"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1DD7B3F1" w14:textId="50114EB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771ED5ED" w14:textId="6E096ED0"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4A2EBB3A" w14:textId="77777777" w:rsidTr="00E34341">
        <w:trPr>
          <w:trHeight w:val="1036"/>
        </w:trPr>
        <w:tc>
          <w:tcPr>
            <w:cnfStyle w:val="001000000000" w:firstRow="0" w:lastRow="0" w:firstColumn="1" w:lastColumn="0" w:oddVBand="0" w:evenVBand="0" w:oddHBand="0" w:evenHBand="0" w:firstRowFirstColumn="0" w:firstRowLastColumn="0" w:lastRowFirstColumn="0" w:lastRowLastColumn="0"/>
            <w:tcW w:w="1555" w:type="dxa"/>
          </w:tcPr>
          <w:p w14:paraId="6DD85A12" w14:textId="2E1BFCAF" w:rsidR="0030566E" w:rsidRPr="00116E85" w:rsidRDefault="006C0F32" w:rsidP="0030566E">
            <w:pPr>
              <w:rPr>
                <w:rFonts w:eastAsia="Times New Roman"/>
                <w:sz w:val="20"/>
                <w:szCs w:val="20"/>
                <w:lang w:eastAsia="en-GB"/>
              </w:rPr>
            </w:pPr>
            <w:r>
              <w:rPr>
                <w:rFonts w:eastAsia="Times New Roman"/>
                <w:sz w:val="20"/>
                <w:szCs w:val="20"/>
                <w:lang w:eastAsia="en-GB"/>
              </w:rPr>
              <w:t>56</w:t>
            </w:r>
          </w:p>
        </w:tc>
        <w:tc>
          <w:tcPr>
            <w:tcW w:w="1555" w:type="dxa"/>
          </w:tcPr>
          <w:p w14:paraId="46809900"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Mmako et al. (2020)</w:t>
            </w:r>
          </w:p>
          <w:p w14:paraId="4E7A72A9"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7100D066" w14:textId="4A8D992E"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Australia</w:t>
            </w:r>
          </w:p>
        </w:tc>
        <w:tc>
          <w:tcPr>
            <w:tcW w:w="2976" w:type="dxa"/>
          </w:tcPr>
          <w:p w14:paraId="4747CB8C" w14:textId="1C925825"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explore existing evidence for quality of life impacts of contact with green spaces by people living with dementia in the community</w:t>
            </w:r>
          </w:p>
        </w:tc>
        <w:tc>
          <w:tcPr>
            <w:tcW w:w="1843" w:type="dxa"/>
          </w:tcPr>
          <w:p w14:paraId="2698B462" w14:textId="479BCA4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Mixed-methods review</w:t>
            </w:r>
          </w:p>
        </w:tc>
        <w:tc>
          <w:tcPr>
            <w:tcW w:w="1843" w:type="dxa"/>
          </w:tcPr>
          <w:p w14:paraId="28588251" w14:textId="3EABD31F"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19 studies</w:t>
            </w:r>
          </w:p>
        </w:tc>
        <w:tc>
          <w:tcPr>
            <w:tcW w:w="1985" w:type="dxa"/>
          </w:tcPr>
          <w:p w14:paraId="668C29B3" w14:textId="60CF111F"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Systematic review; Thematic analysis </w:t>
            </w:r>
          </w:p>
        </w:tc>
        <w:tc>
          <w:tcPr>
            <w:tcW w:w="2126" w:type="dxa"/>
          </w:tcPr>
          <w:p w14:paraId="2A28B4C9" w14:textId="19FCD7E8"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Greenspace (Garden)</w:t>
            </w:r>
          </w:p>
        </w:tc>
      </w:tr>
      <w:tr w:rsidR="0030566E" w:rsidRPr="00116E85" w14:paraId="36436762" w14:textId="77777777" w:rsidTr="00346454">
        <w:trPr>
          <w:cnfStyle w:val="000000100000" w:firstRow="0" w:lastRow="0" w:firstColumn="0" w:lastColumn="0" w:oddVBand="0" w:evenVBand="0" w:oddHBand="1"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1555" w:type="dxa"/>
          </w:tcPr>
          <w:p w14:paraId="5F4F902C" w14:textId="637D29F0" w:rsidR="0030566E" w:rsidRPr="00116E85" w:rsidRDefault="006C0F32" w:rsidP="0030566E">
            <w:pPr>
              <w:rPr>
                <w:rFonts w:eastAsia="Times New Roman"/>
                <w:sz w:val="20"/>
                <w:szCs w:val="20"/>
                <w:lang w:eastAsia="en-GB"/>
              </w:rPr>
            </w:pPr>
            <w:r>
              <w:rPr>
                <w:rFonts w:eastAsia="Times New Roman"/>
                <w:sz w:val="20"/>
                <w:szCs w:val="20"/>
                <w:lang w:eastAsia="en-GB"/>
              </w:rPr>
              <w:t>57</w:t>
            </w:r>
          </w:p>
        </w:tc>
        <w:tc>
          <w:tcPr>
            <w:tcW w:w="1555" w:type="dxa"/>
          </w:tcPr>
          <w:p w14:paraId="1243B1FA"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Museum Development North West (MDNW) (2019)</w:t>
            </w:r>
          </w:p>
          <w:p w14:paraId="4A0F7666"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0DA00309" w14:textId="4E3DF1D5"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4EA13820" w14:textId="19BE2DA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describe an age-friendly standards self-assessment checklist to help assess and monitor an organisation’s progress against the Age-Friendly Standards</w:t>
            </w:r>
          </w:p>
        </w:tc>
        <w:tc>
          <w:tcPr>
            <w:tcW w:w="1843" w:type="dxa"/>
          </w:tcPr>
          <w:p w14:paraId="19F304E2" w14:textId="4626137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Checklist/Report</w:t>
            </w:r>
          </w:p>
        </w:tc>
        <w:tc>
          <w:tcPr>
            <w:tcW w:w="1843" w:type="dxa"/>
          </w:tcPr>
          <w:p w14:paraId="1B0F231A" w14:textId="6CEDD4A9"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2EC25D7C" w14:textId="44478C31"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71892AFF" w14:textId="5D771F15"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BD62D13" w14:textId="77777777" w:rsidTr="007B04DC">
        <w:trPr>
          <w:trHeight w:val="1412"/>
        </w:trPr>
        <w:tc>
          <w:tcPr>
            <w:cnfStyle w:val="001000000000" w:firstRow="0" w:lastRow="0" w:firstColumn="1" w:lastColumn="0" w:oddVBand="0" w:evenVBand="0" w:oddHBand="0" w:evenHBand="0" w:firstRowFirstColumn="0" w:firstRowLastColumn="0" w:lastRowFirstColumn="0" w:lastRowLastColumn="0"/>
            <w:tcW w:w="1555" w:type="dxa"/>
          </w:tcPr>
          <w:p w14:paraId="57F85FBE" w14:textId="6D56D944" w:rsidR="0030566E" w:rsidRPr="00116E85" w:rsidRDefault="006C0F32" w:rsidP="0030566E">
            <w:pPr>
              <w:rPr>
                <w:rFonts w:eastAsia="Times New Roman"/>
                <w:sz w:val="20"/>
                <w:szCs w:val="20"/>
                <w:lang w:eastAsia="en-GB"/>
              </w:rPr>
            </w:pPr>
            <w:r>
              <w:rPr>
                <w:rFonts w:eastAsia="Times New Roman"/>
                <w:sz w:val="20"/>
                <w:szCs w:val="20"/>
                <w:lang w:eastAsia="en-GB"/>
              </w:rPr>
              <w:t>58</w:t>
            </w:r>
          </w:p>
        </w:tc>
        <w:tc>
          <w:tcPr>
            <w:tcW w:w="1555" w:type="dxa"/>
          </w:tcPr>
          <w:p w14:paraId="18EDA5DA"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Roe et al. (2016)</w:t>
            </w:r>
          </w:p>
          <w:p w14:paraId="70006360"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6B5A3BF8" w14:textId="59F14924"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629A6F28"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identify the benefits and potential impact of an arts for health programme on the</w:t>
            </w:r>
          </w:p>
          <w:p w14:paraId="59A73A0E"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wellbeing of older people from supported living and care home populations, and to evaluate its feasibility </w:t>
            </w:r>
          </w:p>
          <w:p w14:paraId="7FBB7ED8" w14:textId="188FE03E"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p>
        </w:tc>
        <w:tc>
          <w:tcPr>
            <w:tcW w:w="1843" w:type="dxa"/>
          </w:tcPr>
          <w:p w14:paraId="5CF6AAFF" w14:textId="49E4D009"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Qualitative</w:t>
            </w:r>
          </w:p>
        </w:tc>
        <w:tc>
          <w:tcPr>
            <w:tcW w:w="1843" w:type="dxa"/>
          </w:tcPr>
          <w:p w14:paraId="56FE1815" w14:textId="6A0DB445"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32 participants, 17 from a supported living facility and care home, 10 care staff and one relative, 4 cultural sector staff</w:t>
            </w:r>
          </w:p>
        </w:tc>
        <w:tc>
          <w:tcPr>
            <w:tcW w:w="1985" w:type="dxa"/>
          </w:tcPr>
          <w:p w14:paraId="6CEEC1F5" w14:textId="2AC9B474"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Non-participant observation and group interviews; Content analysis</w:t>
            </w:r>
          </w:p>
        </w:tc>
        <w:tc>
          <w:tcPr>
            <w:tcW w:w="2126" w:type="dxa"/>
          </w:tcPr>
          <w:p w14:paraId="1E93B62A" w14:textId="3BEDE300"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4A1972AC" w14:textId="77777777" w:rsidTr="007B04DC">
        <w:trPr>
          <w:cnfStyle w:val="000000100000" w:firstRow="0" w:lastRow="0" w:firstColumn="0" w:lastColumn="0" w:oddVBand="0" w:evenVBand="0" w:oddHBand="1" w:evenHBand="0" w:firstRowFirstColumn="0" w:firstRowLastColumn="0" w:lastRowFirstColumn="0" w:lastRowLastColumn="0"/>
          <w:trHeight w:val="1970"/>
        </w:trPr>
        <w:tc>
          <w:tcPr>
            <w:cnfStyle w:val="001000000000" w:firstRow="0" w:lastRow="0" w:firstColumn="1" w:lastColumn="0" w:oddVBand="0" w:evenVBand="0" w:oddHBand="0" w:evenHBand="0" w:firstRowFirstColumn="0" w:firstRowLastColumn="0" w:lastRowFirstColumn="0" w:lastRowLastColumn="0"/>
            <w:tcW w:w="1555" w:type="dxa"/>
          </w:tcPr>
          <w:p w14:paraId="7095C202" w14:textId="4DDFF05D" w:rsidR="0030566E" w:rsidRPr="00116E85" w:rsidRDefault="006C0F32" w:rsidP="0030566E">
            <w:pPr>
              <w:rPr>
                <w:rFonts w:eastAsia="Times New Roman"/>
                <w:sz w:val="20"/>
                <w:szCs w:val="20"/>
                <w:lang w:eastAsia="en-GB"/>
              </w:rPr>
            </w:pPr>
            <w:r>
              <w:rPr>
                <w:rFonts w:eastAsia="Times New Roman"/>
                <w:sz w:val="20"/>
                <w:szCs w:val="20"/>
                <w:lang w:eastAsia="en-GB"/>
              </w:rPr>
              <w:lastRenderedPageBreak/>
              <w:t>59</w:t>
            </w:r>
          </w:p>
        </w:tc>
        <w:tc>
          <w:tcPr>
            <w:tcW w:w="1555" w:type="dxa"/>
          </w:tcPr>
          <w:p w14:paraId="482713EE"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Schall et al. (2018)</w:t>
            </w:r>
          </w:p>
          <w:p w14:paraId="1E345D11"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4626F18E" w14:textId="59E3133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Germany</w:t>
            </w:r>
          </w:p>
        </w:tc>
        <w:tc>
          <w:tcPr>
            <w:tcW w:w="2976" w:type="dxa"/>
          </w:tcPr>
          <w:p w14:paraId="77650E1A"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report the results of a randomized wait-list controlled</w:t>
            </w:r>
          </w:p>
          <w:p w14:paraId="7ADAF593"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study on the influence of an arts-based museum intervention on the emotional state, well-being,</w:t>
            </w:r>
          </w:p>
          <w:p w14:paraId="5F0DBD09" w14:textId="3D0C0B9A"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and quality of life of people with dementia </w:t>
            </w:r>
          </w:p>
        </w:tc>
        <w:tc>
          <w:tcPr>
            <w:tcW w:w="1843" w:type="dxa"/>
          </w:tcPr>
          <w:p w14:paraId="2D19E40D" w14:textId="544A2912"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Mixed-methods</w:t>
            </w:r>
          </w:p>
        </w:tc>
        <w:tc>
          <w:tcPr>
            <w:tcW w:w="1843" w:type="dxa"/>
          </w:tcPr>
          <w:p w14:paraId="554EA222" w14:textId="43EBA934"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88 participants, 44 people with dementia (23=female) and 44 accompanying relatives or informal caregivers</w:t>
            </w:r>
          </w:p>
        </w:tc>
        <w:tc>
          <w:tcPr>
            <w:tcW w:w="1985" w:type="dxa"/>
          </w:tcPr>
          <w:p w14:paraId="44AEE345" w14:textId="692918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Measures of cognitive and functional status, mental health, quality of life, neuropsychiatric symptoms, wellbeing, observations and written feedback from caregivers observations; Statistical analysis, not clear how more qualitative data were analysed</w:t>
            </w:r>
          </w:p>
        </w:tc>
        <w:tc>
          <w:tcPr>
            <w:tcW w:w="2126" w:type="dxa"/>
          </w:tcPr>
          <w:p w14:paraId="04519DA5" w14:textId="56558ABD"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696DD61D" w14:textId="77777777" w:rsidTr="009E134E">
        <w:trPr>
          <w:trHeight w:val="1828"/>
        </w:trPr>
        <w:tc>
          <w:tcPr>
            <w:cnfStyle w:val="001000000000" w:firstRow="0" w:lastRow="0" w:firstColumn="1" w:lastColumn="0" w:oddVBand="0" w:evenVBand="0" w:oddHBand="0" w:evenHBand="0" w:firstRowFirstColumn="0" w:firstRowLastColumn="0" w:lastRowFirstColumn="0" w:lastRowLastColumn="0"/>
            <w:tcW w:w="1555" w:type="dxa"/>
          </w:tcPr>
          <w:p w14:paraId="1C16AA78" w14:textId="414B9F91" w:rsidR="0030566E" w:rsidRPr="00116E85" w:rsidRDefault="006C0F32" w:rsidP="0030566E">
            <w:pPr>
              <w:rPr>
                <w:rFonts w:eastAsia="Times New Roman"/>
                <w:sz w:val="20"/>
                <w:szCs w:val="20"/>
                <w:lang w:eastAsia="en-GB"/>
              </w:rPr>
            </w:pPr>
            <w:r>
              <w:rPr>
                <w:rFonts w:eastAsia="Times New Roman"/>
                <w:sz w:val="20"/>
                <w:szCs w:val="20"/>
                <w:lang w:eastAsia="en-GB"/>
              </w:rPr>
              <w:t>60</w:t>
            </w:r>
          </w:p>
        </w:tc>
        <w:tc>
          <w:tcPr>
            <w:tcW w:w="1555" w:type="dxa"/>
          </w:tcPr>
          <w:p w14:paraId="3E433D36"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Thompson et al. (2020)</w:t>
            </w:r>
          </w:p>
          <w:p w14:paraId="34900B9F"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12273755" w14:textId="151AA5C9"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0582704E" w14:textId="3A56CD63"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design and develop the Museum Health and Social Care Service, a resource and training package that reinforces the care and clinical benefits of arts and cultural activities to older people’s health and wellbeing</w:t>
            </w:r>
          </w:p>
        </w:tc>
        <w:tc>
          <w:tcPr>
            <w:tcW w:w="1843" w:type="dxa"/>
          </w:tcPr>
          <w:p w14:paraId="7FBDC98D" w14:textId="2F121FBD"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Consensus and development work</w:t>
            </w:r>
          </w:p>
        </w:tc>
        <w:tc>
          <w:tcPr>
            <w:tcW w:w="1843" w:type="dxa"/>
          </w:tcPr>
          <w:p w14:paraId="781B0B31" w14:textId="6558682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17 individuals comprising older service users, and staff from a range of health and social care, arts, and museum and archive services </w:t>
            </w:r>
          </w:p>
        </w:tc>
        <w:tc>
          <w:tcPr>
            <w:tcW w:w="1985" w:type="dxa"/>
          </w:tcPr>
          <w:p w14:paraId="4089531B" w14:textId="0BA09FD9"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Collating core care needs of older people and then identifying activities to address these and developing advice on their delivery</w:t>
            </w:r>
          </w:p>
        </w:tc>
        <w:tc>
          <w:tcPr>
            <w:tcW w:w="2126" w:type="dxa"/>
          </w:tcPr>
          <w:p w14:paraId="6F4619D5" w14:textId="2C210F1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1E16724" w14:textId="77777777" w:rsidTr="009E134E">
        <w:trPr>
          <w:cnfStyle w:val="000000100000" w:firstRow="0" w:lastRow="0" w:firstColumn="0" w:lastColumn="0" w:oddVBand="0" w:evenVBand="0" w:oddHBand="1" w:evenHBand="0" w:firstRowFirstColumn="0" w:firstRowLastColumn="0" w:lastRowFirstColumn="0" w:lastRowLastColumn="0"/>
          <w:trHeight w:val="1361"/>
        </w:trPr>
        <w:tc>
          <w:tcPr>
            <w:cnfStyle w:val="001000000000" w:firstRow="0" w:lastRow="0" w:firstColumn="1" w:lastColumn="0" w:oddVBand="0" w:evenVBand="0" w:oddHBand="0" w:evenHBand="0" w:firstRowFirstColumn="0" w:firstRowLastColumn="0" w:lastRowFirstColumn="0" w:lastRowLastColumn="0"/>
            <w:tcW w:w="1555" w:type="dxa"/>
          </w:tcPr>
          <w:p w14:paraId="24B2D7BC" w14:textId="535DB64F" w:rsidR="0030566E" w:rsidRPr="00116E85" w:rsidRDefault="006C0F32" w:rsidP="0030566E">
            <w:pPr>
              <w:rPr>
                <w:rFonts w:eastAsia="Times New Roman"/>
                <w:sz w:val="20"/>
                <w:szCs w:val="20"/>
                <w:lang w:eastAsia="en-GB"/>
              </w:rPr>
            </w:pPr>
            <w:r>
              <w:rPr>
                <w:rFonts w:eastAsia="Times New Roman"/>
                <w:sz w:val="20"/>
                <w:szCs w:val="20"/>
                <w:lang w:eastAsia="en-GB"/>
              </w:rPr>
              <w:t>61</w:t>
            </w:r>
          </w:p>
        </w:tc>
        <w:tc>
          <w:tcPr>
            <w:tcW w:w="1555" w:type="dxa"/>
          </w:tcPr>
          <w:p w14:paraId="3B9C5C9C" w14:textId="48A7B168" w:rsidR="0030566E" w:rsidRPr="006C0F32" w:rsidRDefault="009E134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Thomson and Chatterjee (2016)</w:t>
            </w:r>
          </w:p>
          <w:p w14:paraId="7899A070"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4C809C83" w14:textId="38ACEBBD"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6DDDCF49"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evaluate museum interventions for older</w:t>
            </w:r>
          </w:p>
          <w:p w14:paraId="7D013E94" w14:textId="71660F5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adults in differing health care settings using subjective well-being measures </w:t>
            </w:r>
          </w:p>
        </w:tc>
        <w:tc>
          <w:tcPr>
            <w:tcW w:w="1843" w:type="dxa"/>
          </w:tcPr>
          <w:p w14:paraId="609F8BD0"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Quantitative </w:t>
            </w:r>
          </w:p>
          <w:p w14:paraId="65920F35" w14:textId="63C388E5"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(Pre-post design)</w:t>
            </w:r>
          </w:p>
        </w:tc>
        <w:tc>
          <w:tcPr>
            <w:tcW w:w="1843" w:type="dxa"/>
          </w:tcPr>
          <w:p w14:paraId="33CAB0AC" w14:textId="27715E30"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40 older adults, aged 65-85 years (11=males and 29 females)</w:t>
            </w:r>
          </w:p>
        </w:tc>
        <w:tc>
          <w:tcPr>
            <w:tcW w:w="1985" w:type="dxa"/>
          </w:tcPr>
          <w:p w14:paraId="334B51EE" w14:textId="7777777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Positive Affect and</w:t>
            </w:r>
          </w:p>
          <w:p w14:paraId="01E88889" w14:textId="6B92DAB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Negative Affect Schedule, Visual Analogue Scales; Statistical analysis</w:t>
            </w:r>
          </w:p>
        </w:tc>
        <w:tc>
          <w:tcPr>
            <w:tcW w:w="2126" w:type="dxa"/>
          </w:tcPr>
          <w:p w14:paraId="50CA9F46" w14:textId="29025A51"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72A5C0E3" w14:textId="77777777" w:rsidTr="00314766">
        <w:trPr>
          <w:trHeight w:val="1973"/>
        </w:trPr>
        <w:tc>
          <w:tcPr>
            <w:cnfStyle w:val="001000000000" w:firstRow="0" w:lastRow="0" w:firstColumn="1" w:lastColumn="0" w:oddVBand="0" w:evenVBand="0" w:oddHBand="0" w:evenHBand="0" w:firstRowFirstColumn="0" w:firstRowLastColumn="0" w:lastRowFirstColumn="0" w:lastRowLastColumn="0"/>
            <w:tcW w:w="1555" w:type="dxa"/>
          </w:tcPr>
          <w:p w14:paraId="510338E5" w14:textId="1CE2F025" w:rsidR="0030566E" w:rsidRPr="00116E85" w:rsidRDefault="006C0F32" w:rsidP="0030566E">
            <w:pPr>
              <w:rPr>
                <w:rFonts w:eastAsia="Times New Roman"/>
                <w:sz w:val="20"/>
                <w:szCs w:val="20"/>
                <w:lang w:eastAsia="en-GB"/>
              </w:rPr>
            </w:pPr>
            <w:r>
              <w:rPr>
                <w:rFonts w:eastAsia="Times New Roman"/>
                <w:sz w:val="20"/>
                <w:szCs w:val="20"/>
                <w:lang w:eastAsia="en-GB"/>
              </w:rPr>
              <w:t>62</w:t>
            </w:r>
          </w:p>
        </w:tc>
        <w:tc>
          <w:tcPr>
            <w:tcW w:w="1555" w:type="dxa"/>
          </w:tcPr>
          <w:p w14:paraId="1CC361D9"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Thomson et al. (2018)</w:t>
            </w:r>
          </w:p>
          <w:p w14:paraId="0E8D8426"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6401AE89" w14:textId="66134FC3"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2F91A77F" w14:textId="13B9464B"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To assess psychological wellbeing in a novel social prescription intervention for older adults called Museums on Prescription and to explore the extent of change over time in six self-rated emotions </w:t>
            </w:r>
          </w:p>
        </w:tc>
        <w:tc>
          <w:tcPr>
            <w:tcW w:w="1843" w:type="dxa"/>
          </w:tcPr>
          <w:p w14:paraId="5143E511" w14:textId="0241529F"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Mixed-methods</w:t>
            </w:r>
          </w:p>
        </w:tc>
        <w:tc>
          <w:tcPr>
            <w:tcW w:w="1843" w:type="dxa"/>
          </w:tcPr>
          <w:p w14:paraId="01D371EE" w14:textId="0F5DECAB"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115 participants aged 65-94 at risk of social isolation and loneliness (63% = females)</w:t>
            </w:r>
          </w:p>
        </w:tc>
        <w:tc>
          <w:tcPr>
            <w:tcW w:w="1985" w:type="dxa"/>
          </w:tcPr>
          <w:p w14:paraId="27C6732E" w14:textId="22EF22AE"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 Wellbeing Measure for Older Adults, diaries, interviews; Statistical analysis, not clear how qualitative analysis was undertaken</w:t>
            </w:r>
          </w:p>
        </w:tc>
        <w:tc>
          <w:tcPr>
            <w:tcW w:w="2126" w:type="dxa"/>
          </w:tcPr>
          <w:p w14:paraId="033D7CA4" w14:textId="151D47D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40BF876" w14:textId="77777777" w:rsidTr="009E134E">
        <w:trPr>
          <w:cnfStyle w:val="000000100000" w:firstRow="0" w:lastRow="0" w:firstColumn="0" w:lastColumn="0" w:oddVBand="0" w:evenVBand="0" w:oddHBand="1" w:evenHBand="0" w:firstRowFirstColumn="0" w:firstRowLastColumn="0" w:lastRowFirstColumn="0" w:lastRowLastColumn="0"/>
          <w:trHeight w:val="1408"/>
        </w:trPr>
        <w:tc>
          <w:tcPr>
            <w:cnfStyle w:val="001000000000" w:firstRow="0" w:lastRow="0" w:firstColumn="1" w:lastColumn="0" w:oddVBand="0" w:evenVBand="0" w:oddHBand="0" w:evenHBand="0" w:firstRowFirstColumn="0" w:firstRowLastColumn="0" w:lastRowFirstColumn="0" w:lastRowLastColumn="0"/>
            <w:tcW w:w="1555" w:type="dxa"/>
          </w:tcPr>
          <w:p w14:paraId="429C371C" w14:textId="0270D1B2" w:rsidR="0030566E" w:rsidRPr="00116E85" w:rsidRDefault="006C0F32" w:rsidP="0030566E">
            <w:pPr>
              <w:rPr>
                <w:rFonts w:eastAsia="Times New Roman"/>
                <w:sz w:val="20"/>
                <w:szCs w:val="20"/>
                <w:lang w:eastAsia="en-GB"/>
              </w:rPr>
            </w:pPr>
            <w:r>
              <w:rPr>
                <w:rFonts w:eastAsia="Times New Roman"/>
                <w:sz w:val="20"/>
                <w:szCs w:val="20"/>
                <w:lang w:eastAsia="en-GB"/>
              </w:rPr>
              <w:lastRenderedPageBreak/>
              <w:t>63</w:t>
            </w:r>
          </w:p>
        </w:tc>
        <w:tc>
          <w:tcPr>
            <w:tcW w:w="1555" w:type="dxa"/>
          </w:tcPr>
          <w:p w14:paraId="6DCBE2B8"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Todd et al. (2017)</w:t>
            </w:r>
          </w:p>
          <w:p w14:paraId="41C5AB53"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28072D43" w14:textId="574A6864"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3660250E" w14:textId="2813332E"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understand how museum programs create opportunities to enhance wellbeing and health, and change experiences of social isolation in older adults</w:t>
            </w:r>
          </w:p>
        </w:tc>
        <w:tc>
          <w:tcPr>
            <w:tcW w:w="1843" w:type="dxa"/>
          </w:tcPr>
          <w:p w14:paraId="022C2600" w14:textId="0E0B7D1E"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Qualitative</w:t>
            </w:r>
          </w:p>
        </w:tc>
        <w:tc>
          <w:tcPr>
            <w:tcW w:w="1843" w:type="dxa"/>
          </w:tcPr>
          <w:p w14:paraId="217A4907" w14:textId="42B5A7D1"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9D16DB">
              <w:rPr>
                <w:rFonts w:eastAsia="Times New Roman"/>
                <w:sz w:val="20"/>
                <w:szCs w:val="20"/>
                <w:lang w:eastAsia="en-GB"/>
              </w:rPr>
              <w:t xml:space="preserve">20 participants aged 64-87 </w:t>
            </w:r>
          </w:p>
        </w:tc>
        <w:tc>
          <w:tcPr>
            <w:tcW w:w="1985" w:type="dxa"/>
          </w:tcPr>
          <w:p w14:paraId="6B505B32" w14:textId="1BD3EDC9"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Interviews, diaries, Grounded theory (including constant comparison, memo taking, open and selective coding)</w:t>
            </w:r>
          </w:p>
        </w:tc>
        <w:tc>
          <w:tcPr>
            <w:tcW w:w="2126" w:type="dxa"/>
          </w:tcPr>
          <w:p w14:paraId="04C77C36" w14:textId="7B06ACF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0FD0AFAD" w14:textId="77777777" w:rsidTr="00623DB1">
        <w:trPr>
          <w:trHeight w:val="2122"/>
        </w:trPr>
        <w:tc>
          <w:tcPr>
            <w:cnfStyle w:val="001000000000" w:firstRow="0" w:lastRow="0" w:firstColumn="1" w:lastColumn="0" w:oddVBand="0" w:evenVBand="0" w:oddHBand="0" w:evenHBand="0" w:firstRowFirstColumn="0" w:firstRowLastColumn="0" w:lastRowFirstColumn="0" w:lastRowLastColumn="0"/>
            <w:tcW w:w="1555" w:type="dxa"/>
          </w:tcPr>
          <w:p w14:paraId="208863F0" w14:textId="5CDD713B" w:rsidR="0030566E" w:rsidRPr="00116E85" w:rsidRDefault="006C0F32" w:rsidP="0030566E">
            <w:pPr>
              <w:rPr>
                <w:rFonts w:eastAsia="Times New Roman"/>
                <w:sz w:val="20"/>
                <w:szCs w:val="20"/>
                <w:lang w:eastAsia="en-GB"/>
              </w:rPr>
            </w:pPr>
            <w:r>
              <w:rPr>
                <w:rFonts w:eastAsia="Times New Roman"/>
                <w:sz w:val="20"/>
                <w:szCs w:val="20"/>
                <w:lang w:eastAsia="en-GB"/>
              </w:rPr>
              <w:t>64</w:t>
            </w:r>
          </w:p>
        </w:tc>
        <w:tc>
          <w:tcPr>
            <w:tcW w:w="1555" w:type="dxa"/>
          </w:tcPr>
          <w:p w14:paraId="3094D6DD"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Toepoel (2011)</w:t>
            </w:r>
          </w:p>
          <w:p w14:paraId="5903AC02"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702385F8" w14:textId="7CEAACC1"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Netherlands</w:t>
            </w:r>
          </w:p>
        </w:tc>
        <w:tc>
          <w:tcPr>
            <w:tcW w:w="2976" w:type="dxa"/>
          </w:tcPr>
          <w:p w14:paraId="58AA7F00"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develop a profile of the social integration behaviour of older people, focusing on the relationship between</w:t>
            </w:r>
            <w:r>
              <w:rPr>
                <w:rFonts w:eastAsia="Times New Roman"/>
                <w:sz w:val="20"/>
                <w:szCs w:val="20"/>
                <w:lang w:eastAsia="en-GB"/>
              </w:rPr>
              <w:t xml:space="preserve"> </w:t>
            </w:r>
            <w:r w:rsidRPr="00116E85">
              <w:rPr>
                <w:rFonts w:eastAsia="Times New Roman"/>
                <w:sz w:val="20"/>
                <w:szCs w:val="20"/>
                <w:lang w:eastAsia="en-GB"/>
              </w:rPr>
              <w:t>measures of social integration and satisfaction with life with</w:t>
            </w:r>
          </w:p>
          <w:p w14:paraId="1DD77947" w14:textId="1FD70BC1"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different types of cultural activities based on highbrow and lowbrow categories</w:t>
            </w:r>
          </w:p>
        </w:tc>
        <w:tc>
          <w:tcPr>
            <w:tcW w:w="1843" w:type="dxa"/>
          </w:tcPr>
          <w:p w14:paraId="77569EE1" w14:textId="1E711CED"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Quantitative</w:t>
            </w:r>
          </w:p>
        </w:tc>
        <w:tc>
          <w:tcPr>
            <w:tcW w:w="1843" w:type="dxa"/>
          </w:tcPr>
          <w:p w14:paraId="6E5447C5" w14:textId="73FAA5A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3892 participants aged 18-54, 1171 participants aged 55-64, 847 participants aged 65+</w:t>
            </w:r>
          </w:p>
        </w:tc>
        <w:tc>
          <w:tcPr>
            <w:tcW w:w="1985" w:type="dxa"/>
          </w:tcPr>
          <w:p w14:paraId="521A87CB"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Longitudinal Internet Studies for the Social</w:t>
            </w:r>
          </w:p>
          <w:p w14:paraId="32524C80" w14:textId="5ED863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Sciences (LISS) Panel, questionnaire on social integration and leisure time; Statistical analysis</w:t>
            </w:r>
          </w:p>
        </w:tc>
        <w:tc>
          <w:tcPr>
            <w:tcW w:w="2126" w:type="dxa"/>
          </w:tcPr>
          <w:p w14:paraId="1A4D8EC3" w14:textId="390C33F1" w:rsidR="0030566E" w:rsidRPr="00116E85" w:rsidRDefault="0041133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Cultural activities (M</w:t>
            </w:r>
            <w:r w:rsidR="0030566E" w:rsidRPr="00116E85">
              <w:rPr>
                <w:rFonts w:eastAsia="Times New Roman"/>
                <w:sz w:val="20"/>
                <w:szCs w:val="20"/>
                <w:lang w:eastAsia="en-GB"/>
              </w:rPr>
              <w:t>useum)</w:t>
            </w:r>
          </w:p>
        </w:tc>
      </w:tr>
      <w:tr w:rsidR="0030566E" w:rsidRPr="00116E85" w14:paraId="7E990768" w14:textId="77777777" w:rsidTr="00623DB1">
        <w:trPr>
          <w:cnfStyle w:val="000000100000" w:firstRow="0" w:lastRow="0" w:firstColumn="0" w:lastColumn="0" w:oddVBand="0" w:evenVBand="0" w:oddHBand="1" w:evenHBand="0" w:firstRowFirstColumn="0" w:firstRowLastColumn="0" w:lastRowFirstColumn="0" w:lastRowLastColumn="0"/>
          <w:trHeight w:val="1826"/>
        </w:trPr>
        <w:tc>
          <w:tcPr>
            <w:cnfStyle w:val="001000000000" w:firstRow="0" w:lastRow="0" w:firstColumn="1" w:lastColumn="0" w:oddVBand="0" w:evenVBand="0" w:oddHBand="0" w:evenHBand="0" w:firstRowFirstColumn="0" w:firstRowLastColumn="0" w:lastRowFirstColumn="0" w:lastRowLastColumn="0"/>
            <w:tcW w:w="1555" w:type="dxa"/>
          </w:tcPr>
          <w:p w14:paraId="528C96C5" w14:textId="5808D77C" w:rsidR="0030566E" w:rsidRPr="00116E85" w:rsidRDefault="006C0F32" w:rsidP="0030566E">
            <w:pPr>
              <w:rPr>
                <w:rFonts w:eastAsia="Times New Roman"/>
                <w:sz w:val="20"/>
                <w:szCs w:val="20"/>
                <w:lang w:eastAsia="en-GB"/>
              </w:rPr>
            </w:pPr>
            <w:r>
              <w:rPr>
                <w:rFonts w:eastAsia="Times New Roman"/>
                <w:sz w:val="20"/>
                <w:szCs w:val="20"/>
                <w:lang w:eastAsia="en-GB"/>
              </w:rPr>
              <w:t>65</w:t>
            </w:r>
          </w:p>
        </w:tc>
        <w:tc>
          <w:tcPr>
            <w:tcW w:w="1555" w:type="dxa"/>
          </w:tcPr>
          <w:p w14:paraId="3EC7EDD1" w14:textId="29FBEBB2"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Tyack et al. (201</w:t>
            </w:r>
            <w:r w:rsidR="00623DB1" w:rsidRPr="006C0F32">
              <w:rPr>
                <w:rFonts w:eastAsia="Times New Roman"/>
                <w:sz w:val="20"/>
                <w:szCs w:val="20"/>
                <w:lang w:eastAsia="en-GB"/>
              </w:rPr>
              <w:t>7)</w:t>
            </w:r>
          </w:p>
          <w:p w14:paraId="16FB4C56"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1303B87F" w14:textId="41AC37D0"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10C99843" w14:textId="29F76697"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sz w:val="20"/>
                <w:szCs w:val="20"/>
                <w:lang w:val="en-US"/>
              </w:rPr>
              <w:t>To explore whether art-based interventions can be delivered via a touchscreen tablet device displaying art images</w:t>
            </w:r>
          </w:p>
        </w:tc>
        <w:tc>
          <w:tcPr>
            <w:tcW w:w="1843" w:type="dxa"/>
          </w:tcPr>
          <w:p w14:paraId="72CA6EFC" w14:textId="6C134499"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Mixed-methods</w:t>
            </w:r>
          </w:p>
        </w:tc>
        <w:tc>
          <w:tcPr>
            <w:tcW w:w="1843" w:type="dxa"/>
          </w:tcPr>
          <w:p w14:paraId="20E2F7B1" w14:textId="2E625252" w:rsidR="0030566E" w:rsidRPr="00116E85" w:rsidRDefault="00623DB1"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24 participants -</w:t>
            </w:r>
            <w:r w:rsidR="0030566E">
              <w:rPr>
                <w:rFonts w:eastAsia="Times New Roman"/>
                <w:sz w:val="20"/>
                <w:szCs w:val="20"/>
                <w:lang w:eastAsia="en-GB"/>
              </w:rPr>
              <w:t xml:space="preserve"> 12 pairs of people</w:t>
            </w:r>
            <w:r w:rsidR="0030566E" w:rsidRPr="00116E85">
              <w:rPr>
                <w:rFonts w:eastAsia="Times New Roman"/>
                <w:sz w:val="20"/>
                <w:szCs w:val="20"/>
                <w:lang w:eastAsia="en-GB"/>
              </w:rPr>
              <w:t xml:space="preserve"> with dementia </w:t>
            </w:r>
            <w:r w:rsidR="0030566E">
              <w:rPr>
                <w:rFonts w:eastAsia="Times New Roman"/>
                <w:sz w:val="20"/>
                <w:szCs w:val="20"/>
                <w:lang w:eastAsia="en-GB"/>
              </w:rPr>
              <w:t xml:space="preserve">(average age = 75) </w:t>
            </w:r>
            <w:r w:rsidR="0030566E" w:rsidRPr="00116E85">
              <w:rPr>
                <w:rFonts w:eastAsia="Times New Roman"/>
                <w:sz w:val="20"/>
                <w:szCs w:val="20"/>
                <w:lang w:eastAsia="en-GB"/>
              </w:rPr>
              <w:t>and informal caregivers</w:t>
            </w:r>
            <w:r w:rsidR="0030566E">
              <w:rPr>
                <w:rFonts w:eastAsia="Times New Roman"/>
                <w:sz w:val="20"/>
                <w:szCs w:val="20"/>
                <w:lang w:eastAsia="en-GB"/>
              </w:rPr>
              <w:t xml:space="preserve"> (average age = 66</w:t>
            </w:r>
            <w:r w:rsidR="0030566E" w:rsidRPr="00116E85">
              <w:rPr>
                <w:rFonts w:eastAsia="Times New Roman"/>
                <w:sz w:val="20"/>
                <w:szCs w:val="20"/>
                <w:lang w:eastAsia="en-GB"/>
              </w:rPr>
              <w:t>)</w:t>
            </w:r>
          </w:p>
        </w:tc>
        <w:tc>
          <w:tcPr>
            <w:tcW w:w="1985" w:type="dxa"/>
          </w:tcPr>
          <w:p w14:paraId="7852323C" w14:textId="7D217B93"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Quality of Life-Alzheimer’s Disease, Visual Analogue Scale, interviews; Statistical analysis, Thematic analysis</w:t>
            </w:r>
          </w:p>
        </w:tc>
        <w:tc>
          <w:tcPr>
            <w:tcW w:w="2126" w:type="dxa"/>
          </w:tcPr>
          <w:p w14:paraId="045E25C1" w14:textId="64AA195E"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31165C9F" w14:textId="77777777" w:rsidTr="00623DB1">
        <w:trPr>
          <w:trHeight w:val="1814"/>
        </w:trPr>
        <w:tc>
          <w:tcPr>
            <w:cnfStyle w:val="001000000000" w:firstRow="0" w:lastRow="0" w:firstColumn="1" w:lastColumn="0" w:oddVBand="0" w:evenVBand="0" w:oddHBand="0" w:evenHBand="0" w:firstRowFirstColumn="0" w:firstRowLastColumn="0" w:lastRowFirstColumn="0" w:lastRowLastColumn="0"/>
            <w:tcW w:w="1555" w:type="dxa"/>
          </w:tcPr>
          <w:p w14:paraId="473981C8" w14:textId="28DA0AF1" w:rsidR="0030566E" w:rsidRPr="00116E85" w:rsidRDefault="006C0F32" w:rsidP="0030566E">
            <w:pPr>
              <w:rPr>
                <w:rFonts w:eastAsia="Times New Roman"/>
                <w:sz w:val="20"/>
                <w:szCs w:val="20"/>
                <w:lang w:eastAsia="en-GB"/>
              </w:rPr>
            </w:pPr>
            <w:r>
              <w:rPr>
                <w:rFonts w:eastAsia="Times New Roman"/>
                <w:sz w:val="20"/>
                <w:szCs w:val="20"/>
                <w:lang w:eastAsia="en-GB"/>
              </w:rPr>
              <w:t>66</w:t>
            </w:r>
          </w:p>
        </w:tc>
        <w:tc>
          <w:tcPr>
            <w:tcW w:w="1555" w:type="dxa"/>
          </w:tcPr>
          <w:p w14:paraId="68689C81" w14:textId="4D74599D" w:rsidR="0030566E" w:rsidRPr="006C0F32" w:rsidRDefault="001E49B2"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Tymoszuk et al. (2020</w:t>
            </w:r>
            <w:r w:rsidR="0030566E" w:rsidRPr="006C0F32">
              <w:rPr>
                <w:rFonts w:eastAsia="Times New Roman"/>
                <w:sz w:val="20"/>
                <w:szCs w:val="20"/>
                <w:lang w:eastAsia="en-GB"/>
              </w:rPr>
              <w:t>)</w:t>
            </w:r>
          </w:p>
          <w:p w14:paraId="1048E4E5"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3D826E43" w14:textId="5781EB79"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055CBCB2" w14:textId="7777777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investigate whether frequency of receptive arts engagement over 10 years contributes to experienced,</w:t>
            </w:r>
          </w:p>
          <w:p w14:paraId="4FCCC5A6" w14:textId="51BFB1D5"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evaluative, and eudaimonic well-being in older adults</w:t>
            </w:r>
          </w:p>
        </w:tc>
        <w:tc>
          <w:tcPr>
            <w:tcW w:w="1843" w:type="dxa"/>
          </w:tcPr>
          <w:p w14:paraId="287411F3" w14:textId="672CB8D4"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Quantitative</w:t>
            </w:r>
          </w:p>
        </w:tc>
        <w:tc>
          <w:tcPr>
            <w:tcW w:w="1843" w:type="dxa"/>
          </w:tcPr>
          <w:p w14:paraId="61B47AF3" w14:textId="6A524421"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2,767 participants with an average of 62.3</w:t>
            </w:r>
            <w:r>
              <w:rPr>
                <w:rFonts w:eastAsia="Times New Roman"/>
                <w:sz w:val="20"/>
                <w:szCs w:val="20"/>
                <w:lang w:eastAsia="en-GB"/>
              </w:rPr>
              <w:t xml:space="preserve"> (54% = female)</w:t>
            </w:r>
          </w:p>
        </w:tc>
        <w:tc>
          <w:tcPr>
            <w:tcW w:w="1985" w:type="dxa"/>
          </w:tcPr>
          <w:p w14:paraId="0C452381" w14:textId="77777777" w:rsidR="0030566E" w:rsidRPr="00CC584D"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 xml:space="preserve">Used data from the </w:t>
            </w:r>
            <w:r w:rsidRPr="00CC584D">
              <w:rPr>
                <w:rFonts w:eastAsia="Times New Roman"/>
                <w:sz w:val="20"/>
                <w:szCs w:val="20"/>
                <w:lang w:eastAsia="en-GB"/>
              </w:rPr>
              <w:t xml:space="preserve">English Longitudinal Study </w:t>
            </w:r>
          </w:p>
          <w:p w14:paraId="63DD9703" w14:textId="536FBE97"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CC584D">
              <w:rPr>
                <w:rFonts w:eastAsia="Times New Roman"/>
                <w:sz w:val="20"/>
                <w:szCs w:val="20"/>
                <w:lang w:eastAsia="en-GB"/>
              </w:rPr>
              <w:t xml:space="preserve">of Ageing </w:t>
            </w:r>
            <w:r>
              <w:rPr>
                <w:rFonts w:eastAsia="Times New Roman"/>
                <w:sz w:val="20"/>
                <w:szCs w:val="20"/>
                <w:lang w:eastAsia="en-GB"/>
              </w:rPr>
              <w:t>from Wave 2</w:t>
            </w:r>
            <w:r w:rsidRPr="00116E85">
              <w:rPr>
                <w:rFonts w:eastAsia="Times New Roman"/>
                <w:sz w:val="20"/>
                <w:szCs w:val="20"/>
                <w:lang w:eastAsia="en-GB"/>
              </w:rPr>
              <w:t xml:space="preserve"> (2004/2005) to 7 (2014/2005); Statistical analysis</w:t>
            </w:r>
          </w:p>
        </w:tc>
        <w:tc>
          <w:tcPr>
            <w:tcW w:w="2126" w:type="dxa"/>
          </w:tcPr>
          <w:p w14:paraId="46F74D05" w14:textId="7EFDE046"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Arts engagement (museum)</w:t>
            </w:r>
          </w:p>
        </w:tc>
      </w:tr>
      <w:tr w:rsidR="0030566E" w:rsidRPr="00116E85" w14:paraId="4E935ECC" w14:textId="77777777" w:rsidTr="006C0F32">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1555" w:type="dxa"/>
          </w:tcPr>
          <w:p w14:paraId="7670D375" w14:textId="661C0B85" w:rsidR="0030566E" w:rsidRPr="00116E85" w:rsidRDefault="006C0F32" w:rsidP="0030566E">
            <w:pPr>
              <w:rPr>
                <w:rFonts w:eastAsia="Times New Roman"/>
                <w:sz w:val="20"/>
                <w:szCs w:val="20"/>
                <w:lang w:eastAsia="en-GB"/>
              </w:rPr>
            </w:pPr>
            <w:r>
              <w:rPr>
                <w:rFonts w:eastAsia="Times New Roman"/>
                <w:sz w:val="20"/>
                <w:szCs w:val="20"/>
                <w:lang w:eastAsia="en-GB"/>
              </w:rPr>
              <w:lastRenderedPageBreak/>
              <w:t>67</w:t>
            </w:r>
          </w:p>
        </w:tc>
        <w:tc>
          <w:tcPr>
            <w:tcW w:w="1555" w:type="dxa"/>
            <w:shd w:val="clear" w:color="auto" w:fill="E7E6E6" w:themeFill="background2"/>
          </w:tcPr>
          <w:p w14:paraId="60F5793A"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Veall et al. (2017)</w:t>
            </w:r>
          </w:p>
          <w:p w14:paraId="4438A094"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20FE1308" w14:textId="4B7526EE"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4E2CDAF2" w14:textId="46395B8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share best practice findings from the Museums on Prescription (2014 – 2017) project, funded by the Arts and Humanities Research Council and carried out by researchers at University College London and Canterbury Christ Church University</w:t>
            </w:r>
          </w:p>
        </w:tc>
        <w:tc>
          <w:tcPr>
            <w:tcW w:w="1843" w:type="dxa"/>
          </w:tcPr>
          <w:p w14:paraId="6B452588" w14:textId="6B216EEB"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Guide/Report</w:t>
            </w:r>
          </w:p>
        </w:tc>
        <w:tc>
          <w:tcPr>
            <w:tcW w:w="1843" w:type="dxa"/>
          </w:tcPr>
          <w:p w14:paraId="29D842DE" w14:textId="1FE8424A"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688A0707" w14:textId="6048CD9A"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123C8338" w14:textId="590BAA8F"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1645166F" w14:textId="77777777" w:rsidTr="00116E85">
        <w:trPr>
          <w:trHeight w:val="699"/>
        </w:trPr>
        <w:tc>
          <w:tcPr>
            <w:cnfStyle w:val="001000000000" w:firstRow="0" w:lastRow="0" w:firstColumn="1" w:lastColumn="0" w:oddVBand="0" w:evenVBand="0" w:oddHBand="0" w:evenHBand="0" w:firstRowFirstColumn="0" w:firstRowLastColumn="0" w:lastRowFirstColumn="0" w:lastRowLastColumn="0"/>
            <w:tcW w:w="1555" w:type="dxa"/>
          </w:tcPr>
          <w:p w14:paraId="346A48E6" w14:textId="723978F2" w:rsidR="0030566E" w:rsidRPr="00116E85" w:rsidRDefault="006C0F32" w:rsidP="0030566E">
            <w:pPr>
              <w:rPr>
                <w:rFonts w:eastAsia="Times New Roman"/>
                <w:sz w:val="20"/>
                <w:szCs w:val="20"/>
                <w:lang w:eastAsia="en-GB"/>
              </w:rPr>
            </w:pPr>
            <w:r>
              <w:rPr>
                <w:rFonts w:eastAsia="Times New Roman"/>
                <w:sz w:val="20"/>
                <w:szCs w:val="20"/>
                <w:lang w:eastAsia="en-GB"/>
              </w:rPr>
              <w:t>68</w:t>
            </w:r>
          </w:p>
        </w:tc>
        <w:tc>
          <w:tcPr>
            <w:tcW w:w="1555" w:type="dxa"/>
          </w:tcPr>
          <w:p w14:paraId="3CF4C0CF"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Watts (2015)</w:t>
            </w:r>
          </w:p>
          <w:p w14:paraId="14958830"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64431876" w14:textId="47965BC0"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7D0E5F93" w14:textId="40AB98F4"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To share findings from six case studies on involving older men in arts organisations, covering recruitment, programming and participation, impact and practical tips</w:t>
            </w:r>
          </w:p>
        </w:tc>
        <w:tc>
          <w:tcPr>
            <w:tcW w:w="1843" w:type="dxa"/>
          </w:tcPr>
          <w:p w14:paraId="46911288" w14:textId="2DA4B2AC"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Report</w:t>
            </w:r>
            <w:r>
              <w:rPr>
                <w:rFonts w:eastAsia="Times New Roman"/>
                <w:sz w:val="20"/>
                <w:szCs w:val="20"/>
                <w:lang w:eastAsia="en-GB"/>
              </w:rPr>
              <w:t xml:space="preserve"> based on qualitative case studies </w:t>
            </w:r>
          </w:p>
        </w:tc>
        <w:tc>
          <w:tcPr>
            <w:tcW w:w="1843" w:type="dxa"/>
          </w:tcPr>
          <w:p w14:paraId="2B757C25" w14:textId="22672B01"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 xml:space="preserve">6 </w:t>
            </w:r>
            <w:r w:rsidRPr="00CC584D">
              <w:rPr>
                <w:rFonts w:eastAsia="Times New Roman"/>
                <w:sz w:val="20"/>
                <w:szCs w:val="20"/>
                <w:lang w:eastAsia="en-GB"/>
              </w:rPr>
              <w:t>case studies of best practice of engage</w:t>
            </w:r>
            <w:r>
              <w:rPr>
                <w:rFonts w:eastAsia="Times New Roman"/>
                <w:sz w:val="20"/>
                <w:szCs w:val="20"/>
                <w:lang w:eastAsia="en-GB"/>
              </w:rPr>
              <w:t xml:space="preserve">ment with older </w:t>
            </w:r>
            <w:r w:rsidRPr="00CC584D">
              <w:rPr>
                <w:rFonts w:eastAsia="Times New Roman"/>
                <w:sz w:val="20"/>
                <w:szCs w:val="20"/>
                <w:lang w:eastAsia="en-GB"/>
              </w:rPr>
              <w:t>men</w:t>
            </w:r>
            <w:r>
              <w:rPr>
                <w:rFonts w:eastAsia="Times New Roman"/>
                <w:sz w:val="20"/>
                <w:szCs w:val="20"/>
                <w:lang w:eastAsia="en-GB"/>
              </w:rPr>
              <w:t xml:space="preserve">; 6 project managers and 31 project participants </w:t>
            </w:r>
          </w:p>
        </w:tc>
        <w:tc>
          <w:tcPr>
            <w:tcW w:w="1985" w:type="dxa"/>
          </w:tcPr>
          <w:p w14:paraId="55286717" w14:textId="6AE999E1"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Focus groups and interviews; thematic analysis</w:t>
            </w:r>
          </w:p>
        </w:tc>
        <w:tc>
          <w:tcPr>
            <w:tcW w:w="2126" w:type="dxa"/>
          </w:tcPr>
          <w:p w14:paraId="0A07BA6C" w14:textId="78109289"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Museum</w:t>
            </w:r>
          </w:p>
        </w:tc>
      </w:tr>
      <w:tr w:rsidR="0030566E" w:rsidRPr="00116E85" w14:paraId="52331C84" w14:textId="77777777" w:rsidTr="00116E85">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555" w:type="dxa"/>
          </w:tcPr>
          <w:p w14:paraId="174A5109" w14:textId="3B8FBC18" w:rsidR="0030566E" w:rsidRPr="00116E85" w:rsidRDefault="006C0F32" w:rsidP="0030566E">
            <w:pPr>
              <w:rPr>
                <w:rFonts w:eastAsia="Times New Roman"/>
                <w:sz w:val="20"/>
                <w:szCs w:val="20"/>
                <w:lang w:eastAsia="en-GB"/>
              </w:rPr>
            </w:pPr>
            <w:r>
              <w:rPr>
                <w:rFonts w:eastAsia="Times New Roman"/>
                <w:sz w:val="20"/>
                <w:szCs w:val="20"/>
                <w:lang w:eastAsia="en-GB"/>
              </w:rPr>
              <w:t>69</w:t>
            </w:r>
          </w:p>
        </w:tc>
        <w:tc>
          <w:tcPr>
            <w:tcW w:w="1555" w:type="dxa"/>
          </w:tcPr>
          <w:p w14:paraId="546E3482"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Weiner (2014)</w:t>
            </w:r>
          </w:p>
          <w:p w14:paraId="22E13672" w14:textId="77777777"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eastAsia="en-GB"/>
              </w:rPr>
            </w:pPr>
          </w:p>
          <w:p w14:paraId="19137A0C" w14:textId="34F27760" w:rsidR="0030566E" w:rsidRPr="006C0F32"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Fieldwork undertaken in Australia and the United States of America</w:t>
            </w:r>
          </w:p>
        </w:tc>
        <w:tc>
          <w:tcPr>
            <w:tcW w:w="2976" w:type="dxa"/>
          </w:tcPr>
          <w:p w14:paraId="1B3DE58B" w14:textId="5ABCA9D6"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4160D1">
              <w:rPr>
                <w:rFonts w:eastAsia="Times New Roman"/>
                <w:sz w:val="20"/>
                <w:szCs w:val="20"/>
                <w:lang w:eastAsia="en-GB"/>
              </w:rPr>
              <w:t>To explore how museums can inspire creativity and build exceptional arts programmes for people in later life and how this momentum can be sustained within a museum setting</w:t>
            </w:r>
          </w:p>
        </w:tc>
        <w:tc>
          <w:tcPr>
            <w:tcW w:w="1843" w:type="dxa"/>
          </w:tcPr>
          <w:p w14:paraId="309BCE67" w14:textId="42592005"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4160D1">
              <w:rPr>
                <w:rFonts w:eastAsia="Times New Roman"/>
                <w:sz w:val="20"/>
                <w:szCs w:val="20"/>
                <w:lang w:eastAsia="en-GB"/>
              </w:rPr>
              <w:t xml:space="preserve">Report based on participating or talking to stakeholders from organisations in Australia and America </w:t>
            </w:r>
            <w:r>
              <w:rPr>
                <w:rFonts w:eastAsia="Times New Roman"/>
                <w:sz w:val="20"/>
                <w:szCs w:val="20"/>
                <w:lang w:eastAsia="en-GB"/>
              </w:rPr>
              <w:t>as part of a Winston Churchill Travel Fellowship</w:t>
            </w:r>
          </w:p>
        </w:tc>
        <w:tc>
          <w:tcPr>
            <w:tcW w:w="1843" w:type="dxa"/>
          </w:tcPr>
          <w:p w14:paraId="644A1524" w14:textId="3BF81B2C"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1985" w:type="dxa"/>
          </w:tcPr>
          <w:p w14:paraId="0919EA1C" w14:textId="3D7FE746" w:rsidR="0030566E"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N/A</w:t>
            </w:r>
          </w:p>
        </w:tc>
        <w:tc>
          <w:tcPr>
            <w:tcW w:w="2126" w:type="dxa"/>
          </w:tcPr>
          <w:p w14:paraId="4236FA74" w14:textId="126A3536" w:rsidR="0030566E" w:rsidRPr="00116E85" w:rsidRDefault="0030566E" w:rsidP="0030566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en-GB"/>
              </w:rPr>
            </w:pPr>
            <w:r w:rsidRPr="004160D1">
              <w:rPr>
                <w:rFonts w:eastAsia="Times New Roman"/>
                <w:sz w:val="20"/>
                <w:szCs w:val="20"/>
                <w:lang w:eastAsia="en-GB"/>
              </w:rPr>
              <w:t xml:space="preserve">Museum </w:t>
            </w:r>
          </w:p>
        </w:tc>
      </w:tr>
      <w:tr w:rsidR="0030566E" w:rsidRPr="00116E85" w14:paraId="65E2CC87" w14:textId="77777777" w:rsidTr="006C0F32">
        <w:trPr>
          <w:trHeight w:val="2268"/>
        </w:trPr>
        <w:tc>
          <w:tcPr>
            <w:cnfStyle w:val="001000000000" w:firstRow="0" w:lastRow="0" w:firstColumn="1" w:lastColumn="0" w:oddVBand="0" w:evenVBand="0" w:oddHBand="0" w:evenHBand="0" w:firstRowFirstColumn="0" w:firstRowLastColumn="0" w:lastRowFirstColumn="0" w:lastRowLastColumn="0"/>
            <w:tcW w:w="1555" w:type="dxa"/>
          </w:tcPr>
          <w:p w14:paraId="56E75521" w14:textId="1B6A4173" w:rsidR="0030566E" w:rsidRPr="00116E85" w:rsidRDefault="006C0F32" w:rsidP="0030566E">
            <w:pPr>
              <w:rPr>
                <w:rFonts w:eastAsia="Times New Roman"/>
                <w:sz w:val="20"/>
                <w:szCs w:val="20"/>
                <w:lang w:eastAsia="en-GB"/>
              </w:rPr>
            </w:pPr>
            <w:r>
              <w:rPr>
                <w:rFonts w:eastAsia="Times New Roman"/>
                <w:sz w:val="20"/>
                <w:szCs w:val="20"/>
                <w:lang w:eastAsia="en-GB"/>
              </w:rPr>
              <w:t>70</w:t>
            </w:r>
          </w:p>
        </w:tc>
        <w:tc>
          <w:tcPr>
            <w:tcW w:w="1555" w:type="dxa"/>
            <w:shd w:val="clear" w:color="auto" w:fill="auto"/>
          </w:tcPr>
          <w:p w14:paraId="76734EDA"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r w:rsidRPr="006C0F32">
              <w:rPr>
                <w:rFonts w:eastAsia="Times New Roman"/>
                <w:sz w:val="20"/>
                <w:szCs w:val="20"/>
                <w:lang w:eastAsia="en-GB"/>
              </w:rPr>
              <w:t>Whear et al. (2014)</w:t>
            </w:r>
          </w:p>
          <w:p w14:paraId="40A4EF7D" w14:textId="77777777"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eastAsia="en-GB"/>
              </w:rPr>
            </w:pPr>
          </w:p>
          <w:p w14:paraId="3032836C" w14:textId="128476A3" w:rsidR="0030566E" w:rsidRPr="006C0F32"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6C0F32">
              <w:rPr>
                <w:rFonts w:eastAsia="Times New Roman"/>
                <w:sz w:val="20"/>
                <w:szCs w:val="20"/>
                <w:lang w:eastAsia="en-GB"/>
              </w:rPr>
              <w:t>United Kingdom</w:t>
            </w:r>
          </w:p>
        </w:tc>
        <w:tc>
          <w:tcPr>
            <w:tcW w:w="2976" w:type="dxa"/>
          </w:tcPr>
          <w:p w14:paraId="1CE89284" w14:textId="5D511221" w:rsidR="0030566E" w:rsidRPr="00116E85" w:rsidRDefault="0030566E" w:rsidP="0030566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To examine the impact of gardens and outdoor spaces on the mental and physical well-being of people with dementia </w:t>
            </w:r>
            <w:r>
              <w:rPr>
                <w:rFonts w:eastAsia="Times New Roman"/>
                <w:sz w:val="20"/>
                <w:szCs w:val="20"/>
                <w:lang w:eastAsia="en-GB"/>
              </w:rPr>
              <w:t>who are resident in care homes</w:t>
            </w:r>
          </w:p>
        </w:tc>
        <w:tc>
          <w:tcPr>
            <w:tcW w:w="1843" w:type="dxa"/>
          </w:tcPr>
          <w:p w14:paraId="5518F3B0" w14:textId="250391AB"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Pr>
                <w:rFonts w:eastAsia="Times New Roman"/>
                <w:sz w:val="20"/>
                <w:szCs w:val="20"/>
                <w:lang w:eastAsia="en-GB"/>
              </w:rPr>
              <w:t>Mixed-methods r</w:t>
            </w:r>
            <w:r w:rsidRPr="00116E85">
              <w:rPr>
                <w:rFonts w:eastAsia="Times New Roman"/>
                <w:sz w:val="20"/>
                <w:szCs w:val="20"/>
                <w:lang w:eastAsia="en-GB"/>
              </w:rPr>
              <w:t>eview</w:t>
            </w:r>
          </w:p>
        </w:tc>
        <w:tc>
          <w:tcPr>
            <w:tcW w:w="1843" w:type="dxa"/>
          </w:tcPr>
          <w:p w14:paraId="214981FC" w14:textId="14F8102F"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17 studies</w:t>
            </w:r>
          </w:p>
        </w:tc>
        <w:tc>
          <w:tcPr>
            <w:tcW w:w="1985" w:type="dxa"/>
          </w:tcPr>
          <w:p w14:paraId="1C0C6496" w14:textId="0B91A45C"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 xml:space="preserve">Systematic review; thematic analysis </w:t>
            </w:r>
          </w:p>
        </w:tc>
        <w:tc>
          <w:tcPr>
            <w:tcW w:w="2126" w:type="dxa"/>
          </w:tcPr>
          <w:p w14:paraId="227B7F46" w14:textId="5798F0C3" w:rsidR="0030566E" w:rsidRPr="00116E85" w:rsidRDefault="0030566E" w:rsidP="0030566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en-GB"/>
              </w:rPr>
            </w:pPr>
            <w:r w:rsidRPr="00116E85">
              <w:rPr>
                <w:rFonts w:eastAsia="Times New Roman"/>
                <w:sz w:val="20"/>
                <w:szCs w:val="20"/>
                <w:lang w:eastAsia="en-GB"/>
              </w:rPr>
              <w:t>Greenspaces (garden)</w:t>
            </w:r>
          </w:p>
        </w:tc>
      </w:tr>
    </w:tbl>
    <w:p w14:paraId="4FE00C13" w14:textId="4B39160D" w:rsidR="00203D7B" w:rsidRDefault="00203D7B" w:rsidP="00623DB1">
      <w:pPr>
        <w:rPr>
          <w:sz w:val="20"/>
          <w:szCs w:val="20"/>
        </w:rPr>
      </w:pPr>
    </w:p>
    <w:p w14:paraId="680FCA7C" w14:textId="61CB55C8" w:rsidR="00623DB1" w:rsidRDefault="00623DB1" w:rsidP="00623DB1">
      <w:pPr>
        <w:rPr>
          <w:sz w:val="20"/>
          <w:szCs w:val="20"/>
        </w:rPr>
      </w:pPr>
      <w:bookmarkStart w:id="0" w:name="_GoBack"/>
      <w:bookmarkEnd w:id="0"/>
    </w:p>
    <w:sectPr w:rsidR="00623DB1" w:rsidSect="007027B7">
      <w:footerReference w:type="default" r:id="rId10"/>
      <w:pgSz w:w="16838" w:h="11906" w:orient="landscape"/>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D3C70" w16cex:dateUtc="2021-09-28T06:02:00Z"/>
  <w16cex:commentExtensible w16cex:durableId="24FD564D" w16cex:dateUtc="2021-09-28T07:48:00Z"/>
  <w16cex:commentExtensible w16cex:durableId="24FD564F" w16cex:dateUtc="2021-09-28T07:51:00Z"/>
  <w16cex:commentExtensible w16cex:durableId="24FD5651" w16cex:dateUtc="2021-06-27T18:53:00Z"/>
  <w16cex:commentExtensible w16cex:durableId="24FD5652" w16cex:dateUtc="2021-09-28T06:25:00Z"/>
  <w16cex:commentExtensible w16cex:durableId="24FD5654" w16cex:dateUtc="2021-09-28T07:20:00Z"/>
  <w16cex:commentExtensible w16cex:durableId="24FD56A1" w16cex:dateUtc="2021-09-28T07:35:00Z"/>
  <w16cex:commentExtensible w16cex:durableId="24FD56A3" w16cex:dateUtc="2021-09-28T07: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CD81F2" w16cid:durableId="24FD3867"/>
  <w16cid:commentId w16cid:paraId="7840AD3A" w16cid:durableId="24FD3C70"/>
  <w16cid:commentId w16cid:paraId="5516ED1E" w16cid:durableId="24FD564E"/>
  <w16cid:commentId w16cid:paraId="6B936F43" w16cid:durableId="24FD564D"/>
  <w16cid:commentId w16cid:paraId="594E04A8" w16cid:durableId="24FD5650"/>
  <w16cid:commentId w16cid:paraId="211586B6" w16cid:durableId="24FD564F"/>
  <w16cid:commentId w16cid:paraId="2BCACC8D" w16cid:durableId="24FD5651"/>
  <w16cid:commentId w16cid:paraId="5D123AAE" w16cid:durableId="24FD5653"/>
  <w16cid:commentId w16cid:paraId="1F621D53" w16cid:durableId="24FD5652"/>
  <w16cid:commentId w16cid:paraId="5B906FD2" w16cid:durableId="24FD5655"/>
  <w16cid:commentId w16cid:paraId="4F1EABB9" w16cid:durableId="24FD5654"/>
  <w16cid:commentId w16cid:paraId="170639A7" w16cid:durableId="24FD56A2"/>
  <w16cid:commentId w16cid:paraId="64DE7510" w16cid:durableId="24FD56A1"/>
  <w16cid:commentId w16cid:paraId="741746FB" w16cid:durableId="24FD56A4"/>
  <w16cid:commentId w16cid:paraId="3C0AF402" w16cid:durableId="24FD56A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3DA93" w14:textId="77777777" w:rsidR="009C35DA" w:rsidRDefault="009C35DA" w:rsidP="009658D1">
      <w:pPr>
        <w:spacing w:after="0" w:line="240" w:lineRule="auto"/>
      </w:pPr>
      <w:r>
        <w:separator/>
      </w:r>
    </w:p>
  </w:endnote>
  <w:endnote w:type="continuationSeparator" w:id="0">
    <w:p w14:paraId="6B125C48" w14:textId="77777777" w:rsidR="009C35DA" w:rsidRDefault="009C35DA" w:rsidP="00965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32758"/>
      <w:docPartObj>
        <w:docPartGallery w:val="Page Numbers (Bottom of Page)"/>
        <w:docPartUnique/>
      </w:docPartObj>
    </w:sdtPr>
    <w:sdtEndPr>
      <w:rPr>
        <w:noProof/>
      </w:rPr>
    </w:sdtEndPr>
    <w:sdtContent>
      <w:p w14:paraId="1A9C4157" w14:textId="4C4B6FE8" w:rsidR="005A452A" w:rsidRDefault="005A452A">
        <w:pPr>
          <w:pStyle w:val="Footer"/>
          <w:jc w:val="center"/>
        </w:pPr>
        <w:r>
          <w:fldChar w:fldCharType="begin"/>
        </w:r>
        <w:r>
          <w:instrText xml:space="preserve"> PAGE   \* MERGEFORMAT </w:instrText>
        </w:r>
        <w:r>
          <w:fldChar w:fldCharType="separate"/>
        </w:r>
        <w:r w:rsidR="006C0F32">
          <w:rPr>
            <w:noProof/>
          </w:rPr>
          <w:t>10</w:t>
        </w:r>
        <w:r>
          <w:rPr>
            <w:noProof/>
          </w:rPr>
          <w:fldChar w:fldCharType="end"/>
        </w:r>
      </w:p>
    </w:sdtContent>
  </w:sdt>
  <w:p w14:paraId="213B968C" w14:textId="77777777" w:rsidR="005A452A" w:rsidRDefault="005A4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716F3" w14:textId="77777777" w:rsidR="009C35DA" w:rsidRDefault="009C35DA" w:rsidP="009658D1">
      <w:pPr>
        <w:spacing w:after="0" w:line="240" w:lineRule="auto"/>
      </w:pPr>
      <w:r>
        <w:separator/>
      </w:r>
    </w:p>
  </w:footnote>
  <w:footnote w:type="continuationSeparator" w:id="0">
    <w:p w14:paraId="4C203097" w14:textId="77777777" w:rsidR="009C35DA" w:rsidRDefault="009C35DA" w:rsidP="009658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cs="Symbol" w:hint="default"/>
        <w:b w:val="0"/>
        <w:bCs w:val="0"/>
        <w:i w:val="0"/>
        <w:iCs w:val="0"/>
        <w:strike w:val="0"/>
        <w:color w:val="000000"/>
        <w:sz w:val="22"/>
        <w:szCs w:val="22"/>
        <w:u w:val="none"/>
      </w:rPr>
    </w:lvl>
    <w:lvl w:ilvl="1">
      <w:start w:val="1"/>
      <w:numFmt w:val="bullet"/>
      <w:lvlText w:val=""/>
      <w:lvlJc w:val="left"/>
      <w:pPr>
        <w:ind w:left="1080" w:hanging="360"/>
      </w:pPr>
      <w:rPr>
        <w:rFonts w:ascii="Symbol" w:hAnsi="Symbol" w:cs="Symbol" w:hint="default"/>
        <w:b w:val="0"/>
        <w:bCs w:val="0"/>
        <w:i w:val="0"/>
        <w:iCs w:val="0"/>
        <w:strike w:val="0"/>
        <w:color w:val="000000"/>
        <w:sz w:val="22"/>
        <w:szCs w:val="22"/>
        <w:u w:val="none"/>
      </w:rPr>
    </w:lvl>
    <w:lvl w:ilvl="2">
      <w:start w:val="1"/>
      <w:numFmt w:val="bullet"/>
      <w:lvlText w:val=""/>
      <w:lvlJc w:val="left"/>
      <w:pPr>
        <w:ind w:left="1440" w:hanging="360"/>
      </w:pPr>
      <w:rPr>
        <w:rFonts w:ascii="Symbol" w:hAnsi="Symbol" w:cs="Symbol" w:hint="default"/>
        <w:b w:val="0"/>
        <w:bCs w:val="0"/>
        <w:i w:val="0"/>
        <w:iCs w:val="0"/>
        <w:strike w:val="0"/>
        <w:color w:val="000000"/>
        <w:sz w:val="22"/>
        <w:szCs w:val="22"/>
        <w:u w:val="none"/>
      </w:rPr>
    </w:lvl>
    <w:lvl w:ilvl="3">
      <w:start w:val="1"/>
      <w:numFmt w:val="bullet"/>
      <w:lvlText w:val=""/>
      <w:lvlJc w:val="left"/>
      <w:pPr>
        <w:ind w:left="1800" w:hanging="360"/>
      </w:pPr>
      <w:rPr>
        <w:rFonts w:ascii="Symbol" w:hAnsi="Symbol" w:cs="Symbol" w:hint="default"/>
        <w:b w:val="0"/>
        <w:bCs w:val="0"/>
        <w:i w:val="0"/>
        <w:iCs w:val="0"/>
        <w:strike w:val="0"/>
        <w:color w:val="000000"/>
        <w:sz w:val="22"/>
        <w:szCs w:val="22"/>
        <w:u w:val="none"/>
      </w:rPr>
    </w:lvl>
    <w:lvl w:ilvl="4">
      <w:start w:val="1"/>
      <w:numFmt w:val="bullet"/>
      <w:lvlText w:val=""/>
      <w:lvlJc w:val="left"/>
      <w:pPr>
        <w:ind w:left="2160" w:hanging="360"/>
      </w:pPr>
      <w:rPr>
        <w:rFonts w:ascii="Symbol" w:hAnsi="Symbol" w:cs="Symbol" w:hint="default"/>
        <w:b w:val="0"/>
        <w:bCs w:val="0"/>
        <w:i w:val="0"/>
        <w:iCs w:val="0"/>
        <w:strike w:val="0"/>
        <w:color w:val="000000"/>
        <w:sz w:val="22"/>
        <w:szCs w:val="22"/>
        <w:u w:val="none"/>
      </w:rPr>
    </w:lvl>
    <w:lvl w:ilvl="5">
      <w:start w:val="1"/>
      <w:numFmt w:val="bullet"/>
      <w:lvlText w:val=""/>
      <w:lvlJc w:val="left"/>
      <w:pPr>
        <w:ind w:left="2520" w:hanging="360"/>
      </w:pPr>
      <w:rPr>
        <w:rFonts w:ascii="Symbol" w:hAnsi="Symbol" w:cs="Symbol" w:hint="default"/>
        <w:b w:val="0"/>
        <w:bCs w:val="0"/>
        <w:i w:val="0"/>
        <w:iCs w:val="0"/>
        <w:strike w:val="0"/>
        <w:color w:val="000000"/>
        <w:sz w:val="22"/>
        <w:szCs w:val="22"/>
        <w:u w:val="none"/>
      </w:rPr>
    </w:lvl>
    <w:lvl w:ilvl="6">
      <w:start w:val="1"/>
      <w:numFmt w:val="bullet"/>
      <w:lvlText w:val=""/>
      <w:lvlJc w:val="left"/>
      <w:pPr>
        <w:ind w:left="2880" w:hanging="360"/>
      </w:pPr>
      <w:rPr>
        <w:rFonts w:ascii="Symbol" w:hAnsi="Symbol" w:cs="Symbol" w:hint="default"/>
        <w:b w:val="0"/>
        <w:bCs w:val="0"/>
        <w:i w:val="0"/>
        <w:iCs w:val="0"/>
        <w:strike w:val="0"/>
        <w:color w:val="000000"/>
        <w:sz w:val="22"/>
        <w:szCs w:val="22"/>
        <w:u w:val="none"/>
      </w:rPr>
    </w:lvl>
    <w:lvl w:ilvl="7">
      <w:start w:val="1"/>
      <w:numFmt w:val="bullet"/>
      <w:lvlText w:val=""/>
      <w:lvlJc w:val="left"/>
      <w:pPr>
        <w:ind w:left="3240" w:hanging="360"/>
      </w:pPr>
      <w:rPr>
        <w:rFonts w:ascii="Symbol" w:hAnsi="Symbol" w:cs="Symbol" w:hint="default"/>
        <w:b w:val="0"/>
        <w:bCs w:val="0"/>
        <w:i w:val="0"/>
        <w:iCs w:val="0"/>
        <w:strike w:val="0"/>
        <w:color w:val="000000"/>
        <w:sz w:val="22"/>
        <w:szCs w:val="22"/>
        <w:u w:val="none"/>
      </w:rPr>
    </w:lvl>
    <w:lvl w:ilvl="8">
      <w:start w:val="1"/>
      <w:numFmt w:val="bullet"/>
      <w:lvlText w:val=""/>
      <w:lvlJc w:val="left"/>
      <w:pPr>
        <w:ind w:left="3600" w:hanging="360"/>
      </w:pPr>
      <w:rPr>
        <w:rFonts w:ascii="Symbol" w:hAnsi="Symbol" w:cs="Symbol" w:hint="default"/>
        <w:b w:val="0"/>
        <w:bCs w:val="0"/>
        <w:i w:val="0"/>
        <w:iCs w:val="0"/>
        <w:strike w:val="0"/>
        <w:color w:val="000000"/>
        <w:sz w:val="22"/>
        <w:szCs w:val="22"/>
        <w:u w:val="none"/>
      </w:rPr>
    </w:lvl>
  </w:abstractNum>
  <w:abstractNum w:abstractNumId="1" w15:restartNumberingAfterBreak="0">
    <w:nsid w:val="04CE71D7"/>
    <w:multiLevelType w:val="hybridMultilevel"/>
    <w:tmpl w:val="1BBC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D1036"/>
    <w:multiLevelType w:val="hybridMultilevel"/>
    <w:tmpl w:val="49247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F0A47"/>
    <w:multiLevelType w:val="hybridMultilevel"/>
    <w:tmpl w:val="E5D0E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E3AE0"/>
    <w:multiLevelType w:val="hybridMultilevel"/>
    <w:tmpl w:val="BE881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E41C4"/>
    <w:multiLevelType w:val="hybridMultilevel"/>
    <w:tmpl w:val="7E5C19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107DF9"/>
    <w:multiLevelType w:val="hybridMultilevel"/>
    <w:tmpl w:val="0900A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201641"/>
    <w:multiLevelType w:val="hybridMultilevel"/>
    <w:tmpl w:val="DF5ED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6E66CF"/>
    <w:multiLevelType w:val="hybridMultilevel"/>
    <w:tmpl w:val="3C40F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C0241F"/>
    <w:multiLevelType w:val="hybridMultilevel"/>
    <w:tmpl w:val="FE3C0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A1576"/>
    <w:multiLevelType w:val="hybridMultilevel"/>
    <w:tmpl w:val="F5F66C44"/>
    <w:lvl w:ilvl="0" w:tplc="0809000F">
      <w:start w:val="1"/>
      <w:numFmt w:val="decimal"/>
      <w:lvlText w:val="%1."/>
      <w:lvlJc w:val="left"/>
      <w:pPr>
        <w:ind w:left="240" w:hanging="360"/>
      </w:pPr>
    </w:lvl>
    <w:lvl w:ilvl="1" w:tplc="08090019" w:tentative="1">
      <w:start w:val="1"/>
      <w:numFmt w:val="lowerLetter"/>
      <w:lvlText w:val="%2."/>
      <w:lvlJc w:val="left"/>
      <w:pPr>
        <w:ind w:left="960" w:hanging="360"/>
      </w:pPr>
    </w:lvl>
    <w:lvl w:ilvl="2" w:tplc="0809001B" w:tentative="1">
      <w:start w:val="1"/>
      <w:numFmt w:val="lowerRoman"/>
      <w:lvlText w:val="%3."/>
      <w:lvlJc w:val="right"/>
      <w:pPr>
        <w:ind w:left="1680" w:hanging="180"/>
      </w:pPr>
    </w:lvl>
    <w:lvl w:ilvl="3" w:tplc="0809000F" w:tentative="1">
      <w:start w:val="1"/>
      <w:numFmt w:val="decimal"/>
      <w:lvlText w:val="%4."/>
      <w:lvlJc w:val="left"/>
      <w:pPr>
        <w:ind w:left="2400" w:hanging="360"/>
      </w:pPr>
    </w:lvl>
    <w:lvl w:ilvl="4" w:tplc="08090019" w:tentative="1">
      <w:start w:val="1"/>
      <w:numFmt w:val="lowerLetter"/>
      <w:lvlText w:val="%5."/>
      <w:lvlJc w:val="left"/>
      <w:pPr>
        <w:ind w:left="3120" w:hanging="360"/>
      </w:pPr>
    </w:lvl>
    <w:lvl w:ilvl="5" w:tplc="0809001B" w:tentative="1">
      <w:start w:val="1"/>
      <w:numFmt w:val="lowerRoman"/>
      <w:lvlText w:val="%6."/>
      <w:lvlJc w:val="right"/>
      <w:pPr>
        <w:ind w:left="3840" w:hanging="180"/>
      </w:pPr>
    </w:lvl>
    <w:lvl w:ilvl="6" w:tplc="0809000F" w:tentative="1">
      <w:start w:val="1"/>
      <w:numFmt w:val="decimal"/>
      <w:lvlText w:val="%7."/>
      <w:lvlJc w:val="left"/>
      <w:pPr>
        <w:ind w:left="4560" w:hanging="360"/>
      </w:pPr>
    </w:lvl>
    <w:lvl w:ilvl="7" w:tplc="08090019" w:tentative="1">
      <w:start w:val="1"/>
      <w:numFmt w:val="lowerLetter"/>
      <w:lvlText w:val="%8."/>
      <w:lvlJc w:val="left"/>
      <w:pPr>
        <w:ind w:left="5280" w:hanging="360"/>
      </w:pPr>
    </w:lvl>
    <w:lvl w:ilvl="8" w:tplc="0809001B" w:tentative="1">
      <w:start w:val="1"/>
      <w:numFmt w:val="lowerRoman"/>
      <w:lvlText w:val="%9."/>
      <w:lvlJc w:val="right"/>
      <w:pPr>
        <w:ind w:left="6000" w:hanging="180"/>
      </w:pPr>
    </w:lvl>
  </w:abstractNum>
  <w:num w:numId="1">
    <w:abstractNumId w:val="5"/>
  </w:num>
  <w:num w:numId="2">
    <w:abstractNumId w:val="0"/>
  </w:num>
  <w:num w:numId="3">
    <w:abstractNumId w:val="4"/>
  </w:num>
  <w:num w:numId="4">
    <w:abstractNumId w:val="1"/>
  </w:num>
  <w:num w:numId="5">
    <w:abstractNumId w:val="2"/>
  </w:num>
  <w:num w:numId="6">
    <w:abstractNumId w:val="8"/>
  </w:num>
  <w:num w:numId="7">
    <w:abstractNumId w:val="6"/>
  </w:num>
  <w:num w:numId="8">
    <w:abstractNumId w:val="7"/>
  </w:num>
  <w:num w:numId="9">
    <w:abstractNumId w:val="3"/>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146"/>
    <w:rsid w:val="000011A6"/>
    <w:rsid w:val="0001155C"/>
    <w:rsid w:val="00013146"/>
    <w:rsid w:val="000131F0"/>
    <w:rsid w:val="000175E4"/>
    <w:rsid w:val="00021891"/>
    <w:rsid w:val="0003362F"/>
    <w:rsid w:val="00034D38"/>
    <w:rsid w:val="00035A02"/>
    <w:rsid w:val="0004036A"/>
    <w:rsid w:val="00044727"/>
    <w:rsid w:val="00046644"/>
    <w:rsid w:val="00062758"/>
    <w:rsid w:val="00063EF6"/>
    <w:rsid w:val="00067D52"/>
    <w:rsid w:val="0007547F"/>
    <w:rsid w:val="0007651E"/>
    <w:rsid w:val="00084EBB"/>
    <w:rsid w:val="00085B83"/>
    <w:rsid w:val="00086048"/>
    <w:rsid w:val="0008641D"/>
    <w:rsid w:val="00090C2E"/>
    <w:rsid w:val="000A1BAC"/>
    <w:rsid w:val="000C266C"/>
    <w:rsid w:val="000C2CCD"/>
    <w:rsid w:val="000C5E98"/>
    <w:rsid w:val="000D1646"/>
    <w:rsid w:val="000D4202"/>
    <w:rsid w:val="000F1889"/>
    <w:rsid w:val="000F2530"/>
    <w:rsid w:val="000F3CD1"/>
    <w:rsid w:val="00104685"/>
    <w:rsid w:val="00106970"/>
    <w:rsid w:val="001146A8"/>
    <w:rsid w:val="00116E85"/>
    <w:rsid w:val="00136DD7"/>
    <w:rsid w:val="0015313B"/>
    <w:rsid w:val="00157BB2"/>
    <w:rsid w:val="00162594"/>
    <w:rsid w:val="001633D6"/>
    <w:rsid w:val="00166F08"/>
    <w:rsid w:val="00172A16"/>
    <w:rsid w:val="001753D7"/>
    <w:rsid w:val="00175D73"/>
    <w:rsid w:val="00175DD7"/>
    <w:rsid w:val="00193B15"/>
    <w:rsid w:val="001945C6"/>
    <w:rsid w:val="001973E2"/>
    <w:rsid w:val="001A19D0"/>
    <w:rsid w:val="001A1D7E"/>
    <w:rsid w:val="001A4BBD"/>
    <w:rsid w:val="001A5E1E"/>
    <w:rsid w:val="001A6913"/>
    <w:rsid w:val="001C2E84"/>
    <w:rsid w:val="001D3FA8"/>
    <w:rsid w:val="001D7806"/>
    <w:rsid w:val="001E1433"/>
    <w:rsid w:val="001E4391"/>
    <w:rsid w:val="001E4967"/>
    <w:rsid w:val="001E49B2"/>
    <w:rsid w:val="001E5502"/>
    <w:rsid w:val="001E6040"/>
    <w:rsid w:val="001F0FA5"/>
    <w:rsid w:val="001F7A9F"/>
    <w:rsid w:val="00200FAB"/>
    <w:rsid w:val="00203D7B"/>
    <w:rsid w:val="00240EDE"/>
    <w:rsid w:val="00241ABC"/>
    <w:rsid w:val="0024508D"/>
    <w:rsid w:val="002465F0"/>
    <w:rsid w:val="00255644"/>
    <w:rsid w:val="00256986"/>
    <w:rsid w:val="00264D64"/>
    <w:rsid w:val="002676CC"/>
    <w:rsid w:val="00273909"/>
    <w:rsid w:val="002769B1"/>
    <w:rsid w:val="00280229"/>
    <w:rsid w:val="0029514C"/>
    <w:rsid w:val="002A0E5A"/>
    <w:rsid w:val="002B2246"/>
    <w:rsid w:val="002C02E4"/>
    <w:rsid w:val="002C3679"/>
    <w:rsid w:val="002C38AF"/>
    <w:rsid w:val="002D1281"/>
    <w:rsid w:val="002E4B2B"/>
    <w:rsid w:val="002E686B"/>
    <w:rsid w:val="002F0675"/>
    <w:rsid w:val="002F259B"/>
    <w:rsid w:val="002F60B3"/>
    <w:rsid w:val="002F6EB7"/>
    <w:rsid w:val="002F7C99"/>
    <w:rsid w:val="0030566E"/>
    <w:rsid w:val="00310D21"/>
    <w:rsid w:val="00312F6E"/>
    <w:rsid w:val="00314766"/>
    <w:rsid w:val="00324B3A"/>
    <w:rsid w:val="00330B1B"/>
    <w:rsid w:val="0033220C"/>
    <w:rsid w:val="00335D8F"/>
    <w:rsid w:val="00340686"/>
    <w:rsid w:val="003426F2"/>
    <w:rsid w:val="00346454"/>
    <w:rsid w:val="0035203A"/>
    <w:rsid w:val="00352E66"/>
    <w:rsid w:val="0035377B"/>
    <w:rsid w:val="00354D37"/>
    <w:rsid w:val="003550B6"/>
    <w:rsid w:val="00355E12"/>
    <w:rsid w:val="003567AF"/>
    <w:rsid w:val="00361D1F"/>
    <w:rsid w:val="003754B0"/>
    <w:rsid w:val="00377A50"/>
    <w:rsid w:val="00380402"/>
    <w:rsid w:val="00386334"/>
    <w:rsid w:val="003921A0"/>
    <w:rsid w:val="003A4082"/>
    <w:rsid w:val="003B10D3"/>
    <w:rsid w:val="003B26A2"/>
    <w:rsid w:val="003B65D8"/>
    <w:rsid w:val="003D77E8"/>
    <w:rsid w:val="003E0288"/>
    <w:rsid w:val="003E21D5"/>
    <w:rsid w:val="003E6EFE"/>
    <w:rsid w:val="003F19E2"/>
    <w:rsid w:val="003F2B1A"/>
    <w:rsid w:val="0041133E"/>
    <w:rsid w:val="00411F73"/>
    <w:rsid w:val="004160D1"/>
    <w:rsid w:val="00423E2F"/>
    <w:rsid w:val="00425C2F"/>
    <w:rsid w:val="004317D2"/>
    <w:rsid w:val="0044525D"/>
    <w:rsid w:val="00445A6D"/>
    <w:rsid w:val="00450C25"/>
    <w:rsid w:val="00451E86"/>
    <w:rsid w:val="004578AB"/>
    <w:rsid w:val="0046344E"/>
    <w:rsid w:val="00470370"/>
    <w:rsid w:val="00477298"/>
    <w:rsid w:val="0048112E"/>
    <w:rsid w:val="00483166"/>
    <w:rsid w:val="004849E3"/>
    <w:rsid w:val="0049387A"/>
    <w:rsid w:val="00497685"/>
    <w:rsid w:val="00497D66"/>
    <w:rsid w:val="004B15C5"/>
    <w:rsid w:val="004B1CD8"/>
    <w:rsid w:val="004C54DC"/>
    <w:rsid w:val="004E0C14"/>
    <w:rsid w:val="004F2618"/>
    <w:rsid w:val="004F2E0D"/>
    <w:rsid w:val="004F562E"/>
    <w:rsid w:val="005032F7"/>
    <w:rsid w:val="00505E82"/>
    <w:rsid w:val="00507272"/>
    <w:rsid w:val="00513216"/>
    <w:rsid w:val="0051440B"/>
    <w:rsid w:val="00527591"/>
    <w:rsid w:val="00531618"/>
    <w:rsid w:val="00542C26"/>
    <w:rsid w:val="0054352A"/>
    <w:rsid w:val="00546327"/>
    <w:rsid w:val="00546F51"/>
    <w:rsid w:val="00547468"/>
    <w:rsid w:val="00555962"/>
    <w:rsid w:val="00557A9B"/>
    <w:rsid w:val="00560C13"/>
    <w:rsid w:val="00582036"/>
    <w:rsid w:val="005A3D82"/>
    <w:rsid w:val="005A452A"/>
    <w:rsid w:val="005A5A60"/>
    <w:rsid w:val="005A5D15"/>
    <w:rsid w:val="005B053E"/>
    <w:rsid w:val="005B23D1"/>
    <w:rsid w:val="005C55C2"/>
    <w:rsid w:val="005C76C5"/>
    <w:rsid w:val="005D6353"/>
    <w:rsid w:val="005E00A4"/>
    <w:rsid w:val="005E283A"/>
    <w:rsid w:val="005F343D"/>
    <w:rsid w:val="005F61C9"/>
    <w:rsid w:val="005F62E4"/>
    <w:rsid w:val="00614956"/>
    <w:rsid w:val="00623935"/>
    <w:rsid w:val="00623DB1"/>
    <w:rsid w:val="006262C5"/>
    <w:rsid w:val="0062768F"/>
    <w:rsid w:val="00642248"/>
    <w:rsid w:val="00647FE2"/>
    <w:rsid w:val="0065285D"/>
    <w:rsid w:val="00656C80"/>
    <w:rsid w:val="00660013"/>
    <w:rsid w:val="00660B4C"/>
    <w:rsid w:val="00661A29"/>
    <w:rsid w:val="0066465B"/>
    <w:rsid w:val="00666385"/>
    <w:rsid w:val="0067339A"/>
    <w:rsid w:val="0068054A"/>
    <w:rsid w:val="006909F8"/>
    <w:rsid w:val="00692BDC"/>
    <w:rsid w:val="00695620"/>
    <w:rsid w:val="006B0D28"/>
    <w:rsid w:val="006B2A0B"/>
    <w:rsid w:val="006B616D"/>
    <w:rsid w:val="006C0EE5"/>
    <w:rsid w:val="006C0F32"/>
    <w:rsid w:val="006D240C"/>
    <w:rsid w:val="006D2825"/>
    <w:rsid w:val="006D764D"/>
    <w:rsid w:val="006F0228"/>
    <w:rsid w:val="006F1635"/>
    <w:rsid w:val="006F4115"/>
    <w:rsid w:val="006F4606"/>
    <w:rsid w:val="007003AE"/>
    <w:rsid w:val="007027B7"/>
    <w:rsid w:val="007051E4"/>
    <w:rsid w:val="00705882"/>
    <w:rsid w:val="007075A3"/>
    <w:rsid w:val="00710F35"/>
    <w:rsid w:val="00712A10"/>
    <w:rsid w:val="0071328B"/>
    <w:rsid w:val="007141EE"/>
    <w:rsid w:val="00722C3E"/>
    <w:rsid w:val="00722F78"/>
    <w:rsid w:val="00723164"/>
    <w:rsid w:val="0072351E"/>
    <w:rsid w:val="00734745"/>
    <w:rsid w:val="00735226"/>
    <w:rsid w:val="0074681B"/>
    <w:rsid w:val="00747B81"/>
    <w:rsid w:val="00754AA0"/>
    <w:rsid w:val="00756A0E"/>
    <w:rsid w:val="0076448E"/>
    <w:rsid w:val="0076613E"/>
    <w:rsid w:val="0076631A"/>
    <w:rsid w:val="007700A5"/>
    <w:rsid w:val="007818D1"/>
    <w:rsid w:val="00794486"/>
    <w:rsid w:val="007A1585"/>
    <w:rsid w:val="007A7596"/>
    <w:rsid w:val="007B04DC"/>
    <w:rsid w:val="007B2577"/>
    <w:rsid w:val="007B5A05"/>
    <w:rsid w:val="007D383C"/>
    <w:rsid w:val="007D653C"/>
    <w:rsid w:val="007E0E90"/>
    <w:rsid w:val="007E521A"/>
    <w:rsid w:val="007E6A5C"/>
    <w:rsid w:val="007F15DE"/>
    <w:rsid w:val="007F2C6F"/>
    <w:rsid w:val="007F6E61"/>
    <w:rsid w:val="007F6FE1"/>
    <w:rsid w:val="008027EF"/>
    <w:rsid w:val="00806B34"/>
    <w:rsid w:val="00806F45"/>
    <w:rsid w:val="00811539"/>
    <w:rsid w:val="00825BED"/>
    <w:rsid w:val="00841010"/>
    <w:rsid w:val="008435BF"/>
    <w:rsid w:val="00844ACB"/>
    <w:rsid w:val="00846E18"/>
    <w:rsid w:val="00853081"/>
    <w:rsid w:val="0086114C"/>
    <w:rsid w:val="00862B05"/>
    <w:rsid w:val="00864A19"/>
    <w:rsid w:val="008710D7"/>
    <w:rsid w:val="00872039"/>
    <w:rsid w:val="008767D5"/>
    <w:rsid w:val="0088008A"/>
    <w:rsid w:val="0088604F"/>
    <w:rsid w:val="00891B84"/>
    <w:rsid w:val="00895325"/>
    <w:rsid w:val="008B70B0"/>
    <w:rsid w:val="008B7811"/>
    <w:rsid w:val="008B7D19"/>
    <w:rsid w:val="008C63EA"/>
    <w:rsid w:val="008E0603"/>
    <w:rsid w:val="008E1126"/>
    <w:rsid w:val="008E5B0D"/>
    <w:rsid w:val="008F6813"/>
    <w:rsid w:val="00902391"/>
    <w:rsid w:val="0092260F"/>
    <w:rsid w:val="00922EBD"/>
    <w:rsid w:val="00940F56"/>
    <w:rsid w:val="00942088"/>
    <w:rsid w:val="0094337A"/>
    <w:rsid w:val="00951E20"/>
    <w:rsid w:val="00956783"/>
    <w:rsid w:val="009622A6"/>
    <w:rsid w:val="00965442"/>
    <w:rsid w:val="009658D1"/>
    <w:rsid w:val="00965ADB"/>
    <w:rsid w:val="00986A07"/>
    <w:rsid w:val="009A22B6"/>
    <w:rsid w:val="009A6D1D"/>
    <w:rsid w:val="009B6F3B"/>
    <w:rsid w:val="009B79D7"/>
    <w:rsid w:val="009C17D3"/>
    <w:rsid w:val="009C35DA"/>
    <w:rsid w:val="009C5B70"/>
    <w:rsid w:val="009C60C6"/>
    <w:rsid w:val="009C62DD"/>
    <w:rsid w:val="009D0306"/>
    <w:rsid w:val="009D16DB"/>
    <w:rsid w:val="009D1A3C"/>
    <w:rsid w:val="009D24BB"/>
    <w:rsid w:val="009D2B6B"/>
    <w:rsid w:val="009D2E4D"/>
    <w:rsid w:val="009E01E3"/>
    <w:rsid w:val="009E134E"/>
    <w:rsid w:val="009E192C"/>
    <w:rsid w:val="009E4D77"/>
    <w:rsid w:val="009F213C"/>
    <w:rsid w:val="00A0057F"/>
    <w:rsid w:val="00A05ADC"/>
    <w:rsid w:val="00A1199F"/>
    <w:rsid w:val="00A14D81"/>
    <w:rsid w:val="00A16B19"/>
    <w:rsid w:val="00A33F38"/>
    <w:rsid w:val="00A3563B"/>
    <w:rsid w:val="00A40FAA"/>
    <w:rsid w:val="00A46C6C"/>
    <w:rsid w:val="00A503D1"/>
    <w:rsid w:val="00A667BB"/>
    <w:rsid w:val="00A704E3"/>
    <w:rsid w:val="00A71FAC"/>
    <w:rsid w:val="00A74F8D"/>
    <w:rsid w:val="00A76075"/>
    <w:rsid w:val="00A915FB"/>
    <w:rsid w:val="00A934E1"/>
    <w:rsid w:val="00A94645"/>
    <w:rsid w:val="00A97417"/>
    <w:rsid w:val="00AA52DB"/>
    <w:rsid w:val="00AA6B58"/>
    <w:rsid w:val="00AB4FA2"/>
    <w:rsid w:val="00AC6911"/>
    <w:rsid w:val="00AC72B4"/>
    <w:rsid w:val="00AD4320"/>
    <w:rsid w:val="00AD6EC1"/>
    <w:rsid w:val="00AE2A92"/>
    <w:rsid w:val="00AF3CB1"/>
    <w:rsid w:val="00B072BB"/>
    <w:rsid w:val="00B10974"/>
    <w:rsid w:val="00B1223E"/>
    <w:rsid w:val="00B12A27"/>
    <w:rsid w:val="00B23EB5"/>
    <w:rsid w:val="00B33A2B"/>
    <w:rsid w:val="00B35E4F"/>
    <w:rsid w:val="00B36C6D"/>
    <w:rsid w:val="00B44551"/>
    <w:rsid w:val="00B52C64"/>
    <w:rsid w:val="00B54969"/>
    <w:rsid w:val="00B6104E"/>
    <w:rsid w:val="00B66951"/>
    <w:rsid w:val="00B73247"/>
    <w:rsid w:val="00B82BFA"/>
    <w:rsid w:val="00B84F3C"/>
    <w:rsid w:val="00B85FBD"/>
    <w:rsid w:val="00B95B7F"/>
    <w:rsid w:val="00BA238F"/>
    <w:rsid w:val="00BA6753"/>
    <w:rsid w:val="00BA6954"/>
    <w:rsid w:val="00BB628F"/>
    <w:rsid w:val="00BB697C"/>
    <w:rsid w:val="00BB75F3"/>
    <w:rsid w:val="00BC3F59"/>
    <w:rsid w:val="00BD5CA7"/>
    <w:rsid w:val="00BE3740"/>
    <w:rsid w:val="00BE3ED6"/>
    <w:rsid w:val="00BE4DEB"/>
    <w:rsid w:val="00BF064C"/>
    <w:rsid w:val="00BF6146"/>
    <w:rsid w:val="00C261ED"/>
    <w:rsid w:val="00C37F54"/>
    <w:rsid w:val="00C400EF"/>
    <w:rsid w:val="00C41459"/>
    <w:rsid w:val="00C4255D"/>
    <w:rsid w:val="00C454AD"/>
    <w:rsid w:val="00C51A2D"/>
    <w:rsid w:val="00C568EE"/>
    <w:rsid w:val="00C634AF"/>
    <w:rsid w:val="00C653B4"/>
    <w:rsid w:val="00C72808"/>
    <w:rsid w:val="00C75ADF"/>
    <w:rsid w:val="00C864D2"/>
    <w:rsid w:val="00C9644F"/>
    <w:rsid w:val="00CA5406"/>
    <w:rsid w:val="00CA5E57"/>
    <w:rsid w:val="00CB0BCF"/>
    <w:rsid w:val="00CB7173"/>
    <w:rsid w:val="00CC1917"/>
    <w:rsid w:val="00CC42B2"/>
    <w:rsid w:val="00CC584D"/>
    <w:rsid w:val="00CE1CD4"/>
    <w:rsid w:val="00CE20CB"/>
    <w:rsid w:val="00CF2BE9"/>
    <w:rsid w:val="00CF6C3E"/>
    <w:rsid w:val="00D026A8"/>
    <w:rsid w:val="00D02C98"/>
    <w:rsid w:val="00D033D0"/>
    <w:rsid w:val="00D05957"/>
    <w:rsid w:val="00D11BC7"/>
    <w:rsid w:val="00D132A8"/>
    <w:rsid w:val="00D21916"/>
    <w:rsid w:val="00D21C16"/>
    <w:rsid w:val="00D27BA4"/>
    <w:rsid w:val="00D30B6F"/>
    <w:rsid w:val="00D31B6E"/>
    <w:rsid w:val="00D32DFA"/>
    <w:rsid w:val="00D34B13"/>
    <w:rsid w:val="00D367A3"/>
    <w:rsid w:val="00D5269E"/>
    <w:rsid w:val="00D53F7A"/>
    <w:rsid w:val="00D63E20"/>
    <w:rsid w:val="00D70F8F"/>
    <w:rsid w:val="00D73C71"/>
    <w:rsid w:val="00D74473"/>
    <w:rsid w:val="00D81635"/>
    <w:rsid w:val="00D8609F"/>
    <w:rsid w:val="00D86FDE"/>
    <w:rsid w:val="00D912B0"/>
    <w:rsid w:val="00DB2EDE"/>
    <w:rsid w:val="00DB33E5"/>
    <w:rsid w:val="00DB4087"/>
    <w:rsid w:val="00DD6F44"/>
    <w:rsid w:val="00DE4E06"/>
    <w:rsid w:val="00E00E12"/>
    <w:rsid w:val="00E26EC0"/>
    <w:rsid w:val="00E34341"/>
    <w:rsid w:val="00E37E79"/>
    <w:rsid w:val="00E40974"/>
    <w:rsid w:val="00E41E51"/>
    <w:rsid w:val="00E52701"/>
    <w:rsid w:val="00E54FDA"/>
    <w:rsid w:val="00E5642E"/>
    <w:rsid w:val="00E62B5F"/>
    <w:rsid w:val="00E64477"/>
    <w:rsid w:val="00E74DBD"/>
    <w:rsid w:val="00E77514"/>
    <w:rsid w:val="00E80CC0"/>
    <w:rsid w:val="00E95CA6"/>
    <w:rsid w:val="00EA6525"/>
    <w:rsid w:val="00EB7A85"/>
    <w:rsid w:val="00ED4A60"/>
    <w:rsid w:val="00EF7036"/>
    <w:rsid w:val="00F03245"/>
    <w:rsid w:val="00F10362"/>
    <w:rsid w:val="00F16193"/>
    <w:rsid w:val="00F23A23"/>
    <w:rsid w:val="00F4520B"/>
    <w:rsid w:val="00F53CF6"/>
    <w:rsid w:val="00F556B9"/>
    <w:rsid w:val="00F61456"/>
    <w:rsid w:val="00F624FD"/>
    <w:rsid w:val="00F64688"/>
    <w:rsid w:val="00F658E6"/>
    <w:rsid w:val="00F718B7"/>
    <w:rsid w:val="00F71E56"/>
    <w:rsid w:val="00F72E40"/>
    <w:rsid w:val="00F739AF"/>
    <w:rsid w:val="00F73CBC"/>
    <w:rsid w:val="00F835AF"/>
    <w:rsid w:val="00F95EC7"/>
    <w:rsid w:val="00F95FFF"/>
    <w:rsid w:val="00FA2B4E"/>
    <w:rsid w:val="00FA6319"/>
    <w:rsid w:val="00FA6983"/>
    <w:rsid w:val="00FA6A57"/>
    <w:rsid w:val="00FB3282"/>
    <w:rsid w:val="00FB3644"/>
    <w:rsid w:val="00FC15E6"/>
    <w:rsid w:val="00FD37FE"/>
    <w:rsid w:val="00FE3DCD"/>
    <w:rsid w:val="00FE627A"/>
    <w:rsid w:val="00FE777A"/>
    <w:rsid w:val="00FF4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F543"/>
  <w15:chartTrackingRefBased/>
  <w15:docId w15:val="{2CE10B9B-87B5-456F-BBF3-03062BD7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color w:val="000000"/>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F35"/>
    <w:pPr>
      <w:ind w:left="720"/>
      <w:contextualSpacing/>
    </w:pPr>
  </w:style>
  <w:style w:type="character" w:styleId="CommentReference">
    <w:name w:val="annotation reference"/>
    <w:basedOn w:val="DefaultParagraphFont"/>
    <w:uiPriority w:val="99"/>
    <w:semiHidden/>
    <w:unhideWhenUsed/>
    <w:rsid w:val="007E6A5C"/>
    <w:rPr>
      <w:sz w:val="16"/>
      <w:szCs w:val="16"/>
    </w:rPr>
  </w:style>
  <w:style w:type="paragraph" w:styleId="CommentText">
    <w:name w:val="annotation text"/>
    <w:basedOn w:val="Normal"/>
    <w:link w:val="CommentTextChar"/>
    <w:uiPriority w:val="99"/>
    <w:unhideWhenUsed/>
    <w:rsid w:val="007E6A5C"/>
    <w:pPr>
      <w:spacing w:line="240" w:lineRule="auto"/>
    </w:pPr>
    <w:rPr>
      <w:sz w:val="20"/>
      <w:szCs w:val="20"/>
    </w:rPr>
  </w:style>
  <w:style w:type="character" w:customStyle="1" w:styleId="CommentTextChar">
    <w:name w:val="Comment Text Char"/>
    <w:basedOn w:val="DefaultParagraphFont"/>
    <w:link w:val="CommentText"/>
    <w:uiPriority w:val="99"/>
    <w:rsid w:val="007E6A5C"/>
    <w:rPr>
      <w:sz w:val="20"/>
      <w:szCs w:val="20"/>
    </w:rPr>
  </w:style>
  <w:style w:type="paragraph" w:styleId="CommentSubject">
    <w:name w:val="annotation subject"/>
    <w:basedOn w:val="CommentText"/>
    <w:next w:val="CommentText"/>
    <w:link w:val="CommentSubjectChar"/>
    <w:uiPriority w:val="99"/>
    <w:semiHidden/>
    <w:unhideWhenUsed/>
    <w:rsid w:val="007E6A5C"/>
    <w:rPr>
      <w:b/>
      <w:bCs/>
    </w:rPr>
  </w:style>
  <w:style w:type="character" w:customStyle="1" w:styleId="CommentSubjectChar">
    <w:name w:val="Comment Subject Char"/>
    <w:basedOn w:val="CommentTextChar"/>
    <w:link w:val="CommentSubject"/>
    <w:uiPriority w:val="99"/>
    <w:semiHidden/>
    <w:rsid w:val="007E6A5C"/>
    <w:rPr>
      <w:b/>
      <w:bCs/>
      <w:sz w:val="20"/>
      <w:szCs w:val="20"/>
    </w:rPr>
  </w:style>
  <w:style w:type="paragraph" w:styleId="BalloonText">
    <w:name w:val="Balloon Text"/>
    <w:basedOn w:val="Normal"/>
    <w:link w:val="BalloonTextChar"/>
    <w:uiPriority w:val="99"/>
    <w:semiHidden/>
    <w:unhideWhenUsed/>
    <w:rsid w:val="007E6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A5C"/>
    <w:rPr>
      <w:rFonts w:ascii="Segoe UI" w:hAnsi="Segoe UI" w:cs="Segoe UI"/>
      <w:sz w:val="18"/>
      <w:szCs w:val="18"/>
    </w:rPr>
  </w:style>
  <w:style w:type="paragraph" w:styleId="Header">
    <w:name w:val="header"/>
    <w:basedOn w:val="Normal"/>
    <w:link w:val="HeaderChar"/>
    <w:uiPriority w:val="99"/>
    <w:unhideWhenUsed/>
    <w:rsid w:val="00965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8D1"/>
  </w:style>
  <w:style w:type="paragraph" w:styleId="Footer">
    <w:name w:val="footer"/>
    <w:basedOn w:val="Normal"/>
    <w:link w:val="FooterChar"/>
    <w:uiPriority w:val="99"/>
    <w:unhideWhenUsed/>
    <w:rsid w:val="00965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8D1"/>
  </w:style>
  <w:style w:type="paragraph" w:customStyle="1" w:styleId="Normal0">
    <w:name w:val="[Normal]"/>
    <w:rsid w:val="00256986"/>
    <w:pPr>
      <w:widowControl w:val="0"/>
      <w:autoSpaceDE w:val="0"/>
      <w:autoSpaceDN w:val="0"/>
      <w:adjustRightInd w:val="0"/>
      <w:spacing w:after="0" w:line="240" w:lineRule="auto"/>
    </w:pPr>
    <w:rPr>
      <w:sz w:val="24"/>
      <w:szCs w:val="24"/>
    </w:rPr>
  </w:style>
  <w:style w:type="character" w:styleId="Hyperlink">
    <w:name w:val="Hyperlink"/>
    <w:basedOn w:val="DefaultParagraphFont"/>
    <w:uiPriority w:val="99"/>
    <w:unhideWhenUsed/>
    <w:rsid w:val="00922EBD"/>
    <w:rPr>
      <w:color w:val="0563C1" w:themeColor="hyperlink"/>
      <w:u w:val="single"/>
    </w:rPr>
  </w:style>
  <w:style w:type="character" w:customStyle="1" w:styleId="UnresolvedMention1">
    <w:name w:val="Unresolved Mention1"/>
    <w:basedOn w:val="DefaultParagraphFont"/>
    <w:uiPriority w:val="99"/>
    <w:semiHidden/>
    <w:unhideWhenUsed/>
    <w:rsid w:val="00922EBD"/>
    <w:rPr>
      <w:color w:val="605E5C"/>
      <w:shd w:val="clear" w:color="auto" w:fill="E1DFDD"/>
    </w:rPr>
  </w:style>
  <w:style w:type="character" w:styleId="FollowedHyperlink">
    <w:name w:val="FollowedHyperlink"/>
    <w:basedOn w:val="DefaultParagraphFont"/>
    <w:uiPriority w:val="99"/>
    <w:semiHidden/>
    <w:unhideWhenUsed/>
    <w:rsid w:val="000A1BAC"/>
    <w:rPr>
      <w:color w:val="954F72" w:themeColor="followedHyperlink"/>
      <w:u w:val="single"/>
    </w:rPr>
  </w:style>
  <w:style w:type="table" w:styleId="GridTable4-Accent3">
    <w:name w:val="Grid Table 4 Accent 3"/>
    <w:basedOn w:val="TableNormal"/>
    <w:uiPriority w:val="49"/>
    <w:rsid w:val="00035A0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2">
    <w:name w:val="Unresolved Mention2"/>
    <w:basedOn w:val="DefaultParagraphFont"/>
    <w:uiPriority w:val="99"/>
    <w:semiHidden/>
    <w:unhideWhenUsed/>
    <w:rsid w:val="00951E20"/>
    <w:rPr>
      <w:color w:val="605E5C"/>
      <w:shd w:val="clear" w:color="auto" w:fill="E1DFDD"/>
    </w:rPr>
  </w:style>
  <w:style w:type="character" w:customStyle="1" w:styleId="nlmyear">
    <w:name w:val="nlm_year"/>
    <w:basedOn w:val="DefaultParagraphFont"/>
    <w:rsid w:val="00D63E20"/>
  </w:style>
  <w:style w:type="character" w:customStyle="1" w:styleId="nlmpublisher-loc">
    <w:name w:val="nlm_publisher-loc"/>
    <w:basedOn w:val="DefaultParagraphFont"/>
    <w:rsid w:val="00D63E20"/>
  </w:style>
  <w:style w:type="character" w:customStyle="1" w:styleId="nlmpublisher-name">
    <w:name w:val="nlm_publisher-name"/>
    <w:basedOn w:val="DefaultParagraphFont"/>
    <w:rsid w:val="00D63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67355">
      <w:bodyDiv w:val="1"/>
      <w:marLeft w:val="0"/>
      <w:marRight w:val="0"/>
      <w:marTop w:val="0"/>
      <w:marBottom w:val="0"/>
      <w:divBdr>
        <w:top w:val="none" w:sz="0" w:space="0" w:color="auto"/>
        <w:left w:val="none" w:sz="0" w:space="0" w:color="auto"/>
        <w:bottom w:val="none" w:sz="0" w:space="0" w:color="auto"/>
        <w:right w:val="none" w:sz="0" w:space="0" w:color="auto"/>
      </w:divBdr>
    </w:div>
    <w:div w:id="115298759">
      <w:bodyDiv w:val="1"/>
      <w:marLeft w:val="0"/>
      <w:marRight w:val="0"/>
      <w:marTop w:val="0"/>
      <w:marBottom w:val="0"/>
      <w:divBdr>
        <w:top w:val="none" w:sz="0" w:space="0" w:color="auto"/>
        <w:left w:val="none" w:sz="0" w:space="0" w:color="auto"/>
        <w:bottom w:val="none" w:sz="0" w:space="0" w:color="auto"/>
        <w:right w:val="none" w:sz="0" w:space="0" w:color="auto"/>
      </w:divBdr>
      <w:divsChild>
        <w:div w:id="428082045">
          <w:marLeft w:val="0"/>
          <w:marRight w:val="300"/>
          <w:marTop w:val="0"/>
          <w:marBottom w:val="0"/>
          <w:divBdr>
            <w:top w:val="none" w:sz="0" w:space="0" w:color="auto"/>
            <w:left w:val="none" w:sz="0" w:space="0" w:color="auto"/>
            <w:bottom w:val="none" w:sz="0" w:space="0" w:color="auto"/>
            <w:right w:val="none" w:sz="0" w:space="0" w:color="auto"/>
          </w:divBdr>
          <w:divsChild>
            <w:div w:id="92359686">
              <w:marLeft w:val="0"/>
              <w:marRight w:val="0"/>
              <w:marTop w:val="0"/>
              <w:marBottom w:val="0"/>
              <w:divBdr>
                <w:top w:val="none" w:sz="0" w:space="0" w:color="auto"/>
                <w:left w:val="none" w:sz="0" w:space="0" w:color="auto"/>
                <w:bottom w:val="none" w:sz="0" w:space="0" w:color="auto"/>
                <w:right w:val="none" w:sz="0" w:space="0" w:color="auto"/>
              </w:divBdr>
              <w:divsChild>
                <w:div w:id="1155417540">
                  <w:marLeft w:val="0"/>
                  <w:marRight w:val="0"/>
                  <w:marTop w:val="0"/>
                  <w:marBottom w:val="0"/>
                  <w:divBdr>
                    <w:top w:val="none" w:sz="0" w:space="0" w:color="auto"/>
                    <w:left w:val="none" w:sz="0" w:space="0" w:color="auto"/>
                    <w:bottom w:val="none" w:sz="0" w:space="0" w:color="auto"/>
                    <w:right w:val="none" w:sz="0" w:space="0" w:color="auto"/>
                  </w:divBdr>
                  <w:divsChild>
                    <w:div w:id="181747485">
                      <w:marLeft w:val="0"/>
                      <w:marRight w:val="0"/>
                      <w:marTop w:val="0"/>
                      <w:marBottom w:val="0"/>
                      <w:divBdr>
                        <w:top w:val="none" w:sz="0" w:space="0" w:color="auto"/>
                        <w:left w:val="none" w:sz="0" w:space="0" w:color="auto"/>
                        <w:bottom w:val="none" w:sz="0" w:space="0" w:color="auto"/>
                        <w:right w:val="none" w:sz="0" w:space="0" w:color="auto"/>
                      </w:divBdr>
                      <w:divsChild>
                        <w:div w:id="1334146186">
                          <w:marLeft w:val="0"/>
                          <w:marRight w:val="0"/>
                          <w:marTop w:val="0"/>
                          <w:marBottom w:val="0"/>
                          <w:divBdr>
                            <w:top w:val="none" w:sz="0" w:space="0" w:color="auto"/>
                            <w:left w:val="none" w:sz="0" w:space="0" w:color="auto"/>
                            <w:bottom w:val="none" w:sz="0" w:space="0" w:color="auto"/>
                            <w:right w:val="none" w:sz="0" w:space="0" w:color="auto"/>
                          </w:divBdr>
                          <w:divsChild>
                            <w:div w:id="1815565190">
                              <w:marLeft w:val="0"/>
                              <w:marRight w:val="0"/>
                              <w:marTop w:val="0"/>
                              <w:marBottom w:val="0"/>
                              <w:divBdr>
                                <w:top w:val="none" w:sz="0" w:space="0" w:color="auto"/>
                                <w:left w:val="none" w:sz="0" w:space="0" w:color="auto"/>
                                <w:bottom w:val="none" w:sz="0" w:space="0" w:color="auto"/>
                                <w:right w:val="none" w:sz="0" w:space="0" w:color="auto"/>
                              </w:divBdr>
                              <w:divsChild>
                                <w:div w:id="1258715941">
                                  <w:marLeft w:val="0"/>
                                  <w:marRight w:val="0"/>
                                  <w:marTop w:val="0"/>
                                  <w:marBottom w:val="0"/>
                                  <w:divBdr>
                                    <w:top w:val="none" w:sz="0" w:space="0" w:color="auto"/>
                                    <w:left w:val="none" w:sz="0" w:space="0" w:color="auto"/>
                                    <w:bottom w:val="none" w:sz="0" w:space="0" w:color="auto"/>
                                    <w:right w:val="none" w:sz="0" w:space="0" w:color="auto"/>
                                  </w:divBdr>
                                  <w:divsChild>
                                    <w:div w:id="62141916">
                                      <w:marLeft w:val="0"/>
                                      <w:marRight w:val="0"/>
                                      <w:marTop w:val="0"/>
                                      <w:marBottom w:val="0"/>
                                      <w:divBdr>
                                        <w:top w:val="none" w:sz="0" w:space="0" w:color="auto"/>
                                        <w:left w:val="none" w:sz="0" w:space="0" w:color="auto"/>
                                        <w:bottom w:val="none" w:sz="0" w:space="0" w:color="auto"/>
                                        <w:right w:val="none" w:sz="0" w:space="0" w:color="auto"/>
                                      </w:divBdr>
                                      <w:divsChild>
                                        <w:div w:id="954337134">
                                          <w:marLeft w:val="0"/>
                                          <w:marRight w:val="0"/>
                                          <w:marTop w:val="0"/>
                                          <w:marBottom w:val="0"/>
                                          <w:divBdr>
                                            <w:top w:val="none" w:sz="0" w:space="0" w:color="auto"/>
                                            <w:left w:val="none" w:sz="0" w:space="0" w:color="auto"/>
                                            <w:bottom w:val="none" w:sz="0" w:space="0" w:color="auto"/>
                                            <w:right w:val="none" w:sz="0" w:space="0" w:color="auto"/>
                                          </w:divBdr>
                                          <w:divsChild>
                                            <w:div w:id="775752623">
                                              <w:marLeft w:val="0"/>
                                              <w:marRight w:val="0"/>
                                              <w:marTop w:val="0"/>
                                              <w:marBottom w:val="0"/>
                                              <w:divBdr>
                                                <w:top w:val="none" w:sz="0" w:space="0" w:color="auto"/>
                                                <w:left w:val="none" w:sz="0" w:space="0" w:color="auto"/>
                                                <w:bottom w:val="none" w:sz="0" w:space="0" w:color="auto"/>
                                                <w:right w:val="none" w:sz="0" w:space="0" w:color="auto"/>
                                              </w:divBdr>
                                              <w:divsChild>
                                                <w:div w:id="984625166">
                                                  <w:marLeft w:val="0"/>
                                                  <w:marRight w:val="0"/>
                                                  <w:marTop w:val="0"/>
                                                  <w:marBottom w:val="0"/>
                                                  <w:divBdr>
                                                    <w:top w:val="none" w:sz="0" w:space="0" w:color="auto"/>
                                                    <w:left w:val="none" w:sz="0" w:space="0" w:color="auto"/>
                                                    <w:bottom w:val="none" w:sz="0" w:space="0" w:color="auto"/>
                                                    <w:right w:val="none" w:sz="0" w:space="0" w:color="auto"/>
                                                  </w:divBdr>
                                                  <w:divsChild>
                                                    <w:div w:id="24523317">
                                                      <w:marLeft w:val="0"/>
                                                      <w:marRight w:val="0"/>
                                                      <w:marTop w:val="0"/>
                                                      <w:marBottom w:val="0"/>
                                                      <w:divBdr>
                                                        <w:top w:val="none" w:sz="0" w:space="0" w:color="auto"/>
                                                        <w:left w:val="none" w:sz="0" w:space="0" w:color="auto"/>
                                                        <w:bottom w:val="none" w:sz="0" w:space="0" w:color="auto"/>
                                                        <w:right w:val="none" w:sz="0" w:space="0" w:color="auto"/>
                                                      </w:divBdr>
                                                      <w:divsChild>
                                                        <w:div w:id="2134591987">
                                                          <w:marLeft w:val="0"/>
                                                          <w:marRight w:val="0"/>
                                                          <w:marTop w:val="0"/>
                                                          <w:marBottom w:val="0"/>
                                                          <w:divBdr>
                                                            <w:top w:val="none" w:sz="0" w:space="0" w:color="auto"/>
                                                            <w:left w:val="none" w:sz="0" w:space="0" w:color="auto"/>
                                                            <w:bottom w:val="none" w:sz="0" w:space="0" w:color="auto"/>
                                                            <w:right w:val="none" w:sz="0" w:space="0" w:color="auto"/>
                                                          </w:divBdr>
                                                          <w:divsChild>
                                                            <w:div w:id="549150069">
                                                              <w:marLeft w:val="0"/>
                                                              <w:marRight w:val="0"/>
                                                              <w:marTop w:val="0"/>
                                                              <w:marBottom w:val="0"/>
                                                              <w:divBdr>
                                                                <w:top w:val="none" w:sz="0" w:space="0" w:color="auto"/>
                                                                <w:left w:val="none" w:sz="0" w:space="0" w:color="auto"/>
                                                                <w:bottom w:val="none" w:sz="0" w:space="0" w:color="auto"/>
                                                                <w:right w:val="none" w:sz="0" w:space="0" w:color="auto"/>
                                                              </w:divBdr>
                                                              <w:divsChild>
                                                                <w:div w:id="1826043171">
                                                                  <w:marLeft w:val="0"/>
                                                                  <w:marRight w:val="0"/>
                                                                  <w:marTop w:val="0"/>
                                                                  <w:marBottom w:val="150"/>
                                                                  <w:divBdr>
                                                                    <w:top w:val="none" w:sz="0" w:space="0" w:color="auto"/>
                                                                    <w:left w:val="single" w:sz="6" w:space="0" w:color="CCCCCC"/>
                                                                    <w:bottom w:val="single" w:sz="6" w:space="0" w:color="CCCCCC"/>
                                                                    <w:right w:val="single" w:sz="6" w:space="0" w:color="CCCCCC"/>
                                                                  </w:divBdr>
                                                                  <w:divsChild>
                                                                    <w:div w:id="1786579514">
                                                                      <w:marLeft w:val="0"/>
                                                                      <w:marRight w:val="0"/>
                                                                      <w:marTop w:val="0"/>
                                                                      <w:marBottom w:val="0"/>
                                                                      <w:divBdr>
                                                                        <w:top w:val="none" w:sz="0" w:space="0" w:color="auto"/>
                                                                        <w:left w:val="none" w:sz="0" w:space="0" w:color="auto"/>
                                                                        <w:bottom w:val="none" w:sz="0" w:space="0" w:color="auto"/>
                                                                        <w:right w:val="none" w:sz="0" w:space="0" w:color="auto"/>
                                                                      </w:divBdr>
                                                                      <w:divsChild>
                                                                        <w:div w:id="139426961">
                                                                          <w:marLeft w:val="0"/>
                                                                          <w:marRight w:val="0"/>
                                                                          <w:marTop w:val="0"/>
                                                                          <w:marBottom w:val="0"/>
                                                                          <w:divBdr>
                                                                            <w:top w:val="none" w:sz="0" w:space="0" w:color="auto"/>
                                                                            <w:left w:val="none" w:sz="0" w:space="0" w:color="auto"/>
                                                                            <w:bottom w:val="none" w:sz="0" w:space="0" w:color="auto"/>
                                                                            <w:right w:val="none" w:sz="0" w:space="0" w:color="auto"/>
                                                                          </w:divBdr>
                                                                          <w:divsChild>
                                                                            <w:div w:id="1244022779">
                                                                              <w:marLeft w:val="0"/>
                                                                              <w:marRight w:val="0"/>
                                                                              <w:marTop w:val="0"/>
                                                                              <w:marBottom w:val="0"/>
                                                                              <w:divBdr>
                                                                                <w:top w:val="none" w:sz="0" w:space="0" w:color="auto"/>
                                                                                <w:left w:val="none" w:sz="0" w:space="0" w:color="auto"/>
                                                                                <w:bottom w:val="none" w:sz="0" w:space="0" w:color="auto"/>
                                                                                <w:right w:val="none" w:sz="0" w:space="0" w:color="auto"/>
                                                                              </w:divBdr>
                                                                              <w:divsChild>
                                                                                <w:div w:id="225727706">
                                                                                  <w:marLeft w:val="0"/>
                                                                                  <w:marRight w:val="0"/>
                                                                                  <w:marTop w:val="0"/>
                                                                                  <w:marBottom w:val="0"/>
                                                                                  <w:divBdr>
                                                                                    <w:top w:val="none" w:sz="0" w:space="0" w:color="auto"/>
                                                                                    <w:left w:val="none" w:sz="0" w:space="0" w:color="auto"/>
                                                                                    <w:bottom w:val="none" w:sz="0" w:space="0" w:color="auto"/>
                                                                                    <w:right w:val="none" w:sz="0" w:space="0" w:color="auto"/>
                                                                                  </w:divBdr>
                                                                                  <w:divsChild>
                                                                                    <w:div w:id="2003775879">
                                                                                      <w:marLeft w:val="0"/>
                                                                                      <w:marRight w:val="0"/>
                                                                                      <w:marTop w:val="0"/>
                                                                                      <w:marBottom w:val="0"/>
                                                                                      <w:divBdr>
                                                                                        <w:top w:val="none" w:sz="0" w:space="0" w:color="auto"/>
                                                                                        <w:left w:val="none" w:sz="0" w:space="0" w:color="auto"/>
                                                                                        <w:bottom w:val="none" w:sz="0" w:space="0" w:color="auto"/>
                                                                                        <w:right w:val="none" w:sz="0" w:space="0" w:color="auto"/>
                                                                                      </w:divBdr>
                                                                                      <w:divsChild>
                                                                                        <w:div w:id="216818308">
                                                                                          <w:marLeft w:val="0"/>
                                                                                          <w:marRight w:val="0"/>
                                                                                          <w:marTop w:val="0"/>
                                                                                          <w:marBottom w:val="0"/>
                                                                                          <w:divBdr>
                                                                                            <w:top w:val="none" w:sz="0" w:space="0" w:color="auto"/>
                                                                                            <w:left w:val="none" w:sz="0" w:space="0" w:color="auto"/>
                                                                                            <w:bottom w:val="none" w:sz="0" w:space="0" w:color="auto"/>
                                                                                            <w:right w:val="none" w:sz="0" w:space="0" w:color="auto"/>
                                                                                          </w:divBdr>
                                                                                          <w:divsChild>
                                                                                            <w:div w:id="916475333">
                                                                                              <w:marLeft w:val="0"/>
                                                                                              <w:marRight w:val="0"/>
                                                                                              <w:marTop w:val="0"/>
                                                                                              <w:marBottom w:val="0"/>
                                                                                              <w:divBdr>
                                                                                                <w:top w:val="none" w:sz="0" w:space="0" w:color="auto"/>
                                                                                                <w:left w:val="none" w:sz="0" w:space="0" w:color="auto"/>
                                                                                                <w:bottom w:val="none" w:sz="0" w:space="0" w:color="auto"/>
                                                                                                <w:right w:val="none" w:sz="0" w:space="0" w:color="auto"/>
                                                                                              </w:divBdr>
                                                                                              <w:divsChild>
                                                                                                <w:div w:id="463425409">
                                                                                                  <w:marLeft w:val="0"/>
                                                                                                  <w:marRight w:val="0"/>
                                                                                                  <w:marTop w:val="0"/>
                                                                                                  <w:marBottom w:val="0"/>
                                                                                                  <w:divBdr>
                                                                                                    <w:top w:val="none" w:sz="0" w:space="0" w:color="auto"/>
                                                                                                    <w:left w:val="none" w:sz="0" w:space="0" w:color="auto"/>
                                                                                                    <w:bottom w:val="none" w:sz="0" w:space="0" w:color="auto"/>
                                                                                                    <w:right w:val="none" w:sz="0" w:space="0" w:color="auto"/>
                                                                                                  </w:divBdr>
                                                                                                  <w:divsChild>
                                                                                                    <w:div w:id="1608855025">
                                                                                                      <w:marLeft w:val="0"/>
                                                                                                      <w:marRight w:val="0"/>
                                                                                                      <w:marTop w:val="0"/>
                                                                                                      <w:marBottom w:val="0"/>
                                                                                                      <w:divBdr>
                                                                                                        <w:top w:val="none" w:sz="0" w:space="0" w:color="auto"/>
                                                                                                        <w:left w:val="none" w:sz="0" w:space="0" w:color="auto"/>
                                                                                                        <w:bottom w:val="none" w:sz="0" w:space="0" w:color="auto"/>
                                                                                                        <w:right w:val="none" w:sz="0" w:space="0" w:color="auto"/>
                                                                                                      </w:divBdr>
                                                                                                      <w:divsChild>
                                                                                                        <w:div w:id="125586720">
                                                                                                          <w:marLeft w:val="0"/>
                                                                                                          <w:marRight w:val="0"/>
                                                                                                          <w:marTop w:val="0"/>
                                                                                                          <w:marBottom w:val="0"/>
                                                                                                          <w:divBdr>
                                                                                                            <w:top w:val="none" w:sz="0" w:space="0" w:color="auto"/>
                                                                                                            <w:left w:val="none" w:sz="0" w:space="0" w:color="auto"/>
                                                                                                            <w:bottom w:val="none" w:sz="0" w:space="0" w:color="auto"/>
                                                                                                            <w:right w:val="none" w:sz="0" w:space="0" w:color="auto"/>
                                                                                                          </w:divBdr>
                                                                                                          <w:divsChild>
                                                                                                            <w:div w:id="1073746852">
                                                                                                              <w:marLeft w:val="0"/>
                                                                                                              <w:marRight w:val="0"/>
                                                                                                              <w:marTop w:val="0"/>
                                                                                                              <w:marBottom w:val="0"/>
                                                                                                              <w:divBdr>
                                                                                                                <w:top w:val="none" w:sz="0" w:space="0" w:color="auto"/>
                                                                                                                <w:left w:val="none" w:sz="0" w:space="0" w:color="auto"/>
                                                                                                                <w:bottom w:val="none" w:sz="0" w:space="0" w:color="auto"/>
                                                                                                                <w:right w:val="none" w:sz="0" w:space="0" w:color="auto"/>
                                                                                                              </w:divBdr>
                                                                                                              <w:divsChild>
                                                                                                                <w:div w:id="622461583">
                                                                                                                  <w:marLeft w:val="0"/>
                                                                                                                  <w:marRight w:val="0"/>
                                                                                                                  <w:marTop w:val="0"/>
                                                                                                                  <w:marBottom w:val="0"/>
                                                                                                                  <w:divBdr>
                                                                                                                    <w:top w:val="none" w:sz="0" w:space="0" w:color="auto"/>
                                                                                                                    <w:left w:val="none" w:sz="0" w:space="0" w:color="auto"/>
                                                                                                                    <w:bottom w:val="none" w:sz="0" w:space="0" w:color="auto"/>
                                                                                                                    <w:right w:val="none" w:sz="0" w:space="0" w:color="auto"/>
                                                                                                                  </w:divBdr>
                                                                                                                  <w:divsChild>
                                                                                                                    <w:div w:id="768892799">
                                                                                                                      <w:marLeft w:val="0"/>
                                                                                                                      <w:marRight w:val="0"/>
                                                                                                                      <w:marTop w:val="0"/>
                                                                                                                      <w:marBottom w:val="0"/>
                                                                                                                      <w:divBdr>
                                                                                                                        <w:top w:val="none" w:sz="0" w:space="0" w:color="auto"/>
                                                                                                                        <w:left w:val="none" w:sz="0" w:space="0" w:color="auto"/>
                                                                                                                        <w:bottom w:val="none" w:sz="0" w:space="0" w:color="auto"/>
                                                                                                                        <w:right w:val="none" w:sz="0" w:space="0" w:color="auto"/>
                                                                                                                      </w:divBdr>
                                                                                                                      <w:divsChild>
                                                                                                                        <w:div w:id="457071814">
                                                                                                                          <w:marLeft w:val="0"/>
                                                                                                                          <w:marRight w:val="0"/>
                                                                                                                          <w:marTop w:val="0"/>
                                                                                                                          <w:marBottom w:val="0"/>
                                                                                                                          <w:divBdr>
                                                                                                                            <w:top w:val="none" w:sz="0" w:space="0" w:color="auto"/>
                                                                                                                            <w:left w:val="none" w:sz="0" w:space="0" w:color="auto"/>
                                                                                                                            <w:bottom w:val="none" w:sz="0" w:space="0" w:color="auto"/>
                                                                                                                            <w:right w:val="none" w:sz="0" w:space="0" w:color="auto"/>
                                                                                                                          </w:divBdr>
                                                                                                                          <w:divsChild>
                                                                                                                            <w:div w:id="1589195497">
                                                                                                                              <w:marLeft w:val="0"/>
                                                                                                                              <w:marRight w:val="0"/>
                                                                                                                              <w:marTop w:val="0"/>
                                                                                                                              <w:marBottom w:val="0"/>
                                                                                                                              <w:divBdr>
                                                                                                                                <w:top w:val="none" w:sz="0" w:space="0" w:color="auto"/>
                                                                                                                                <w:left w:val="none" w:sz="0" w:space="0" w:color="auto"/>
                                                                                                                                <w:bottom w:val="none" w:sz="0" w:space="0" w:color="auto"/>
                                                                                                                                <w:right w:val="none" w:sz="0" w:space="0" w:color="auto"/>
                                                                                                                              </w:divBdr>
                                                                                                                              <w:divsChild>
                                                                                                                                <w:div w:id="2132821660">
                                                                                                                                  <w:marLeft w:val="0"/>
                                                                                                                                  <w:marRight w:val="0"/>
                                                                                                                                  <w:marTop w:val="0"/>
                                                                                                                                  <w:marBottom w:val="0"/>
                                                                                                                                  <w:divBdr>
                                                                                                                                    <w:top w:val="none" w:sz="0" w:space="0" w:color="auto"/>
                                                                                                                                    <w:left w:val="none" w:sz="0" w:space="0" w:color="auto"/>
                                                                                                                                    <w:bottom w:val="none" w:sz="0" w:space="0" w:color="auto"/>
                                                                                                                                    <w:right w:val="none" w:sz="0" w:space="0" w:color="auto"/>
                                                                                                                                  </w:divBdr>
                                                                                                                                  <w:divsChild>
                                                                                                                                    <w:div w:id="235405495">
                                                                                                                                      <w:marLeft w:val="0"/>
                                                                                                                                      <w:marRight w:val="0"/>
                                                                                                                                      <w:marTop w:val="0"/>
                                                                                                                                      <w:marBottom w:val="0"/>
                                                                                                                                      <w:divBdr>
                                                                                                                                        <w:top w:val="none" w:sz="0" w:space="0" w:color="auto"/>
                                                                                                                                        <w:left w:val="none" w:sz="0" w:space="0" w:color="auto"/>
                                                                                                                                        <w:bottom w:val="none" w:sz="0" w:space="0" w:color="auto"/>
                                                                                                                                        <w:right w:val="none" w:sz="0" w:space="0" w:color="auto"/>
                                                                                                                                      </w:divBdr>
                                                                                                                                      <w:divsChild>
                                                                                                                                        <w:div w:id="706175867">
                                                                                                                                          <w:marLeft w:val="0"/>
                                                                                                                                          <w:marRight w:val="0"/>
                                                                                                                                          <w:marTop w:val="0"/>
                                                                                                                                          <w:marBottom w:val="0"/>
                                                                                                                                          <w:divBdr>
                                                                                                                                            <w:top w:val="none" w:sz="0" w:space="0" w:color="auto"/>
                                                                                                                                            <w:left w:val="none" w:sz="0" w:space="0" w:color="auto"/>
                                                                                                                                            <w:bottom w:val="none" w:sz="0" w:space="0" w:color="auto"/>
                                                                                                                                            <w:right w:val="none" w:sz="0" w:space="0" w:color="auto"/>
                                                                                                                                          </w:divBdr>
                                                                                                                                          <w:divsChild>
                                                                                                                                            <w:div w:id="634720775">
                                                                                                                                              <w:marLeft w:val="0"/>
                                                                                                                                              <w:marRight w:val="0"/>
                                                                                                                                              <w:marTop w:val="0"/>
                                                                                                                                              <w:marBottom w:val="0"/>
                                                                                                                                              <w:divBdr>
                                                                                                                                                <w:top w:val="none" w:sz="0" w:space="0" w:color="auto"/>
                                                                                                                                                <w:left w:val="none" w:sz="0" w:space="0" w:color="auto"/>
                                                                                                                                                <w:bottom w:val="none" w:sz="0" w:space="0" w:color="auto"/>
                                                                                                                                                <w:right w:val="none" w:sz="0" w:space="0" w:color="auto"/>
                                                                                                                                              </w:divBdr>
                                                                                                                                              <w:divsChild>
                                                                                                                                                <w:div w:id="10570411">
                                                                                                                                                  <w:marLeft w:val="0"/>
                                                                                                                                                  <w:marRight w:val="0"/>
                                                                                                                                                  <w:marTop w:val="0"/>
                                                                                                                                                  <w:marBottom w:val="0"/>
                                                                                                                                                  <w:divBdr>
                                                                                                                                                    <w:top w:val="none" w:sz="0" w:space="0" w:color="auto"/>
                                                                                                                                                    <w:left w:val="none" w:sz="0" w:space="0" w:color="auto"/>
                                                                                                                                                    <w:bottom w:val="none" w:sz="0" w:space="0" w:color="auto"/>
                                                                                                                                                    <w:right w:val="none" w:sz="0" w:space="0" w:color="auto"/>
                                                                                                                                                  </w:divBdr>
                                                                                                                                                  <w:divsChild>
                                                                                                                                                    <w:div w:id="1731228153">
                                                                                                                                                      <w:marLeft w:val="0"/>
                                                                                                                                                      <w:marRight w:val="0"/>
                                                                                                                                                      <w:marTop w:val="225"/>
                                                                                                                                                      <w:marBottom w:val="225"/>
                                                                                                                                                      <w:divBdr>
                                                                                                                                                        <w:top w:val="none" w:sz="0" w:space="0" w:color="auto"/>
                                                                                                                                                        <w:left w:val="none" w:sz="0" w:space="0" w:color="auto"/>
                                                                                                                                                        <w:bottom w:val="none" w:sz="0" w:space="0" w:color="auto"/>
                                                                                                                                                        <w:right w:val="none" w:sz="0" w:space="0" w:color="auto"/>
                                                                                                                                                      </w:divBdr>
                                                                                                                                                    </w:div>
                                                                                                                                                    <w:div w:id="1719427308">
                                                                                                                                                      <w:marLeft w:val="0"/>
                                                                                                                                                      <w:marRight w:val="0"/>
                                                                                                                                                      <w:marTop w:val="0"/>
                                                                                                                                                      <w:marBottom w:val="0"/>
                                                                                                                                                      <w:divBdr>
                                                                                                                                                        <w:top w:val="none" w:sz="0" w:space="0" w:color="auto"/>
                                                                                                                                                        <w:left w:val="none" w:sz="0" w:space="0" w:color="auto"/>
                                                                                                                                                        <w:bottom w:val="none" w:sz="0" w:space="0" w:color="auto"/>
                                                                                                                                                        <w:right w:val="none" w:sz="0" w:space="0" w:color="auto"/>
                                                                                                                                                      </w:divBdr>
                                                                                                                                                      <w:divsChild>
                                                                                                                                                        <w:div w:id="1827240874">
                                                                                                                                                          <w:marLeft w:val="0"/>
                                                                                                                                                          <w:marRight w:val="0"/>
                                                                                                                                                          <w:marTop w:val="0"/>
                                                                                                                                                          <w:marBottom w:val="0"/>
                                                                                                                                                          <w:divBdr>
                                                                                                                                                            <w:top w:val="none" w:sz="0" w:space="0" w:color="auto"/>
                                                                                                                                                            <w:left w:val="none" w:sz="0" w:space="0" w:color="auto"/>
                                                                                                                                                            <w:bottom w:val="none" w:sz="0" w:space="0" w:color="auto"/>
                                                                                                                                                            <w:right w:val="none" w:sz="0" w:space="0" w:color="auto"/>
                                                                                                                                                          </w:divBdr>
                                                                                                                                                          <w:divsChild>
                                                                                                                                                            <w:div w:id="392772311">
                                                                                                                                                              <w:marLeft w:val="0"/>
                                                                                                                                                              <w:marRight w:val="0"/>
                                                                                                                                                              <w:marTop w:val="0"/>
                                                                                                                                                              <w:marBottom w:val="0"/>
                                                                                                                                                              <w:divBdr>
                                                                                                                                                                <w:top w:val="none" w:sz="0" w:space="0" w:color="auto"/>
                                                                                                                                                                <w:left w:val="none" w:sz="0" w:space="0" w:color="auto"/>
                                                                                                                                                                <w:bottom w:val="none" w:sz="0" w:space="0" w:color="auto"/>
                                                                                                                                                                <w:right w:val="none" w:sz="0" w:space="0" w:color="auto"/>
                                                                                                                                                              </w:divBdr>
                                                                                                                                                              <w:divsChild>
                                                                                                                                                                <w:div w:id="441804851">
                                                                                                                                                                  <w:marLeft w:val="0"/>
                                                                                                                                                                  <w:marRight w:val="0"/>
                                                                                                                                                                  <w:marTop w:val="0"/>
                                                                                                                                                                  <w:marBottom w:val="0"/>
                                                                                                                                                                  <w:divBdr>
                                                                                                                                                                    <w:top w:val="none" w:sz="0" w:space="0" w:color="auto"/>
                                                                                                                                                                    <w:left w:val="none" w:sz="0" w:space="0" w:color="auto"/>
                                                                                                                                                                    <w:bottom w:val="none" w:sz="0" w:space="0" w:color="auto"/>
                                                                                                                                                                    <w:right w:val="none" w:sz="0" w:space="0" w:color="auto"/>
                                                                                                                                                                  </w:divBdr>
                                                                                                                                                                  <w:divsChild>
                                                                                                                                                                    <w:div w:id="1789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5756">
                                                                                                                                                      <w:marLeft w:val="0"/>
                                                                                                                                                      <w:marRight w:val="0"/>
                                                                                                                                                      <w:marTop w:val="0"/>
                                                                                                                                                      <w:marBottom w:val="0"/>
                                                                                                                                                      <w:divBdr>
                                                                                                                                                        <w:top w:val="none" w:sz="0" w:space="0" w:color="auto"/>
                                                                                                                                                        <w:left w:val="none" w:sz="0" w:space="0" w:color="auto"/>
                                                                                                                                                        <w:bottom w:val="single" w:sz="6" w:space="0" w:color="EEEEEE"/>
                                                                                                                                                        <w:right w:val="none" w:sz="0" w:space="0" w:color="auto"/>
                                                                                                                                                      </w:divBdr>
                                                                                                                                                      <w:divsChild>
                                                                                                                                                        <w:div w:id="2015768165">
                                                                                                                                                          <w:marLeft w:val="0"/>
                                                                                                                                                          <w:marRight w:val="0"/>
                                                                                                                                                          <w:marTop w:val="0"/>
                                                                                                                                                          <w:marBottom w:val="0"/>
                                                                                                                                                          <w:divBdr>
                                                                                                                                                            <w:top w:val="none" w:sz="0" w:space="0" w:color="auto"/>
                                                                                                                                                            <w:left w:val="none" w:sz="0" w:space="0" w:color="auto"/>
                                                                                                                                                            <w:bottom w:val="none" w:sz="0" w:space="0" w:color="auto"/>
                                                                                                                                                            <w:right w:val="none" w:sz="0" w:space="0" w:color="auto"/>
                                                                                                                                                          </w:divBdr>
                                                                                                                                                          <w:divsChild>
                                                                                                                                                            <w:div w:id="601767063">
                                                                                                                                                              <w:marLeft w:val="0"/>
                                                                                                                                                              <w:marRight w:val="0"/>
                                                                                                                                                              <w:marTop w:val="0"/>
                                                                                                                                                              <w:marBottom w:val="0"/>
                                                                                                                                                              <w:divBdr>
                                                                                                                                                                <w:top w:val="none" w:sz="0" w:space="0" w:color="auto"/>
                                                                                                                                                                <w:left w:val="none" w:sz="0" w:space="0" w:color="auto"/>
                                                                                                                                                                <w:bottom w:val="none" w:sz="0" w:space="0" w:color="auto"/>
                                                                                                                                                                <w:right w:val="none" w:sz="0" w:space="0" w:color="auto"/>
                                                                                                                                                              </w:divBdr>
                                                                                                                                                              <w:divsChild>
                                                                                                                                                                <w:div w:id="838085576">
                                                                                                                                                                  <w:marLeft w:val="0"/>
                                                                                                                                                                  <w:marRight w:val="0"/>
                                                                                                                                                                  <w:marTop w:val="0"/>
                                                                                                                                                                  <w:marBottom w:val="0"/>
                                                                                                                                                                  <w:divBdr>
                                                                                                                                                                    <w:top w:val="none" w:sz="0" w:space="0" w:color="auto"/>
                                                                                                                                                                    <w:left w:val="none" w:sz="0" w:space="0" w:color="auto"/>
                                                                                                                                                                    <w:bottom w:val="none" w:sz="0" w:space="0" w:color="auto"/>
                                                                                                                                                                    <w:right w:val="none" w:sz="0" w:space="0" w:color="auto"/>
                                                                                                                                                                  </w:divBdr>
                                                                                                                                                                  <w:divsChild>
                                                                                                                                                                    <w:div w:id="1321077048">
                                                                                                                                                                      <w:marLeft w:val="0"/>
                                                                                                                                                                      <w:marRight w:val="0"/>
                                                                                                                                                                      <w:marTop w:val="0"/>
                                                                                                                                                                      <w:marBottom w:val="0"/>
                                                                                                                                                                      <w:divBdr>
                                                                                                                                                                        <w:top w:val="none" w:sz="0" w:space="0" w:color="auto"/>
                                                                                                                                                                        <w:left w:val="none" w:sz="0" w:space="0" w:color="auto"/>
                                                                                                                                                                        <w:bottom w:val="none" w:sz="0" w:space="0" w:color="auto"/>
                                                                                                                                                                        <w:right w:val="none" w:sz="0" w:space="0" w:color="auto"/>
                                                                                                                                                                      </w:divBdr>
                                                                                                                                                                      <w:divsChild>
                                                                                                                                                                        <w:div w:id="444882893">
                                                                                                                                                                          <w:marLeft w:val="0"/>
                                                                                                                                                                          <w:marRight w:val="0"/>
                                                                                                                                                                          <w:marTop w:val="0"/>
                                                                                                                                                                          <w:marBottom w:val="0"/>
                                                                                                                                                                          <w:divBdr>
                                                                                                                                                                            <w:top w:val="none" w:sz="0" w:space="0" w:color="auto"/>
                                                                                                                                                                            <w:left w:val="none" w:sz="0" w:space="0" w:color="auto"/>
                                                                                                                                                                            <w:bottom w:val="none" w:sz="0" w:space="0" w:color="auto"/>
                                                                                                                                                                            <w:right w:val="none" w:sz="0" w:space="0" w:color="auto"/>
                                                                                                                                                                          </w:divBdr>
                                                                                                                                                                          <w:divsChild>
                                                                                                                                                                            <w:div w:id="380599542">
                                                                                                                                                                              <w:marLeft w:val="0"/>
                                                                                                                                                                              <w:marRight w:val="0"/>
                                                                                                                                                                              <w:marTop w:val="0"/>
                                                                                                                                                                              <w:marBottom w:val="0"/>
                                                                                                                                                                              <w:divBdr>
                                                                                                                                                                                <w:top w:val="none" w:sz="0" w:space="0" w:color="auto"/>
                                                                                                                                                                                <w:left w:val="none" w:sz="0" w:space="0" w:color="auto"/>
                                                                                                                                                                                <w:bottom w:val="none" w:sz="0" w:space="0" w:color="auto"/>
                                                                                                                                                                                <w:right w:val="none" w:sz="0" w:space="0" w:color="auto"/>
                                                                                                                                                                              </w:divBdr>
                                                                                                                                                                              <w:divsChild>
                                                                                                                                                                                <w:div w:id="1462072018">
                                                                                                                                                                                  <w:marLeft w:val="0"/>
                                                                                                                                                                                  <w:marRight w:val="0"/>
                                                                                                                                                                                  <w:marTop w:val="0"/>
                                                                                                                                                                                  <w:marBottom w:val="0"/>
                                                                                                                                                                                  <w:divBdr>
                                                                                                                                                                                    <w:top w:val="none" w:sz="0" w:space="0" w:color="auto"/>
                                                                                                                                                                                    <w:left w:val="none" w:sz="0" w:space="0" w:color="auto"/>
                                                                                                                                                                                    <w:bottom w:val="none" w:sz="0" w:space="0" w:color="auto"/>
                                                                                                                                                                                    <w:right w:val="none" w:sz="0" w:space="0" w:color="auto"/>
                                                                                                                                                                                  </w:divBdr>
                                                                                                                                                                                  <w:divsChild>
                                                                                                                                                                                    <w:div w:id="784155888">
                                                                                                                                                                                      <w:marLeft w:val="0"/>
                                                                                                                                                                                      <w:marRight w:val="0"/>
                                                                                                                                                                                      <w:marTop w:val="0"/>
                                                                                                                                                                                      <w:marBottom w:val="0"/>
                                                                                                                                                                                      <w:divBdr>
                                                                                                                                                                                        <w:top w:val="none" w:sz="0" w:space="0" w:color="auto"/>
                                                                                                                                                                                        <w:left w:val="none" w:sz="0" w:space="0" w:color="auto"/>
                                                                                                                                                                                        <w:bottom w:val="none" w:sz="0" w:space="0" w:color="auto"/>
                                                                                                                                                                                        <w:right w:val="none" w:sz="0" w:space="0" w:color="auto"/>
                                                                                                                                                                                      </w:divBdr>
                                                                                                                                                                                      <w:divsChild>
                                                                                                                                                                                        <w:div w:id="1644919157">
                                                                                                                                                                                          <w:marLeft w:val="0"/>
                                                                                                                                                                                          <w:marRight w:val="0"/>
                                                                                                                                                                                          <w:marTop w:val="0"/>
                                                                                                                                                                                          <w:marBottom w:val="0"/>
                                                                                                                                                                                          <w:divBdr>
                                                                                                                                                                                            <w:top w:val="none" w:sz="0" w:space="0" w:color="auto"/>
                                                                                                                                                                                            <w:left w:val="none" w:sz="0" w:space="0" w:color="auto"/>
                                                                                                                                                                                            <w:bottom w:val="none" w:sz="0" w:space="0" w:color="auto"/>
                                                                                                                                                                                            <w:right w:val="none" w:sz="0" w:space="0" w:color="auto"/>
                                                                                                                                                                                          </w:divBdr>
                                                                                                                                                                                          <w:divsChild>
                                                                                                                                                                                            <w:div w:id="816914712">
                                                                                                                                                                                              <w:marLeft w:val="0"/>
                                                                                                                                                                                              <w:marRight w:val="0"/>
                                                                                                                                                                                              <w:marTop w:val="0"/>
                                                                                                                                                                                              <w:marBottom w:val="0"/>
                                                                                                                                                                                              <w:divBdr>
                                                                                                                                                                                                <w:top w:val="none" w:sz="0" w:space="0" w:color="auto"/>
                                                                                                                                                                                                <w:left w:val="none" w:sz="0" w:space="0" w:color="auto"/>
                                                                                                                                                                                                <w:bottom w:val="none" w:sz="0" w:space="0" w:color="auto"/>
                                                                                                                                                                                                <w:right w:val="none" w:sz="0" w:space="0" w:color="auto"/>
                                                                                                                                                                                              </w:divBdr>
                                                                                                                                                                                            </w:div>
                                                                                                                                                                                            <w:div w:id="304748887">
                                                                                                                                                                                              <w:marLeft w:val="0"/>
                                                                                                                                                                                              <w:marRight w:val="0"/>
                                                                                                                                                                                              <w:marTop w:val="0"/>
                                                                                                                                                                                              <w:marBottom w:val="0"/>
                                                                                                                                                                                              <w:divBdr>
                                                                                                                                                                                                <w:top w:val="none" w:sz="0" w:space="0" w:color="auto"/>
                                                                                                                                                                                                <w:left w:val="none" w:sz="0" w:space="0" w:color="auto"/>
                                                                                                                                                                                                <w:bottom w:val="none" w:sz="0" w:space="0" w:color="auto"/>
                                                                                                                                                                                                <w:right w:val="none" w:sz="0" w:space="0" w:color="auto"/>
                                                                                                                                                                                              </w:divBdr>
                                                                                                                                                                                            </w:div>
                                                                                                                                                                                            <w:div w:id="190679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9565696">
          <w:marLeft w:val="0"/>
          <w:marRight w:val="0"/>
          <w:marTop w:val="0"/>
          <w:marBottom w:val="0"/>
          <w:divBdr>
            <w:top w:val="none" w:sz="0" w:space="0" w:color="auto"/>
            <w:left w:val="none" w:sz="0" w:space="0" w:color="auto"/>
            <w:bottom w:val="none" w:sz="0" w:space="0" w:color="auto"/>
            <w:right w:val="none" w:sz="0" w:space="0" w:color="auto"/>
          </w:divBdr>
          <w:divsChild>
            <w:div w:id="1857802">
              <w:marLeft w:val="0"/>
              <w:marRight w:val="0"/>
              <w:marTop w:val="0"/>
              <w:marBottom w:val="0"/>
              <w:divBdr>
                <w:top w:val="none" w:sz="0" w:space="0" w:color="auto"/>
                <w:left w:val="none" w:sz="0" w:space="0" w:color="auto"/>
                <w:bottom w:val="none" w:sz="0" w:space="0" w:color="auto"/>
                <w:right w:val="none" w:sz="0" w:space="0" w:color="auto"/>
              </w:divBdr>
              <w:divsChild>
                <w:div w:id="1592160901">
                  <w:marLeft w:val="0"/>
                  <w:marRight w:val="0"/>
                  <w:marTop w:val="0"/>
                  <w:marBottom w:val="0"/>
                  <w:divBdr>
                    <w:top w:val="none" w:sz="0" w:space="0" w:color="auto"/>
                    <w:left w:val="none" w:sz="0" w:space="0" w:color="auto"/>
                    <w:bottom w:val="none" w:sz="0" w:space="0" w:color="auto"/>
                    <w:right w:val="none" w:sz="0" w:space="0" w:color="auto"/>
                  </w:divBdr>
                  <w:divsChild>
                    <w:div w:id="592982118">
                      <w:marLeft w:val="0"/>
                      <w:marRight w:val="0"/>
                      <w:marTop w:val="0"/>
                      <w:marBottom w:val="0"/>
                      <w:divBdr>
                        <w:top w:val="none" w:sz="0" w:space="0" w:color="auto"/>
                        <w:left w:val="none" w:sz="0" w:space="0" w:color="auto"/>
                        <w:bottom w:val="none" w:sz="0" w:space="0" w:color="auto"/>
                        <w:right w:val="none" w:sz="0" w:space="0" w:color="auto"/>
                      </w:divBdr>
                      <w:divsChild>
                        <w:div w:id="1910921680">
                          <w:marLeft w:val="0"/>
                          <w:marRight w:val="0"/>
                          <w:marTop w:val="0"/>
                          <w:marBottom w:val="0"/>
                          <w:divBdr>
                            <w:top w:val="none" w:sz="0" w:space="0" w:color="auto"/>
                            <w:left w:val="none" w:sz="0" w:space="0" w:color="auto"/>
                            <w:bottom w:val="none" w:sz="0" w:space="0" w:color="auto"/>
                            <w:right w:val="none" w:sz="0" w:space="0" w:color="auto"/>
                          </w:divBdr>
                          <w:divsChild>
                            <w:div w:id="1080063347">
                              <w:marLeft w:val="0"/>
                              <w:marRight w:val="0"/>
                              <w:marTop w:val="0"/>
                              <w:marBottom w:val="0"/>
                              <w:divBdr>
                                <w:top w:val="none" w:sz="0" w:space="0" w:color="auto"/>
                                <w:left w:val="none" w:sz="0" w:space="0" w:color="auto"/>
                                <w:bottom w:val="none" w:sz="0" w:space="0" w:color="auto"/>
                                <w:right w:val="none" w:sz="0" w:space="0" w:color="auto"/>
                              </w:divBdr>
                              <w:divsChild>
                                <w:div w:id="27680589">
                                  <w:marLeft w:val="0"/>
                                  <w:marRight w:val="0"/>
                                  <w:marTop w:val="0"/>
                                  <w:marBottom w:val="0"/>
                                  <w:divBdr>
                                    <w:top w:val="none" w:sz="0" w:space="0" w:color="auto"/>
                                    <w:left w:val="none" w:sz="0" w:space="0" w:color="auto"/>
                                    <w:bottom w:val="none" w:sz="0" w:space="0" w:color="auto"/>
                                    <w:right w:val="none" w:sz="0" w:space="0" w:color="auto"/>
                                  </w:divBdr>
                                  <w:divsChild>
                                    <w:div w:id="841237936">
                                      <w:marLeft w:val="48"/>
                                      <w:marRight w:val="48"/>
                                      <w:marTop w:val="0"/>
                                      <w:marBottom w:val="0"/>
                                      <w:divBdr>
                                        <w:top w:val="none" w:sz="0" w:space="0" w:color="auto"/>
                                        <w:left w:val="none" w:sz="0" w:space="0" w:color="auto"/>
                                        <w:bottom w:val="none" w:sz="0" w:space="0" w:color="auto"/>
                                        <w:right w:val="none" w:sz="0" w:space="0" w:color="auto"/>
                                      </w:divBdr>
                                      <w:divsChild>
                                        <w:div w:id="1010259859">
                                          <w:marLeft w:val="0"/>
                                          <w:marRight w:val="0"/>
                                          <w:marTop w:val="0"/>
                                          <w:marBottom w:val="0"/>
                                          <w:divBdr>
                                            <w:top w:val="none" w:sz="0" w:space="0" w:color="auto"/>
                                            <w:left w:val="none" w:sz="0" w:space="0" w:color="auto"/>
                                            <w:bottom w:val="none" w:sz="0" w:space="0" w:color="auto"/>
                                            <w:right w:val="none" w:sz="0" w:space="0" w:color="auto"/>
                                          </w:divBdr>
                                          <w:divsChild>
                                            <w:div w:id="1563253431">
                                              <w:marLeft w:val="0"/>
                                              <w:marRight w:val="0"/>
                                              <w:marTop w:val="0"/>
                                              <w:marBottom w:val="0"/>
                                              <w:divBdr>
                                                <w:top w:val="none" w:sz="0" w:space="0" w:color="auto"/>
                                                <w:left w:val="none" w:sz="0" w:space="0" w:color="auto"/>
                                                <w:bottom w:val="none" w:sz="0" w:space="0" w:color="auto"/>
                                                <w:right w:val="none" w:sz="0" w:space="0" w:color="auto"/>
                                              </w:divBdr>
                                              <w:divsChild>
                                                <w:div w:id="1289317209">
                                                  <w:marLeft w:val="0"/>
                                                  <w:marRight w:val="0"/>
                                                  <w:marTop w:val="0"/>
                                                  <w:marBottom w:val="0"/>
                                                  <w:divBdr>
                                                    <w:top w:val="none" w:sz="0" w:space="0" w:color="auto"/>
                                                    <w:left w:val="none" w:sz="0" w:space="0" w:color="auto"/>
                                                    <w:bottom w:val="none" w:sz="0" w:space="0" w:color="auto"/>
                                                    <w:right w:val="none" w:sz="0" w:space="0" w:color="auto"/>
                                                  </w:divBdr>
                                                  <w:divsChild>
                                                    <w:div w:id="230507033">
                                                      <w:marLeft w:val="0"/>
                                                      <w:marRight w:val="0"/>
                                                      <w:marTop w:val="0"/>
                                                      <w:marBottom w:val="0"/>
                                                      <w:divBdr>
                                                        <w:top w:val="none" w:sz="0" w:space="0" w:color="auto"/>
                                                        <w:left w:val="none" w:sz="0" w:space="0" w:color="auto"/>
                                                        <w:bottom w:val="none" w:sz="0" w:space="0" w:color="auto"/>
                                                        <w:right w:val="none" w:sz="0" w:space="0" w:color="auto"/>
                                                      </w:divBdr>
                                                      <w:divsChild>
                                                        <w:div w:id="828592027">
                                                          <w:marLeft w:val="0"/>
                                                          <w:marRight w:val="0"/>
                                                          <w:marTop w:val="0"/>
                                                          <w:marBottom w:val="0"/>
                                                          <w:divBdr>
                                                            <w:top w:val="none" w:sz="0" w:space="0" w:color="auto"/>
                                                            <w:left w:val="none" w:sz="0" w:space="0" w:color="auto"/>
                                                            <w:bottom w:val="none" w:sz="0" w:space="0" w:color="auto"/>
                                                            <w:right w:val="none" w:sz="0" w:space="0" w:color="auto"/>
                                                          </w:divBdr>
                                                          <w:divsChild>
                                                            <w:div w:id="1486165989">
                                                              <w:marLeft w:val="0"/>
                                                              <w:marRight w:val="0"/>
                                                              <w:marTop w:val="0"/>
                                                              <w:marBottom w:val="0"/>
                                                              <w:divBdr>
                                                                <w:top w:val="none" w:sz="0" w:space="0" w:color="auto"/>
                                                                <w:left w:val="none" w:sz="0" w:space="0" w:color="auto"/>
                                                                <w:bottom w:val="none" w:sz="0" w:space="0" w:color="auto"/>
                                                                <w:right w:val="none" w:sz="0" w:space="0" w:color="auto"/>
                                                              </w:divBdr>
                                                              <w:divsChild>
                                                                <w:div w:id="901404053">
                                                                  <w:marLeft w:val="0"/>
                                                                  <w:marRight w:val="0"/>
                                                                  <w:marTop w:val="0"/>
                                                                  <w:marBottom w:val="0"/>
                                                                  <w:divBdr>
                                                                    <w:top w:val="none" w:sz="0" w:space="0" w:color="auto"/>
                                                                    <w:left w:val="none" w:sz="0" w:space="0" w:color="auto"/>
                                                                    <w:bottom w:val="none" w:sz="0" w:space="0" w:color="auto"/>
                                                                    <w:right w:val="none" w:sz="0" w:space="0" w:color="auto"/>
                                                                  </w:divBdr>
                                                                  <w:divsChild>
                                                                    <w:div w:id="1246720943">
                                                                      <w:marLeft w:val="0"/>
                                                                      <w:marRight w:val="0"/>
                                                                      <w:marTop w:val="0"/>
                                                                      <w:marBottom w:val="0"/>
                                                                      <w:divBdr>
                                                                        <w:top w:val="none" w:sz="0" w:space="0" w:color="auto"/>
                                                                        <w:left w:val="none" w:sz="0" w:space="0" w:color="auto"/>
                                                                        <w:bottom w:val="none" w:sz="0" w:space="0" w:color="auto"/>
                                                                        <w:right w:val="none" w:sz="0" w:space="0" w:color="auto"/>
                                                                      </w:divBdr>
                                                                      <w:divsChild>
                                                                        <w:div w:id="106511576">
                                                                          <w:marLeft w:val="0"/>
                                                                          <w:marRight w:val="0"/>
                                                                          <w:marTop w:val="0"/>
                                                                          <w:marBottom w:val="0"/>
                                                                          <w:divBdr>
                                                                            <w:top w:val="none" w:sz="0" w:space="0" w:color="auto"/>
                                                                            <w:left w:val="none" w:sz="0" w:space="0" w:color="auto"/>
                                                                            <w:bottom w:val="none" w:sz="0" w:space="0" w:color="auto"/>
                                                                            <w:right w:val="none" w:sz="0" w:space="0" w:color="auto"/>
                                                                          </w:divBdr>
                                                                          <w:divsChild>
                                                                            <w:div w:id="1445614508">
                                                                              <w:marLeft w:val="0"/>
                                                                              <w:marRight w:val="0"/>
                                                                              <w:marTop w:val="0"/>
                                                                              <w:marBottom w:val="0"/>
                                                                              <w:divBdr>
                                                                                <w:top w:val="none" w:sz="0" w:space="0" w:color="auto"/>
                                                                                <w:left w:val="none" w:sz="0" w:space="0" w:color="auto"/>
                                                                                <w:bottom w:val="none" w:sz="0" w:space="0" w:color="auto"/>
                                                                                <w:right w:val="none" w:sz="0" w:space="0" w:color="auto"/>
                                                                              </w:divBdr>
                                                                            </w:div>
                                                                          </w:divsChild>
                                                                        </w:div>
                                                                        <w:div w:id="1435319822">
                                                                          <w:marLeft w:val="0"/>
                                                                          <w:marRight w:val="0"/>
                                                                          <w:marTop w:val="0"/>
                                                                          <w:marBottom w:val="150"/>
                                                                          <w:divBdr>
                                                                            <w:top w:val="none" w:sz="0" w:space="0" w:color="auto"/>
                                                                            <w:left w:val="none" w:sz="0" w:space="0" w:color="auto"/>
                                                                            <w:bottom w:val="none" w:sz="0" w:space="0" w:color="auto"/>
                                                                            <w:right w:val="none" w:sz="0" w:space="0" w:color="auto"/>
                                                                          </w:divBdr>
                                                                          <w:divsChild>
                                                                            <w:div w:id="1081876835">
                                                                              <w:marLeft w:val="0"/>
                                                                              <w:marRight w:val="0"/>
                                                                              <w:marTop w:val="0"/>
                                                                              <w:marBottom w:val="0"/>
                                                                              <w:divBdr>
                                                                                <w:top w:val="none" w:sz="0" w:space="0" w:color="auto"/>
                                                                                <w:left w:val="none" w:sz="0" w:space="0" w:color="auto"/>
                                                                                <w:bottom w:val="none" w:sz="0" w:space="0" w:color="auto"/>
                                                                                <w:right w:val="none" w:sz="0" w:space="0" w:color="auto"/>
                                                                              </w:divBdr>
                                                                              <w:divsChild>
                                                                                <w:div w:id="426466799">
                                                                                  <w:marLeft w:val="0"/>
                                                                                  <w:marRight w:val="0"/>
                                                                                  <w:marTop w:val="0"/>
                                                                                  <w:marBottom w:val="0"/>
                                                                                  <w:divBdr>
                                                                                    <w:top w:val="none" w:sz="0" w:space="0" w:color="auto"/>
                                                                                    <w:left w:val="none" w:sz="0" w:space="0" w:color="auto"/>
                                                                                    <w:bottom w:val="none" w:sz="0" w:space="0" w:color="auto"/>
                                                                                    <w:right w:val="none" w:sz="0" w:space="0" w:color="auto"/>
                                                                                  </w:divBdr>
                                                                                  <w:divsChild>
                                                                                    <w:div w:id="1102458400">
                                                                                      <w:marLeft w:val="0"/>
                                                                                      <w:marRight w:val="0"/>
                                                                                      <w:marTop w:val="0"/>
                                                                                      <w:marBottom w:val="0"/>
                                                                                      <w:divBdr>
                                                                                        <w:top w:val="none" w:sz="0" w:space="0" w:color="auto"/>
                                                                                        <w:left w:val="none" w:sz="0" w:space="0" w:color="auto"/>
                                                                                        <w:bottom w:val="none" w:sz="0" w:space="0" w:color="auto"/>
                                                                                        <w:right w:val="none" w:sz="0" w:space="0" w:color="auto"/>
                                                                                      </w:divBdr>
                                                                                      <w:divsChild>
                                                                                        <w:div w:id="48462972">
                                                                                          <w:marLeft w:val="0"/>
                                                                                          <w:marRight w:val="0"/>
                                                                                          <w:marTop w:val="0"/>
                                                                                          <w:marBottom w:val="0"/>
                                                                                          <w:divBdr>
                                                                                            <w:top w:val="single" w:sz="6" w:space="0" w:color="CCCCCC"/>
                                                                                            <w:left w:val="single" w:sz="6" w:space="0" w:color="CCCCCC"/>
                                                                                            <w:bottom w:val="single" w:sz="6" w:space="0" w:color="CCCCCC"/>
                                                                                            <w:right w:val="single" w:sz="6" w:space="0" w:color="CCCCCC"/>
                                                                                          </w:divBdr>
                                                                                          <w:divsChild>
                                                                                            <w:div w:id="130770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800606">
      <w:bodyDiv w:val="1"/>
      <w:marLeft w:val="0"/>
      <w:marRight w:val="0"/>
      <w:marTop w:val="0"/>
      <w:marBottom w:val="0"/>
      <w:divBdr>
        <w:top w:val="none" w:sz="0" w:space="0" w:color="auto"/>
        <w:left w:val="none" w:sz="0" w:space="0" w:color="auto"/>
        <w:bottom w:val="none" w:sz="0" w:space="0" w:color="auto"/>
        <w:right w:val="none" w:sz="0" w:space="0" w:color="auto"/>
      </w:divBdr>
    </w:div>
    <w:div w:id="193739576">
      <w:bodyDiv w:val="1"/>
      <w:marLeft w:val="0"/>
      <w:marRight w:val="0"/>
      <w:marTop w:val="0"/>
      <w:marBottom w:val="0"/>
      <w:divBdr>
        <w:top w:val="none" w:sz="0" w:space="0" w:color="auto"/>
        <w:left w:val="none" w:sz="0" w:space="0" w:color="auto"/>
        <w:bottom w:val="none" w:sz="0" w:space="0" w:color="auto"/>
        <w:right w:val="none" w:sz="0" w:space="0" w:color="auto"/>
      </w:divBdr>
      <w:divsChild>
        <w:div w:id="248586025">
          <w:marLeft w:val="0"/>
          <w:marRight w:val="0"/>
          <w:marTop w:val="0"/>
          <w:marBottom w:val="0"/>
          <w:divBdr>
            <w:top w:val="none" w:sz="0" w:space="0" w:color="auto"/>
            <w:left w:val="none" w:sz="0" w:space="0" w:color="auto"/>
            <w:bottom w:val="none" w:sz="0" w:space="0" w:color="auto"/>
            <w:right w:val="none" w:sz="0" w:space="0" w:color="auto"/>
          </w:divBdr>
        </w:div>
      </w:divsChild>
    </w:div>
    <w:div w:id="470169303">
      <w:bodyDiv w:val="1"/>
      <w:marLeft w:val="0"/>
      <w:marRight w:val="0"/>
      <w:marTop w:val="0"/>
      <w:marBottom w:val="0"/>
      <w:divBdr>
        <w:top w:val="none" w:sz="0" w:space="0" w:color="auto"/>
        <w:left w:val="none" w:sz="0" w:space="0" w:color="auto"/>
        <w:bottom w:val="none" w:sz="0" w:space="0" w:color="auto"/>
        <w:right w:val="none" w:sz="0" w:space="0" w:color="auto"/>
      </w:divBdr>
    </w:div>
    <w:div w:id="748692860">
      <w:bodyDiv w:val="1"/>
      <w:marLeft w:val="0"/>
      <w:marRight w:val="0"/>
      <w:marTop w:val="0"/>
      <w:marBottom w:val="0"/>
      <w:divBdr>
        <w:top w:val="none" w:sz="0" w:space="0" w:color="auto"/>
        <w:left w:val="none" w:sz="0" w:space="0" w:color="auto"/>
        <w:bottom w:val="none" w:sz="0" w:space="0" w:color="auto"/>
        <w:right w:val="none" w:sz="0" w:space="0" w:color="auto"/>
      </w:divBdr>
    </w:div>
    <w:div w:id="926035493">
      <w:bodyDiv w:val="1"/>
      <w:marLeft w:val="0"/>
      <w:marRight w:val="0"/>
      <w:marTop w:val="0"/>
      <w:marBottom w:val="0"/>
      <w:divBdr>
        <w:top w:val="none" w:sz="0" w:space="0" w:color="auto"/>
        <w:left w:val="none" w:sz="0" w:space="0" w:color="auto"/>
        <w:bottom w:val="none" w:sz="0" w:space="0" w:color="auto"/>
        <w:right w:val="none" w:sz="0" w:space="0" w:color="auto"/>
      </w:divBdr>
    </w:div>
    <w:div w:id="1087076959">
      <w:bodyDiv w:val="1"/>
      <w:marLeft w:val="0"/>
      <w:marRight w:val="0"/>
      <w:marTop w:val="0"/>
      <w:marBottom w:val="0"/>
      <w:divBdr>
        <w:top w:val="none" w:sz="0" w:space="0" w:color="auto"/>
        <w:left w:val="none" w:sz="0" w:space="0" w:color="auto"/>
        <w:bottom w:val="none" w:sz="0" w:space="0" w:color="auto"/>
        <w:right w:val="none" w:sz="0" w:space="0" w:color="auto"/>
      </w:divBdr>
    </w:div>
    <w:div w:id="1181624914">
      <w:bodyDiv w:val="1"/>
      <w:marLeft w:val="0"/>
      <w:marRight w:val="0"/>
      <w:marTop w:val="0"/>
      <w:marBottom w:val="0"/>
      <w:divBdr>
        <w:top w:val="none" w:sz="0" w:space="0" w:color="auto"/>
        <w:left w:val="none" w:sz="0" w:space="0" w:color="auto"/>
        <w:bottom w:val="none" w:sz="0" w:space="0" w:color="auto"/>
        <w:right w:val="none" w:sz="0" w:space="0" w:color="auto"/>
      </w:divBdr>
    </w:div>
    <w:div w:id="1186480865">
      <w:bodyDiv w:val="1"/>
      <w:marLeft w:val="0"/>
      <w:marRight w:val="0"/>
      <w:marTop w:val="0"/>
      <w:marBottom w:val="0"/>
      <w:divBdr>
        <w:top w:val="none" w:sz="0" w:space="0" w:color="auto"/>
        <w:left w:val="none" w:sz="0" w:space="0" w:color="auto"/>
        <w:bottom w:val="none" w:sz="0" w:space="0" w:color="auto"/>
        <w:right w:val="none" w:sz="0" w:space="0" w:color="auto"/>
      </w:divBdr>
    </w:div>
    <w:div w:id="1572040690">
      <w:bodyDiv w:val="1"/>
      <w:marLeft w:val="0"/>
      <w:marRight w:val="0"/>
      <w:marTop w:val="0"/>
      <w:marBottom w:val="0"/>
      <w:divBdr>
        <w:top w:val="none" w:sz="0" w:space="0" w:color="auto"/>
        <w:left w:val="none" w:sz="0" w:space="0" w:color="auto"/>
        <w:bottom w:val="none" w:sz="0" w:space="0" w:color="auto"/>
        <w:right w:val="none" w:sz="0" w:space="0" w:color="auto"/>
      </w:divBdr>
    </w:div>
    <w:div w:id="1624966820">
      <w:bodyDiv w:val="1"/>
      <w:marLeft w:val="0"/>
      <w:marRight w:val="0"/>
      <w:marTop w:val="0"/>
      <w:marBottom w:val="0"/>
      <w:divBdr>
        <w:top w:val="none" w:sz="0" w:space="0" w:color="auto"/>
        <w:left w:val="none" w:sz="0" w:space="0" w:color="auto"/>
        <w:bottom w:val="none" w:sz="0" w:space="0" w:color="auto"/>
        <w:right w:val="none" w:sz="0" w:space="0" w:color="auto"/>
      </w:divBdr>
    </w:div>
    <w:div w:id="1654335725">
      <w:bodyDiv w:val="1"/>
      <w:marLeft w:val="0"/>
      <w:marRight w:val="0"/>
      <w:marTop w:val="0"/>
      <w:marBottom w:val="0"/>
      <w:divBdr>
        <w:top w:val="none" w:sz="0" w:space="0" w:color="auto"/>
        <w:left w:val="none" w:sz="0" w:space="0" w:color="auto"/>
        <w:bottom w:val="none" w:sz="0" w:space="0" w:color="auto"/>
        <w:right w:val="none" w:sz="0" w:space="0" w:color="auto"/>
      </w:divBdr>
    </w:div>
    <w:div w:id="1727561686">
      <w:bodyDiv w:val="1"/>
      <w:marLeft w:val="0"/>
      <w:marRight w:val="0"/>
      <w:marTop w:val="0"/>
      <w:marBottom w:val="0"/>
      <w:divBdr>
        <w:top w:val="none" w:sz="0" w:space="0" w:color="auto"/>
        <w:left w:val="none" w:sz="0" w:space="0" w:color="auto"/>
        <w:bottom w:val="none" w:sz="0" w:space="0" w:color="auto"/>
        <w:right w:val="none" w:sz="0" w:space="0" w:color="auto"/>
      </w:divBdr>
      <w:divsChild>
        <w:div w:id="487674238">
          <w:marLeft w:val="0"/>
          <w:marRight w:val="0"/>
          <w:marTop w:val="0"/>
          <w:marBottom w:val="0"/>
          <w:divBdr>
            <w:top w:val="none" w:sz="0" w:space="0" w:color="auto"/>
            <w:left w:val="none" w:sz="0" w:space="0" w:color="auto"/>
            <w:bottom w:val="none" w:sz="0" w:space="0" w:color="auto"/>
            <w:right w:val="none" w:sz="0" w:space="0" w:color="auto"/>
          </w:divBdr>
          <w:divsChild>
            <w:div w:id="151148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9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5"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24" Type="http://schemas.microsoft.com/office/2016/09/relationships/commentsIds" Target="commentsIds.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B90DCD6272AA44A0381B6F6B3B1A35" ma:contentTypeVersion="12" ma:contentTypeDescription="Create a new document." ma:contentTypeScope="" ma:versionID="18002ceb367c39d8a1d07efad1aa3276">
  <xsd:schema xmlns:xsd="http://www.w3.org/2001/XMLSchema" xmlns:xs="http://www.w3.org/2001/XMLSchema" xmlns:p="http://schemas.microsoft.com/office/2006/metadata/properties" xmlns:ns3="c2c364da-7a40-4061-973d-733d64fd8db2" xmlns:ns4="c23ee151-991c-4200-833a-0a5eaeac47f6" targetNamespace="http://schemas.microsoft.com/office/2006/metadata/properties" ma:root="true" ma:fieldsID="4baa5a350ed5094565fbc560473e513d" ns3:_="" ns4:_="">
    <xsd:import namespace="c2c364da-7a40-4061-973d-733d64fd8db2"/>
    <xsd:import namespace="c23ee151-991c-4200-833a-0a5eaeac47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364da-7a40-4061-973d-733d64fd8d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3ee151-991c-4200-833a-0a5eaeac47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B73387-EFDD-4D8E-B3CE-CB1EA18C5A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1AE256-9F60-45BB-9426-7B3440EEE250}">
  <ds:schemaRefs>
    <ds:schemaRef ds:uri="http://schemas.microsoft.com/sharepoint/v3/contenttype/forms"/>
  </ds:schemaRefs>
</ds:datastoreItem>
</file>

<file path=customXml/itemProps3.xml><?xml version="1.0" encoding="utf-8"?>
<ds:datastoreItem xmlns:ds="http://schemas.openxmlformats.org/officeDocument/2006/customXml" ds:itemID="{1A90001A-BF60-4226-A394-A109275D8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364da-7a40-4061-973d-733d64fd8db2"/>
    <ds:schemaRef ds:uri="c23ee151-991c-4200-833a-0a5eaeac47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2431</Words>
  <Characters>13857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Tierney</dc:creator>
  <cp:keywords/>
  <dc:description/>
  <cp:lastModifiedBy>Stephanie Tierney</cp:lastModifiedBy>
  <cp:revision>2</cp:revision>
  <cp:lastPrinted>2020-12-27T16:21:00Z</cp:lastPrinted>
  <dcterms:created xsi:type="dcterms:W3CDTF">2022-07-04T14:56:00Z</dcterms:created>
  <dcterms:modified xsi:type="dcterms:W3CDTF">2022-07-04T14:56:00Z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0x010100D3B90DCD6272AA44A0381B6F6B3B1A35</vt:lpwstr>
  </property>
</Properties>
</file>